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8C8" w:rsidRPr="003D67DE" w:rsidRDefault="009C78C8" w:rsidP="009A1ED3">
      <w:pPr>
        <w:autoSpaceDE w:val="0"/>
        <w:autoSpaceDN w:val="0"/>
        <w:adjustRightInd w:val="0"/>
        <w:spacing w:after="0" w:line="240" w:lineRule="auto"/>
        <w:jc w:val="both"/>
        <w:rPr>
          <w:rFonts w:cstheme="minorHAnsi"/>
          <w:noProof w:val="0"/>
          <w:color w:val="000000"/>
          <w:sz w:val="24"/>
          <w:szCs w:val="24"/>
          <w:lang w:val="en-GB"/>
        </w:rPr>
      </w:pPr>
      <w:bookmarkStart w:id="0" w:name="_GoBack"/>
      <w:bookmarkEnd w:id="0"/>
      <w:r w:rsidRPr="003D67DE">
        <w:rPr>
          <w:rFonts w:cstheme="minorHAnsi"/>
          <w:sz w:val="24"/>
          <w:szCs w:val="24"/>
          <w:lang w:val="en-US"/>
        </w:rPr>
        <w:drawing>
          <wp:inline distT="0" distB="0" distL="0" distR="0">
            <wp:extent cx="1489325" cy="785004"/>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95747" cy="788389"/>
                    </a:xfrm>
                    <a:prstGeom prst="rect">
                      <a:avLst/>
                    </a:prstGeom>
                    <a:noFill/>
                    <a:ln>
                      <a:noFill/>
                    </a:ln>
                  </pic:spPr>
                </pic:pic>
              </a:graphicData>
            </a:graphic>
          </wp:inline>
        </w:drawing>
      </w:r>
      <w:r w:rsidRPr="003D67DE">
        <w:rPr>
          <w:rFonts w:cstheme="minorHAnsi"/>
          <w:noProof w:val="0"/>
          <w:color w:val="000000"/>
          <w:sz w:val="24"/>
          <w:szCs w:val="24"/>
          <w:lang w:val="en-GB"/>
        </w:rPr>
        <w:tab/>
      </w:r>
      <w:r w:rsidRPr="003D67DE">
        <w:rPr>
          <w:rFonts w:cstheme="minorHAnsi"/>
          <w:noProof w:val="0"/>
          <w:color w:val="000000"/>
          <w:sz w:val="24"/>
          <w:szCs w:val="24"/>
          <w:lang w:val="en-GB"/>
        </w:rPr>
        <w:tab/>
      </w:r>
      <w:r w:rsidRPr="003D67DE">
        <w:rPr>
          <w:rFonts w:cstheme="minorHAnsi"/>
          <w:noProof w:val="0"/>
          <w:color w:val="000000"/>
          <w:sz w:val="24"/>
          <w:szCs w:val="24"/>
          <w:lang w:val="en-GB"/>
        </w:rPr>
        <w:tab/>
      </w:r>
      <w:r w:rsidRPr="003D67DE">
        <w:rPr>
          <w:rFonts w:cstheme="minorHAnsi"/>
          <w:noProof w:val="0"/>
          <w:color w:val="000000"/>
          <w:sz w:val="24"/>
          <w:szCs w:val="24"/>
          <w:lang w:val="en-GB"/>
        </w:rPr>
        <w:tab/>
      </w:r>
      <w:r w:rsidRPr="003D67DE">
        <w:rPr>
          <w:rFonts w:cstheme="minorHAnsi"/>
          <w:noProof w:val="0"/>
          <w:color w:val="000000"/>
          <w:sz w:val="24"/>
          <w:szCs w:val="24"/>
          <w:lang w:val="en-GB"/>
        </w:rPr>
        <w:tab/>
      </w:r>
      <w:r w:rsidRPr="003D67DE">
        <w:rPr>
          <w:rFonts w:cstheme="minorHAnsi"/>
          <w:noProof w:val="0"/>
          <w:color w:val="000000"/>
          <w:sz w:val="24"/>
          <w:szCs w:val="24"/>
          <w:lang w:val="en-GB"/>
        </w:rPr>
        <w:tab/>
      </w:r>
      <w:r w:rsidRPr="003D67DE">
        <w:rPr>
          <w:rFonts w:cstheme="minorHAnsi"/>
          <w:noProof w:val="0"/>
          <w:color w:val="000000"/>
          <w:sz w:val="24"/>
          <w:szCs w:val="24"/>
          <w:lang w:val="en-GB"/>
        </w:rPr>
        <w:tab/>
      </w:r>
      <w:r w:rsidRPr="003D67DE">
        <w:rPr>
          <w:rFonts w:cstheme="minorHAnsi"/>
          <w:sz w:val="24"/>
          <w:szCs w:val="24"/>
          <w:lang w:val="en-US"/>
        </w:rPr>
        <w:drawing>
          <wp:inline distT="0" distB="0" distL="0" distR="0">
            <wp:extent cx="1173193" cy="740070"/>
            <wp:effectExtent l="0" t="0" r="8255" b="31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9354" cy="743957"/>
                    </a:xfrm>
                    <a:prstGeom prst="rect">
                      <a:avLst/>
                    </a:prstGeom>
                    <a:noFill/>
                    <a:ln>
                      <a:noFill/>
                    </a:ln>
                  </pic:spPr>
                </pic:pic>
              </a:graphicData>
            </a:graphic>
          </wp:inline>
        </w:drawing>
      </w:r>
    </w:p>
    <w:p w:rsidR="008C4203" w:rsidRPr="003D67DE" w:rsidRDefault="008C4203" w:rsidP="009A1ED3">
      <w:pPr>
        <w:autoSpaceDE w:val="0"/>
        <w:autoSpaceDN w:val="0"/>
        <w:adjustRightInd w:val="0"/>
        <w:spacing w:after="0" w:line="240" w:lineRule="auto"/>
        <w:jc w:val="both"/>
        <w:rPr>
          <w:rFonts w:cstheme="minorHAnsi"/>
          <w:noProof w:val="0"/>
          <w:color w:val="000000"/>
          <w:sz w:val="24"/>
          <w:szCs w:val="24"/>
          <w:lang w:val="en-GB"/>
        </w:rPr>
      </w:pPr>
    </w:p>
    <w:tbl>
      <w:tblPr>
        <w:tblW w:w="0" w:type="auto"/>
        <w:tblInd w:w="162" w:type="dxa"/>
        <w:tblBorders>
          <w:top w:val="single" w:sz="4" w:space="0" w:color="auto"/>
        </w:tblBorders>
        <w:tblLook w:val="0000"/>
      </w:tblPr>
      <w:tblGrid>
        <w:gridCol w:w="9333"/>
      </w:tblGrid>
      <w:tr w:rsidR="008C4203" w:rsidRPr="003D67DE" w:rsidTr="008C4203">
        <w:trPr>
          <w:trHeight w:val="100"/>
        </w:trPr>
        <w:tc>
          <w:tcPr>
            <w:tcW w:w="9333" w:type="dxa"/>
            <w:tcBorders>
              <w:top w:val="single" w:sz="12" w:space="0" w:color="7F7F7F" w:themeColor="text1" w:themeTint="80"/>
            </w:tcBorders>
          </w:tcPr>
          <w:p w:rsidR="008C4203" w:rsidRPr="003D67DE" w:rsidRDefault="008C4203" w:rsidP="009A1ED3">
            <w:pPr>
              <w:autoSpaceDE w:val="0"/>
              <w:autoSpaceDN w:val="0"/>
              <w:adjustRightInd w:val="0"/>
              <w:spacing w:after="0" w:line="240" w:lineRule="auto"/>
              <w:jc w:val="both"/>
              <w:rPr>
                <w:rFonts w:cstheme="minorHAnsi"/>
                <w:noProof w:val="0"/>
                <w:color w:val="000000"/>
                <w:sz w:val="24"/>
                <w:szCs w:val="24"/>
                <w:lang w:val="en-GB"/>
              </w:rPr>
            </w:pPr>
          </w:p>
        </w:tc>
      </w:tr>
    </w:tbl>
    <w:p w:rsidR="009C78C8" w:rsidRPr="003D67DE" w:rsidRDefault="009C78C8" w:rsidP="009A1ED3">
      <w:pPr>
        <w:autoSpaceDE w:val="0"/>
        <w:autoSpaceDN w:val="0"/>
        <w:adjustRightInd w:val="0"/>
        <w:spacing w:after="0" w:line="240" w:lineRule="auto"/>
        <w:jc w:val="both"/>
        <w:rPr>
          <w:rFonts w:cstheme="minorHAnsi"/>
          <w:noProof w:val="0"/>
          <w:color w:val="000000"/>
          <w:sz w:val="24"/>
          <w:szCs w:val="24"/>
          <w:lang w:val="en-GB"/>
        </w:rPr>
      </w:pPr>
    </w:p>
    <w:p w:rsidR="008C4203" w:rsidRPr="003D67DE" w:rsidRDefault="008C4203"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8C4203" w:rsidRPr="003D67DE" w:rsidRDefault="008C4203" w:rsidP="009A1ED3">
      <w:pPr>
        <w:autoSpaceDE w:val="0"/>
        <w:autoSpaceDN w:val="0"/>
        <w:adjustRightInd w:val="0"/>
        <w:spacing w:after="0" w:line="240" w:lineRule="auto"/>
        <w:jc w:val="both"/>
        <w:rPr>
          <w:rFonts w:cstheme="minorHAnsi"/>
          <w:noProof w:val="0"/>
          <w:color w:val="000000"/>
          <w:sz w:val="24"/>
          <w:szCs w:val="24"/>
          <w:lang w:val="en-GB"/>
        </w:rPr>
      </w:pPr>
    </w:p>
    <w:p w:rsidR="008C4203" w:rsidRPr="003D67DE" w:rsidRDefault="008C4203"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F7FB1">
      <w:pPr>
        <w:autoSpaceDE w:val="0"/>
        <w:autoSpaceDN w:val="0"/>
        <w:adjustRightInd w:val="0"/>
        <w:spacing w:after="0" w:line="240" w:lineRule="auto"/>
        <w:jc w:val="both"/>
        <w:rPr>
          <w:rFonts w:cstheme="minorHAnsi"/>
          <w:b/>
          <w:bCs/>
          <w:noProof w:val="0"/>
          <w:color w:val="595959" w:themeColor="text1" w:themeTint="A6"/>
          <w:sz w:val="44"/>
          <w:szCs w:val="24"/>
          <w:lang w:val="en-GB"/>
        </w:rPr>
      </w:pPr>
      <w:r w:rsidRPr="003D67DE">
        <w:rPr>
          <w:b/>
          <w:bCs/>
          <w:noProof w:val="0"/>
          <w:color w:val="595959"/>
          <w:sz w:val="44"/>
          <w:szCs w:val="44"/>
          <w:lang w:val="en-GB"/>
        </w:rPr>
        <w:t xml:space="preserve">Methodology for FRR dimensioning rules in LFC </w:t>
      </w:r>
      <w:r w:rsidR="003D67DE" w:rsidRPr="003D67DE">
        <w:rPr>
          <w:b/>
          <w:bCs/>
          <w:noProof w:val="0"/>
          <w:color w:val="595959"/>
          <w:sz w:val="44"/>
          <w:szCs w:val="44"/>
          <w:lang w:val="en-GB"/>
        </w:rPr>
        <w:t xml:space="preserve">AK </w:t>
      </w:r>
      <w:r w:rsidRPr="003D67DE">
        <w:rPr>
          <w:b/>
          <w:bCs/>
          <w:noProof w:val="0"/>
          <w:color w:val="595959"/>
          <w:sz w:val="44"/>
          <w:szCs w:val="44"/>
          <w:lang w:val="en-GB"/>
        </w:rPr>
        <w:t xml:space="preserve">Block in accordance with Article 157 (1) of Commission Regulation (EU) 2017/1485 of 2 August 2017 </w:t>
      </w:r>
      <w:r w:rsidR="003D67DE" w:rsidRPr="003D67DE">
        <w:rPr>
          <w:b/>
          <w:bCs/>
          <w:noProof w:val="0"/>
          <w:color w:val="595959"/>
          <w:sz w:val="44"/>
          <w:szCs w:val="44"/>
          <w:lang w:val="en-GB"/>
        </w:rPr>
        <w:t>establishing a guideline on electricity transmission system operation</w:t>
      </w:r>
    </w:p>
    <w:p w:rsidR="009C78C8" w:rsidRPr="003D67DE" w:rsidRDefault="009C78C8" w:rsidP="009A1ED3">
      <w:pPr>
        <w:autoSpaceDE w:val="0"/>
        <w:autoSpaceDN w:val="0"/>
        <w:adjustRightInd w:val="0"/>
        <w:spacing w:after="0" w:line="240" w:lineRule="auto"/>
        <w:jc w:val="both"/>
        <w:rPr>
          <w:rFonts w:cstheme="minorHAnsi"/>
          <w:noProof w:val="0"/>
          <w:color w:val="000000"/>
          <w:sz w:val="24"/>
          <w:szCs w:val="24"/>
          <w:lang w:val="en-GB"/>
        </w:rPr>
      </w:pPr>
    </w:p>
    <w:p w:rsidR="008C4203" w:rsidRPr="003D67DE" w:rsidRDefault="008C4203"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7102BF">
      <w:pPr>
        <w:autoSpaceDE w:val="0"/>
        <w:autoSpaceDN w:val="0"/>
        <w:adjustRightInd w:val="0"/>
        <w:spacing w:after="0" w:line="240" w:lineRule="auto"/>
        <w:jc w:val="center"/>
        <w:rPr>
          <w:rFonts w:cstheme="minorHAnsi"/>
          <w:noProof w:val="0"/>
          <w:color w:val="000000"/>
          <w:sz w:val="24"/>
          <w:szCs w:val="24"/>
          <w:lang w:val="en-GB"/>
        </w:rPr>
      </w:pPr>
      <w:r w:rsidRPr="003D67DE">
        <w:rPr>
          <w:rFonts w:cstheme="minorHAnsi"/>
          <w:noProof w:val="0"/>
          <w:color w:val="000000"/>
          <w:sz w:val="24"/>
          <w:szCs w:val="24"/>
          <w:lang w:val="en-GB"/>
        </w:rPr>
        <w:t>August 2020</w:t>
      </w: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F7FB1" w:rsidRPr="003D67DE" w:rsidRDefault="009F7FB1" w:rsidP="009A1ED3">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9C78C8" w:rsidP="007102BF">
      <w:pPr>
        <w:pBdr>
          <w:bottom w:val="single" w:sz="4" w:space="0" w:color="auto"/>
        </w:pBdr>
        <w:autoSpaceDE w:val="0"/>
        <w:autoSpaceDN w:val="0"/>
        <w:adjustRightInd w:val="0"/>
        <w:spacing w:after="0" w:line="240" w:lineRule="auto"/>
        <w:jc w:val="both"/>
        <w:rPr>
          <w:rFonts w:cstheme="minorHAnsi"/>
          <w:noProof w:val="0"/>
          <w:sz w:val="24"/>
          <w:szCs w:val="24"/>
          <w:lang w:val="en-GB"/>
        </w:rPr>
      </w:pPr>
    </w:p>
    <w:p w:rsidR="009C78C8" w:rsidRPr="003D67DE" w:rsidRDefault="009C78C8" w:rsidP="009A1ED3">
      <w:pPr>
        <w:jc w:val="both"/>
        <w:rPr>
          <w:rFonts w:cstheme="minorHAnsi"/>
          <w:noProof w:val="0"/>
          <w:sz w:val="24"/>
          <w:szCs w:val="24"/>
          <w:lang w:val="en-GB"/>
        </w:rPr>
      </w:pPr>
    </w:p>
    <w:p w:rsidR="00771AD7" w:rsidRPr="003D67DE" w:rsidRDefault="00771AD7" w:rsidP="00DE7D64">
      <w:pPr>
        <w:autoSpaceDE w:val="0"/>
        <w:autoSpaceDN w:val="0"/>
        <w:adjustRightInd w:val="0"/>
        <w:spacing w:after="0" w:line="240" w:lineRule="auto"/>
        <w:jc w:val="both"/>
        <w:rPr>
          <w:rFonts w:cstheme="minorHAnsi"/>
          <w:noProof w:val="0"/>
          <w:sz w:val="24"/>
          <w:szCs w:val="24"/>
          <w:lang w:val="en-GB"/>
        </w:rPr>
      </w:pPr>
    </w:p>
    <w:p w:rsidR="009C78C8" w:rsidRPr="003D67DE" w:rsidRDefault="00595263"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t xml:space="preserve">The TSOs of the LFC </w:t>
      </w:r>
      <w:r w:rsidR="003D67DE" w:rsidRPr="003D67DE">
        <w:rPr>
          <w:rFonts w:cstheme="minorHAnsi"/>
          <w:noProof w:val="0"/>
          <w:color w:val="000000"/>
          <w:sz w:val="24"/>
          <w:szCs w:val="24"/>
          <w:lang w:val="en-GB"/>
        </w:rPr>
        <w:t>AK</w:t>
      </w:r>
      <w:r w:rsidRPr="003D67DE">
        <w:rPr>
          <w:rFonts w:cstheme="minorHAnsi"/>
          <w:noProof w:val="0"/>
          <w:color w:val="000000"/>
          <w:sz w:val="24"/>
          <w:szCs w:val="24"/>
          <w:lang w:val="en-GB"/>
        </w:rPr>
        <w:t xml:space="preserve"> Block should determine the reserve capacity required for the FRR of the AK Block based on the historical data of previous years which contain at least the historical values ​​for the imbalances of the LFC </w:t>
      </w:r>
      <w:r w:rsidR="003D67DE" w:rsidRPr="003D67DE">
        <w:rPr>
          <w:rFonts w:cstheme="minorHAnsi"/>
          <w:noProof w:val="0"/>
          <w:color w:val="000000"/>
          <w:sz w:val="24"/>
          <w:szCs w:val="24"/>
          <w:lang w:val="en-GB"/>
        </w:rPr>
        <w:t>AK</w:t>
      </w:r>
      <w:r w:rsidRPr="003D67DE">
        <w:rPr>
          <w:rFonts w:cstheme="minorHAnsi"/>
          <w:noProof w:val="0"/>
          <w:color w:val="000000"/>
          <w:sz w:val="24"/>
          <w:szCs w:val="24"/>
          <w:lang w:val="en-GB"/>
        </w:rPr>
        <w:t xml:space="preserve"> Block. The average 15-minute data for the period between 1 July of the previous year and 30 June of the current year is used for this purpose, but if all parties agree, another time period may be used. The LFC Block Monitor is obliged to collect this data.</w:t>
      </w:r>
    </w:p>
    <w:p w:rsidR="009C78C8" w:rsidRPr="003D67DE" w:rsidRDefault="009C78C8" w:rsidP="00DE7D64">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3D67DE" w:rsidP="00DE7D64">
      <w:pPr>
        <w:pStyle w:val="Default"/>
        <w:numPr>
          <w:ilvl w:val="0"/>
          <w:numId w:val="3"/>
        </w:numPr>
        <w:jc w:val="both"/>
        <w:rPr>
          <w:rFonts w:asciiTheme="minorHAnsi" w:hAnsiTheme="minorHAnsi" w:cstheme="minorHAnsi"/>
          <w:lang w:val="en-GB"/>
        </w:rPr>
      </w:pPr>
      <w:r w:rsidRPr="003D67DE">
        <w:rPr>
          <w:rFonts w:asciiTheme="minorHAnsi" w:hAnsiTheme="minorHAnsi" w:cstheme="minorHAnsi"/>
          <w:lang w:val="en-GB"/>
        </w:rPr>
        <w:t>All LFC AK Block TSOs define reserve capacity for FRR which is sufficient to comply with current FRCE target parameters in accordance with the Agreement "All CE TSOs’ Agreement on frequency restoration control error target parameters in accordance with Article 128 and Article 131 of the Commission Regulation (EU) 2017/1485 of 2 August establishing a Guideline on electricity transmission system</w:t>
      </w:r>
      <w:r>
        <w:rPr>
          <w:rFonts w:asciiTheme="minorHAnsi" w:hAnsiTheme="minorHAnsi" w:cstheme="minorHAnsi"/>
          <w:lang w:val="en-GB"/>
        </w:rPr>
        <w:t xml:space="preserve"> </w:t>
      </w:r>
      <w:r w:rsidRPr="003D67DE">
        <w:rPr>
          <w:rFonts w:asciiTheme="minorHAnsi" w:hAnsiTheme="minorHAnsi" w:cstheme="minorHAnsi"/>
          <w:lang w:val="en-GB"/>
        </w:rPr>
        <w:t>operation“ for the time period referred to in the first paragraph based on at least in a probabilistic methodology. In addition to the probabilistic methodology, the required FRR reserve capacity cannot be less than the reference incident for the respective direction</w:t>
      </w:r>
      <w:r w:rsidR="00BB1CB4" w:rsidRPr="003D67DE">
        <w:rPr>
          <w:rFonts w:asciiTheme="minorHAnsi" w:hAnsiTheme="minorHAnsi" w:cstheme="minorHAnsi"/>
          <w:lang w:val="en-GB"/>
        </w:rPr>
        <w:t>.</w:t>
      </w:r>
    </w:p>
    <w:p w:rsidR="009C78C8" w:rsidRPr="003D67DE" w:rsidRDefault="009C78C8" w:rsidP="009A1ED3">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D238D4"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t xml:space="preserve">The positive incident for </w:t>
      </w:r>
      <w:r w:rsidR="002820B6">
        <w:rPr>
          <w:rFonts w:cstheme="minorHAnsi"/>
          <w:noProof w:val="0"/>
          <w:color w:val="000000"/>
          <w:sz w:val="24"/>
          <w:szCs w:val="24"/>
          <w:lang w:val="en-GB"/>
        </w:rPr>
        <w:t xml:space="preserve">FRR </w:t>
      </w:r>
      <w:r w:rsidRPr="003D67DE">
        <w:rPr>
          <w:rFonts w:cstheme="minorHAnsi"/>
          <w:noProof w:val="0"/>
          <w:color w:val="000000"/>
          <w:sz w:val="24"/>
          <w:szCs w:val="24"/>
          <w:lang w:val="en-GB"/>
        </w:rPr>
        <w:t xml:space="preserve">dimensioning of the LFC AK Block is equal to the </w:t>
      </w:r>
      <w:r w:rsidR="002820B6">
        <w:rPr>
          <w:rFonts w:cstheme="minorHAnsi"/>
          <w:noProof w:val="0"/>
          <w:color w:val="000000"/>
          <w:sz w:val="24"/>
          <w:szCs w:val="24"/>
          <w:lang w:val="en-GB"/>
        </w:rPr>
        <w:t>decline</w:t>
      </w:r>
      <w:r w:rsidRPr="003D67DE">
        <w:rPr>
          <w:rFonts w:cstheme="minorHAnsi"/>
          <w:noProof w:val="0"/>
          <w:color w:val="000000"/>
          <w:sz w:val="24"/>
          <w:szCs w:val="24"/>
          <w:lang w:val="en-GB"/>
        </w:rPr>
        <w:t xml:space="preserve"> of the largest generating module in the LFC AK Block, in accordance with Article 157 (2.d) of SO GL. </w:t>
      </w:r>
    </w:p>
    <w:p w:rsidR="009C78C8" w:rsidRPr="003D67DE" w:rsidRDefault="009C78C8" w:rsidP="00DE7D64">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DD3A67"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t xml:space="preserve">The negative incident for FRR dimensioning of the LFC AK Block is equal to the </w:t>
      </w:r>
      <w:r w:rsidR="002820B6">
        <w:rPr>
          <w:rFonts w:cstheme="minorHAnsi"/>
          <w:noProof w:val="0"/>
          <w:color w:val="000000"/>
          <w:sz w:val="24"/>
          <w:szCs w:val="24"/>
          <w:lang w:val="en-GB"/>
        </w:rPr>
        <w:t>decline</w:t>
      </w:r>
      <w:r w:rsidRPr="003D67DE">
        <w:rPr>
          <w:rFonts w:cstheme="minorHAnsi"/>
          <w:noProof w:val="0"/>
          <w:color w:val="000000"/>
          <w:sz w:val="24"/>
          <w:szCs w:val="24"/>
          <w:lang w:val="en-GB"/>
        </w:rPr>
        <w:t xml:space="preserve"> of the largest consumption plant in the LFC AK Block, in accordance with Article 157 (2.d) of SO GL. </w:t>
      </w:r>
    </w:p>
    <w:p w:rsidR="009C78C8" w:rsidRPr="003D67DE" w:rsidRDefault="009C78C8" w:rsidP="00DE7D64">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DD3A67"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t xml:space="preserve">The positive incident for FRR dimensioning for each TSO is equal to the </w:t>
      </w:r>
      <w:r w:rsidR="002820B6">
        <w:rPr>
          <w:rFonts w:cstheme="minorHAnsi"/>
          <w:noProof w:val="0"/>
          <w:color w:val="000000"/>
          <w:sz w:val="24"/>
          <w:szCs w:val="24"/>
          <w:lang w:val="en-GB"/>
        </w:rPr>
        <w:t>decline</w:t>
      </w:r>
      <w:r w:rsidRPr="003D67DE">
        <w:rPr>
          <w:rFonts w:cstheme="minorHAnsi"/>
          <w:noProof w:val="0"/>
          <w:color w:val="000000"/>
          <w:sz w:val="24"/>
          <w:szCs w:val="24"/>
          <w:lang w:val="en-GB"/>
        </w:rPr>
        <w:t xml:space="preserve"> of the largest generating module of the respective TSO, in accordance with Article 157 (2.d) of SO GL. </w:t>
      </w:r>
    </w:p>
    <w:p w:rsidR="009C78C8" w:rsidRPr="003D67DE" w:rsidRDefault="009C78C8" w:rsidP="00DE7D64">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DD3A67"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t xml:space="preserve">The negative incident for FRR dimensioning for each TSO is equal to the </w:t>
      </w:r>
      <w:r w:rsidR="002820B6">
        <w:rPr>
          <w:rFonts w:cstheme="minorHAnsi"/>
          <w:noProof w:val="0"/>
          <w:color w:val="000000"/>
          <w:sz w:val="24"/>
          <w:szCs w:val="24"/>
          <w:lang w:val="en-GB"/>
        </w:rPr>
        <w:t>decline</w:t>
      </w:r>
      <w:r w:rsidRPr="003D67DE">
        <w:rPr>
          <w:rFonts w:cstheme="minorHAnsi"/>
          <w:noProof w:val="0"/>
          <w:color w:val="000000"/>
          <w:sz w:val="24"/>
          <w:szCs w:val="24"/>
          <w:lang w:val="en-GB"/>
        </w:rPr>
        <w:t xml:space="preserve"> of the largest customer plant of the respective TSO, in accordance with Article 157 (2.d) of SO GL. </w:t>
      </w:r>
    </w:p>
    <w:p w:rsidR="009C78C8" w:rsidRPr="003D67DE" w:rsidRDefault="009C78C8" w:rsidP="00DE7D64">
      <w:pPr>
        <w:autoSpaceDE w:val="0"/>
        <w:autoSpaceDN w:val="0"/>
        <w:adjustRightInd w:val="0"/>
        <w:spacing w:after="0" w:line="240" w:lineRule="auto"/>
        <w:jc w:val="both"/>
        <w:rPr>
          <w:rFonts w:cstheme="minorHAnsi"/>
          <w:noProof w:val="0"/>
          <w:color w:val="000000"/>
          <w:sz w:val="24"/>
          <w:szCs w:val="24"/>
          <w:lang w:val="en-GB"/>
        </w:rPr>
      </w:pPr>
    </w:p>
    <w:p w:rsidR="00BB52B4" w:rsidRPr="003D67DE" w:rsidRDefault="00DD3A67"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t xml:space="preserve">All </w:t>
      </w:r>
      <w:r w:rsidR="00F3441F">
        <w:rPr>
          <w:rFonts w:cstheme="minorHAnsi"/>
          <w:noProof w:val="0"/>
          <w:color w:val="000000"/>
          <w:sz w:val="24"/>
          <w:szCs w:val="24"/>
          <w:lang w:val="en-GB"/>
        </w:rPr>
        <w:t>LFC AK</w:t>
      </w:r>
      <w:r w:rsidRPr="003D67DE">
        <w:rPr>
          <w:rFonts w:cstheme="minorHAnsi"/>
          <w:noProof w:val="0"/>
          <w:color w:val="000000"/>
          <w:sz w:val="24"/>
          <w:szCs w:val="24"/>
          <w:lang w:val="en-GB"/>
        </w:rPr>
        <w:t xml:space="preserve"> Block TSOs must ensure that the positive reserve capacity for FRR is sufficient to cover the positive imbalances of the </w:t>
      </w:r>
      <w:r w:rsidR="00F3441F">
        <w:rPr>
          <w:rFonts w:cstheme="minorHAnsi"/>
          <w:noProof w:val="0"/>
          <w:color w:val="000000"/>
          <w:sz w:val="24"/>
          <w:szCs w:val="24"/>
          <w:lang w:val="en-GB"/>
        </w:rPr>
        <w:t>LFC AK</w:t>
      </w:r>
      <w:r w:rsidRPr="003D67DE">
        <w:rPr>
          <w:rFonts w:cstheme="minorHAnsi"/>
          <w:noProof w:val="0"/>
          <w:color w:val="000000"/>
          <w:sz w:val="24"/>
          <w:szCs w:val="24"/>
          <w:lang w:val="en-GB"/>
        </w:rPr>
        <w:t xml:space="preserve"> Block at least 99% of the time, based on the historical data referred to in first</w:t>
      </w:r>
      <w:r w:rsidR="00F3441F" w:rsidRPr="00F3441F">
        <w:rPr>
          <w:rFonts w:cstheme="minorHAnsi"/>
          <w:noProof w:val="0"/>
          <w:color w:val="000000"/>
          <w:sz w:val="24"/>
          <w:szCs w:val="24"/>
          <w:lang w:val="en-GB"/>
        </w:rPr>
        <w:t xml:space="preserve"> </w:t>
      </w:r>
      <w:r w:rsidR="00F3441F" w:rsidRPr="003D67DE">
        <w:rPr>
          <w:rFonts w:cstheme="minorHAnsi"/>
          <w:noProof w:val="0"/>
          <w:color w:val="000000"/>
          <w:sz w:val="24"/>
          <w:szCs w:val="24"/>
          <w:lang w:val="en-GB"/>
        </w:rPr>
        <w:t>paragraph</w:t>
      </w:r>
      <w:r w:rsidRPr="003D67DE">
        <w:rPr>
          <w:rFonts w:cstheme="minorHAnsi"/>
          <w:noProof w:val="0"/>
          <w:color w:val="000000"/>
          <w:sz w:val="24"/>
          <w:szCs w:val="24"/>
          <w:lang w:val="en-GB"/>
        </w:rPr>
        <w:t>.</w:t>
      </w:r>
    </w:p>
    <w:p w:rsidR="00BB52B4" w:rsidRPr="003D67DE" w:rsidRDefault="00BB52B4" w:rsidP="00DE7D64">
      <w:pPr>
        <w:autoSpaceDE w:val="0"/>
        <w:autoSpaceDN w:val="0"/>
        <w:adjustRightInd w:val="0"/>
        <w:spacing w:after="0" w:line="240" w:lineRule="auto"/>
        <w:jc w:val="both"/>
        <w:rPr>
          <w:rFonts w:cstheme="minorHAnsi"/>
          <w:noProof w:val="0"/>
          <w:color w:val="000000"/>
          <w:sz w:val="24"/>
          <w:szCs w:val="24"/>
          <w:lang w:val="en-GB"/>
        </w:rPr>
      </w:pPr>
    </w:p>
    <w:p w:rsidR="00BB52B4" w:rsidRPr="003D67DE" w:rsidRDefault="00BB52B4" w:rsidP="00DE7D64">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9C78C8"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lastRenderedPageBreak/>
        <w:t xml:space="preserve"> All </w:t>
      </w:r>
      <w:r w:rsidR="00F3441F">
        <w:rPr>
          <w:rFonts w:cstheme="minorHAnsi"/>
          <w:noProof w:val="0"/>
          <w:color w:val="000000"/>
          <w:sz w:val="24"/>
          <w:szCs w:val="24"/>
          <w:lang w:val="en-GB"/>
        </w:rPr>
        <w:t>LFC AK</w:t>
      </w:r>
      <w:r w:rsidRPr="003D67DE">
        <w:rPr>
          <w:rFonts w:cstheme="minorHAnsi"/>
          <w:noProof w:val="0"/>
          <w:color w:val="000000"/>
          <w:sz w:val="24"/>
          <w:szCs w:val="24"/>
          <w:lang w:val="en-GB"/>
        </w:rPr>
        <w:t xml:space="preserve"> Block TSOs must ensure that the negative reserve capacity for FRR is sufficient to cover the negative imbalances of the </w:t>
      </w:r>
      <w:r w:rsidR="00F3441F">
        <w:rPr>
          <w:rFonts w:cstheme="minorHAnsi"/>
          <w:noProof w:val="0"/>
          <w:color w:val="000000"/>
          <w:sz w:val="24"/>
          <w:szCs w:val="24"/>
          <w:lang w:val="en-GB"/>
        </w:rPr>
        <w:t>LFC AK</w:t>
      </w:r>
      <w:r w:rsidRPr="003D67DE">
        <w:rPr>
          <w:rFonts w:cstheme="minorHAnsi"/>
          <w:noProof w:val="0"/>
          <w:color w:val="000000"/>
          <w:sz w:val="24"/>
          <w:szCs w:val="24"/>
          <w:lang w:val="en-GB"/>
        </w:rPr>
        <w:t xml:space="preserve"> Block at least 99% of the time, based on the historical data referred to in first</w:t>
      </w:r>
      <w:r w:rsidR="00F3441F" w:rsidRPr="00F3441F">
        <w:rPr>
          <w:rFonts w:cstheme="minorHAnsi"/>
          <w:noProof w:val="0"/>
          <w:color w:val="000000"/>
          <w:sz w:val="24"/>
          <w:szCs w:val="24"/>
          <w:lang w:val="en-GB"/>
        </w:rPr>
        <w:t xml:space="preserve"> </w:t>
      </w:r>
      <w:r w:rsidR="00F3441F" w:rsidRPr="003D67DE">
        <w:rPr>
          <w:rFonts w:cstheme="minorHAnsi"/>
          <w:noProof w:val="0"/>
          <w:color w:val="000000"/>
          <w:sz w:val="24"/>
          <w:szCs w:val="24"/>
          <w:lang w:val="en-GB"/>
        </w:rPr>
        <w:t>paragraph</w:t>
      </w:r>
      <w:r w:rsidRPr="003D67DE">
        <w:rPr>
          <w:rFonts w:cstheme="minorHAnsi"/>
          <w:noProof w:val="0"/>
          <w:color w:val="000000"/>
          <w:sz w:val="24"/>
          <w:szCs w:val="24"/>
          <w:lang w:val="en-GB"/>
        </w:rPr>
        <w:t xml:space="preserve">. </w:t>
      </w:r>
    </w:p>
    <w:p w:rsidR="009C78C8" w:rsidRPr="003D67DE" w:rsidRDefault="009C78C8" w:rsidP="00DE7D64">
      <w:pPr>
        <w:autoSpaceDE w:val="0"/>
        <w:autoSpaceDN w:val="0"/>
        <w:adjustRightInd w:val="0"/>
        <w:spacing w:after="0" w:line="240" w:lineRule="auto"/>
        <w:jc w:val="both"/>
        <w:rPr>
          <w:rFonts w:cstheme="minorHAnsi"/>
          <w:noProof w:val="0"/>
          <w:color w:val="000000"/>
          <w:sz w:val="24"/>
          <w:szCs w:val="24"/>
          <w:lang w:val="en-GB"/>
        </w:rPr>
      </w:pPr>
    </w:p>
    <w:p w:rsidR="009C78C8" w:rsidRPr="003D67DE" w:rsidRDefault="005B5444" w:rsidP="00DE7D64">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color w:val="000000"/>
          <w:sz w:val="24"/>
          <w:szCs w:val="24"/>
          <w:lang w:val="en-GB"/>
        </w:rPr>
        <w:t>The proportion of FRR reserve capacity in the positive direction required by each TSO</w:t>
      </w:r>
      <w:r w:rsidR="00F3441F">
        <w:rPr>
          <w:rFonts w:cstheme="minorHAnsi"/>
          <w:noProof w:val="0"/>
          <w:color w:val="000000"/>
          <w:sz w:val="24"/>
          <w:szCs w:val="24"/>
          <w:lang w:val="en-GB"/>
        </w:rPr>
        <w:t xml:space="preserve"> </w:t>
      </w:r>
      <w:r w:rsidR="009C78C8" w:rsidRPr="003D67DE">
        <w:rPr>
          <w:rFonts w:ascii="Cambria Math" w:hAnsi="Cambria Math" w:cs="Cambria Math"/>
          <w:noProof w:val="0"/>
          <w:color w:val="000000"/>
          <w:sz w:val="24"/>
          <w:szCs w:val="24"/>
          <w:lang w:val="en-GB"/>
        </w:rPr>
        <w:t>𝑃𝑖</w:t>
      </w:r>
      <w:r w:rsidR="009C78C8" w:rsidRPr="003D67DE">
        <w:rPr>
          <w:rFonts w:cstheme="minorHAnsi"/>
          <w:noProof w:val="0"/>
          <w:color w:val="000000"/>
          <w:sz w:val="24"/>
          <w:szCs w:val="24"/>
          <w:lang w:val="en-GB"/>
        </w:rPr>
        <w:t xml:space="preserve"> as an obligation for FRR for the calendar year </w:t>
      </w:r>
      <w:r w:rsidR="00505787" w:rsidRPr="003D67DE">
        <w:rPr>
          <w:rFonts w:ascii="Cambria Math" w:hAnsi="Cambria Math" w:cs="Cambria Math"/>
          <w:noProof w:val="0"/>
          <w:color w:val="000000"/>
          <w:sz w:val="24"/>
          <w:szCs w:val="24"/>
          <w:lang w:val="en-GB"/>
        </w:rPr>
        <w:t>𝑡</w:t>
      </w:r>
      <w:r w:rsidR="00505787" w:rsidRPr="003D67DE">
        <w:rPr>
          <w:rFonts w:cstheme="minorHAnsi"/>
          <w:noProof w:val="0"/>
          <w:color w:val="000000"/>
          <w:sz w:val="24"/>
          <w:szCs w:val="24"/>
          <w:lang w:val="en-GB"/>
        </w:rPr>
        <w:t xml:space="preserve"> under consideration will be based on the following expression for all TSOs of </w:t>
      </w:r>
      <w:r w:rsidR="00F3441F">
        <w:rPr>
          <w:rFonts w:cstheme="minorHAnsi"/>
          <w:noProof w:val="0"/>
          <w:color w:val="000000"/>
          <w:sz w:val="24"/>
          <w:szCs w:val="24"/>
          <w:lang w:val="en-GB"/>
        </w:rPr>
        <w:t>LFC AK</w:t>
      </w:r>
      <w:r w:rsidR="00505787" w:rsidRPr="003D67DE">
        <w:rPr>
          <w:rFonts w:cstheme="minorHAnsi"/>
          <w:noProof w:val="0"/>
          <w:color w:val="000000"/>
          <w:sz w:val="24"/>
          <w:szCs w:val="24"/>
          <w:lang w:val="en-GB"/>
        </w:rPr>
        <w:t xml:space="preserve"> Block: </w:t>
      </w:r>
    </w:p>
    <w:p w:rsidR="009C78C8" w:rsidRPr="003D67DE" w:rsidRDefault="009C78C8" w:rsidP="00DE7D64">
      <w:pPr>
        <w:autoSpaceDE w:val="0"/>
        <w:autoSpaceDN w:val="0"/>
        <w:adjustRightInd w:val="0"/>
        <w:spacing w:after="0" w:line="240" w:lineRule="auto"/>
        <w:jc w:val="both"/>
        <w:rPr>
          <w:rFonts w:cstheme="minorHAnsi"/>
          <w:noProof w:val="0"/>
          <w:color w:val="000000"/>
          <w:sz w:val="24"/>
          <w:szCs w:val="24"/>
          <w:lang w:val="en-GB"/>
        </w:rPr>
      </w:pPr>
    </w:p>
    <w:p w:rsidR="0051144E" w:rsidRPr="003D67DE" w:rsidRDefault="00113176" w:rsidP="00DE7D64">
      <w:pPr>
        <w:autoSpaceDE w:val="0"/>
        <w:autoSpaceDN w:val="0"/>
        <w:adjustRightInd w:val="0"/>
        <w:spacing w:after="0" w:line="240" w:lineRule="auto"/>
        <w:jc w:val="both"/>
        <w:rPr>
          <w:rFonts w:cstheme="minorHAnsi"/>
          <w:noProof w:val="0"/>
          <w:sz w:val="24"/>
          <w:szCs w:val="24"/>
          <w:lang w:val="en-GB"/>
        </w:rPr>
      </w:pPr>
      <m:oMathPara>
        <m:oMath>
          <m:sSub>
            <m:sSubPr>
              <m:ctrlPr>
                <w:rPr>
                  <w:rFonts w:ascii="Cambria Math" w:hAnsi="Cambria Math" w:cstheme="minorHAnsi"/>
                  <w:i/>
                  <w:noProof w:val="0"/>
                  <w:sz w:val="24"/>
                  <w:szCs w:val="24"/>
                  <w:lang w:val="en-GB"/>
                </w:rPr>
              </m:ctrlPr>
            </m:sSubPr>
            <m:e>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P</m:t>
                  </m:r>
                </m:e>
                <m:sub>
                  <m:r>
                    <w:rPr>
                      <w:rFonts w:ascii="Cambria Math" w:hAnsi="Cambria Math" w:cstheme="minorHAnsi"/>
                      <w:noProof w:val="0"/>
                      <w:sz w:val="24"/>
                      <w:szCs w:val="24"/>
                      <w:lang w:val="en-GB"/>
                    </w:rPr>
                    <m:t>i,t+</m:t>
                  </m:r>
                </m:sub>
              </m:sSub>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+dimensioning</m:t>
              </m:r>
            </m:sub>
          </m:sSub>
          <m:r>
            <w:rPr>
              <w:rFonts w:ascii="Cambria Math" w:hAnsi="Cambria Math" w:cstheme="minorHAnsi"/>
              <w:noProof w:val="0"/>
              <w:sz w:val="24"/>
              <w:szCs w:val="24"/>
              <w:lang w:val="en-GB"/>
            </w:rPr>
            <m:t>*</m:t>
          </m:r>
          <m:d>
            <m:dPr>
              <m:begChr m:val="["/>
              <m:endChr m:val="]"/>
              <m:ctrlPr>
                <w:rPr>
                  <w:rFonts w:ascii="Cambria Math" w:hAnsi="Cambria Math" w:cstheme="minorHAnsi"/>
                  <w:i/>
                  <w:noProof w:val="0"/>
                  <w:sz w:val="24"/>
                  <w:szCs w:val="24"/>
                  <w:lang w:val="en-GB"/>
                </w:rPr>
              </m:ctrlPr>
            </m:dPr>
            <m:e>
              <m:f>
                <m:fPr>
                  <m:ctrlPr>
                    <w:rPr>
                      <w:rFonts w:ascii="Cambria Math" w:hAnsi="Cambria Math" w:cstheme="minorHAnsi"/>
                      <w:i/>
                      <w:noProof w:val="0"/>
                      <w:sz w:val="24"/>
                      <w:szCs w:val="24"/>
                      <w:lang w:val="en-GB"/>
                    </w:rPr>
                  </m:ctrlPr>
                </m:fPr>
                <m:num>
                  <m:r>
                    <w:rPr>
                      <w:rFonts w:ascii="Cambria Math" w:hAnsi="Cambria Math" w:cstheme="minorHAnsi"/>
                      <w:noProof w:val="0"/>
                      <w:sz w:val="24"/>
                      <w:szCs w:val="24"/>
                      <w:lang w:val="en-GB"/>
                    </w:rPr>
                    <m:t>max</m:t>
                  </m:r>
                  <m:d>
                    <m:dPr>
                      <m:ctrlPr>
                        <w:rPr>
                          <w:rFonts w:ascii="Cambria Math" w:hAnsi="Cambria Math" w:cstheme="minorHAnsi"/>
                          <w:i/>
                          <w:noProof w:val="0"/>
                          <w:sz w:val="24"/>
                          <w:szCs w:val="24"/>
                          <w:lang w:val="en-GB"/>
                        </w:rPr>
                      </m:ctrlPr>
                    </m:dPr>
                    <m:e>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m:t>
                          </m:r>
                          <m:r>
                            <m:rPr>
                              <m:sty m:val="p"/>
                            </m:rPr>
                            <w:rPr>
                              <w:rFonts w:ascii="Cambria Math" w:hAnsi="Cambria Math" w:cstheme="minorHAnsi"/>
                              <w:noProof w:val="0"/>
                              <w:sz w:val="24"/>
                              <w:szCs w:val="24"/>
                              <w:lang w:val="en-GB"/>
                            </w:rPr>
                            <m:t>det⁡</m:t>
                          </m:r>
                          <m:r>
                            <w:rPr>
                              <w:rFonts w:ascii="Cambria Math" w:hAnsi="Cambria Math" w:cstheme="minorHAnsi"/>
                              <w:noProof w:val="0"/>
                              <w:sz w:val="24"/>
                              <w:szCs w:val="24"/>
                              <w:lang w:val="en-GB"/>
                            </w:rPr>
                            <m:t>_need</m:t>
                          </m:r>
                        </m:sub>
                      </m:sSub>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m:t>
                          </m:r>
                          <m:r>
                            <m:rPr>
                              <m:sty m:val="p"/>
                            </m:rPr>
                            <w:rPr>
                              <w:rFonts w:ascii="Cambria Math" w:hAnsi="Cambria Math" w:cstheme="minorHAnsi"/>
                              <w:noProof w:val="0"/>
                              <w:sz w:val="24"/>
                              <w:szCs w:val="24"/>
                              <w:lang w:val="en-GB"/>
                            </w:rPr>
                            <m:t>prob⁡</m:t>
                          </m:r>
                          <m:r>
                            <w:rPr>
                              <w:rFonts w:ascii="Cambria Math" w:hAnsi="Cambria Math" w:cstheme="minorHAnsi"/>
                              <w:noProof w:val="0"/>
                              <w:sz w:val="24"/>
                              <w:szCs w:val="24"/>
                              <w:lang w:val="en-GB"/>
                            </w:rPr>
                            <m:t>_need</m:t>
                          </m:r>
                        </m:sub>
                      </m:sSub>
                    </m:e>
                  </m:d>
                </m:num>
                <m:den>
                  <m:nary>
                    <m:naryPr>
                      <m:chr m:val="∑"/>
                      <m:limLoc m:val="undOvr"/>
                      <m:subHide m:val="on"/>
                      <m:supHide m:val="on"/>
                      <m:ctrlPr>
                        <w:rPr>
                          <w:rFonts w:ascii="Cambria Math" w:hAnsi="Cambria Math" w:cstheme="minorHAnsi"/>
                          <w:i/>
                          <w:noProof w:val="0"/>
                          <w:sz w:val="24"/>
                          <w:szCs w:val="24"/>
                          <w:lang w:val="en-GB"/>
                        </w:rPr>
                      </m:ctrlPr>
                    </m:naryPr>
                    <m:sub/>
                    <m:sup/>
                    <m:e>
                      <m:r>
                        <w:rPr>
                          <w:rFonts w:ascii="Cambria Math" w:hAnsi="Cambria Math" w:cstheme="minorHAnsi"/>
                          <w:noProof w:val="0"/>
                          <w:sz w:val="24"/>
                          <w:szCs w:val="24"/>
                          <w:lang w:val="en-GB"/>
                        </w:rPr>
                        <m:t>max</m:t>
                      </m:r>
                      <m:d>
                        <m:dPr>
                          <m:ctrlPr>
                            <w:rPr>
                              <w:rFonts w:ascii="Cambria Math" w:hAnsi="Cambria Math" w:cstheme="minorHAnsi"/>
                              <w:i/>
                              <w:noProof w:val="0"/>
                              <w:sz w:val="24"/>
                              <w:szCs w:val="24"/>
                              <w:lang w:val="en-GB"/>
                            </w:rPr>
                          </m:ctrlPr>
                        </m:dPr>
                        <m:e>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m:t>
                              </m:r>
                              <m:r>
                                <m:rPr>
                                  <m:sty m:val="p"/>
                                </m:rPr>
                                <w:rPr>
                                  <w:rFonts w:ascii="Cambria Math" w:hAnsi="Cambria Math" w:cstheme="minorHAnsi"/>
                                  <w:noProof w:val="0"/>
                                  <w:sz w:val="24"/>
                                  <w:szCs w:val="24"/>
                                  <w:lang w:val="en-GB"/>
                                </w:rPr>
                                <m:t>det⁡</m:t>
                              </m:r>
                              <m:r>
                                <w:rPr>
                                  <w:rFonts w:ascii="Cambria Math" w:hAnsi="Cambria Math" w:cstheme="minorHAnsi"/>
                                  <w:noProof w:val="0"/>
                                  <w:sz w:val="24"/>
                                  <w:szCs w:val="24"/>
                                  <w:lang w:val="en-GB"/>
                                </w:rPr>
                                <m:t>_need</m:t>
                              </m:r>
                            </m:sub>
                          </m:sSub>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m:t>
                              </m:r>
                              <m:r>
                                <m:rPr>
                                  <m:sty m:val="p"/>
                                </m:rPr>
                                <w:rPr>
                                  <w:rFonts w:ascii="Cambria Math" w:hAnsi="Cambria Math" w:cstheme="minorHAnsi"/>
                                  <w:noProof w:val="0"/>
                                  <w:sz w:val="24"/>
                                  <w:szCs w:val="24"/>
                                  <w:lang w:val="en-GB"/>
                                </w:rPr>
                                <m:t>prob⁡</m:t>
                              </m:r>
                              <m:r>
                                <w:rPr>
                                  <w:rFonts w:ascii="Cambria Math" w:hAnsi="Cambria Math" w:cstheme="minorHAnsi"/>
                                  <w:noProof w:val="0"/>
                                  <w:sz w:val="24"/>
                                  <w:szCs w:val="24"/>
                                  <w:lang w:val="en-GB"/>
                                </w:rPr>
                                <m:t>_need</m:t>
                              </m:r>
                            </m:sub>
                          </m:sSub>
                        </m:e>
                      </m:d>
                    </m:e>
                  </m:nary>
                </m:den>
              </m:f>
            </m:e>
          </m:d>
        </m:oMath>
      </m:oMathPara>
    </w:p>
    <w:p w:rsidR="0051144E" w:rsidRPr="003D67DE" w:rsidRDefault="0051144E" w:rsidP="00DE7D64">
      <w:pPr>
        <w:autoSpaceDE w:val="0"/>
        <w:autoSpaceDN w:val="0"/>
        <w:adjustRightInd w:val="0"/>
        <w:spacing w:after="0" w:line="240" w:lineRule="auto"/>
        <w:jc w:val="both"/>
        <w:rPr>
          <w:rFonts w:cstheme="minorHAnsi"/>
          <w:noProof w:val="0"/>
          <w:sz w:val="24"/>
          <w:szCs w:val="24"/>
          <w:lang w:val="en-GB"/>
        </w:rPr>
      </w:pPr>
    </w:p>
    <w:p w:rsidR="009C78C8" w:rsidRPr="003D67DE" w:rsidRDefault="005B5444" w:rsidP="00DE7D64">
      <w:pPr>
        <w:autoSpaceDE w:val="0"/>
        <w:autoSpaceDN w:val="0"/>
        <w:adjustRightInd w:val="0"/>
        <w:spacing w:after="0" w:line="240" w:lineRule="auto"/>
        <w:jc w:val="both"/>
        <w:rPr>
          <w:rFonts w:cstheme="minorHAnsi"/>
          <w:noProof w:val="0"/>
          <w:sz w:val="24"/>
          <w:szCs w:val="24"/>
          <w:lang w:val="en-GB"/>
        </w:rPr>
      </w:pPr>
      <w:r w:rsidRPr="003D67DE">
        <w:rPr>
          <w:rFonts w:cstheme="minorHAnsi"/>
          <w:noProof w:val="0"/>
          <w:sz w:val="24"/>
          <w:szCs w:val="24"/>
          <w:lang w:val="en-GB"/>
        </w:rPr>
        <w:t>Where:</w:t>
      </w:r>
    </w:p>
    <w:p w:rsidR="009C78C8" w:rsidRPr="003D67DE" w:rsidRDefault="00113176" w:rsidP="00DE7D64">
      <w:pPr>
        <w:pStyle w:val="ListParagraph"/>
        <w:numPr>
          <w:ilvl w:val="0"/>
          <w:numId w:val="1"/>
        </w:numPr>
        <w:autoSpaceDE w:val="0"/>
        <w:autoSpaceDN w:val="0"/>
        <w:adjustRightInd w:val="0"/>
        <w:spacing w:after="23" w:line="240" w:lineRule="auto"/>
        <w:jc w:val="both"/>
        <w:rPr>
          <w:rFonts w:cstheme="minorHAnsi"/>
          <w:noProof w:val="0"/>
          <w:sz w:val="24"/>
          <w:szCs w:val="24"/>
          <w:lang w:val="en-GB"/>
        </w:rPr>
      </w:pPr>
      <m:oMath>
        <m:sSub>
          <m:sSubPr>
            <m:ctrlPr>
              <w:rPr>
                <w:rFonts w:ascii="Cambria Math" w:hAnsi="Cambria Math" w:cs="Cambria Math"/>
                <w:i/>
                <w:noProof w:val="0"/>
                <w:sz w:val="24"/>
                <w:szCs w:val="24"/>
                <w:lang w:val="en-GB"/>
              </w:rPr>
            </m:ctrlPr>
          </m:sSubPr>
          <m:e>
            <m:r>
              <w:rPr>
                <w:rFonts w:ascii="Cambria Math" w:hAnsi="Cambria Math" w:cs="Cambria Math"/>
                <w:noProof w:val="0"/>
                <w:sz w:val="24"/>
                <w:szCs w:val="24"/>
                <w:lang w:val="en-GB"/>
              </w:rPr>
              <m:t>P</m:t>
            </m:r>
          </m:e>
          <m:sub>
            <m:r>
              <w:rPr>
                <w:rFonts w:ascii="Cambria Math" w:hAnsi="Cambria Math" w:cs="Cambria Math"/>
                <w:noProof w:val="0"/>
                <w:sz w:val="24"/>
                <w:szCs w:val="24"/>
                <w:lang w:val="en-GB"/>
              </w:rPr>
              <m:t>i,t</m:t>
            </m:r>
          </m:sub>
        </m:sSub>
      </m:oMath>
      <w:r w:rsidR="009C78C8" w:rsidRPr="003D67DE">
        <w:rPr>
          <w:rFonts w:cstheme="minorHAnsi"/>
          <w:noProof w:val="0"/>
          <w:sz w:val="24"/>
          <w:szCs w:val="24"/>
          <w:lang w:val="en-GB"/>
        </w:rPr>
        <w:t xml:space="preserve">, + is the initial FRR obligation for TSO </w:t>
      </w:r>
      <w:proofErr w:type="spellStart"/>
      <w:r w:rsidR="009C78C8" w:rsidRPr="00F3441F">
        <w:rPr>
          <w:rFonts w:cstheme="minorHAnsi"/>
          <w:i/>
          <w:noProof w:val="0"/>
          <w:sz w:val="24"/>
          <w:szCs w:val="24"/>
          <w:lang w:val="en-GB"/>
        </w:rPr>
        <w:t>i</w:t>
      </w:r>
      <w:proofErr w:type="spellEnd"/>
      <w:r w:rsidR="009C78C8" w:rsidRPr="003D67DE">
        <w:rPr>
          <w:rFonts w:cstheme="minorHAnsi"/>
          <w:noProof w:val="0"/>
          <w:sz w:val="24"/>
          <w:szCs w:val="24"/>
          <w:lang w:val="en-GB"/>
        </w:rPr>
        <w:t xml:space="preserve"> for the calendar year </w:t>
      </w:r>
      <w:r w:rsidR="009C78C8" w:rsidRPr="003D67DE">
        <w:rPr>
          <w:rFonts w:ascii="Cambria Math" w:hAnsi="Cambria Math" w:cs="Cambria Math"/>
          <w:noProof w:val="0"/>
          <w:sz w:val="24"/>
          <w:szCs w:val="24"/>
          <w:lang w:val="en-GB"/>
        </w:rPr>
        <w:t>𝑡</w:t>
      </w:r>
      <w:r w:rsidR="009C78C8" w:rsidRPr="003D67DE">
        <w:rPr>
          <w:rFonts w:cstheme="minorHAnsi"/>
          <w:noProof w:val="0"/>
          <w:sz w:val="24"/>
          <w:szCs w:val="24"/>
          <w:lang w:val="en-GB"/>
        </w:rPr>
        <w:t xml:space="preserve">; </w:t>
      </w:r>
    </w:p>
    <w:p w:rsidR="0051144E" w:rsidRPr="003D67DE" w:rsidRDefault="00113176" w:rsidP="00DE7D64">
      <w:pPr>
        <w:pStyle w:val="ListParagraph"/>
        <w:numPr>
          <w:ilvl w:val="0"/>
          <w:numId w:val="1"/>
        </w:numPr>
        <w:autoSpaceDE w:val="0"/>
        <w:autoSpaceDN w:val="0"/>
        <w:adjustRightInd w:val="0"/>
        <w:spacing w:after="23" w:line="240" w:lineRule="auto"/>
        <w:jc w:val="both"/>
        <w:rPr>
          <w:rFonts w:cstheme="minorHAnsi"/>
          <w:noProof w:val="0"/>
          <w:sz w:val="24"/>
          <w:szCs w:val="24"/>
          <w:lang w:val="en-GB"/>
        </w:rPr>
      </w:pPr>
      <m:oMath>
        <m:sSub>
          <m:sSubPr>
            <m:ctrlPr>
              <w:rPr>
                <w:rFonts w:ascii="Cambria Math" w:eastAsiaTheme="minorEastAsia" w:hAnsi="Cambria Math" w:cstheme="minorHAnsi"/>
                <w:i/>
                <w:noProof w:val="0"/>
                <w:sz w:val="24"/>
                <w:szCs w:val="24"/>
                <w:lang w:val="en-GB"/>
              </w:rPr>
            </m:ctrlPr>
          </m:sSubPr>
          <m:e>
            <m:r>
              <m:rPr>
                <m:sty m:val="p"/>
              </m:rPr>
              <w:rPr>
                <w:rFonts w:ascii="Cambria Math" w:hAnsi="Cambria Math" w:cs="Cambria Math"/>
                <w:noProof w:val="0"/>
                <w:sz w:val="24"/>
                <w:szCs w:val="24"/>
                <w:lang w:val="en-GB"/>
              </w:rPr>
              <m:t>FRR</m:t>
            </m:r>
          </m:e>
          <m:sub>
            <m:r>
              <m:rPr>
                <m:sty m:val="p"/>
              </m:rPr>
              <w:rPr>
                <w:rFonts w:ascii="Cambria Math" w:hAnsi="Cambria Math" w:cstheme="minorHAnsi"/>
                <w:noProof w:val="0"/>
                <w:sz w:val="24"/>
                <w:szCs w:val="24"/>
                <w:lang w:val="en-GB"/>
              </w:rPr>
              <m:t>+</m:t>
            </m:r>
            <m:r>
              <m:rPr>
                <m:sty m:val="p"/>
              </m:rPr>
              <w:rPr>
                <w:rFonts w:ascii="Cambria Math" w:hAnsi="Cambria Math" w:cs="Cambria Math"/>
                <w:noProof w:val="0"/>
                <w:sz w:val="24"/>
                <w:szCs w:val="24"/>
                <w:lang w:val="en-GB"/>
              </w:rPr>
              <m:t>dimensioning</m:t>
            </m:r>
          </m:sub>
        </m:sSub>
        <m:r>
          <w:rPr>
            <w:rFonts w:ascii="Cambria Math" w:eastAsiaTheme="minorEastAsia" w:hAnsi="Cambria Math" w:cstheme="minorHAnsi"/>
            <w:noProof w:val="0"/>
            <w:sz w:val="24"/>
            <w:szCs w:val="24"/>
            <w:lang w:val="en-GB"/>
          </w:rPr>
          <m:t xml:space="preserve"> </m:t>
        </m:r>
      </m:oMath>
      <w:r w:rsidR="005B5444" w:rsidRPr="003D67DE">
        <w:rPr>
          <w:rFonts w:cstheme="minorHAnsi"/>
          <w:noProof w:val="0"/>
          <w:sz w:val="24"/>
          <w:szCs w:val="24"/>
          <w:lang w:val="en-GB"/>
        </w:rPr>
        <w:t>is the FRR dimensioning value calculated for the LFC AK</w:t>
      </w:r>
      <w:r w:rsidR="00F3441F" w:rsidRPr="00F3441F">
        <w:rPr>
          <w:rFonts w:cstheme="minorHAnsi"/>
          <w:noProof w:val="0"/>
          <w:sz w:val="24"/>
          <w:szCs w:val="24"/>
          <w:lang w:val="en-GB"/>
        </w:rPr>
        <w:t xml:space="preserve"> </w:t>
      </w:r>
      <w:r w:rsidR="00F3441F" w:rsidRPr="003D67DE">
        <w:rPr>
          <w:rFonts w:cstheme="minorHAnsi"/>
          <w:noProof w:val="0"/>
          <w:sz w:val="24"/>
          <w:szCs w:val="24"/>
          <w:lang w:val="en-GB"/>
        </w:rPr>
        <w:t>Block</w:t>
      </w:r>
      <w:r w:rsidR="005B5444" w:rsidRPr="003D67DE">
        <w:rPr>
          <w:rFonts w:cstheme="minorHAnsi"/>
          <w:noProof w:val="0"/>
          <w:sz w:val="24"/>
          <w:szCs w:val="24"/>
          <w:lang w:val="en-GB"/>
        </w:rPr>
        <w:t xml:space="preserve">; </w:t>
      </w:r>
    </w:p>
    <w:p w:rsidR="009C78C8" w:rsidRPr="003D67DE" w:rsidRDefault="00113176" w:rsidP="00DE7D64">
      <w:pPr>
        <w:pStyle w:val="ListParagraph"/>
        <w:numPr>
          <w:ilvl w:val="0"/>
          <w:numId w:val="1"/>
        </w:numPr>
        <w:autoSpaceDE w:val="0"/>
        <w:autoSpaceDN w:val="0"/>
        <w:adjustRightInd w:val="0"/>
        <w:spacing w:after="23" w:line="240" w:lineRule="auto"/>
        <w:jc w:val="both"/>
        <w:rPr>
          <w:rFonts w:cstheme="minorHAnsi"/>
          <w:noProof w:val="0"/>
          <w:sz w:val="24"/>
          <w:szCs w:val="24"/>
          <w:lang w:val="en-GB"/>
        </w:rPr>
      </w:pPr>
      <m:oMath>
        <m:sSub>
          <m:sSubPr>
            <m:ctrlPr>
              <w:rPr>
                <w:rFonts w:ascii="Cambria Math" w:hAnsi="Cambria Math" w:cstheme="minorHAnsi"/>
                <w:i/>
                <w:noProof w:val="0"/>
                <w:sz w:val="24"/>
                <w:szCs w:val="24"/>
                <w:lang w:val="en-GB"/>
              </w:rPr>
            </m:ctrlPr>
          </m:sSubPr>
          <m:e>
            <m:r>
              <m:rPr>
                <m:sty m:val="p"/>
              </m:rPr>
              <w:rPr>
                <w:rFonts w:ascii="Cambria Math" w:hAnsi="Cambria Math" w:cstheme="minorHAnsi"/>
                <w:noProof w:val="0"/>
                <w:sz w:val="24"/>
                <w:szCs w:val="24"/>
                <w:lang w:val="en-GB"/>
              </w:rPr>
              <m:t>+</m:t>
            </m:r>
            <m:r>
              <m:rPr>
                <m:sty m:val="p"/>
              </m:rPr>
              <w:rPr>
                <w:rFonts w:ascii="Cambria Math" w:hAnsi="Cambria Math" w:cs="Cambria Math"/>
                <w:noProof w:val="0"/>
                <w:sz w:val="24"/>
                <w:szCs w:val="24"/>
                <w:lang w:val="en-GB"/>
              </w:rPr>
              <m:t>FRR</m:t>
            </m:r>
          </m:e>
          <m:sub>
            <m:r>
              <m:rPr>
                <m:sty m:val="p"/>
              </m:rPr>
              <w:rPr>
                <w:rFonts w:ascii="Cambria Math" w:hAnsi="Cambria Math" w:cs="Cambria Math"/>
                <w:noProof w:val="0"/>
                <w:sz w:val="24"/>
                <w:szCs w:val="24"/>
                <w:lang w:val="en-GB"/>
              </w:rPr>
              <m:t>i,</m:t>
            </m:r>
            <m:r>
              <m:rPr>
                <m:sty m:val="p"/>
              </m:rPr>
              <w:rPr>
                <w:rFonts w:ascii="Cambria Math" w:hAnsi="Cambria Math" w:cstheme="minorHAnsi"/>
                <w:noProof w:val="0"/>
                <w:sz w:val="24"/>
                <w:szCs w:val="24"/>
                <w:lang w:val="en-GB"/>
              </w:rPr>
              <m:t>det _</m:t>
            </m:r>
            <m:r>
              <m:rPr>
                <m:sty m:val="p"/>
              </m:rPr>
              <w:rPr>
                <w:rFonts w:ascii="Cambria Math" w:hAnsi="Cambria Math" w:cs="Cambria Math"/>
                <w:noProof w:val="0"/>
                <w:sz w:val="24"/>
                <w:szCs w:val="24"/>
                <w:lang w:val="en-GB"/>
              </w:rPr>
              <m:t>need</m:t>
            </m:r>
          </m:sub>
        </m:sSub>
        <m:r>
          <w:rPr>
            <w:rFonts w:ascii="Cambria Math" w:hAnsi="Cambria Math" w:cstheme="minorHAnsi"/>
            <w:noProof w:val="0"/>
            <w:sz w:val="24"/>
            <w:szCs w:val="24"/>
            <w:lang w:val="en-GB"/>
          </w:rPr>
          <m:t xml:space="preserve"> </m:t>
        </m:r>
      </m:oMath>
      <w:r w:rsidR="005B5444" w:rsidRPr="003D67DE">
        <w:rPr>
          <w:rFonts w:cstheme="minorHAnsi"/>
          <w:noProof w:val="0"/>
          <w:sz w:val="24"/>
          <w:szCs w:val="24"/>
          <w:lang w:val="en-GB"/>
        </w:rPr>
        <w:t xml:space="preserve">is the reserve capacity in the regulatory area </w:t>
      </w:r>
      <w:proofErr w:type="spellStart"/>
      <w:r w:rsidR="00F3441F">
        <w:rPr>
          <w:rFonts w:cstheme="minorHAnsi"/>
          <w:i/>
          <w:noProof w:val="0"/>
          <w:sz w:val="24"/>
          <w:szCs w:val="24"/>
          <w:lang w:val="en-GB"/>
        </w:rPr>
        <w:t>i</w:t>
      </w:r>
      <w:proofErr w:type="spellEnd"/>
      <w:r w:rsidR="00F3441F">
        <w:rPr>
          <w:rFonts w:cstheme="minorHAnsi"/>
          <w:i/>
          <w:noProof w:val="0"/>
          <w:sz w:val="24"/>
          <w:szCs w:val="24"/>
          <w:lang w:val="en-GB"/>
        </w:rPr>
        <w:t xml:space="preserve"> </w:t>
      </w:r>
      <w:r w:rsidR="005B5444" w:rsidRPr="003D67DE">
        <w:rPr>
          <w:rFonts w:cstheme="minorHAnsi"/>
          <w:noProof w:val="0"/>
          <w:sz w:val="24"/>
          <w:szCs w:val="24"/>
          <w:lang w:val="en-GB"/>
        </w:rPr>
        <w:t>during the period referred to in the first paragraph, calculated according to the probabilistic methodology, i</w:t>
      </w:r>
      <w:r w:rsidR="00F3441F">
        <w:rPr>
          <w:rFonts w:cstheme="minorHAnsi"/>
          <w:noProof w:val="0"/>
          <w:sz w:val="24"/>
          <w:szCs w:val="24"/>
          <w:lang w:val="en-GB"/>
        </w:rPr>
        <w:t>.</w:t>
      </w:r>
      <w:r w:rsidR="005B5444" w:rsidRPr="003D67DE">
        <w:rPr>
          <w:rFonts w:cstheme="minorHAnsi"/>
          <w:noProof w:val="0"/>
          <w:sz w:val="24"/>
          <w:szCs w:val="24"/>
          <w:lang w:val="en-GB"/>
        </w:rPr>
        <w:t>e. equal to the incident taken during the positive dimensioning of the reserve for that TSO;</w:t>
      </w:r>
    </w:p>
    <w:p w:rsidR="009C78C8" w:rsidRPr="003D67DE" w:rsidRDefault="00113176" w:rsidP="00DE7D64">
      <w:pPr>
        <w:pStyle w:val="ListParagraph"/>
        <w:numPr>
          <w:ilvl w:val="0"/>
          <w:numId w:val="1"/>
        </w:numPr>
        <w:autoSpaceDE w:val="0"/>
        <w:autoSpaceDN w:val="0"/>
        <w:adjustRightInd w:val="0"/>
        <w:spacing w:after="0" w:line="240" w:lineRule="auto"/>
        <w:jc w:val="both"/>
        <w:rPr>
          <w:rFonts w:cstheme="minorHAnsi"/>
          <w:noProof w:val="0"/>
          <w:sz w:val="24"/>
          <w:szCs w:val="24"/>
          <w:lang w:val="en-GB"/>
        </w:rPr>
      </w:pPr>
      <m:oMath>
        <m:sSub>
          <m:sSubPr>
            <m:ctrlPr>
              <w:rPr>
                <w:rFonts w:ascii="Cambria Math" w:hAnsi="Cambria Math" w:cstheme="minorHAnsi"/>
                <w:i/>
                <w:noProof w:val="0"/>
                <w:sz w:val="24"/>
                <w:szCs w:val="24"/>
                <w:lang w:val="en-GB"/>
              </w:rPr>
            </m:ctrlPr>
          </m:sSubPr>
          <m:e>
            <m:r>
              <m:rPr>
                <m:sty m:val="p"/>
              </m:rPr>
              <w:rPr>
                <w:rFonts w:ascii="Cambria Math" w:hAnsi="Cambria Math" w:cstheme="minorHAnsi"/>
                <w:noProof w:val="0"/>
                <w:sz w:val="24"/>
                <w:szCs w:val="24"/>
                <w:lang w:val="en-GB"/>
              </w:rPr>
              <m:t>+</m:t>
            </m:r>
            <m:r>
              <m:rPr>
                <m:sty m:val="p"/>
              </m:rPr>
              <w:rPr>
                <w:rFonts w:ascii="Cambria Math" w:hAnsi="Cambria Math" w:cs="Cambria Math"/>
                <w:noProof w:val="0"/>
                <w:sz w:val="24"/>
                <w:szCs w:val="24"/>
                <w:lang w:val="en-GB"/>
              </w:rPr>
              <m:t>FRRi</m:t>
            </m:r>
          </m:e>
          <m:sub>
            <m:r>
              <m:rPr>
                <m:sty m:val="p"/>
              </m:rPr>
              <w:rPr>
                <w:rFonts w:ascii="Cambria Math" w:hAnsi="Cambria Math" w:cs="Cambria Math"/>
                <w:noProof w:val="0"/>
                <w:sz w:val="24"/>
                <w:szCs w:val="24"/>
                <w:lang w:val="en-GB"/>
              </w:rPr>
              <m:t>i,  prob</m:t>
            </m:r>
            <m:r>
              <m:rPr>
                <m:sty m:val="p"/>
              </m:rPr>
              <w:rPr>
                <w:rFonts w:ascii="Cambria Math" w:hAnsi="Cambria Math" w:cstheme="minorHAnsi"/>
                <w:noProof w:val="0"/>
                <w:sz w:val="24"/>
                <w:szCs w:val="24"/>
                <w:lang w:val="en-GB"/>
              </w:rPr>
              <m:t>_</m:t>
            </m:r>
            <m:r>
              <m:rPr>
                <m:sty m:val="p"/>
              </m:rPr>
              <w:rPr>
                <w:rFonts w:ascii="Cambria Math" w:hAnsi="Cambria Math" w:cs="Cambria Math"/>
                <w:noProof w:val="0"/>
                <w:sz w:val="24"/>
                <w:szCs w:val="24"/>
                <w:lang w:val="en-GB"/>
              </w:rPr>
              <m:t>need</m:t>
            </m:r>
          </m:sub>
        </m:sSub>
      </m:oMath>
      <w:r w:rsidR="00F3441F">
        <w:rPr>
          <w:rFonts w:eastAsiaTheme="minorEastAsia" w:cstheme="minorHAnsi"/>
          <w:noProof w:val="0"/>
          <w:sz w:val="24"/>
          <w:szCs w:val="24"/>
          <w:lang w:val="en-GB"/>
        </w:rPr>
        <w:t xml:space="preserve"> </w:t>
      </w:r>
      <w:r w:rsidR="00AD3E09" w:rsidRPr="003D67DE">
        <w:rPr>
          <w:rFonts w:cstheme="minorHAnsi"/>
          <w:noProof w:val="0"/>
          <w:sz w:val="24"/>
          <w:szCs w:val="24"/>
          <w:lang w:val="en-GB"/>
        </w:rPr>
        <w:t>is the reserve capacity in the regulatory area during the period referred to in the first paragraph, calculated according to the probabilistic methodology, i</w:t>
      </w:r>
      <w:r w:rsidR="00F3441F">
        <w:rPr>
          <w:rFonts w:cstheme="minorHAnsi"/>
          <w:noProof w:val="0"/>
          <w:sz w:val="24"/>
          <w:szCs w:val="24"/>
          <w:lang w:val="en-GB"/>
        </w:rPr>
        <w:t>.</w:t>
      </w:r>
      <w:r w:rsidR="00AD3E09" w:rsidRPr="003D67DE">
        <w:rPr>
          <w:rFonts w:cstheme="minorHAnsi"/>
          <w:noProof w:val="0"/>
          <w:sz w:val="24"/>
          <w:szCs w:val="24"/>
          <w:lang w:val="en-GB"/>
        </w:rPr>
        <w:t xml:space="preserve">e. the positive reserve capacity of FRR is sufficient to cover positive TSO imbalances at least 99% of the time </w:t>
      </w:r>
      <w:r w:rsidR="00AD3E09" w:rsidRPr="00F3441F">
        <w:rPr>
          <w:rFonts w:cstheme="minorHAnsi"/>
          <w:i/>
          <w:noProof w:val="0"/>
          <w:sz w:val="24"/>
          <w:szCs w:val="24"/>
          <w:lang w:val="en-GB"/>
        </w:rPr>
        <w:t>t</w:t>
      </w:r>
      <w:r w:rsidR="00AD3E09" w:rsidRPr="003D67DE">
        <w:rPr>
          <w:rFonts w:cstheme="minorHAnsi"/>
          <w:noProof w:val="0"/>
          <w:sz w:val="24"/>
          <w:szCs w:val="24"/>
          <w:lang w:val="en-GB"/>
        </w:rPr>
        <w:t>;</w:t>
      </w:r>
    </w:p>
    <w:p w:rsidR="009C78C8" w:rsidRPr="003D67DE" w:rsidRDefault="009C78C8" w:rsidP="00DE7D64">
      <w:pPr>
        <w:autoSpaceDE w:val="0"/>
        <w:autoSpaceDN w:val="0"/>
        <w:adjustRightInd w:val="0"/>
        <w:spacing w:after="0" w:line="240" w:lineRule="auto"/>
        <w:jc w:val="both"/>
        <w:rPr>
          <w:rFonts w:cstheme="minorHAnsi"/>
          <w:noProof w:val="0"/>
          <w:sz w:val="24"/>
          <w:szCs w:val="24"/>
          <w:lang w:val="en-GB"/>
        </w:rPr>
      </w:pPr>
    </w:p>
    <w:p w:rsidR="009C78C8" w:rsidRPr="003D67DE" w:rsidRDefault="00AD3E09" w:rsidP="00DE7D64">
      <w:pPr>
        <w:pStyle w:val="ListParagraph"/>
        <w:numPr>
          <w:ilvl w:val="0"/>
          <w:numId w:val="3"/>
        </w:numPr>
        <w:autoSpaceDE w:val="0"/>
        <w:autoSpaceDN w:val="0"/>
        <w:adjustRightInd w:val="0"/>
        <w:spacing w:after="0" w:line="240" w:lineRule="auto"/>
        <w:jc w:val="both"/>
        <w:rPr>
          <w:rFonts w:cstheme="minorHAnsi"/>
          <w:noProof w:val="0"/>
          <w:sz w:val="24"/>
          <w:szCs w:val="24"/>
          <w:lang w:val="en-GB"/>
        </w:rPr>
      </w:pPr>
      <w:r w:rsidRPr="003D67DE">
        <w:rPr>
          <w:rFonts w:cstheme="minorHAnsi"/>
          <w:noProof w:val="0"/>
          <w:sz w:val="24"/>
          <w:szCs w:val="24"/>
          <w:lang w:val="en-GB"/>
        </w:rPr>
        <w:t xml:space="preserve">Proportion of FRR reserve capacity in the negative direction for each TSO </w:t>
      </w:r>
      <w:r w:rsidR="009C78C8" w:rsidRPr="003D67DE">
        <w:rPr>
          <w:rFonts w:ascii="Cambria Math" w:hAnsi="Cambria Math" w:cs="Cambria Math"/>
          <w:noProof w:val="0"/>
          <w:sz w:val="24"/>
          <w:szCs w:val="24"/>
          <w:lang w:val="en-GB"/>
        </w:rPr>
        <w:t>𝑃𝑖</w:t>
      </w:r>
      <w:r w:rsidR="009C78C8" w:rsidRPr="003D67DE">
        <w:rPr>
          <w:rFonts w:cstheme="minorHAnsi"/>
          <w:noProof w:val="0"/>
          <w:sz w:val="24"/>
          <w:szCs w:val="24"/>
          <w:lang w:val="en-GB"/>
        </w:rPr>
        <w:t xml:space="preserve"> for the FRR obligation for the calendar year </w:t>
      </w:r>
      <w:r w:rsidR="00F10FD0" w:rsidRPr="003D67DE">
        <w:rPr>
          <w:rFonts w:ascii="Cambria Math" w:hAnsi="Cambria Math" w:cs="Cambria Math"/>
          <w:noProof w:val="0"/>
          <w:sz w:val="24"/>
          <w:szCs w:val="24"/>
          <w:lang w:val="en-GB"/>
        </w:rPr>
        <w:t>𝑡</w:t>
      </w:r>
      <w:r w:rsidR="00F10FD0" w:rsidRPr="003D67DE">
        <w:rPr>
          <w:rFonts w:cstheme="minorHAnsi"/>
          <w:noProof w:val="0"/>
          <w:sz w:val="24"/>
          <w:szCs w:val="24"/>
          <w:lang w:val="en-GB"/>
        </w:rPr>
        <w:t xml:space="preserve"> under consideration will be based on the following expression for all TSOs of LFC </w:t>
      </w:r>
      <w:r w:rsidR="00F3441F">
        <w:rPr>
          <w:rFonts w:cstheme="minorHAnsi"/>
          <w:noProof w:val="0"/>
          <w:sz w:val="24"/>
          <w:szCs w:val="24"/>
          <w:lang w:val="en-GB"/>
        </w:rPr>
        <w:t>AK Block</w:t>
      </w:r>
      <w:r w:rsidR="00F10FD0" w:rsidRPr="003D67DE">
        <w:rPr>
          <w:rFonts w:cstheme="minorHAnsi"/>
          <w:noProof w:val="0"/>
          <w:sz w:val="24"/>
          <w:szCs w:val="24"/>
          <w:lang w:val="en-GB"/>
        </w:rPr>
        <w:t xml:space="preserve">: </w:t>
      </w:r>
    </w:p>
    <w:p w:rsidR="009C78C8" w:rsidRPr="003D67DE" w:rsidRDefault="009C78C8" w:rsidP="00DE7D64">
      <w:pPr>
        <w:autoSpaceDE w:val="0"/>
        <w:autoSpaceDN w:val="0"/>
        <w:adjustRightInd w:val="0"/>
        <w:spacing w:after="0" w:line="240" w:lineRule="auto"/>
        <w:jc w:val="both"/>
        <w:rPr>
          <w:rFonts w:cstheme="minorHAnsi"/>
          <w:noProof w:val="0"/>
          <w:sz w:val="24"/>
          <w:szCs w:val="24"/>
          <w:lang w:val="en-GB"/>
        </w:rPr>
      </w:pPr>
    </w:p>
    <w:p w:rsidR="0051144E" w:rsidRPr="003D67DE" w:rsidRDefault="00113176" w:rsidP="00DE7D64">
      <w:pPr>
        <w:autoSpaceDE w:val="0"/>
        <w:autoSpaceDN w:val="0"/>
        <w:adjustRightInd w:val="0"/>
        <w:spacing w:after="0" w:line="240" w:lineRule="auto"/>
        <w:jc w:val="both"/>
        <w:rPr>
          <w:rFonts w:eastAsiaTheme="minorEastAsia" w:cstheme="minorHAnsi"/>
          <w:noProof w:val="0"/>
          <w:sz w:val="24"/>
          <w:szCs w:val="24"/>
          <w:lang w:val="en-GB"/>
        </w:rPr>
      </w:pPr>
      <m:oMathPara>
        <m:oMath>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P</m:t>
              </m:r>
            </m:e>
            <m:sub>
              <m:r>
                <w:rPr>
                  <w:rFonts w:ascii="Cambria Math" w:hAnsi="Cambria Math" w:cstheme="minorHAnsi"/>
                  <w:noProof w:val="0"/>
                  <w:sz w:val="24"/>
                  <w:szCs w:val="24"/>
                  <w:lang w:val="en-GB"/>
                </w:rPr>
                <m:t>i,t-</m:t>
              </m:r>
            </m:sub>
          </m:sSub>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-dimensioning</m:t>
              </m:r>
            </m:sub>
          </m:sSub>
          <m:r>
            <w:rPr>
              <w:rFonts w:ascii="Cambria Math" w:hAnsi="Cambria Math" w:cstheme="minorHAnsi"/>
              <w:noProof w:val="0"/>
              <w:sz w:val="24"/>
              <w:szCs w:val="24"/>
              <w:lang w:val="en-GB"/>
            </w:rPr>
            <m:t>*</m:t>
          </m:r>
          <m:d>
            <m:dPr>
              <m:begChr m:val="["/>
              <m:endChr m:val="]"/>
              <m:ctrlPr>
                <w:rPr>
                  <w:rFonts w:ascii="Cambria Math" w:hAnsi="Cambria Math" w:cstheme="minorHAnsi"/>
                  <w:i/>
                  <w:noProof w:val="0"/>
                  <w:sz w:val="24"/>
                  <w:szCs w:val="24"/>
                  <w:lang w:val="en-GB"/>
                </w:rPr>
              </m:ctrlPr>
            </m:dPr>
            <m:e>
              <m:f>
                <m:fPr>
                  <m:ctrlPr>
                    <w:rPr>
                      <w:rFonts w:ascii="Cambria Math" w:hAnsi="Cambria Math" w:cstheme="minorHAnsi"/>
                      <w:i/>
                      <w:noProof w:val="0"/>
                      <w:sz w:val="24"/>
                      <w:szCs w:val="24"/>
                      <w:lang w:val="en-GB"/>
                    </w:rPr>
                  </m:ctrlPr>
                </m:fPr>
                <m:num>
                  <m:r>
                    <w:rPr>
                      <w:rFonts w:ascii="Cambria Math" w:hAnsi="Cambria Math" w:cstheme="minorHAnsi"/>
                      <w:noProof w:val="0"/>
                      <w:sz w:val="24"/>
                      <w:szCs w:val="24"/>
                      <w:lang w:val="en-GB"/>
                    </w:rPr>
                    <m:t>max</m:t>
                  </m:r>
                  <m:d>
                    <m:dPr>
                      <m:ctrlPr>
                        <w:rPr>
                          <w:rFonts w:ascii="Cambria Math" w:hAnsi="Cambria Math" w:cstheme="minorHAnsi"/>
                          <w:i/>
                          <w:noProof w:val="0"/>
                          <w:sz w:val="24"/>
                          <w:szCs w:val="24"/>
                          <w:lang w:val="en-GB"/>
                        </w:rPr>
                      </m:ctrlPr>
                    </m:dPr>
                    <m:e>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m:t>
                          </m:r>
                          <m:r>
                            <m:rPr>
                              <m:sty m:val="p"/>
                            </m:rPr>
                            <w:rPr>
                              <w:rFonts w:ascii="Cambria Math" w:hAnsi="Cambria Math" w:cstheme="minorHAnsi"/>
                              <w:noProof w:val="0"/>
                              <w:sz w:val="24"/>
                              <w:szCs w:val="24"/>
                              <w:lang w:val="en-GB"/>
                            </w:rPr>
                            <m:t>det⁡</m:t>
                          </m:r>
                          <m:r>
                            <w:rPr>
                              <w:rFonts w:ascii="Cambria Math" w:hAnsi="Cambria Math" w:cstheme="minorHAnsi"/>
                              <w:noProof w:val="0"/>
                              <w:sz w:val="24"/>
                              <w:szCs w:val="24"/>
                              <w:lang w:val="en-GB"/>
                            </w:rPr>
                            <m:t>_need</m:t>
                          </m:r>
                        </m:sub>
                      </m:sSub>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i,prob_need</m:t>
                          </m:r>
                        </m:sub>
                      </m:sSub>
                    </m:e>
                  </m:d>
                </m:num>
                <m:den>
                  <m:nary>
                    <m:naryPr>
                      <m:chr m:val="∑"/>
                      <m:limLoc m:val="undOvr"/>
                      <m:subHide m:val="on"/>
                      <m:supHide m:val="on"/>
                      <m:ctrlPr>
                        <w:rPr>
                          <w:rFonts w:ascii="Cambria Math" w:hAnsi="Cambria Math" w:cstheme="minorHAnsi"/>
                          <w:i/>
                          <w:noProof w:val="0"/>
                          <w:sz w:val="24"/>
                          <w:szCs w:val="24"/>
                          <w:lang w:val="en-GB"/>
                        </w:rPr>
                      </m:ctrlPr>
                    </m:naryPr>
                    <m:sub/>
                    <m:sup/>
                    <m:e>
                      <m:r>
                        <w:rPr>
                          <w:rFonts w:ascii="Cambria Math" w:hAnsi="Cambria Math" w:cstheme="minorHAnsi"/>
                          <w:noProof w:val="0"/>
                          <w:sz w:val="24"/>
                          <w:szCs w:val="24"/>
                          <w:lang w:val="en-GB"/>
                        </w:rPr>
                        <m:t>max</m:t>
                      </m:r>
                      <m:d>
                        <m:dPr>
                          <m:ctrlPr>
                            <w:rPr>
                              <w:rFonts w:ascii="Cambria Math" w:hAnsi="Cambria Math" w:cstheme="minorHAnsi"/>
                              <w:i/>
                              <w:noProof w:val="0"/>
                              <w:sz w:val="24"/>
                              <w:szCs w:val="24"/>
                              <w:lang w:val="en-GB"/>
                            </w:rPr>
                          </m:ctrlPr>
                        </m:dPr>
                        <m:e>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m:t>
                              </m:r>
                              <m:r>
                                <m:rPr>
                                  <m:sty m:val="p"/>
                                </m:rPr>
                                <w:rPr>
                                  <w:rFonts w:ascii="Cambria Math" w:hAnsi="Cambria Math" w:cstheme="minorHAnsi"/>
                                  <w:noProof w:val="0"/>
                                  <w:sz w:val="24"/>
                                  <w:szCs w:val="24"/>
                                  <w:lang w:val="en-GB"/>
                                </w:rPr>
                                <m:t>det⁡</m:t>
                              </m:r>
                              <m:r>
                                <w:rPr>
                                  <w:rFonts w:ascii="Cambria Math" w:hAnsi="Cambria Math" w:cstheme="minorHAnsi"/>
                                  <w:noProof w:val="0"/>
                                  <w:sz w:val="24"/>
                                  <w:szCs w:val="24"/>
                                  <w:lang w:val="en-GB"/>
                                </w:rPr>
                                <m:t>_need</m:t>
                              </m:r>
                            </m:sub>
                          </m:sSub>
                          <m:r>
                            <w:rPr>
                              <w:rFonts w:ascii="Cambria Math" w:hAnsi="Cambria Math" w:cstheme="minorHAnsi"/>
                              <w:noProof w:val="0"/>
                              <w:sz w:val="24"/>
                              <w:szCs w:val="24"/>
                              <w:lang w:val="en-GB"/>
                            </w:rPr>
                            <m:t>,-</m:t>
                          </m:r>
                          <m:sSub>
                            <m:sSubPr>
                              <m:ctrlPr>
                                <w:rPr>
                                  <w:rFonts w:ascii="Cambria Math" w:hAnsi="Cambria Math" w:cstheme="minorHAnsi"/>
                                  <w:i/>
                                  <w:noProof w:val="0"/>
                                  <w:sz w:val="24"/>
                                  <w:szCs w:val="24"/>
                                  <w:lang w:val="en-GB"/>
                                </w:rPr>
                              </m:ctrlPr>
                            </m:sSubPr>
                            <m:e>
                              <m:r>
                                <w:rPr>
                                  <w:rFonts w:ascii="Cambria Math" w:hAnsi="Cambria Math" w:cstheme="minorHAnsi"/>
                                  <w:noProof w:val="0"/>
                                  <w:sz w:val="24"/>
                                  <w:szCs w:val="24"/>
                                  <w:lang w:val="en-GB"/>
                                </w:rPr>
                                <m:t>FRR</m:t>
                              </m:r>
                            </m:e>
                            <m:sub>
                              <m:r>
                                <w:rPr>
                                  <w:rFonts w:ascii="Cambria Math" w:hAnsi="Cambria Math" w:cstheme="minorHAnsi"/>
                                  <w:noProof w:val="0"/>
                                  <w:sz w:val="24"/>
                                  <w:szCs w:val="24"/>
                                  <w:lang w:val="en-GB"/>
                                </w:rPr>
                                <m:t>i,</m:t>
                              </m:r>
                              <m:r>
                                <m:rPr>
                                  <m:sty m:val="p"/>
                                </m:rPr>
                                <w:rPr>
                                  <w:rFonts w:ascii="Cambria Math" w:hAnsi="Cambria Math" w:cstheme="minorHAnsi"/>
                                  <w:noProof w:val="0"/>
                                  <w:sz w:val="24"/>
                                  <w:szCs w:val="24"/>
                                  <w:lang w:val="en-GB"/>
                                </w:rPr>
                                <m:t>prob_need</m:t>
                              </m:r>
                            </m:sub>
                          </m:sSub>
                        </m:e>
                      </m:d>
                    </m:e>
                  </m:nary>
                </m:den>
              </m:f>
            </m:e>
          </m:d>
        </m:oMath>
      </m:oMathPara>
    </w:p>
    <w:p w:rsidR="0051144E" w:rsidRPr="003D67DE" w:rsidRDefault="00AF0AB3" w:rsidP="00DE7D64">
      <w:pPr>
        <w:autoSpaceDE w:val="0"/>
        <w:autoSpaceDN w:val="0"/>
        <w:adjustRightInd w:val="0"/>
        <w:spacing w:after="0" w:line="240" w:lineRule="auto"/>
        <w:jc w:val="both"/>
        <w:rPr>
          <w:rFonts w:cstheme="minorHAnsi"/>
          <w:noProof w:val="0"/>
          <w:sz w:val="24"/>
          <w:szCs w:val="24"/>
          <w:lang w:val="en-GB"/>
        </w:rPr>
      </w:pPr>
      <w:r w:rsidRPr="003D67DE">
        <w:rPr>
          <w:rFonts w:cstheme="minorHAnsi"/>
          <w:noProof w:val="0"/>
          <w:sz w:val="24"/>
          <w:szCs w:val="24"/>
          <w:lang w:val="en-GB"/>
        </w:rPr>
        <w:t>Where:</w:t>
      </w:r>
    </w:p>
    <w:p w:rsidR="009C78C8" w:rsidRPr="003D67DE" w:rsidRDefault="00113176" w:rsidP="00DE7D64">
      <w:pPr>
        <w:pStyle w:val="ListParagraph"/>
        <w:numPr>
          <w:ilvl w:val="0"/>
          <w:numId w:val="2"/>
        </w:numPr>
        <w:autoSpaceDE w:val="0"/>
        <w:autoSpaceDN w:val="0"/>
        <w:adjustRightInd w:val="0"/>
        <w:spacing w:after="0" w:line="240" w:lineRule="auto"/>
        <w:jc w:val="both"/>
        <w:rPr>
          <w:rFonts w:cstheme="minorHAnsi"/>
          <w:noProof w:val="0"/>
          <w:sz w:val="24"/>
          <w:szCs w:val="24"/>
          <w:lang w:val="en-GB"/>
        </w:rPr>
      </w:pPr>
      <m:oMath>
        <m:sSub>
          <m:sSubPr>
            <m:ctrlPr>
              <w:rPr>
                <w:rFonts w:ascii="Cambria Math" w:hAnsi="Cambria Math" w:cs="Cambria Math"/>
                <w:i/>
                <w:noProof w:val="0"/>
                <w:sz w:val="24"/>
                <w:szCs w:val="24"/>
                <w:lang w:val="en-GB"/>
              </w:rPr>
            </m:ctrlPr>
          </m:sSubPr>
          <m:e>
            <m:r>
              <w:rPr>
                <w:rFonts w:ascii="Cambria Math" w:hAnsi="Cambria Math" w:cs="Cambria Math"/>
                <w:noProof w:val="0"/>
                <w:sz w:val="24"/>
                <w:szCs w:val="24"/>
                <w:lang w:val="en-GB"/>
              </w:rPr>
              <m:t>P</m:t>
            </m:r>
          </m:e>
          <m:sub>
            <m:r>
              <w:rPr>
                <w:rFonts w:ascii="Cambria Math" w:hAnsi="Cambria Math" w:cs="Cambria Math"/>
                <w:noProof w:val="0"/>
                <w:sz w:val="24"/>
                <w:szCs w:val="24"/>
                <w:lang w:val="en-GB"/>
              </w:rPr>
              <m:t>i,t</m:t>
            </m:r>
          </m:sub>
        </m:sSub>
      </m:oMath>
      <w:r w:rsidR="009C78C8" w:rsidRPr="003D67DE">
        <w:rPr>
          <w:rFonts w:cstheme="minorHAnsi"/>
          <w:noProof w:val="0"/>
          <w:sz w:val="24"/>
          <w:szCs w:val="24"/>
          <w:lang w:val="en-GB"/>
        </w:rPr>
        <w:t xml:space="preserve">- is the initial FRR obligation for TSO </w:t>
      </w:r>
      <w:proofErr w:type="spellStart"/>
      <w:r w:rsidR="009C78C8" w:rsidRPr="00F3441F">
        <w:rPr>
          <w:rFonts w:cstheme="minorHAnsi"/>
          <w:i/>
          <w:noProof w:val="0"/>
          <w:sz w:val="24"/>
          <w:szCs w:val="24"/>
          <w:lang w:val="en-GB"/>
        </w:rPr>
        <w:t>i</w:t>
      </w:r>
      <w:proofErr w:type="spellEnd"/>
      <w:r w:rsidR="009C78C8" w:rsidRPr="003D67DE">
        <w:rPr>
          <w:rFonts w:cstheme="minorHAnsi"/>
          <w:noProof w:val="0"/>
          <w:sz w:val="24"/>
          <w:szCs w:val="24"/>
          <w:lang w:val="en-GB"/>
        </w:rPr>
        <w:t xml:space="preserve"> for the calendar year </w:t>
      </w:r>
      <w:r w:rsidR="009C78C8" w:rsidRPr="003D67DE">
        <w:rPr>
          <w:rFonts w:ascii="Cambria Math" w:hAnsi="Cambria Math" w:cs="Cambria Math"/>
          <w:noProof w:val="0"/>
          <w:sz w:val="24"/>
          <w:szCs w:val="24"/>
          <w:lang w:val="en-GB"/>
        </w:rPr>
        <w:t>𝑡</w:t>
      </w:r>
      <w:r w:rsidR="009C78C8" w:rsidRPr="003D67DE">
        <w:rPr>
          <w:rFonts w:cstheme="minorHAnsi"/>
          <w:noProof w:val="0"/>
          <w:sz w:val="24"/>
          <w:szCs w:val="24"/>
          <w:lang w:val="en-GB"/>
        </w:rPr>
        <w:t xml:space="preserve">; </w:t>
      </w:r>
    </w:p>
    <w:p w:rsidR="009C78C8" w:rsidRPr="003D67DE" w:rsidRDefault="00113176" w:rsidP="00DE7D64">
      <w:pPr>
        <w:pStyle w:val="ListParagraph"/>
        <w:numPr>
          <w:ilvl w:val="0"/>
          <w:numId w:val="2"/>
        </w:numPr>
        <w:autoSpaceDE w:val="0"/>
        <w:autoSpaceDN w:val="0"/>
        <w:adjustRightInd w:val="0"/>
        <w:spacing w:after="21" w:line="240" w:lineRule="auto"/>
        <w:jc w:val="both"/>
        <w:rPr>
          <w:rFonts w:cstheme="minorHAnsi"/>
          <w:noProof w:val="0"/>
          <w:sz w:val="24"/>
          <w:szCs w:val="24"/>
          <w:lang w:val="en-GB"/>
        </w:rPr>
      </w:pPr>
      <m:oMath>
        <m:sSub>
          <m:sSubPr>
            <m:ctrlPr>
              <w:rPr>
                <w:rFonts w:ascii="Cambria Math" w:eastAsiaTheme="minorEastAsia" w:hAnsi="Cambria Math" w:cstheme="minorHAnsi"/>
                <w:i/>
                <w:noProof w:val="0"/>
                <w:sz w:val="24"/>
                <w:szCs w:val="24"/>
                <w:lang w:val="en-GB"/>
              </w:rPr>
            </m:ctrlPr>
          </m:sSubPr>
          <m:e>
            <m:r>
              <m:rPr>
                <m:sty m:val="p"/>
              </m:rPr>
              <w:rPr>
                <w:rFonts w:ascii="Cambria Math" w:hAnsi="Cambria Math" w:cs="Cambria Math"/>
                <w:noProof w:val="0"/>
                <w:sz w:val="24"/>
                <w:szCs w:val="24"/>
                <w:lang w:val="en-GB"/>
              </w:rPr>
              <m:t>FRR</m:t>
            </m:r>
          </m:e>
          <m:sub>
            <m:r>
              <m:rPr>
                <m:sty m:val="p"/>
              </m:rPr>
              <w:rPr>
                <w:rFonts w:ascii="Cambria Math" w:hAnsi="Cambria Math" w:cstheme="minorHAnsi"/>
                <w:noProof w:val="0"/>
                <w:sz w:val="24"/>
                <w:szCs w:val="24"/>
                <w:lang w:val="en-GB"/>
              </w:rPr>
              <m:t>-</m:t>
            </m:r>
            <m:r>
              <m:rPr>
                <m:sty m:val="p"/>
              </m:rPr>
              <w:rPr>
                <w:rFonts w:ascii="Cambria Math" w:hAnsi="Cambria Math" w:cs="Cambria Math"/>
                <w:noProof w:val="0"/>
                <w:sz w:val="24"/>
                <w:szCs w:val="24"/>
                <w:lang w:val="en-GB"/>
              </w:rPr>
              <m:t>dimensioning</m:t>
            </m:r>
          </m:sub>
        </m:sSub>
      </m:oMath>
      <w:r w:rsidR="009C78C8" w:rsidRPr="003D67DE">
        <w:rPr>
          <w:rFonts w:cstheme="minorHAnsi"/>
          <w:noProof w:val="0"/>
          <w:sz w:val="24"/>
          <w:szCs w:val="24"/>
          <w:lang w:val="en-GB"/>
        </w:rPr>
        <w:t xml:space="preserve"> is the FRR dimensioning value calculated for the LFC AK</w:t>
      </w:r>
      <w:r w:rsidR="00F3441F" w:rsidRPr="00F3441F">
        <w:rPr>
          <w:rFonts w:cstheme="minorHAnsi"/>
          <w:noProof w:val="0"/>
          <w:sz w:val="24"/>
          <w:szCs w:val="24"/>
          <w:lang w:val="en-GB"/>
        </w:rPr>
        <w:t xml:space="preserve"> </w:t>
      </w:r>
      <w:r w:rsidR="00F3441F" w:rsidRPr="003D67DE">
        <w:rPr>
          <w:rFonts w:cstheme="minorHAnsi"/>
          <w:noProof w:val="0"/>
          <w:sz w:val="24"/>
          <w:szCs w:val="24"/>
          <w:lang w:val="en-GB"/>
        </w:rPr>
        <w:t>Block</w:t>
      </w:r>
      <w:r w:rsidR="009C78C8" w:rsidRPr="003D67DE">
        <w:rPr>
          <w:rFonts w:cstheme="minorHAnsi"/>
          <w:noProof w:val="0"/>
          <w:sz w:val="24"/>
          <w:szCs w:val="24"/>
          <w:lang w:val="en-GB"/>
        </w:rPr>
        <w:t xml:space="preserve">; </w:t>
      </w:r>
    </w:p>
    <w:p w:rsidR="009C78C8" w:rsidRPr="003D67DE" w:rsidRDefault="00113176" w:rsidP="00DE7D64">
      <w:pPr>
        <w:pStyle w:val="ListParagraph"/>
        <w:numPr>
          <w:ilvl w:val="0"/>
          <w:numId w:val="2"/>
        </w:numPr>
        <w:autoSpaceDE w:val="0"/>
        <w:autoSpaceDN w:val="0"/>
        <w:adjustRightInd w:val="0"/>
        <w:spacing w:after="21" w:line="240" w:lineRule="auto"/>
        <w:jc w:val="both"/>
        <w:rPr>
          <w:rFonts w:cstheme="minorHAnsi"/>
          <w:noProof w:val="0"/>
          <w:sz w:val="24"/>
          <w:szCs w:val="24"/>
          <w:lang w:val="en-GB"/>
        </w:rPr>
      </w:pPr>
      <m:oMath>
        <m:sSub>
          <m:sSubPr>
            <m:ctrlPr>
              <w:rPr>
                <w:rFonts w:ascii="Cambria Math" w:hAnsi="Cambria Math" w:cstheme="minorHAnsi"/>
                <w:i/>
                <w:noProof w:val="0"/>
                <w:sz w:val="24"/>
                <w:szCs w:val="24"/>
                <w:lang w:val="en-GB"/>
              </w:rPr>
            </m:ctrlPr>
          </m:sSubPr>
          <m:e>
            <m:r>
              <m:rPr>
                <m:sty m:val="p"/>
              </m:rPr>
              <w:rPr>
                <w:rFonts w:ascii="Cambria Math" w:hAnsi="Cambria Math" w:cstheme="minorHAnsi"/>
                <w:noProof w:val="0"/>
                <w:sz w:val="24"/>
                <w:szCs w:val="24"/>
                <w:lang w:val="en-GB"/>
              </w:rPr>
              <m:t>-</m:t>
            </m:r>
            <m:r>
              <m:rPr>
                <m:sty m:val="p"/>
              </m:rPr>
              <w:rPr>
                <w:rFonts w:ascii="Cambria Math" w:hAnsi="Cambria Math" w:cs="Cambria Math"/>
                <w:noProof w:val="0"/>
                <w:sz w:val="24"/>
                <w:szCs w:val="24"/>
                <w:lang w:val="en-GB"/>
              </w:rPr>
              <m:t>FRR</m:t>
            </m:r>
          </m:e>
          <m:sub>
            <m:r>
              <m:rPr>
                <m:sty m:val="p"/>
              </m:rPr>
              <w:rPr>
                <w:rFonts w:ascii="Cambria Math" w:hAnsi="Cambria Math" w:cs="Cambria Math"/>
                <w:noProof w:val="0"/>
                <w:sz w:val="24"/>
                <w:szCs w:val="24"/>
                <w:lang w:val="en-GB"/>
              </w:rPr>
              <m:t>i,</m:t>
            </m:r>
            <m:r>
              <m:rPr>
                <m:sty m:val="p"/>
              </m:rPr>
              <w:rPr>
                <w:rFonts w:ascii="Cambria Math" w:hAnsi="Cambria Math" w:cstheme="minorHAnsi"/>
                <w:noProof w:val="0"/>
                <w:sz w:val="24"/>
                <w:szCs w:val="24"/>
                <w:lang w:val="en-GB"/>
              </w:rPr>
              <m:t>det _</m:t>
            </m:r>
            <m:r>
              <m:rPr>
                <m:sty m:val="p"/>
              </m:rPr>
              <w:rPr>
                <w:rFonts w:ascii="Cambria Math" w:hAnsi="Cambria Math" w:cs="Cambria Math"/>
                <w:noProof w:val="0"/>
                <w:sz w:val="24"/>
                <w:szCs w:val="24"/>
                <w:lang w:val="en-GB"/>
              </w:rPr>
              <m:t>need</m:t>
            </m:r>
          </m:sub>
        </m:sSub>
      </m:oMath>
      <w:r w:rsidR="00AF0AB3" w:rsidRPr="003D67DE">
        <w:rPr>
          <w:rFonts w:cstheme="minorHAnsi"/>
          <w:noProof w:val="0"/>
          <w:sz w:val="24"/>
          <w:szCs w:val="24"/>
          <w:lang w:val="en-GB"/>
        </w:rPr>
        <w:t>is the reserve capacity in the regulatory area</w:t>
      </w:r>
      <w:r w:rsidR="00F3441F">
        <w:rPr>
          <w:rFonts w:cstheme="minorHAnsi"/>
          <w:noProof w:val="0"/>
          <w:sz w:val="24"/>
          <w:szCs w:val="24"/>
          <w:lang w:val="en-GB"/>
        </w:rPr>
        <w:t xml:space="preserve"> </w:t>
      </w:r>
      <w:proofErr w:type="spellStart"/>
      <w:r w:rsidR="00F3441F">
        <w:rPr>
          <w:rFonts w:cstheme="minorHAnsi"/>
          <w:i/>
          <w:noProof w:val="0"/>
          <w:sz w:val="24"/>
          <w:szCs w:val="24"/>
          <w:lang w:val="en-GB"/>
        </w:rPr>
        <w:t>i</w:t>
      </w:r>
      <w:proofErr w:type="spellEnd"/>
      <w:r w:rsidR="00AF0AB3" w:rsidRPr="003D67DE">
        <w:rPr>
          <w:rFonts w:cstheme="minorHAnsi"/>
          <w:noProof w:val="0"/>
          <w:sz w:val="24"/>
          <w:szCs w:val="24"/>
          <w:lang w:val="en-GB"/>
        </w:rPr>
        <w:t xml:space="preserve"> during the period referred to in the first paragraph, calculated according to the probabilistic methodology, i</w:t>
      </w:r>
      <w:r w:rsidR="00F3441F">
        <w:rPr>
          <w:rFonts w:cstheme="minorHAnsi"/>
          <w:noProof w:val="0"/>
          <w:sz w:val="24"/>
          <w:szCs w:val="24"/>
          <w:lang w:val="en-GB"/>
        </w:rPr>
        <w:t>.</w:t>
      </w:r>
      <w:r w:rsidR="00AF0AB3" w:rsidRPr="003D67DE">
        <w:rPr>
          <w:rFonts w:cstheme="minorHAnsi"/>
          <w:noProof w:val="0"/>
          <w:sz w:val="24"/>
          <w:szCs w:val="24"/>
          <w:lang w:val="en-GB"/>
        </w:rPr>
        <w:t>e. equal to the incident taken during the negative dimensioning of the reserve for that TSO;</w:t>
      </w:r>
    </w:p>
    <w:p w:rsidR="009C78C8" w:rsidRPr="003D67DE" w:rsidRDefault="00113176" w:rsidP="00DE7D64">
      <w:pPr>
        <w:pStyle w:val="ListParagraph"/>
        <w:numPr>
          <w:ilvl w:val="0"/>
          <w:numId w:val="2"/>
        </w:numPr>
        <w:autoSpaceDE w:val="0"/>
        <w:autoSpaceDN w:val="0"/>
        <w:adjustRightInd w:val="0"/>
        <w:spacing w:after="0" w:line="240" w:lineRule="auto"/>
        <w:jc w:val="both"/>
        <w:rPr>
          <w:rFonts w:cstheme="minorHAnsi"/>
          <w:noProof w:val="0"/>
          <w:sz w:val="24"/>
          <w:szCs w:val="24"/>
          <w:lang w:val="en-GB"/>
        </w:rPr>
      </w:pPr>
      <m:oMath>
        <m:sSub>
          <m:sSubPr>
            <m:ctrlPr>
              <w:rPr>
                <w:rFonts w:ascii="Cambria Math" w:hAnsi="Cambria Math" w:cstheme="minorHAnsi"/>
                <w:i/>
                <w:noProof w:val="0"/>
                <w:sz w:val="24"/>
                <w:szCs w:val="24"/>
                <w:lang w:val="en-GB"/>
              </w:rPr>
            </m:ctrlPr>
          </m:sSubPr>
          <m:e>
            <m:r>
              <m:rPr>
                <m:sty m:val="p"/>
              </m:rPr>
              <w:rPr>
                <w:rFonts w:ascii="Cambria Math" w:hAnsi="Cambria Math" w:cstheme="minorHAnsi"/>
                <w:noProof w:val="0"/>
                <w:sz w:val="24"/>
                <w:szCs w:val="24"/>
                <w:lang w:val="en-GB"/>
              </w:rPr>
              <m:t>-</m:t>
            </m:r>
            <m:r>
              <m:rPr>
                <m:sty m:val="p"/>
              </m:rPr>
              <w:rPr>
                <w:rFonts w:ascii="Cambria Math" w:hAnsi="Cambria Math" w:cs="Cambria Math"/>
                <w:noProof w:val="0"/>
                <w:sz w:val="24"/>
                <w:szCs w:val="24"/>
                <w:lang w:val="en-GB"/>
              </w:rPr>
              <m:t>FRRi</m:t>
            </m:r>
          </m:e>
          <m:sub>
            <m:r>
              <m:rPr>
                <m:sty m:val="p"/>
              </m:rPr>
              <w:rPr>
                <w:rFonts w:ascii="Cambria Math" w:hAnsi="Cambria Math" w:cs="Cambria Math"/>
                <w:noProof w:val="0"/>
                <w:sz w:val="24"/>
                <w:szCs w:val="24"/>
                <w:lang w:val="en-GB"/>
              </w:rPr>
              <m:t>i,  prob</m:t>
            </m:r>
            <m:r>
              <m:rPr>
                <m:sty m:val="p"/>
              </m:rPr>
              <w:rPr>
                <w:rFonts w:ascii="Cambria Math" w:hAnsi="Cambria Math" w:cstheme="minorHAnsi"/>
                <w:noProof w:val="0"/>
                <w:sz w:val="24"/>
                <w:szCs w:val="24"/>
                <w:lang w:val="en-GB"/>
              </w:rPr>
              <m:t>_</m:t>
            </m:r>
            <m:r>
              <m:rPr>
                <m:sty m:val="p"/>
              </m:rPr>
              <w:rPr>
                <w:rFonts w:ascii="Cambria Math" w:hAnsi="Cambria Math" w:cs="Cambria Math"/>
                <w:noProof w:val="0"/>
                <w:sz w:val="24"/>
                <w:szCs w:val="24"/>
                <w:lang w:val="en-GB"/>
              </w:rPr>
              <m:t>need</m:t>
            </m:r>
          </m:sub>
        </m:sSub>
      </m:oMath>
      <w:r w:rsidR="00AF0AB3" w:rsidRPr="003D67DE">
        <w:rPr>
          <w:rFonts w:cstheme="minorHAnsi"/>
          <w:noProof w:val="0"/>
          <w:sz w:val="24"/>
          <w:szCs w:val="24"/>
          <w:lang w:val="en-GB"/>
        </w:rPr>
        <w:t>is the reserve capacity for the regulatory area during the period referred to in the first paragraph, calculated according to the probabilistic methodology, i</w:t>
      </w:r>
      <w:r w:rsidR="00F3441F">
        <w:rPr>
          <w:rFonts w:cstheme="minorHAnsi"/>
          <w:noProof w:val="0"/>
          <w:sz w:val="24"/>
          <w:szCs w:val="24"/>
          <w:lang w:val="en-GB"/>
        </w:rPr>
        <w:t>.</w:t>
      </w:r>
      <w:r w:rsidR="00AF0AB3" w:rsidRPr="003D67DE">
        <w:rPr>
          <w:rFonts w:cstheme="minorHAnsi"/>
          <w:noProof w:val="0"/>
          <w:sz w:val="24"/>
          <w:szCs w:val="24"/>
          <w:lang w:val="en-GB"/>
        </w:rPr>
        <w:t xml:space="preserve">e. the negative FRR reserve capacity is sufficient to cover negative TSO imbalances at least 99% of the time </w:t>
      </w:r>
      <w:r w:rsidR="00AF0AB3" w:rsidRPr="00F3441F">
        <w:rPr>
          <w:rFonts w:cstheme="minorHAnsi"/>
          <w:i/>
          <w:noProof w:val="0"/>
          <w:sz w:val="24"/>
          <w:szCs w:val="24"/>
          <w:lang w:val="en-GB"/>
        </w:rPr>
        <w:t>t</w:t>
      </w:r>
      <w:r w:rsidR="00AF0AB3" w:rsidRPr="003D67DE">
        <w:rPr>
          <w:rFonts w:cstheme="minorHAnsi"/>
          <w:noProof w:val="0"/>
          <w:sz w:val="24"/>
          <w:szCs w:val="24"/>
          <w:lang w:val="en-GB"/>
        </w:rPr>
        <w:t>;</w:t>
      </w:r>
    </w:p>
    <w:p w:rsidR="0051144E" w:rsidRPr="003D67DE" w:rsidRDefault="0051144E" w:rsidP="00DE7D64">
      <w:pPr>
        <w:pStyle w:val="ListParagraph"/>
        <w:autoSpaceDE w:val="0"/>
        <w:autoSpaceDN w:val="0"/>
        <w:adjustRightInd w:val="0"/>
        <w:spacing w:after="0" w:line="240" w:lineRule="auto"/>
        <w:jc w:val="both"/>
        <w:rPr>
          <w:rFonts w:cstheme="minorHAnsi"/>
          <w:noProof w:val="0"/>
          <w:sz w:val="24"/>
          <w:szCs w:val="24"/>
          <w:lang w:val="en-GB"/>
        </w:rPr>
      </w:pPr>
    </w:p>
    <w:p w:rsidR="009C78C8" w:rsidRPr="003D67DE" w:rsidRDefault="00AF0AB3" w:rsidP="00DE7D64">
      <w:pPr>
        <w:pStyle w:val="ListParagraph"/>
        <w:numPr>
          <w:ilvl w:val="0"/>
          <w:numId w:val="3"/>
        </w:numPr>
        <w:autoSpaceDE w:val="0"/>
        <w:autoSpaceDN w:val="0"/>
        <w:adjustRightInd w:val="0"/>
        <w:spacing w:after="0" w:line="240" w:lineRule="auto"/>
        <w:jc w:val="both"/>
        <w:rPr>
          <w:rFonts w:cstheme="minorHAnsi"/>
          <w:noProof w:val="0"/>
          <w:sz w:val="24"/>
          <w:szCs w:val="24"/>
          <w:lang w:val="en-GB"/>
        </w:rPr>
      </w:pPr>
      <w:r w:rsidRPr="003D67DE">
        <w:rPr>
          <w:rFonts w:cstheme="minorHAnsi"/>
          <w:noProof w:val="0"/>
          <w:sz w:val="24"/>
          <w:szCs w:val="24"/>
          <w:lang w:val="en-GB"/>
        </w:rPr>
        <w:lastRenderedPageBreak/>
        <w:t xml:space="preserve">Every year, but not later than </w:t>
      </w:r>
      <w:r w:rsidR="00F3441F">
        <w:rPr>
          <w:rFonts w:cstheme="minorHAnsi"/>
          <w:noProof w:val="0"/>
          <w:sz w:val="24"/>
          <w:szCs w:val="24"/>
          <w:lang w:val="en-GB"/>
        </w:rPr>
        <w:t xml:space="preserve">15 </w:t>
      </w:r>
      <w:r w:rsidRPr="003D67DE">
        <w:rPr>
          <w:rFonts w:cstheme="minorHAnsi"/>
          <w:noProof w:val="0"/>
          <w:sz w:val="24"/>
          <w:szCs w:val="24"/>
          <w:lang w:val="en-GB"/>
        </w:rPr>
        <w:t xml:space="preserve">July, </w:t>
      </w:r>
      <w:r w:rsidR="00F3441F">
        <w:rPr>
          <w:rFonts w:cstheme="minorHAnsi"/>
          <w:noProof w:val="0"/>
          <w:sz w:val="24"/>
          <w:szCs w:val="24"/>
          <w:lang w:val="en-GB"/>
        </w:rPr>
        <w:t>LFC AK</w:t>
      </w:r>
      <w:r w:rsidRPr="003D67DE">
        <w:rPr>
          <w:rFonts w:cstheme="minorHAnsi"/>
          <w:noProof w:val="0"/>
          <w:sz w:val="24"/>
          <w:szCs w:val="24"/>
          <w:lang w:val="en-GB"/>
        </w:rPr>
        <w:t xml:space="preserve"> Block TSOs must provide each other with the data necessary to </w:t>
      </w:r>
      <w:r w:rsidR="00F3441F">
        <w:rPr>
          <w:rFonts w:cstheme="minorHAnsi"/>
          <w:noProof w:val="0"/>
          <w:sz w:val="24"/>
          <w:szCs w:val="24"/>
          <w:lang w:val="en-GB"/>
        </w:rPr>
        <w:t xml:space="preserve">conduct </w:t>
      </w:r>
      <w:r w:rsidRPr="003D67DE">
        <w:rPr>
          <w:rFonts w:cstheme="minorHAnsi"/>
          <w:noProof w:val="0"/>
          <w:sz w:val="24"/>
          <w:szCs w:val="24"/>
          <w:lang w:val="en-GB"/>
        </w:rPr>
        <w:t>the calculations mentioned above.</w:t>
      </w:r>
    </w:p>
    <w:p w:rsidR="009C78C8" w:rsidRPr="003D67DE" w:rsidRDefault="009C78C8" w:rsidP="00DE7D64">
      <w:pPr>
        <w:autoSpaceDE w:val="0"/>
        <w:autoSpaceDN w:val="0"/>
        <w:adjustRightInd w:val="0"/>
        <w:spacing w:after="0" w:line="240" w:lineRule="auto"/>
        <w:jc w:val="both"/>
        <w:rPr>
          <w:rFonts w:cstheme="minorHAnsi"/>
          <w:noProof w:val="0"/>
          <w:sz w:val="24"/>
          <w:szCs w:val="24"/>
          <w:lang w:val="en-GB"/>
        </w:rPr>
      </w:pPr>
    </w:p>
    <w:tbl>
      <w:tblPr>
        <w:tblW w:w="0" w:type="auto"/>
        <w:tblBorders>
          <w:top w:val="nil"/>
          <w:left w:val="nil"/>
          <w:bottom w:val="nil"/>
          <w:right w:val="nil"/>
        </w:tblBorders>
        <w:tblLayout w:type="fixed"/>
        <w:tblLook w:val="0000"/>
      </w:tblPr>
      <w:tblGrid>
        <w:gridCol w:w="9342"/>
        <w:gridCol w:w="95"/>
      </w:tblGrid>
      <w:tr w:rsidR="009C78C8" w:rsidRPr="003D67DE" w:rsidTr="00B31200">
        <w:trPr>
          <w:gridAfter w:val="1"/>
          <w:wAfter w:w="95" w:type="dxa"/>
          <w:trHeight w:val="938"/>
        </w:trPr>
        <w:tc>
          <w:tcPr>
            <w:tcW w:w="9342" w:type="dxa"/>
          </w:tcPr>
          <w:p w:rsidR="009C78C8" w:rsidRPr="003D67DE" w:rsidRDefault="00EE19C4" w:rsidP="00F10FD0">
            <w:pPr>
              <w:pStyle w:val="ListParagraph"/>
              <w:numPr>
                <w:ilvl w:val="0"/>
                <w:numId w:val="3"/>
              </w:numPr>
              <w:autoSpaceDE w:val="0"/>
              <w:autoSpaceDN w:val="0"/>
              <w:adjustRightInd w:val="0"/>
              <w:spacing w:after="0" w:line="240" w:lineRule="auto"/>
              <w:jc w:val="both"/>
              <w:rPr>
                <w:rFonts w:cstheme="minorHAnsi"/>
                <w:noProof w:val="0"/>
                <w:color w:val="000000"/>
                <w:sz w:val="24"/>
                <w:szCs w:val="24"/>
                <w:lang w:val="en-GB"/>
              </w:rPr>
            </w:pPr>
            <w:r w:rsidRPr="003D67DE">
              <w:rPr>
                <w:rFonts w:cstheme="minorHAnsi"/>
                <w:noProof w:val="0"/>
                <w:sz w:val="24"/>
                <w:szCs w:val="24"/>
                <w:lang w:val="en-GB"/>
              </w:rPr>
              <w:t xml:space="preserve">Each TSO in </w:t>
            </w:r>
            <w:r w:rsidR="00F3441F">
              <w:rPr>
                <w:rFonts w:cstheme="minorHAnsi"/>
                <w:noProof w:val="0"/>
                <w:sz w:val="24"/>
                <w:szCs w:val="24"/>
                <w:lang w:val="en-GB"/>
              </w:rPr>
              <w:t>LFC AK</w:t>
            </w:r>
            <w:r w:rsidRPr="003D67DE">
              <w:rPr>
                <w:rFonts w:cstheme="minorHAnsi"/>
                <w:noProof w:val="0"/>
                <w:sz w:val="24"/>
                <w:szCs w:val="24"/>
                <w:lang w:val="en-GB"/>
              </w:rPr>
              <w:t xml:space="preserve"> Block independently determines the ratio of automatic FRR, manual FRR, </w:t>
            </w:r>
            <w:proofErr w:type="gramStart"/>
            <w:r w:rsidRPr="003D67DE">
              <w:rPr>
                <w:rFonts w:cstheme="minorHAnsi"/>
                <w:noProof w:val="0"/>
                <w:sz w:val="24"/>
                <w:szCs w:val="24"/>
                <w:lang w:val="en-GB"/>
              </w:rPr>
              <w:t>time</w:t>
            </w:r>
            <w:proofErr w:type="gramEnd"/>
            <w:r w:rsidRPr="003D67DE">
              <w:rPr>
                <w:rFonts w:cstheme="minorHAnsi"/>
                <w:noProof w:val="0"/>
                <w:sz w:val="24"/>
                <w:szCs w:val="24"/>
                <w:lang w:val="en-GB"/>
              </w:rPr>
              <w:t xml:space="preserve"> for full activation of automatic FRR and time for full activation of manual FRR in order to be in accordance with the intended parameters of FRCE.</w:t>
            </w:r>
          </w:p>
        </w:tc>
      </w:tr>
      <w:tr w:rsidR="009C78C8" w:rsidRPr="003D67DE" w:rsidTr="00B31200">
        <w:trPr>
          <w:trHeight w:val="360"/>
        </w:trPr>
        <w:tc>
          <w:tcPr>
            <w:tcW w:w="9437" w:type="dxa"/>
            <w:gridSpan w:val="2"/>
          </w:tcPr>
          <w:p w:rsidR="009C78C8" w:rsidRPr="003D67DE" w:rsidRDefault="00B31200" w:rsidP="009A1ED3">
            <w:pPr>
              <w:autoSpaceDE w:val="0"/>
              <w:autoSpaceDN w:val="0"/>
              <w:adjustRightInd w:val="0"/>
              <w:spacing w:after="0" w:line="240" w:lineRule="auto"/>
              <w:jc w:val="both"/>
              <w:rPr>
                <w:rFonts w:cstheme="minorHAnsi"/>
                <w:noProof w:val="0"/>
                <w:color w:val="000000"/>
                <w:sz w:val="24"/>
                <w:szCs w:val="24"/>
                <w:lang w:val="en-GB"/>
              </w:rPr>
            </w:pPr>
            <w:r w:rsidRPr="003D67DE">
              <w:rPr>
                <w:noProof w:val="0"/>
                <w:lang w:val="en-GB"/>
              </w:rPr>
              <w:br w:type="page"/>
            </w:r>
          </w:p>
        </w:tc>
      </w:tr>
    </w:tbl>
    <w:p w:rsidR="009C78C8" w:rsidRPr="003D67DE" w:rsidRDefault="009C78C8" w:rsidP="009A1ED3">
      <w:pPr>
        <w:jc w:val="both"/>
        <w:rPr>
          <w:rFonts w:cstheme="minorHAnsi"/>
          <w:noProof w:val="0"/>
          <w:sz w:val="24"/>
          <w:szCs w:val="24"/>
          <w:lang w:val="en-GB"/>
        </w:rPr>
      </w:pPr>
    </w:p>
    <w:sectPr w:rsidR="009C78C8" w:rsidRPr="003D67DE" w:rsidSect="00771AD7">
      <w:headerReference w:type="default" r:id="rId10"/>
      <w:footerReference w:type="default" r:id="rId11"/>
      <w:pgSz w:w="12240" w:h="15840"/>
      <w:pgMar w:top="98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3DE" w:rsidRDefault="004153DE" w:rsidP="008C4203">
      <w:pPr>
        <w:spacing w:after="0" w:line="240" w:lineRule="auto"/>
      </w:pPr>
      <w:r>
        <w:separator/>
      </w:r>
    </w:p>
  </w:endnote>
  <w:endnote w:type="continuationSeparator" w:id="0">
    <w:p w:rsidR="004153DE" w:rsidRDefault="004153DE" w:rsidP="008C4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val="0"/>
      </w:rPr>
      <w:id w:val="1380897382"/>
      <w:docPartObj>
        <w:docPartGallery w:val="Page Numbers (Bottom of Page)"/>
        <w:docPartUnique/>
      </w:docPartObj>
    </w:sdtPr>
    <w:sdtEndPr>
      <w:rPr>
        <w:noProof/>
      </w:rPr>
    </w:sdtEndPr>
    <w:sdtContent>
      <w:p w:rsidR="00AF0AB3" w:rsidRDefault="00113176">
        <w:pPr>
          <w:pStyle w:val="Footer"/>
          <w:jc w:val="right"/>
        </w:pPr>
        <w:r>
          <w:rPr>
            <w:noProof w:val="0"/>
          </w:rPr>
          <w:fldChar w:fldCharType="begin"/>
        </w:r>
        <w:r w:rsidR="00AF0AB3">
          <w:instrText xml:space="preserve"> PAGE   \* MERGEFORMAT </w:instrText>
        </w:r>
        <w:r>
          <w:rPr>
            <w:noProof w:val="0"/>
          </w:rPr>
          <w:fldChar w:fldCharType="separate"/>
        </w:r>
        <w:r w:rsidR="00FA78EA">
          <w:t>4</w:t>
        </w:r>
        <w:r>
          <w:fldChar w:fldCharType="end"/>
        </w:r>
      </w:p>
    </w:sdtContent>
  </w:sdt>
  <w:p w:rsidR="00AF0AB3" w:rsidRDefault="00AF0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3DE" w:rsidRDefault="004153DE" w:rsidP="008C4203">
      <w:pPr>
        <w:spacing w:after="0" w:line="240" w:lineRule="auto"/>
      </w:pPr>
      <w:r>
        <w:separator/>
      </w:r>
    </w:p>
  </w:footnote>
  <w:footnote w:type="continuationSeparator" w:id="0">
    <w:p w:rsidR="004153DE" w:rsidRDefault="004153DE" w:rsidP="008C4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AB3" w:rsidRDefault="00AF0AB3" w:rsidP="008C4203">
    <w:pPr>
      <w:pStyle w:val="Header"/>
      <w:spacing w:before="120" w:after="480"/>
    </w:pPr>
    <w:r>
      <w:rPr>
        <w:lang w:val="en-US"/>
      </w:rPr>
      <w:drawing>
        <wp:inline distT="0" distB="0" distL="0" distR="0">
          <wp:extent cx="996315" cy="525145"/>
          <wp:effectExtent l="0" t="0" r="0" b="825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6315" cy="525145"/>
                  </a:xfrm>
                  <a:prstGeom prst="rect">
                    <a:avLst/>
                  </a:prstGeom>
                  <a:noFill/>
                  <a:ln>
                    <a:noFill/>
                  </a:ln>
                </pic:spPr>
              </pic:pic>
            </a:graphicData>
          </a:graphic>
        </wp:inline>
      </w:drawing>
    </w:r>
    <w:r>
      <w:tab/>
    </w:r>
    <w:r>
      <w:tab/>
    </w:r>
    <w:r>
      <w:rPr>
        <w:lang w:val="en-US"/>
      </w:rPr>
      <w:drawing>
        <wp:inline distT="0" distB="0" distL="0" distR="0">
          <wp:extent cx="832485" cy="525145"/>
          <wp:effectExtent l="0" t="0" r="5715" b="825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2485" cy="52514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720D5"/>
    <w:multiLevelType w:val="hybridMultilevel"/>
    <w:tmpl w:val="6CC2E86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292944C2"/>
    <w:multiLevelType w:val="hybridMultilevel"/>
    <w:tmpl w:val="2A069AE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7F531B"/>
    <w:multiLevelType w:val="hybridMultilevel"/>
    <w:tmpl w:val="A9906C0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10128A"/>
    <w:multiLevelType w:val="hybridMultilevel"/>
    <w:tmpl w:val="BE1A94F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C78C8"/>
    <w:rsid w:val="0002586C"/>
    <w:rsid w:val="000515B6"/>
    <w:rsid w:val="000958BF"/>
    <w:rsid w:val="000A47CC"/>
    <w:rsid w:val="000C46CC"/>
    <w:rsid w:val="00113176"/>
    <w:rsid w:val="001756FB"/>
    <w:rsid w:val="00177432"/>
    <w:rsid w:val="001C52D7"/>
    <w:rsid w:val="002413DA"/>
    <w:rsid w:val="002820B6"/>
    <w:rsid w:val="00296A7C"/>
    <w:rsid w:val="003B339A"/>
    <w:rsid w:val="003D67DE"/>
    <w:rsid w:val="004005B8"/>
    <w:rsid w:val="004153DE"/>
    <w:rsid w:val="00424014"/>
    <w:rsid w:val="00424C9C"/>
    <w:rsid w:val="00490AC4"/>
    <w:rsid w:val="00495E82"/>
    <w:rsid w:val="004D4CB8"/>
    <w:rsid w:val="004F4E5B"/>
    <w:rsid w:val="00505787"/>
    <w:rsid w:val="0051144E"/>
    <w:rsid w:val="00557D32"/>
    <w:rsid w:val="00595263"/>
    <w:rsid w:val="005B5444"/>
    <w:rsid w:val="005C1242"/>
    <w:rsid w:val="005F766F"/>
    <w:rsid w:val="00601A0A"/>
    <w:rsid w:val="00656A1D"/>
    <w:rsid w:val="00706122"/>
    <w:rsid w:val="007102BF"/>
    <w:rsid w:val="00771AD7"/>
    <w:rsid w:val="007B5D06"/>
    <w:rsid w:val="007C75D7"/>
    <w:rsid w:val="00817B5E"/>
    <w:rsid w:val="00870255"/>
    <w:rsid w:val="008C4203"/>
    <w:rsid w:val="00962843"/>
    <w:rsid w:val="00970990"/>
    <w:rsid w:val="009A1ED3"/>
    <w:rsid w:val="009C78C8"/>
    <w:rsid w:val="009D1FE1"/>
    <w:rsid w:val="009F7FB1"/>
    <w:rsid w:val="00A23ADC"/>
    <w:rsid w:val="00A3383F"/>
    <w:rsid w:val="00A71D33"/>
    <w:rsid w:val="00A908B4"/>
    <w:rsid w:val="00AC5B2A"/>
    <w:rsid w:val="00AD3E09"/>
    <w:rsid w:val="00AF0AB3"/>
    <w:rsid w:val="00B31200"/>
    <w:rsid w:val="00BB1CB4"/>
    <w:rsid w:val="00BB52B4"/>
    <w:rsid w:val="00BC3CD0"/>
    <w:rsid w:val="00C00452"/>
    <w:rsid w:val="00C23744"/>
    <w:rsid w:val="00C24E39"/>
    <w:rsid w:val="00C478C6"/>
    <w:rsid w:val="00CF2DAA"/>
    <w:rsid w:val="00D041E2"/>
    <w:rsid w:val="00D12D47"/>
    <w:rsid w:val="00D13074"/>
    <w:rsid w:val="00D238D4"/>
    <w:rsid w:val="00D54A3A"/>
    <w:rsid w:val="00D84FD7"/>
    <w:rsid w:val="00DD3A67"/>
    <w:rsid w:val="00DE7D64"/>
    <w:rsid w:val="00E235AA"/>
    <w:rsid w:val="00E23C2E"/>
    <w:rsid w:val="00EE19C4"/>
    <w:rsid w:val="00EE3619"/>
    <w:rsid w:val="00F10FD0"/>
    <w:rsid w:val="00F3441F"/>
    <w:rsid w:val="00F67CEF"/>
    <w:rsid w:val="00F82B90"/>
    <w:rsid w:val="00FA031F"/>
    <w:rsid w:val="00FA78EA"/>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76"/>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8C8"/>
    <w:pPr>
      <w:autoSpaceDE w:val="0"/>
      <w:autoSpaceDN w:val="0"/>
      <w:adjustRightInd w:val="0"/>
      <w:spacing w:after="0" w:line="240" w:lineRule="auto"/>
    </w:pPr>
    <w:rPr>
      <w:rFonts w:ascii="Arial" w:hAnsi="Arial" w:cs="Arial"/>
      <w:color w:val="000000"/>
      <w:sz w:val="24"/>
      <w:szCs w:val="24"/>
      <w:lang w:val="sq-AL"/>
    </w:rPr>
  </w:style>
  <w:style w:type="paragraph" w:styleId="BalloonText">
    <w:name w:val="Balloon Text"/>
    <w:basedOn w:val="Normal"/>
    <w:link w:val="BalloonTextChar"/>
    <w:uiPriority w:val="99"/>
    <w:semiHidden/>
    <w:unhideWhenUsed/>
    <w:rsid w:val="009C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C8"/>
    <w:rPr>
      <w:rFonts w:ascii="Tahoma" w:hAnsi="Tahoma" w:cs="Tahoma"/>
      <w:noProof/>
      <w:sz w:val="16"/>
      <w:szCs w:val="16"/>
      <w:lang w:val="sq-AL"/>
    </w:rPr>
  </w:style>
  <w:style w:type="paragraph" w:styleId="Header">
    <w:name w:val="header"/>
    <w:basedOn w:val="Normal"/>
    <w:link w:val="HeaderChar"/>
    <w:unhideWhenUsed/>
    <w:rsid w:val="008C4203"/>
    <w:pPr>
      <w:tabs>
        <w:tab w:val="center" w:pos="4680"/>
        <w:tab w:val="right" w:pos="9360"/>
      </w:tabs>
      <w:spacing w:after="0" w:line="240" w:lineRule="auto"/>
    </w:pPr>
  </w:style>
  <w:style w:type="character" w:customStyle="1" w:styleId="HeaderChar">
    <w:name w:val="Header Char"/>
    <w:basedOn w:val="DefaultParagraphFont"/>
    <w:link w:val="Header"/>
    <w:rsid w:val="008C4203"/>
    <w:rPr>
      <w:noProof/>
      <w:lang w:val="sq-AL"/>
    </w:rPr>
  </w:style>
  <w:style w:type="paragraph" w:styleId="Footer">
    <w:name w:val="footer"/>
    <w:basedOn w:val="Normal"/>
    <w:link w:val="FooterChar"/>
    <w:uiPriority w:val="99"/>
    <w:unhideWhenUsed/>
    <w:rsid w:val="008C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03"/>
    <w:rPr>
      <w:noProof/>
      <w:lang w:val="sq-AL"/>
    </w:rPr>
  </w:style>
  <w:style w:type="paragraph" w:styleId="ListParagraph">
    <w:name w:val="List Paragraph"/>
    <w:basedOn w:val="Normal"/>
    <w:uiPriority w:val="34"/>
    <w:qFormat/>
    <w:rsid w:val="0051144E"/>
    <w:pPr>
      <w:ind w:left="720"/>
      <w:contextualSpacing/>
    </w:pPr>
  </w:style>
  <w:style w:type="character" w:styleId="PlaceholderText">
    <w:name w:val="Placeholder Text"/>
    <w:basedOn w:val="DefaultParagraphFont"/>
    <w:uiPriority w:val="99"/>
    <w:semiHidden/>
    <w:rsid w:val="0051144E"/>
    <w:rPr>
      <w:color w:val="808080"/>
    </w:rPr>
  </w:style>
  <w:style w:type="paragraph" w:styleId="EndnoteText">
    <w:name w:val="endnote text"/>
    <w:basedOn w:val="Normal"/>
    <w:link w:val="EndnoteTextChar"/>
    <w:uiPriority w:val="99"/>
    <w:semiHidden/>
    <w:unhideWhenUsed/>
    <w:rsid w:val="00DD3A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3A67"/>
    <w:rPr>
      <w:noProof/>
      <w:sz w:val="20"/>
      <w:szCs w:val="20"/>
      <w:lang w:val="sq-AL"/>
    </w:rPr>
  </w:style>
  <w:style w:type="character" w:styleId="EndnoteReference">
    <w:name w:val="endnote reference"/>
    <w:basedOn w:val="DefaultParagraphFont"/>
    <w:uiPriority w:val="99"/>
    <w:semiHidden/>
    <w:unhideWhenUsed/>
    <w:rsid w:val="00DD3A67"/>
    <w:rPr>
      <w:vertAlign w:val="superscript"/>
    </w:rPr>
  </w:style>
  <w:style w:type="character" w:customStyle="1" w:styleId="tlid-translation">
    <w:name w:val="tlid-translation"/>
    <w:basedOn w:val="DefaultParagraphFont"/>
    <w:rsid w:val="00817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8C8"/>
    <w:pPr>
      <w:autoSpaceDE w:val="0"/>
      <w:autoSpaceDN w:val="0"/>
      <w:adjustRightInd w:val="0"/>
      <w:spacing w:after="0" w:line="240" w:lineRule="auto"/>
    </w:pPr>
    <w:rPr>
      <w:rFonts w:ascii="Arial" w:hAnsi="Arial" w:cs="Arial"/>
      <w:color w:val="000000"/>
      <w:sz w:val="24"/>
      <w:szCs w:val="24"/>
      <w:lang w:val="sq-AL"/>
    </w:rPr>
  </w:style>
  <w:style w:type="paragraph" w:styleId="BalloonText">
    <w:name w:val="Balloon Text"/>
    <w:basedOn w:val="Normal"/>
    <w:link w:val="BalloonTextChar"/>
    <w:uiPriority w:val="99"/>
    <w:semiHidden/>
    <w:unhideWhenUsed/>
    <w:rsid w:val="009C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8C8"/>
    <w:rPr>
      <w:rFonts w:ascii="Tahoma" w:hAnsi="Tahoma" w:cs="Tahoma"/>
      <w:noProof/>
      <w:sz w:val="16"/>
      <w:szCs w:val="16"/>
      <w:lang w:val="sq-AL"/>
    </w:rPr>
  </w:style>
  <w:style w:type="paragraph" w:styleId="Header">
    <w:name w:val="header"/>
    <w:basedOn w:val="Normal"/>
    <w:link w:val="HeaderChar"/>
    <w:unhideWhenUsed/>
    <w:rsid w:val="008C4203"/>
    <w:pPr>
      <w:tabs>
        <w:tab w:val="center" w:pos="4680"/>
        <w:tab w:val="right" w:pos="9360"/>
      </w:tabs>
      <w:spacing w:after="0" w:line="240" w:lineRule="auto"/>
    </w:pPr>
  </w:style>
  <w:style w:type="character" w:customStyle="1" w:styleId="HeaderChar">
    <w:name w:val="Header Char"/>
    <w:basedOn w:val="DefaultParagraphFont"/>
    <w:link w:val="Header"/>
    <w:rsid w:val="008C4203"/>
    <w:rPr>
      <w:noProof/>
      <w:lang w:val="sq-AL"/>
    </w:rPr>
  </w:style>
  <w:style w:type="paragraph" w:styleId="Footer">
    <w:name w:val="footer"/>
    <w:basedOn w:val="Normal"/>
    <w:link w:val="FooterChar"/>
    <w:uiPriority w:val="99"/>
    <w:unhideWhenUsed/>
    <w:rsid w:val="008C4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203"/>
    <w:rPr>
      <w:noProof/>
      <w:lang w:val="sq-AL"/>
    </w:rPr>
  </w:style>
  <w:style w:type="paragraph" w:styleId="ListParagraph">
    <w:name w:val="List Paragraph"/>
    <w:basedOn w:val="Normal"/>
    <w:uiPriority w:val="34"/>
    <w:qFormat/>
    <w:rsid w:val="0051144E"/>
    <w:pPr>
      <w:ind w:left="720"/>
      <w:contextualSpacing/>
    </w:pPr>
  </w:style>
  <w:style w:type="character" w:styleId="PlaceholderText">
    <w:name w:val="Placeholder Text"/>
    <w:basedOn w:val="DefaultParagraphFont"/>
    <w:uiPriority w:val="99"/>
    <w:semiHidden/>
    <w:rsid w:val="0051144E"/>
    <w:rPr>
      <w:color w:val="808080"/>
    </w:rPr>
  </w:style>
  <w:style w:type="paragraph" w:styleId="EndnoteText">
    <w:name w:val="endnote text"/>
    <w:basedOn w:val="Normal"/>
    <w:link w:val="EndnoteTextChar"/>
    <w:uiPriority w:val="99"/>
    <w:semiHidden/>
    <w:unhideWhenUsed/>
    <w:rsid w:val="00DD3A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3A67"/>
    <w:rPr>
      <w:noProof/>
      <w:sz w:val="20"/>
      <w:szCs w:val="20"/>
      <w:lang w:val="sq-AL"/>
    </w:rPr>
  </w:style>
  <w:style w:type="character" w:styleId="EndnoteReference">
    <w:name w:val="endnote reference"/>
    <w:basedOn w:val="DefaultParagraphFont"/>
    <w:uiPriority w:val="99"/>
    <w:semiHidden/>
    <w:unhideWhenUsed/>
    <w:rsid w:val="00DD3A67"/>
    <w:rPr>
      <w:vertAlign w:val="superscript"/>
    </w:rPr>
  </w:style>
  <w:style w:type="character" w:customStyle="1" w:styleId="tlid-translation">
    <w:name w:val="tlid-translation"/>
    <w:basedOn w:val="DefaultParagraphFont"/>
    <w:rsid w:val="00817B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B4029-16B4-4315-87FB-73FBBFEF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Rregulla per dimensionimin e FRR ne Bllokun LFC AK</vt:lpstr>
    </vt:vector>
  </TitlesOfParts>
  <Company>KOSTT</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Rregulla per dimensionimin e FRR ne Bllokun LFC AK</dc:title>
  <dc:creator>Burbuqe Hasani</dc:creator>
  <cp:lastModifiedBy>amurtezaj</cp:lastModifiedBy>
  <cp:revision>2</cp:revision>
  <dcterms:created xsi:type="dcterms:W3CDTF">2020-09-01T09:44:00Z</dcterms:created>
  <dcterms:modified xsi:type="dcterms:W3CDTF">2020-09-01T09:44:00Z</dcterms:modified>
</cp:coreProperties>
</file>