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E84532">
        <w:rPr>
          <w:rFonts w:asciiTheme="minorHAnsi" w:hAnsiTheme="minorHAnsi"/>
          <w:b/>
          <w:sz w:val="28"/>
          <w:szCs w:val="28"/>
        </w:rPr>
        <w:t>RAPORTI RREGULLATIV</w:t>
      </w:r>
    </w:p>
    <w:p w:rsidR="00E807F8" w:rsidRPr="00E84532" w:rsidRDefault="00E807F8" w:rsidP="00E807F8">
      <w:pPr>
        <w:pStyle w:val="BodyText"/>
        <w:pBdr>
          <w:top w:val="single" w:sz="4" w:space="1" w:color="auto"/>
          <w:left w:val="single" w:sz="4" w:space="4" w:color="auto"/>
          <w:bottom w:val="single" w:sz="4" w:space="1" w:color="auto"/>
          <w:right w:val="single" w:sz="4" w:space="4" w:color="auto"/>
        </w:pBdr>
        <w:jc w:val="center"/>
        <w:rPr>
          <w:rFonts w:asciiTheme="minorHAnsi" w:hAnsiTheme="minorHAnsi"/>
          <w:b/>
        </w:rPr>
      </w:pPr>
      <w:r w:rsidRPr="00E84532">
        <w:rPr>
          <w:rFonts w:asciiTheme="minorHAnsi" w:hAnsiTheme="minorHAnsi"/>
          <w:b/>
        </w:rPr>
        <w:t xml:space="preserve">Përcaktimi i të Hyrave </w:t>
      </w:r>
      <w:r w:rsidR="008E09B3">
        <w:rPr>
          <w:rFonts w:asciiTheme="minorHAnsi" w:hAnsiTheme="minorHAnsi"/>
          <w:b/>
        </w:rPr>
        <w:t xml:space="preserve">Maksimale </w:t>
      </w:r>
      <w:r w:rsidRPr="00E84532">
        <w:rPr>
          <w:rFonts w:asciiTheme="minorHAnsi" w:hAnsiTheme="minorHAnsi"/>
          <w:b/>
        </w:rPr>
        <w:t>të Lejuara për Ngrohtoren e Qytetit Termokos SH.A.</w:t>
      </w:r>
    </w:p>
    <w:p w:rsidR="00E807F8" w:rsidRPr="00E84532" w:rsidRDefault="00E807F8" w:rsidP="00E807F8">
      <w:pPr>
        <w:pStyle w:val="BodyText"/>
        <w:pBdr>
          <w:top w:val="single" w:sz="4" w:space="1" w:color="auto"/>
          <w:left w:val="single" w:sz="4" w:space="4" w:color="auto"/>
          <w:bottom w:val="single" w:sz="4" w:space="1" w:color="auto"/>
          <w:right w:val="single" w:sz="4" w:space="4" w:color="auto"/>
        </w:pBdr>
        <w:jc w:val="center"/>
        <w:rPr>
          <w:rFonts w:asciiTheme="minorHAnsi" w:hAnsiTheme="minorHAnsi"/>
          <w:b/>
        </w:rPr>
      </w:pPr>
      <w:r w:rsidRPr="00E84532">
        <w:rPr>
          <w:rFonts w:asciiTheme="minorHAnsi" w:hAnsiTheme="minorHAnsi"/>
          <w:b/>
        </w:rPr>
        <w:t>Sezoni i Ngrohjes 20</w:t>
      </w:r>
      <w:r w:rsidR="007A640E">
        <w:rPr>
          <w:rFonts w:asciiTheme="minorHAnsi" w:hAnsiTheme="minorHAnsi"/>
          <w:b/>
        </w:rPr>
        <w:t>20</w:t>
      </w:r>
      <w:r w:rsidRPr="00E84532">
        <w:rPr>
          <w:rFonts w:asciiTheme="minorHAnsi" w:hAnsiTheme="minorHAnsi"/>
          <w:b/>
        </w:rPr>
        <w:t>/20</w:t>
      </w:r>
      <w:r w:rsidR="00285C15">
        <w:rPr>
          <w:rFonts w:asciiTheme="minorHAnsi" w:hAnsiTheme="minorHAnsi"/>
          <w:b/>
        </w:rPr>
        <w:t>2</w:t>
      </w:r>
      <w:r w:rsidR="007A640E">
        <w:rPr>
          <w:rFonts w:asciiTheme="minorHAnsi" w:hAnsiTheme="minorHAnsi"/>
          <w:b/>
        </w:rPr>
        <w:t>1</w:t>
      </w:r>
    </w:p>
    <w:p w:rsidR="00E807F8" w:rsidRPr="00E84532" w:rsidRDefault="00E807F8" w:rsidP="00E807F8">
      <w:pPr>
        <w:pStyle w:val="BodyText"/>
        <w:pBdr>
          <w:top w:val="single" w:sz="4" w:space="1" w:color="auto"/>
          <w:left w:val="single" w:sz="4" w:space="4" w:color="auto"/>
          <w:bottom w:val="single" w:sz="4" w:space="1" w:color="auto"/>
          <w:right w:val="single" w:sz="4" w:space="4" w:color="auto"/>
        </w:pBdr>
        <w:jc w:val="center"/>
        <w:rPr>
          <w:rFonts w:asciiTheme="minorHAnsi" w:hAnsiTheme="minorHAnsi"/>
          <w:b/>
        </w:rPr>
      </w:pPr>
    </w:p>
    <w:p w:rsidR="00E807F8" w:rsidRPr="0064283F" w:rsidRDefault="0064283F" w:rsidP="007A640E">
      <w:pPr>
        <w:pStyle w:val="BodyText"/>
        <w:pBdr>
          <w:top w:val="single" w:sz="4" w:space="1" w:color="auto"/>
          <w:left w:val="single" w:sz="4" w:space="4" w:color="auto"/>
          <w:bottom w:val="single" w:sz="4" w:space="1" w:color="auto"/>
          <w:right w:val="single" w:sz="4" w:space="4" w:color="auto"/>
        </w:pBdr>
        <w:jc w:val="center"/>
        <w:rPr>
          <w:rFonts w:asciiTheme="minorHAnsi" w:hAnsiTheme="minorHAnsi"/>
          <w:i/>
        </w:rPr>
      </w:pPr>
      <w:bookmarkStart w:id="0" w:name="_GoBack"/>
      <w:r w:rsidRPr="0064283F">
        <w:rPr>
          <w:rFonts w:asciiTheme="minorHAnsi" w:hAnsiTheme="minorHAnsi"/>
          <w:i/>
        </w:rPr>
        <w:t>/</w:t>
      </w:r>
      <w:r w:rsidR="007A640E" w:rsidRPr="0064283F">
        <w:rPr>
          <w:rFonts w:asciiTheme="minorHAnsi" w:hAnsiTheme="minorHAnsi"/>
          <w:i/>
        </w:rPr>
        <w:t>Draft</w:t>
      </w:r>
      <w:r w:rsidRPr="0064283F">
        <w:rPr>
          <w:rFonts w:asciiTheme="minorHAnsi" w:hAnsiTheme="minorHAnsi"/>
          <w:i/>
        </w:rPr>
        <w:t xml:space="preserve"> për konsultim publik/</w:t>
      </w:r>
    </w:p>
    <w:bookmarkEnd w:id="0"/>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05432A" w:rsidRDefault="0005432A" w:rsidP="0005432A">
      <w:pPr>
        <w:pStyle w:val="BodyText"/>
        <w:rPr>
          <w:noProof/>
          <w:lang w:val="en-US"/>
        </w:rPr>
      </w:pPr>
    </w:p>
    <w:p w:rsidR="008256C8" w:rsidRDefault="008256C8" w:rsidP="0005432A">
      <w:pPr>
        <w:pStyle w:val="BodyText"/>
        <w:rPr>
          <w:noProof/>
          <w:lang w:val="en-US"/>
        </w:rPr>
      </w:pPr>
    </w:p>
    <w:p w:rsidR="008256C8" w:rsidRDefault="008256C8" w:rsidP="0005432A">
      <w:pPr>
        <w:pStyle w:val="BodyText"/>
        <w:rPr>
          <w:noProof/>
          <w:lang w:val="en-US"/>
        </w:rPr>
      </w:pPr>
    </w:p>
    <w:p w:rsidR="008256C8" w:rsidRDefault="008256C8" w:rsidP="0005432A">
      <w:pPr>
        <w:pStyle w:val="BodyText"/>
        <w:rPr>
          <w:noProof/>
          <w:lang w:val="en-US"/>
        </w:rPr>
      </w:pPr>
    </w:p>
    <w:p w:rsidR="008256C8" w:rsidRDefault="008256C8" w:rsidP="0005432A">
      <w:pPr>
        <w:pStyle w:val="BodyText"/>
        <w:rPr>
          <w:noProof/>
          <w:lang w:val="en-US"/>
        </w:rPr>
      </w:pPr>
    </w:p>
    <w:p w:rsidR="008256C8" w:rsidRDefault="008256C8" w:rsidP="0005432A">
      <w:pPr>
        <w:pStyle w:val="BodyText"/>
        <w:rPr>
          <w:noProof/>
          <w:lang w:val="en-US"/>
        </w:rPr>
      </w:pPr>
    </w:p>
    <w:p w:rsidR="008256C8" w:rsidRDefault="008256C8" w:rsidP="0005432A">
      <w:pPr>
        <w:pStyle w:val="BodyText"/>
        <w:rPr>
          <w:noProof/>
          <w:lang w:val="en-US"/>
        </w:rPr>
      </w:pPr>
    </w:p>
    <w:p w:rsidR="008256C8" w:rsidRPr="00E84532" w:rsidRDefault="008256C8" w:rsidP="0005432A">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Default="00E807F8" w:rsidP="00E807F8">
      <w:pPr>
        <w:pStyle w:val="BodyText"/>
        <w:rPr>
          <w:rFonts w:asciiTheme="minorHAnsi" w:hAnsiTheme="minorHAnsi"/>
        </w:rPr>
      </w:pPr>
    </w:p>
    <w:p w:rsidR="003D5EBE" w:rsidRPr="00E84532" w:rsidRDefault="003D5EBE" w:rsidP="00E807F8">
      <w:pPr>
        <w:pStyle w:val="BodyText"/>
        <w:rPr>
          <w:rFonts w:asciiTheme="minorHAnsi" w:hAnsiTheme="minorHAnsi"/>
        </w:rPr>
      </w:pPr>
    </w:p>
    <w:p w:rsidR="00E807F8" w:rsidRPr="00E84532" w:rsidRDefault="00E807F8" w:rsidP="00E807F8">
      <w:pPr>
        <w:pStyle w:val="BodyText"/>
        <w:rPr>
          <w:rFonts w:asciiTheme="minorHAnsi" w:hAnsiTheme="minorHAnsi"/>
        </w:rPr>
      </w:pPr>
    </w:p>
    <w:p w:rsidR="00E807F8" w:rsidRPr="00E84532" w:rsidRDefault="00E807F8" w:rsidP="00E807F8">
      <w:pPr>
        <w:pStyle w:val="BodyText"/>
        <w:jc w:val="center"/>
        <w:rPr>
          <w:rFonts w:asciiTheme="minorHAnsi" w:hAnsiTheme="minorHAnsi"/>
        </w:rPr>
      </w:pPr>
      <w:r w:rsidRPr="00E84532">
        <w:rPr>
          <w:rFonts w:asciiTheme="minorHAnsi" w:hAnsiTheme="minorHAnsi"/>
        </w:rPr>
        <w:t xml:space="preserve">Prishtinë, </w:t>
      </w:r>
      <w:r w:rsidR="007A640E">
        <w:rPr>
          <w:rFonts w:asciiTheme="minorHAnsi" w:hAnsiTheme="minorHAnsi"/>
        </w:rPr>
        <w:t>shtator 2020</w:t>
      </w:r>
    </w:p>
    <w:p w:rsidR="00E807F8" w:rsidRPr="00E84532" w:rsidRDefault="00E807F8" w:rsidP="00E807F8">
      <w:pPr>
        <w:pStyle w:val="BodyText"/>
        <w:rPr>
          <w:rFonts w:asciiTheme="minorHAnsi" w:hAnsiTheme="minorHAnsi"/>
        </w:rPr>
      </w:pPr>
      <w:r w:rsidRPr="00E84532">
        <w:rPr>
          <w:rFonts w:asciiTheme="minorHAnsi" w:hAnsiTheme="minorHAnsi"/>
        </w:rPr>
        <w:lastRenderedPageBreak/>
        <w:t>PËRMBAJTJA</w:t>
      </w:r>
    </w:p>
    <w:sdt>
      <w:sdtPr>
        <w:rPr>
          <w:rStyle w:val="Hyperlink"/>
          <w:rFonts w:ascii="Times New Roman" w:hAnsi="Times New Roman"/>
          <w:b w:val="0"/>
          <w:bCs w:val="0"/>
          <w:noProof/>
          <w:sz w:val="20"/>
          <w:szCs w:val="24"/>
          <w:u w:val="none"/>
          <w:lang w:val="sq-AL"/>
        </w:rPr>
        <w:id w:val="29658630"/>
        <w:docPartObj>
          <w:docPartGallery w:val="Table of Contents"/>
          <w:docPartUnique/>
        </w:docPartObj>
      </w:sdtPr>
      <w:sdtEndPr>
        <w:rPr>
          <w:rStyle w:val="Hyperlink"/>
          <w:rFonts w:asciiTheme="minorHAnsi" w:hAnsiTheme="minorHAnsi"/>
          <w:sz w:val="24"/>
        </w:rPr>
      </w:sdtEndPr>
      <w:sdtContent>
        <w:p w:rsidR="00872F75" w:rsidRPr="000C6431" w:rsidRDefault="00872F75">
          <w:pPr>
            <w:pStyle w:val="TOCHeading"/>
            <w:rPr>
              <w:rStyle w:val="Hyperlink"/>
              <w:rFonts w:ascii="Times New Roman" w:hAnsi="Times New Roman"/>
              <w:b w:val="0"/>
              <w:bCs w:val="0"/>
              <w:noProof/>
              <w:sz w:val="20"/>
              <w:szCs w:val="24"/>
              <w:u w:val="none"/>
              <w:lang w:val="sq-AL"/>
            </w:rPr>
          </w:pPr>
        </w:p>
        <w:p w:rsidR="00382204" w:rsidRPr="00382204" w:rsidRDefault="00872F75" w:rsidP="00382204">
          <w:pPr>
            <w:pStyle w:val="TOC1"/>
            <w:rPr>
              <w:rFonts w:eastAsiaTheme="minorEastAsia"/>
              <w:lang w:val="en-US"/>
            </w:rPr>
          </w:pPr>
          <w:r w:rsidRPr="000C6431">
            <w:rPr>
              <w:rStyle w:val="Hyperlink"/>
              <w:rFonts w:cs="Times New Roman"/>
              <w:b/>
              <w:i/>
              <w:sz w:val="24"/>
              <w:szCs w:val="24"/>
              <w:u w:val="none"/>
            </w:rPr>
            <w:fldChar w:fldCharType="begin"/>
          </w:r>
          <w:r w:rsidRPr="000C6431">
            <w:rPr>
              <w:rStyle w:val="Hyperlink"/>
              <w:rFonts w:cs="Times New Roman"/>
              <w:b/>
              <w:i/>
              <w:sz w:val="24"/>
              <w:szCs w:val="24"/>
              <w:u w:val="none"/>
            </w:rPr>
            <w:instrText xml:space="preserve"> TOC \o "1-3" \h \z \u </w:instrText>
          </w:r>
          <w:r w:rsidRPr="000C6431">
            <w:rPr>
              <w:rStyle w:val="Hyperlink"/>
              <w:rFonts w:cs="Times New Roman"/>
              <w:b/>
              <w:i/>
              <w:sz w:val="24"/>
              <w:szCs w:val="24"/>
              <w:u w:val="none"/>
            </w:rPr>
            <w:fldChar w:fldCharType="separate"/>
          </w:r>
          <w:hyperlink w:anchor="_Toc21521371" w:history="1">
            <w:r w:rsidR="00382204" w:rsidRPr="00382204">
              <w:rPr>
                <w:rStyle w:val="Hyperlink"/>
                <w:rFonts w:cstheme="minorHAnsi"/>
              </w:rPr>
              <w:t>1</w:t>
            </w:r>
            <w:r w:rsidR="00382204" w:rsidRPr="00382204">
              <w:rPr>
                <w:rFonts w:eastAsiaTheme="minorEastAsia"/>
                <w:lang w:val="en-US"/>
              </w:rPr>
              <w:tab/>
            </w:r>
            <w:r w:rsidR="00382204" w:rsidRPr="00382204">
              <w:rPr>
                <w:rStyle w:val="Hyperlink"/>
                <w:rFonts w:cstheme="minorHAnsi"/>
              </w:rPr>
              <w:t>Hyrje</w:t>
            </w:r>
            <w:r w:rsidR="00382204" w:rsidRPr="00382204">
              <w:rPr>
                <w:webHidden/>
              </w:rPr>
              <w:tab/>
            </w:r>
            <w:r w:rsidR="00382204" w:rsidRPr="00382204">
              <w:rPr>
                <w:webHidden/>
              </w:rPr>
              <w:fldChar w:fldCharType="begin"/>
            </w:r>
            <w:r w:rsidR="00382204" w:rsidRPr="00382204">
              <w:rPr>
                <w:webHidden/>
              </w:rPr>
              <w:instrText xml:space="preserve"> PAGEREF _Toc21521371 \h </w:instrText>
            </w:r>
            <w:r w:rsidR="00382204" w:rsidRPr="00382204">
              <w:rPr>
                <w:webHidden/>
              </w:rPr>
            </w:r>
            <w:r w:rsidR="00382204" w:rsidRPr="00382204">
              <w:rPr>
                <w:webHidden/>
              </w:rPr>
              <w:fldChar w:fldCharType="separate"/>
            </w:r>
            <w:r w:rsidR="0064283F">
              <w:rPr>
                <w:webHidden/>
              </w:rPr>
              <w:t>2</w:t>
            </w:r>
            <w:r w:rsidR="00382204" w:rsidRPr="00382204">
              <w:rPr>
                <w:webHidden/>
              </w:rPr>
              <w:fldChar w:fldCharType="end"/>
            </w:r>
          </w:hyperlink>
        </w:p>
        <w:p w:rsidR="00382204" w:rsidRPr="00382204" w:rsidRDefault="004A64EF" w:rsidP="00382204">
          <w:pPr>
            <w:pStyle w:val="TOC1"/>
            <w:rPr>
              <w:rFonts w:eastAsiaTheme="minorEastAsia"/>
              <w:lang w:val="en-US"/>
            </w:rPr>
          </w:pPr>
          <w:hyperlink w:anchor="_Toc21521372" w:history="1">
            <w:r w:rsidR="00382204" w:rsidRPr="00382204">
              <w:rPr>
                <w:rStyle w:val="Hyperlink"/>
                <w:rFonts w:cstheme="minorHAnsi"/>
              </w:rPr>
              <w:t>2</w:t>
            </w:r>
            <w:r w:rsidR="00382204" w:rsidRPr="00382204">
              <w:rPr>
                <w:rFonts w:eastAsiaTheme="minorEastAsia"/>
                <w:lang w:val="en-US"/>
              </w:rPr>
              <w:tab/>
            </w:r>
            <w:r w:rsidR="00382204" w:rsidRPr="00382204">
              <w:rPr>
                <w:rStyle w:val="Hyperlink"/>
                <w:rFonts w:cstheme="minorHAnsi"/>
              </w:rPr>
              <w:t>Parimet dhe Formulimi i Metodologjisë Tarifore</w:t>
            </w:r>
            <w:r w:rsidR="00382204" w:rsidRPr="00382204">
              <w:rPr>
                <w:webHidden/>
              </w:rPr>
              <w:tab/>
            </w:r>
            <w:r w:rsidR="00382204" w:rsidRPr="00382204">
              <w:rPr>
                <w:webHidden/>
              </w:rPr>
              <w:fldChar w:fldCharType="begin"/>
            </w:r>
            <w:r w:rsidR="00382204" w:rsidRPr="00382204">
              <w:rPr>
                <w:webHidden/>
              </w:rPr>
              <w:instrText xml:space="preserve"> PAGEREF _Toc21521372 \h </w:instrText>
            </w:r>
            <w:r w:rsidR="00382204" w:rsidRPr="00382204">
              <w:rPr>
                <w:webHidden/>
              </w:rPr>
            </w:r>
            <w:r w:rsidR="00382204" w:rsidRPr="00382204">
              <w:rPr>
                <w:webHidden/>
              </w:rPr>
              <w:fldChar w:fldCharType="separate"/>
            </w:r>
            <w:r w:rsidR="0064283F">
              <w:rPr>
                <w:webHidden/>
              </w:rPr>
              <w:t>3</w:t>
            </w:r>
            <w:r w:rsidR="00382204" w:rsidRPr="00382204">
              <w:rPr>
                <w:webHidden/>
              </w:rPr>
              <w:fldChar w:fldCharType="end"/>
            </w:r>
          </w:hyperlink>
        </w:p>
        <w:p w:rsidR="00382204" w:rsidRPr="00382204" w:rsidRDefault="004A64EF" w:rsidP="00382204">
          <w:pPr>
            <w:pStyle w:val="TOC1"/>
            <w:rPr>
              <w:rFonts w:eastAsiaTheme="minorEastAsia"/>
              <w:lang w:val="en-US"/>
            </w:rPr>
          </w:pPr>
          <w:hyperlink w:anchor="_Toc21521374" w:history="1">
            <w:r w:rsidR="00382204" w:rsidRPr="00382204">
              <w:rPr>
                <w:rStyle w:val="Hyperlink"/>
                <w:rFonts w:cstheme="minorHAnsi"/>
              </w:rPr>
              <w:t>3</w:t>
            </w:r>
            <w:r w:rsidR="00382204" w:rsidRPr="00382204">
              <w:rPr>
                <w:rFonts w:eastAsiaTheme="minorEastAsia"/>
                <w:lang w:val="en-US"/>
              </w:rPr>
              <w:tab/>
            </w:r>
            <w:r w:rsidR="00382204" w:rsidRPr="00382204">
              <w:rPr>
                <w:rStyle w:val="Hyperlink"/>
                <w:rFonts w:cstheme="minorHAnsi"/>
              </w:rPr>
              <w:t>Përcaktimi i të Hyrave të Lejuara</w:t>
            </w:r>
            <w:r w:rsidR="00382204" w:rsidRPr="00382204">
              <w:rPr>
                <w:webHidden/>
              </w:rPr>
              <w:tab/>
            </w:r>
            <w:r w:rsidR="00382204" w:rsidRPr="00382204">
              <w:rPr>
                <w:webHidden/>
              </w:rPr>
              <w:fldChar w:fldCharType="begin"/>
            </w:r>
            <w:r w:rsidR="00382204" w:rsidRPr="00382204">
              <w:rPr>
                <w:webHidden/>
              </w:rPr>
              <w:instrText xml:space="preserve"> PAGEREF _Toc21521374 \h </w:instrText>
            </w:r>
            <w:r w:rsidR="00382204" w:rsidRPr="00382204">
              <w:rPr>
                <w:webHidden/>
              </w:rPr>
            </w:r>
            <w:r w:rsidR="00382204" w:rsidRPr="00382204">
              <w:rPr>
                <w:webHidden/>
              </w:rPr>
              <w:fldChar w:fldCharType="separate"/>
            </w:r>
            <w:r w:rsidR="0064283F">
              <w:rPr>
                <w:webHidden/>
              </w:rPr>
              <w:t>6</w:t>
            </w:r>
            <w:r w:rsidR="00382204" w:rsidRPr="00382204">
              <w:rPr>
                <w:webHidden/>
              </w:rPr>
              <w:fldChar w:fldCharType="end"/>
            </w:r>
          </w:hyperlink>
        </w:p>
        <w:p w:rsidR="00382204" w:rsidRPr="00382204" w:rsidRDefault="004A64EF" w:rsidP="00382204">
          <w:pPr>
            <w:pStyle w:val="TOC2"/>
            <w:rPr>
              <w:rFonts w:eastAsiaTheme="minorEastAsia"/>
              <w:lang w:val="en-US"/>
            </w:rPr>
          </w:pPr>
          <w:hyperlink w:anchor="_Toc21521375" w:history="1">
            <w:r w:rsidR="00382204" w:rsidRPr="00382204">
              <w:rPr>
                <w:rStyle w:val="Hyperlink"/>
              </w:rPr>
              <w:t>3.1</w:t>
            </w:r>
            <w:r w:rsidR="00382204" w:rsidRPr="00382204">
              <w:rPr>
                <w:rFonts w:eastAsiaTheme="minorEastAsia"/>
                <w:lang w:val="en-US"/>
              </w:rPr>
              <w:tab/>
            </w:r>
            <w:r w:rsidR="00382204" w:rsidRPr="00382204">
              <w:rPr>
                <w:rStyle w:val="Hyperlink"/>
              </w:rPr>
              <w:t>Vlerësimi dhe përcaktimi i kostove operative të lejuara</w:t>
            </w:r>
            <w:r w:rsidR="00382204" w:rsidRPr="00382204">
              <w:rPr>
                <w:webHidden/>
              </w:rPr>
              <w:tab/>
            </w:r>
            <w:r w:rsidR="00382204" w:rsidRPr="00382204">
              <w:rPr>
                <w:webHidden/>
              </w:rPr>
              <w:fldChar w:fldCharType="begin"/>
            </w:r>
            <w:r w:rsidR="00382204" w:rsidRPr="00382204">
              <w:rPr>
                <w:webHidden/>
              </w:rPr>
              <w:instrText xml:space="preserve"> PAGEREF _Toc21521375 \h </w:instrText>
            </w:r>
            <w:r w:rsidR="00382204" w:rsidRPr="00382204">
              <w:rPr>
                <w:webHidden/>
              </w:rPr>
            </w:r>
            <w:r w:rsidR="00382204" w:rsidRPr="00382204">
              <w:rPr>
                <w:webHidden/>
              </w:rPr>
              <w:fldChar w:fldCharType="separate"/>
            </w:r>
            <w:r w:rsidR="0064283F">
              <w:rPr>
                <w:webHidden/>
              </w:rPr>
              <w:t>7</w:t>
            </w:r>
            <w:r w:rsidR="00382204" w:rsidRPr="00382204">
              <w:rPr>
                <w:webHidden/>
              </w:rPr>
              <w:fldChar w:fldCharType="end"/>
            </w:r>
          </w:hyperlink>
        </w:p>
        <w:p w:rsidR="00382204" w:rsidRPr="00382204" w:rsidRDefault="004A64EF" w:rsidP="00382204">
          <w:pPr>
            <w:pStyle w:val="TOC2"/>
            <w:rPr>
              <w:rFonts w:eastAsiaTheme="minorEastAsia"/>
              <w:lang w:val="en-US"/>
            </w:rPr>
          </w:pPr>
          <w:hyperlink w:anchor="_Toc21521379" w:history="1">
            <w:r w:rsidR="00382204" w:rsidRPr="00382204">
              <w:rPr>
                <w:rStyle w:val="Hyperlink"/>
              </w:rPr>
              <w:t>3.2</w:t>
            </w:r>
            <w:r w:rsidR="00382204" w:rsidRPr="00382204">
              <w:rPr>
                <w:rFonts w:eastAsiaTheme="minorEastAsia"/>
                <w:lang w:val="en-US"/>
              </w:rPr>
              <w:tab/>
            </w:r>
            <w:r w:rsidR="00382204" w:rsidRPr="00382204">
              <w:rPr>
                <w:rStyle w:val="Hyperlink"/>
              </w:rPr>
              <w:t>Përcaktimi i Bazës së Rregulluar të Aseteve (RAB)</w:t>
            </w:r>
            <w:r w:rsidR="00382204" w:rsidRPr="00382204">
              <w:rPr>
                <w:webHidden/>
              </w:rPr>
              <w:tab/>
            </w:r>
            <w:r w:rsidR="00382204" w:rsidRPr="00382204">
              <w:rPr>
                <w:webHidden/>
              </w:rPr>
              <w:fldChar w:fldCharType="begin"/>
            </w:r>
            <w:r w:rsidR="00382204" w:rsidRPr="00382204">
              <w:rPr>
                <w:webHidden/>
              </w:rPr>
              <w:instrText xml:space="preserve"> PAGEREF _Toc21521379 \h </w:instrText>
            </w:r>
            <w:r w:rsidR="00382204" w:rsidRPr="00382204">
              <w:rPr>
                <w:webHidden/>
              </w:rPr>
            </w:r>
            <w:r w:rsidR="00382204" w:rsidRPr="00382204">
              <w:rPr>
                <w:webHidden/>
              </w:rPr>
              <w:fldChar w:fldCharType="separate"/>
            </w:r>
            <w:r w:rsidR="0064283F">
              <w:rPr>
                <w:webHidden/>
              </w:rPr>
              <w:t>15</w:t>
            </w:r>
            <w:r w:rsidR="00382204" w:rsidRPr="00382204">
              <w:rPr>
                <w:webHidden/>
              </w:rPr>
              <w:fldChar w:fldCharType="end"/>
            </w:r>
          </w:hyperlink>
        </w:p>
        <w:p w:rsidR="00382204" w:rsidRPr="00382204" w:rsidRDefault="004A64EF">
          <w:pPr>
            <w:pStyle w:val="TOC3"/>
            <w:tabs>
              <w:tab w:val="right" w:leader="dot" w:pos="9063"/>
            </w:tabs>
            <w:rPr>
              <w:rFonts w:asciiTheme="minorHAnsi" w:eastAsiaTheme="minorEastAsia" w:hAnsiTheme="minorHAnsi" w:cstheme="minorHAnsi"/>
              <w:noProof/>
              <w:sz w:val="22"/>
              <w:szCs w:val="22"/>
              <w:lang w:val="en-US"/>
            </w:rPr>
          </w:pPr>
          <w:hyperlink w:anchor="_Toc21521380" w:history="1">
            <w:r w:rsidR="00382204" w:rsidRPr="00382204">
              <w:rPr>
                <w:rStyle w:val="Hyperlink"/>
                <w:rFonts w:asciiTheme="minorHAnsi" w:hAnsiTheme="minorHAnsi" w:cstheme="minorHAnsi"/>
                <w:noProof/>
              </w:rPr>
              <w:t>3.2.1 Përcaktimi i Bazës së Rregulluar të Aseteve Fillestarë (RABnfill.)</w:t>
            </w:r>
            <w:r w:rsidR="00382204" w:rsidRPr="00382204">
              <w:rPr>
                <w:rFonts w:asciiTheme="minorHAnsi" w:hAnsiTheme="minorHAnsi" w:cstheme="minorHAnsi"/>
                <w:noProof/>
                <w:webHidden/>
              </w:rPr>
              <w:tab/>
            </w:r>
            <w:r w:rsidR="00382204" w:rsidRPr="00382204">
              <w:rPr>
                <w:rFonts w:asciiTheme="minorHAnsi" w:hAnsiTheme="minorHAnsi" w:cstheme="minorHAnsi"/>
                <w:noProof/>
                <w:webHidden/>
              </w:rPr>
              <w:fldChar w:fldCharType="begin"/>
            </w:r>
            <w:r w:rsidR="00382204" w:rsidRPr="00382204">
              <w:rPr>
                <w:rFonts w:asciiTheme="minorHAnsi" w:hAnsiTheme="minorHAnsi" w:cstheme="minorHAnsi"/>
                <w:noProof/>
                <w:webHidden/>
              </w:rPr>
              <w:instrText xml:space="preserve"> PAGEREF _Toc21521380 \h </w:instrText>
            </w:r>
            <w:r w:rsidR="00382204" w:rsidRPr="00382204">
              <w:rPr>
                <w:rFonts w:asciiTheme="minorHAnsi" w:hAnsiTheme="minorHAnsi" w:cstheme="minorHAnsi"/>
                <w:noProof/>
                <w:webHidden/>
              </w:rPr>
            </w:r>
            <w:r w:rsidR="00382204" w:rsidRPr="00382204">
              <w:rPr>
                <w:rFonts w:asciiTheme="minorHAnsi" w:hAnsiTheme="minorHAnsi" w:cstheme="minorHAnsi"/>
                <w:noProof/>
                <w:webHidden/>
              </w:rPr>
              <w:fldChar w:fldCharType="separate"/>
            </w:r>
            <w:r w:rsidR="0064283F">
              <w:rPr>
                <w:rFonts w:asciiTheme="minorHAnsi" w:hAnsiTheme="minorHAnsi" w:cstheme="minorHAnsi"/>
                <w:noProof/>
                <w:webHidden/>
              </w:rPr>
              <w:t>15</w:t>
            </w:r>
            <w:r w:rsidR="00382204" w:rsidRPr="00382204">
              <w:rPr>
                <w:rFonts w:asciiTheme="minorHAnsi" w:hAnsiTheme="minorHAnsi" w:cstheme="minorHAnsi"/>
                <w:noProof/>
                <w:webHidden/>
              </w:rPr>
              <w:fldChar w:fldCharType="end"/>
            </w:r>
          </w:hyperlink>
        </w:p>
        <w:p w:rsidR="00382204" w:rsidRPr="00382204" w:rsidRDefault="004A64EF">
          <w:pPr>
            <w:pStyle w:val="TOC3"/>
            <w:tabs>
              <w:tab w:val="right" w:leader="dot" w:pos="9063"/>
            </w:tabs>
            <w:rPr>
              <w:rFonts w:asciiTheme="minorHAnsi" w:eastAsiaTheme="minorEastAsia" w:hAnsiTheme="minorHAnsi" w:cstheme="minorHAnsi"/>
              <w:noProof/>
              <w:sz w:val="22"/>
              <w:szCs w:val="22"/>
              <w:lang w:val="en-US"/>
            </w:rPr>
          </w:pPr>
          <w:hyperlink w:anchor="_Toc21521381" w:history="1">
            <w:r w:rsidR="00382204" w:rsidRPr="00382204">
              <w:rPr>
                <w:rStyle w:val="Hyperlink"/>
                <w:rFonts w:asciiTheme="minorHAnsi" w:hAnsiTheme="minorHAnsi" w:cstheme="minorHAnsi"/>
                <w:noProof/>
              </w:rPr>
              <w:t>3.2.2 Përcaktimi i Investimeve të reja të lejuara</w:t>
            </w:r>
            <w:r w:rsidR="00382204" w:rsidRPr="00382204">
              <w:rPr>
                <w:rFonts w:asciiTheme="minorHAnsi" w:hAnsiTheme="minorHAnsi" w:cstheme="minorHAnsi"/>
                <w:noProof/>
                <w:webHidden/>
              </w:rPr>
              <w:tab/>
            </w:r>
            <w:r w:rsidR="00382204" w:rsidRPr="00382204">
              <w:rPr>
                <w:rFonts w:asciiTheme="minorHAnsi" w:hAnsiTheme="minorHAnsi" w:cstheme="minorHAnsi"/>
                <w:noProof/>
                <w:webHidden/>
              </w:rPr>
              <w:fldChar w:fldCharType="begin"/>
            </w:r>
            <w:r w:rsidR="00382204" w:rsidRPr="00382204">
              <w:rPr>
                <w:rFonts w:asciiTheme="minorHAnsi" w:hAnsiTheme="minorHAnsi" w:cstheme="minorHAnsi"/>
                <w:noProof/>
                <w:webHidden/>
              </w:rPr>
              <w:instrText xml:space="preserve"> PAGEREF _Toc21521381 \h </w:instrText>
            </w:r>
            <w:r w:rsidR="00382204" w:rsidRPr="00382204">
              <w:rPr>
                <w:rFonts w:asciiTheme="minorHAnsi" w:hAnsiTheme="minorHAnsi" w:cstheme="minorHAnsi"/>
                <w:noProof/>
                <w:webHidden/>
              </w:rPr>
            </w:r>
            <w:r w:rsidR="00382204" w:rsidRPr="00382204">
              <w:rPr>
                <w:rFonts w:asciiTheme="minorHAnsi" w:hAnsiTheme="minorHAnsi" w:cstheme="minorHAnsi"/>
                <w:noProof/>
                <w:webHidden/>
              </w:rPr>
              <w:fldChar w:fldCharType="separate"/>
            </w:r>
            <w:r w:rsidR="0064283F">
              <w:rPr>
                <w:rFonts w:asciiTheme="minorHAnsi" w:hAnsiTheme="minorHAnsi" w:cstheme="minorHAnsi"/>
                <w:noProof/>
                <w:webHidden/>
              </w:rPr>
              <w:t>15</w:t>
            </w:r>
            <w:r w:rsidR="00382204" w:rsidRPr="00382204">
              <w:rPr>
                <w:rFonts w:asciiTheme="minorHAnsi" w:hAnsiTheme="minorHAnsi" w:cstheme="minorHAnsi"/>
                <w:noProof/>
                <w:webHidden/>
              </w:rPr>
              <w:fldChar w:fldCharType="end"/>
            </w:r>
          </w:hyperlink>
        </w:p>
        <w:p w:rsidR="00382204" w:rsidRPr="00382204" w:rsidRDefault="004A64EF">
          <w:pPr>
            <w:pStyle w:val="TOC3"/>
            <w:tabs>
              <w:tab w:val="left" w:pos="1320"/>
              <w:tab w:val="right" w:leader="dot" w:pos="9063"/>
            </w:tabs>
            <w:rPr>
              <w:rFonts w:asciiTheme="minorHAnsi" w:eastAsiaTheme="minorEastAsia" w:hAnsiTheme="minorHAnsi" w:cstheme="minorHAnsi"/>
              <w:noProof/>
              <w:sz w:val="22"/>
              <w:szCs w:val="22"/>
              <w:lang w:val="en-US"/>
            </w:rPr>
          </w:pPr>
          <w:hyperlink w:anchor="_Toc21521382" w:history="1">
            <w:r w:rsidR="00382204" w:rsidRPr="00382204">
              <w:rPr>
                <w:rStyle w:val="Hyperlink"/>
                <w:rFonts w:asciiTheme="minorHAnsi" w:hAnsiTheme="minorHAnsi" w:cstheme="minorHAnsi"/>
                <w:noProof/>
              </w:rPr>
              <w:t xml:space="preserve">3.2.3 </w:t>
            </w:r>
            <w:r w:rsidR="00382204" w:rsidRPr="00382204">
              <w:rPr>
                <w:rFonts w:asciiTheme="minorHAnsi" w:eastAsiaTheme="minorEastAsia" w:hAnsiTheme="minorHAnsi" w:cstheme="minorHAnsi"/>
                <w:noProof/>
                <w:sz w:val="22"/>
                <w:szCs w:val="22"/>
                <w:lang w:val="en-US"/>
              </w:rPr>
              <w:tab/>
            </w:r>
            <w:r w:rsidR="00382204" w:rsidRPr="00382204">
              <w:rPr>
                <w:rStyle w:val="Hyperlink"/>
                <w:rFonts w:asciiTheme="minorHAnsi" w:hAnsiTheme="minorHAnsi" w:cstheme="minorHAnsi"/>
                <w:noProof/>
              </w:rPr>
              <w:t>Përcaktimi i Kapitalit Punues</w:t>
            </w:r>
            <w:r w:rsidR="00382204" w:rsidRPr="00382204">
              <w:rPr>
                <w:rFonts w:asciiTheme="minorHAnsi" w:hAnsiTheme="minorHAnsi" w:cstheme="minorHAnsi"/>
                <w:noProof/>
                <w:webHidden/>
              </w:rPr>
              <w:tab/>
            </w:r>
            <w:r w:rsidR="00382204" w:rsidRPr="00382204">
              <w:rPr>
                <w:rFonts w:asciiTheme="minorHAnsi" w:hAnsiTheme="minorHAnsi" w:cstheme="minorHAnsi"/>
                <w:noProof/>
                <w:webHidden/>
              </w:rPr>
              <w:fldChar w:fldCharType="begin"/>
            </w:r>
            <w:r w:rsidR="00382204" w:rsidRPr="00382204">
              <w:rPr>
                <w:rFonts w:asciiTheme="minorHAnsi" w:hAnsiTheme="minorHAnsi" w:cstheme="minorHAnsi"/>
                <w:noProof/>
                <w:webHidden/>
              </w:rPr>
              <w:instrText xml:space="preserve"> PAGEREF _Toc21521382 \h </w:instrText>
            </w:r>
            <w:r w:rsidR="00382204" w:rsidRPr="00382204">
              <w:rPr>
                <w:rFonts w:asciiTheme="minorHAnsi" w:hAnsiTheme="minorHAnsi" w:cstheme="minorHAnsi"/>
                <w:noProof/>
                <w:webHidden/>
              </w:rPr>
            </w:r>
            <w:r w:rsidR="00382204" w:rsidRPr="00382204">
              <w:rPr>
                <w:rFonts w:asciiTheme="minorHAnsi" w:hAnsiTheme="minorHAnsi" w:cstheme="minorHAnsi"/>
                <w:noProof/>
                <w:webHidden/>
              </w:rPr>
              <w:fldChar w:fldCharType="separate"/>
            </w:r>
            <w:r w:rsidR="0064283F">
              <w:rPr>
                <w:rFonts w:asciiTheme="minorHAnsi" w:hAnsiTheme="minorHAnsi" w:cstheme="minorHAnsi"/>
                <w:noProof/>
                <w:webHidden/>
              </w:rPr>
              <w:t>18</w:t>
            </w:r>
            <w:r w:rsidR="00382204" w:rsidRPr="00382204">
              <w:rPr>
                <w:rFonts w:asciiTheme="minorHAnsi" w:hAnsiTheme="minorHAnsi" w:cstheme="minorHAnsi"/>
                <w:noProof/>
                <w:webHidden/>
              </w:rPr>
              <w:fldChar w:fldCharType="end"/>
            </w:r>
          </w:hyperlink>
        </w:p>
        <w:p w:rsidR="00382204" w:rsidRPr="00382204" w:rsidRDefault="004A64EF">
          <w:pPr>
            <w:pStyle w:val="TOC3"/>
            <w:tabs>
              <w:tab w:val="left" w:pos="1100"/>
              <w:tab w:val="right" w:leader="dot" w:pos="9063"/>
            </w:tabs>
            <w:rPr>
              <w:rFonts w:asciiTheme="minorHAnsi" w:eastAsiaTheme="minorEastAsia" w:hAnsiTheme="minorHAnsi" w:cstheme="minorHAnsi"/>
              <w:noProof/>
              <w:sz w:val="22"/>
              <w:szCs w:val="22"/>
              <w:lang w:val="en-US"/>
            </w:rPr>
          </w:pPr>
          <w:hyperlink w:anchor="_Toc21521383" w:history="1">
            <w:r w:rsidR="00382204" w:rsidRPr="00382204">
              <w:rPr>
                <w:rStyle w:val="Hyperlink"/>
                <w:rFonts w:asciiTheme="minorHAnsi" w:hAnsiTheme="minorHAnsi" w:cstheme="minorHAnsi"/>
                <w:noProof/>
              </w:rPr>
              <w:t>3.2.4</w:t>
            </w:r>
            <w:r w:rsidR="00382204" w:rsidRPr="00382204">
              <w:rPr>
                <w:rFonts w:asciiTheme="minorHAnsi" w:eastAsiaTheme="minorEastAsia" w:hAnsiTheme="minorHAnsi" w:cstheme="minorHAnsi"/>
                <w:noProof/>
                <w:sz w:val="22"/>
                <w:szCs w:val="22"/>
                <w:lang w:val="en-US"/>
              </w:rPr>
              <w:tab/>
            </w:r>
            <w:r w:rsidR="00382204" w:rsidRPr="00382204">
              <w:rPr>
                <w:rStyle w:val="Hyperlink"/>
                <w:rFonts w:asciiTheme="minorHAnsi" w:hAnsiTheme="minorHAnsi" w:cstheme="minorHAnsi"/>
                <w:noProof/>
              </w:rPr>
              <w:t>Zhvlerësimi Vjetorë i Aseteve - realizuar në sezonin 201</w:t>
            </w:r>
            <w:r w:rsidR="003A13BC">
              <w:rPr>
                <w:rStyle w:val="Hyperlink"/>
                <w:rFonts w:asciiTheme="minorHAnsi" w:hAnsiTheme="minorHAnsi" w:cstheme="minorHAnsi"/>
                <w:noProof/>
              </w:rPr>
              <w:t>9</w:t>
            </w:r>
            <w:r w:rsidR="00382204" w:rsidRPr="00382204">
              <w:rPr>
                <w:rStyle w:val="Hyperlink"/>
                <w:rFonts w:asciiTheme="minorHAnsi" w:hAnsiTheme="minorHAnsi" w:cstheme="minorHAnsi"/>
                <w:noProof/>
              </w:rPr>
              <w:t>/</w:t>
            </w:r>
            <w:r w:rsidR="003A13BC">
              <w:rPr>
                <w:rStyle w:val="Hyperlink"/>
                <w:rFonts w:asciiTheme="minorHAnsi" w:hAnsiTheme="minorHAnsi" w:cstheme="minorHAnsi"/>
                <w:noProof/>
              </w:rPr>
              <w:t>20</w:t>
            </w:r>
            <w:r w:rsidR="00382204" w:rsidRPr="00382204">
              <w:rPr>
                <w:rStyle w:val="Hyperlink"/>
                <w:rFonts w:asciiTheme="minorHAnsi" w:hAnsiTheme="minorHAnsi" w:cstheme="minorHAnsi"/>
                <w:noProof/>
              </w:rPr>
              <w:t xml:space="preserve"> (‘n-1’)</w:t>
            </w:r>
            <w:r w:rsidR="00382204" w:rsidRPr="00382204">
              <w:rPr>
                <w:rFonts w:asciiTheme="minorHAnsi" w:hAnsiTheme="minorHAnsi" w:cstheme="minorHAnsi"/>
                <w:noProof/>
                <w:webHidden/>
              </w:rPr>
              <w:tab/>
            </w:r>
            <w:r w:rsidR="00382204" w:rsidRPr="00382204">
              <w:rPr>
                <w:rFonts w:asciiTheme="minorHAnsi" w:hAnsiTheme="minorHAnsi" w:cstheme="minorHAnsi"/>
                <w:noProof/>
                <w:webHidden/>
              </w:rPr>
              <w:fldChar w:fldCharType="begin"/>
            </w:r>
            <w:r w:rsidR="00382204" w:rsidRPr="00382204">
              <w:rPr>
                <w:rFonts w:asciiTheme="minorHAnsi" w:hAnsiTheme="minorHAnsi" w:cstheme="minorHAnsi"/>
                <w:noProof/>
                <w:webHidden/>
              </w:rPr>
              <w:instrText xml:space="preserve"> PAGEREF _Toc21521383 \h </w:instrText>
            </w:r>
            <w:r w:rsidR="00382204" w:rsidRPr="00382204">
              <w:rPr>
                <w:rFonts w:asciiTheme="minorHAnsi" w:hAnsiTheme="minorHAnsi" w:cstheme="minorHAnsi"/>
                <w:noProof/>
                <w:webHidden/>
              </w:rPr>
            </w:r>
            <w:r w:rsidR="00382204" w:rsidRPr="00382204">
              <w:rPr>
                <w:rFonts w:asciiTheme="minorHAnsi" w:hAnsiTheme="minorHAnsi" w:cstheme="minorHAnsi"/>
                <w:noProof/>
                <w:webHidden/>
              </w:rPr>
              <w:fldChar w:fldCharType="separate"/>
            </w:r>
            <w:r w:rsidR="0064283F">
              <w:rPr>
                <w:rFonts w:asciiTheme="minorHAnsi" w:hAnsiTheme="minorHAnsi" w:cstheme="minorHAnsi"/>
                <w:noProof/>
                <w:webHidden/>
              </w:rPr>
              <w:t>18</w:t>
            </w:r>
            <w:r w:rsidR="00382204" w:rsidRPr="00382204">
              <w:rPr>
                <w:rFonts w:asciiTheme="minorHAnsi" w:hAnsiTheme="minorHAnsi" w:cstheme="minorHAnsi"/>
                <w:noProof/>
                <w:webHidden/>
              </w:rPr>
              <w:fldChar w:fldCharType="end"/>
            </w:r>
          </w:hyperlink>
        </w:p>
        <w:p w:rsidR="00382204" w:rsidRPr="00382204" w:rsidRDefault="004A64EF" w:rsidP="00382204">
          <w:pPr>
            <w:pStyle w:val="TOC3"/>
            <w:tabs>
              <w:tab w:val="left" w:pos="1320"/>
              <w:tab w:val="right" w:leader="dot" w:pos="9063"/>
            </w:tabs>
            <w:rPr>
              <w:rFonts w:asciiTheme="minorHAnsi" w:eastAsiaTheme="minorEastAsia" w:hAnsiTheme="minorHAnsi" w:cstheme="minorHAnsi"/>
              <w:noProof/>
              <w:sz w:val="22"/>
              <w:szCs w:val="22"/>
              <w:lang w:val="en-US"/>
            </w:rPr>
          </w:pPr>
          <w:hyperlink w:anchor="_Toc21521384" w:history="1">
            <w:r w:rsidR="00382204" w:rsidRPr="00382204">
              <w:rPr>
                <w:rStyle w:val="Hyperlink"/>
                <w:rFonts w:asciiTheme="minorHAnsi" w:hAnsiTheme="minorHAnsi" w:cstheme="minorHAnsi"/>
                <w:noProof/>
              </w:rPr>
              <w:t xml:space="preserve">3.2.5 </w:t>
            </w:r>
            <w:r w:rsidR="00382204" w:rsidRPr="00382204">
              <w:rPr>
                <w:rFonts w:asciiTheme="minorHAnsi" w:eastAsiaTheme="minorEastAsia" w:hAnsiTheme="minorHAnsi" w:cstheme="minorHAnsi"/>
                <w:noProof/>
                <w:sz w:val="22"/>
                <w:szCs w:val="22"/>
                <w:lang w:val="en-US"/>
              </w:rPr>
              <w:tab/>
            </w:r>
            <w:r w:rsidR="00382204" w:rsidRPr="00382204">
              <w:rPr>
                <w:rStyle w:val="Hyperlink"/>
                <w:rFonts w:asciiTheme="minorHAnsi" w:hAnsiTheme="minorHAnsi" w:cstheme="minorHAnsi"/>
                <w:noProof/>
              </w:rPr>
              <w:t>Tjetërsimet</w:t>
            </w:r>
            <w:r w:rsidR="00382204" w:rsidRPr="00382204">
              <w:rPr>
                <w:rFonts w:asciiTheme="minorHAnsi" w:hAnsiTheme="minorHAnsi" w:cstheme="minorHAnsi"/>
                <w:noProof/>
                <w:webHidden/>
              </w:rPr>
              <w:tab/>
            </w:r>
            <w:r w:rsidR="00382204" w:rsidRPr="00382204">
              <w:rPr>
                <w:rFonts w:asciiTheme="minorHAnsi" w:hAnsiTheme="minorHAnsi" w:cstheme="minorHAnsi"/>
                <w:noProof/>
                <w:webHidden/>
              </w:rPr>
              <w:fldChar w:fldCharType="begin"/>
            </w:r>
            <w:r w:rsidR="00382204" w:rsidRPr="00382204">
              <w:rPr>
                <w:rFonts w:asciiTheme="minorHAnsi" w:hAnsiTheme="minorHAnsi" w:cstheme="minorHAnsi"/>
                <w:noProof/>
                <w:webHidden/>
              </w:rPr>
              <w:instrText xml:space="preserve"> PAGEREF _Toc21521384 \h </w:instrText>
            </w:r>
            <w:r w:rsidR="00382204" w:rsidRPr="00382204">
              <w:rPr>
                <w:rFonts w:asciiTheme="minorHAnsi" w:hAnsiTheme="minorHAnsi" w:cstheme="minorHAnsi"/>
                <w:noProof/>
                <w:webHidden/>
              </w:rPr>
            </w:r>
            <w:r w:rsidR="00382204" w:rsidRPr="00382204">
              <w:rPr>
                <w:rFonts w:asciiTheme="minorHAnsi" w:hAnsiTheme="minorHAnsi" w:cstheme="minorHAnsi"/>
                <w:noProof/>
                <w:webHidden/>
              </w:rPr>
              <w:fldChar w:fldCharType="separate"/>
            </w:r>
            <w:r w:rsidR="0064283F">
              <w:rPr>
                <w:rFonts w:asciiTheme="minorHAnsi" w:hAnsiTheme="minorHAnsi" w:cstheme="minorHAnsi"/>
                <w:noProof/>
                <w:webHidden/>
              </w:rPr>
              <w:t>18</w:t>
            </w:r>
            <w:r w:rsidR="00382204" w:rsidRPr="00382204">
              <w:rPr>
                <w:rFonts w:asciiTheme="minorHAnsi" w:hAnsiTheme="minorHAnsi" w:cstheme="minorHAnsi"/>
                <w:noProof/>
                <w:webHidden/>
              </w:rPr>
              <w:fldChar w:fldCharType="end"/>
            </w:r>
          </w:hyperlink>
        </w:p>
        <w:p w:rsidR="00382204" w:rsidRPr="00382204" w:rsidRDefault="004A64EF" w:rsidP="00382204">
          <w:pPr>
            <w:pStyle w:val="TOC2"/>
            <w:rPr>
              <w:rFonts w:eastAsiaTheme="minorEastAsia"/>
              <w:lang w:val="en-US"/>
            </w:rPr>
          </w:pPr>
          <w:hyperlink w:anchor="_Toc21521387" w:history="1">
            <w:r w:rsidR="00382204" w:rsidRPr="00382204">
              <w:rPr>
                <w:rStyle w:val="Hyperlink"/>
                <w:lang w:val="en-GB"/>
              </w:rPr>
              <w:t>3.3</w:t>
            </w:r>
            <w:r w:rsidR="00382204" w:rsidRPr="00382204">
              <w:rPr>
                <w:rFonts w:eastAsiaTheme="minorEastAsia"/>
                <w:lang w:val="en-US"/>
              </w:rPr>
              <w:tab/>
            </w:r>
            <w:r w:rsidR="00382204" w:rsidRPr="00382204">
              <w:rPr>
                <w:rStyle w:val="Hyperlink"/>
              </w:rPr>
              <w:t>Vlerësimi dhe Përcaktimi i Zhvlerësimit Vjetor për sezonin 20</w:t>
            </w:r>
            <w:r w:rsidR="003A13BC">
              <w:rPr>
                <w:rStyle w:val="Hyperlink"/>
              </w:rPr>
              <w:t>20</w:t>
            </w:r>
            <w:r w:rsidR="00382204" w:rsidRPr="00382204">
              <w:rPr>
                <w:rStyle w:val="Hyperlink"/>
              </w:rPr>
              <w:t>/202</w:t>
            </w:r>
            <w:r w:rsidR="003A13BC">
              <w:rPr>
                <w:rStyle w:val="Hyperlink"/>
              </w:rPr>
              <w:t>1</w:t>
            </w:r>
            <w:r w:rsidR="00382204" w:rsidRPr="00382204">
              <w:rPr>
                <w:webHidden/>
              </w:rPr>
              <w:tab/>
            </w:r>
            <w:r w:rsidR="00382204" w:rsidRPr="00382204">
              <w:rPr>
                <w:webHidden/>
              </w:rPr>
              <w:fldChar w:fldCharType="begin"/>
            </w:r>
            <w:r w:rsidR="00382204" w:rsidRPr="00382204">
              <w:rPr>
                <w:webHidden/>
              </w:rPr>
              <w:instrText xml:space="preserve"> PAGEREF _Toc21521387 \h </w:instrText>
            </w:r>
            <w:r w:rsidR="00382204" w:rsidRPr="00382204">
              <w:rPr>
                <w:webHidden/>
              </w:rPr>
            </w:r>
            <w:r w:rsidR="00382204" w:rsidRPr="00382204">
              <w:rPr>
                <w:webHidden/>
              </w:rPr>
              <w:fldChar w:fldCharType="separate"/>
            </w:r>
            <w:r w:rsidR="0064283F">
              <w:rPr>
                <w:webHidden/>
              </w:rPr>
              <w:t>20</w:t>
            </w:r>
            <w:r w:rsidR="00382204" w:rsidRPr="00382204">
              <w:rPr>
                <w:webHidden/>
              </w:rPr>
              <w:fldChar w:fldCharType="end"/>
            </w:r>
          </w:hyperlink>
        </w:p>
        <w:p w:rsidR="00382204" w:rsidRPr="00382204" w:rsidRDefault="004A64EF" w:rsidP="00382204">
          <w:pPr>
            <w:pStyle w:val="TOC2"/>
            <w:rPr>
              <w:rFonts w:eastAsiaTheme="minorEastAsia"/>
              <w:lang w:val="en-US"/>
            </w:rPr>
          </w:pPr>
          <w:hyperlink w:anchor="_Toc21521389" w:history="1">
            <w:r w:rsidR="00382204" w:rsidRPr="00382204">
              <w:rPr>
                <w:rStyle w:val="Hyperlink"/>
              </w:rPr>
              <w:t>3.4</w:t>
            </w:r>
            <w:r w:rsidR="00382204" w:rsidRPr="00382204">
              <w:rPr>
                <w:rFonts w:eastAsiaTheme="minorEastAsia"/>
                <w:lang w:val="en-US"/>
              </w:rPr>
              <w:tab/>
            </w:r>
            <w:r w:rsidR="00382204" w:rsidRPr="00382204">
              <w:rPr>
                <w:rStyle w:val="Hyperlink"/>
              </w:rPr>
              <w:t>Përcaktimi i Kthimit të Lejuar në RAB (Fitimi i Lejuar)</w:t>
            </w:r>
            <w:r w:rsidR="00382204" w:rsidRPr="00382204">
              <w:rPr>
                <w:webHidden/>
              </w:rPr>
              <w:tab/>
            </w:r>
            <w:r w:rsidR="00382204" w:rsidRPr="00382204">
              <w:rPr>
                <w:webHidden/>
              </w:rPr>
              <w:fldChar w:fldCharType="begin"/>
            </w:r>
            <w:r w:rsidR="00382204" w:rsidRPr="00382204">
              <w:rPr>
                <w:webHidden/>
              </w:rPr>
              <w:instrText xml:space="preserve"> PAGEREF _Toc21521389 \h </w:instrText>
            </w:r>
            <w:r w:rsidR="00382204" w:rsidRPr="00382204">
              <w:rPr>
                <w:webHidden/>
              </w:rPr>
            </w:r>
            <w:r w:rsidR="00382204" w:rsidRPr="00382204">
              <w:rPr>
                <w:webHidden/>
              </w:rPr>
              <w:fldChar w:fldCharType="separate"/>
            </w:r>
            <w:r w:rsidR="0064283F">
              <w:rPr>
                <w:webHidden/>
              </w:rPr>
              <w:t>20</w:t>
            </w:r>
            <w:r w:rsidR="00382204" w:rsidRPr="00382204">
              <w:rPr>
                <w:webHidden/>
              </w:rPr>
              <w:fldChar w:fldCharType="end"/>
            </w:r>
          </w:hyperlink>
        </w:p>
        <w:p w:rsidR="00382204" w:rsidRPr="00382204" w:rsidRDefault="004A64EF" w:rsidP="00382204">
          <w:pPr>
            <w:pStyle w:val="TOC2"/>
            <w:rPr>
              <w:rFonts w:eastAsiaTheme="minorEastAsia"/>
              <w:lang w:val="en-US"/>
            </w:rPr>
          </w:pPr>
          <w:hyperlink w:anchor="_Toc21521392" w:history="1">
            <w:r w:rsidR="00382204" w:rsidRPr="00382204">
              <w:rPr>
                <w:rStyle w:val="Hyperlink"/>
              </w:rPr>
              <w:t>3.5</w:t>
            </w:r>
            <w:r w:rsidR="00382204" w:rsidRPr="00382204">
              <w:rPr>
                <w:rFonts w:eastAsiaTheme="minorEastAsia"/>
                <w:lang w:val="en-US"/>
              </w:rPr>
              <w:tab/>
            </w:r>
            <w:r w:rsidR="00382204" w:rsidRPr="00382204">
              <w:rPr>
                <w:rStyle w:val="Hyperlink"/>
              </w:rPr>
              <w:t>Përcaktimi i Kostos së Humbjeve në Rrjet</w:t>
            </w:r>
            <w:r w:rsidR="00382204" w:rsidRPr="00382204">
              <w:rPr>
                <w:webHidden/>
              </w:rPr>
              <w:tab/>
            </w:r>
            <w:r w:rsidR="00382204" w:rsidRPr="00382204">
              <w:rPr>
                <w:webHidden/>
              </w:rPr>
              <w:fldChar w:fldCharType="begin"/>
            </w:r>
            <w:r w:rsidR="00382204" w:rsidRPr="00382204">
              <w:rPr>
                <w:webHidden/>
              </w:rPr>
              <w:instrText xml:space="preserve"> PAGEREF _Toc21521392 \h </w:instrText>
            </w:r>
            <w:r w:rsidR="00382204" w:rsidRPr="00382204">
              <w:rPr>
                <w:webHidden/>
              </w:rPr>
            </w:r>
            <w:r w:rsidR="00382204" w:rsidRPr="00382204">
              <w:rPr>
                <w:webHidden/>
              </w:rPr>
              <w:fldChar w:fldCharType="separate"/>
            </w:r>
            <w:r w:rsidR="0064283F">
              <w:rPr>
                <w:webHidden/>
              </w:rPr>
              <w:t>24</w:t>
            </w:r>
            <w:r w:rsidR="00382204" w:rsidRPr="00382204">
              <w:rPr>
                <w:webHidden/>
              </w:rPr>
              <w:fldChar w:fldCharType="end"/>
            </w:r>
          </w:hyperlink>
        </w:p>
        <w:p w:rsidR="00382204" w:rsidRPr="00382204" w:rsidRDefault="004A64EF" w:rsidP="00382204">
          <w:pPr>
            <w:pStyle w:val="TOC2"/>
            <w:rPr>
              <w:rFonts w:eastAsiaTheme="minorEastAsia"/>
              <w:lang w:val="en-US"/>
            </w:rPr>
          </w:pPr>
          <w:hyperlink w:anchor="_Toc21521393" w:history="1">
            <w:r w:rsidR="00382204" w:rsidRPr="00382204">
              <w:rPr>
                <w:rStyle w:val="Hyperlink"/>
              </w:rPr>
              <w:t>3.6</w:t>
            </w:r>
            <w:r w:rsidR="00382204" w:rsidRPr="00382204">
              <w:rPr>
                <w:rFonts w:eastAsiaTheme="minorEastAsia"/>
                <w:lang w:val="en-US"/>
              </w:rPr>
              <w:tab/>
            </w:r>
            <w:r w:rsidR="00382204" w:rsidRPr="00382204">
              <w:rPr>
                <w:rStyle w:val="Hyperlink"/>
              </w:rPr>
              <w:t>Përshtatja (Axhustimi)</w:t>
            </w:r>
            <w:r w:rsidR="00382204" w:rsidRPr="00382204">
              <w:rPr>
                <w:webHidden/>
              </w:rPr>
              <w:tab/>
            </w:r>
            <w:r w:rsidR="00382204" w:rsidRPr="00382204">
              <w:rPr>
                <w:webHidden/>
              </w:rPr>
              <w:fldChar w:fldCharType="begin"/>
            </w:r>
            <w:r w:rsidR="00382204" w:rsidRPr="00382204">
              <w:rPr>
                <w:webHidden/>
              </w:rPr>
              <w:instrText xml:space="preserve"> PAGEREF _Toc21521393 \h </w:instrText>
            </w:r>
            <w:r w:rsidR="00382204" w:rsidRPr="00382204">
              <w:rPr>
                <w:webHidden/>
              </w:rPr>
            </w:r>
            <w:r w:rsidR="00382204" w:rsidRPr="00382204">
              <w:rPr>
                <w:webHidden/>
              </w:rPr>
              <w:fldChar w:fldCharType="separate"/>
            </w:r>
            <w:r w:rsidR="0064283F">
              <w:rPr>
                <w:webHidden/>
              </w:rPr>
              <w:t>24</w:t>
            </w:r>
            <w:r w:rsidR="00382204" w:rsidRPr="00382204">
              <w:rPr>
                <w:webHidden/>
              </w:rPr>
              <w:fldChar w:fldCharType="end"/>
            </w:r>
          </w:hyperlink>
        </w:p>
        <w:p w:rsidR="00382204" w:rsidRPr="00382204" w:rsidRDefault="004A64EF" w:rsidP="00382204">
          <w:pPr>
            <w:pStyle w:val="TOC2"/>
            <w:rPr>
              <w:rFonts w:eastAsiaTheme="minorEastAsia" w:cstheme="minorBidi"/>
              <w:lang w:val="en-US"/>
            </w:rPr>
          </w:pPr>
          <w:hyperlink w:anchor="_Toc21521394" w:history="1">
            <w:r w:rsidR="00382204" w:rsidRPr="00382204">
              <w:rPr>
                <w:rStyle w:val="Hyperlink"/>
              </w:rPr>
              <w:t>3.7</w:t>
            </w:r>
            <w:r w:rsidR="00382204" w:rsidRPr="00382204">
              <w:rPr>
                <w:rFonts w:eastAsiaTheme="minorEastAsia"/>
                <w:lang w:val="en-US"/>
              </w:rPr>
              <w:tab/>
            </w:r>
            <w:r w:rsidR="00382204" w:rsidRPr="00382204">
              <w:rPr>
                <w:rStyle w:val="Hyperlink"/>
              </w:rPr>
              <w:t>Llogaritja e të Hyrave të Lejuara - Përmbledhje</w:t>
            </w:r>
            <w:r w:rsidR="00382204" w:rsidRPr="00382204">
              <w:rPr>
                <w:webHidden/>
              </w:rPr>
              <w:tab/>
            </w:r>
            <w:r w:rsidR="00382204" w:rsidRPr="00382204">
              <w:rPr>
                <w:webHidden/>
              </w:rPr>
              <w:fldChar w:fldCharType="begin"/>
            </w:r>
            <w:r w:rsidR="00382204" w:rsidRPr="00382204">
              <w:rPr>
                <w:webHidden/>
              </w:rPr>
              <w:instrText xml:space="preserve"> PAGEREF _Toc21521394 \h </w:instrText>
            </w:r>
            <w:r w:rsidR="00382204" w:rsidRPr="00382204">
              <w:rPr>
                <w:webHidden/>
              </w:rPr>
            </w:r>
            <w:r w:rsidR="00382204" w:rsidRPr="00382204">
              <w:rPr>
                <w:webHidden/>
              </w:rPr>
              <w:fldChar w:fldCharType="separate"/>
            </w:r>
            <w:r w:rsidR="0064283F">
              <w:rPr>
                <w:webHidden/>
              </w:rPr>
              <w:t>24</w:t>
            </w:r>
            <w:r w:rsidR="00382204" w:rsidRPr="00382204">
              <w:rPr>
                <w:webHidden/>
              </w:rPr>
              <w:fldChar w:fldCharType="end"/>
            </w:r>
          </w:hyperlink>
        </w:p>
        <w:p w:rsidR="00382204" w:rsidRPr="00382204" w:rsidRDefault="004A64EF" w:rsidP="00382204">
          <w:pPr>
            <w:pStyle w:val="TOC1"/>
            <w:rPr>
              <w:rFonts w:eastAsiaTheme="minorEastAsia" w:cstheme="minorBidi"/>
              <w:b/>
              <w:i/>
              <w:lang w:val="en-US"/>
            </w:rPr>
          </w:pPr>
          <w:hyperlink w:anchor="_Toc21521396" w:history="1">
            <w:r w:rsidR="00382204" w:rsidRPr="00382204">
              <w:rPr>
                <w:rStyle w:val="Hyperlink"/>
              </w:rPr>
              <w:t>4</w:t>
            </w:r>
            <w:r w:rsidR="00382204" w:rsidRPr="00382204">
              <w:rPr>
                <w:rFonts w:eastAsiaTheme="minorEastAsia" w:cstheme="minorBidi"/>
                <w:lang w:val="en-US"/>
              </w:rPr>
              <w:tab/>
            </w:r>
            <w:r w:rsidR="00382204" w:rsidRPr="00382204">
              <w:rPr>
                <w:rStyle w:val="Hyperlink"/>
              </w:rPr>
              <w:t>Bilanci i Energjisë Termike</w:t>
            </w:r>
            <w:r w:rsidR="00382204" w:rsidRPr="00382204">
              <w:rPr>
                <w:webHidden/>
              </w:rPr>
              <w:tab/>
            </w:r>
            <w:r w:rsidR="00382204" w:rsidRPr="00382204">
              <w:rPr>
                <w:webHidden/>
              </w:rPr>
              <w:fldChar w:fldCharType="begin"/>
            </w:r>
            <w:r w:rsidR="00382204" w:rsidRPr="00382204">
              <w:rPr>
                <w:webHidden/>
              </w:rPr>
              <w:instrText xml:space="preserve"> PAGEREF _Toc21521396 \h </w:instrText>
            </w:r>
            <w:r w:rsidR="00382204" w:rsidRPr="00382204">
              <w:rPr>
                <w:webHidden/>
              </w:rPr>
            </w:r>
            <w:r w:rsidR="00382204" w:rsidRPr="00382204">
              <w:rPr>
                <w:webHidden/>
              </w:rPr>
              <w:fldChar w:fldCharType="separate"/>
            </w:r>
            <w:r w:rsidR="0064283F">
              <w:rPr>
                <w:webHidden/>
              </w:rPr>
              <w:t>25</w:t>
            </w:r>
            <w:r w:rsidR="00382204" w:rsidRPr="00382204">
              <w:rPr>
                <w:webHidden/>
              </w:rPr>
              <w:fldChar w:fldCharType="end"/>
            </w:r>
          </w:hyperlink>
        </w:p>
        <w:p w:rsidR="00872F75" w:rsidRPr="000C6431" w:rsidRDefault="00872F75">
          <w:pPr>
            <w:rPr>
              <w:rStyle w:val="Hyperlink"/>
              <w:rFonts w:asciiTheme="minorHAnsi" w:hAnsiTheme="minorHAnsi"/>
              <w:noProof/>
              <w:u w:val="none"/>
            </w:rPr>
          </w:pPr>
          <w:r w:rsidRPr="000C6431">
            <w:rPr>
              <w:rStyle w:val="Hyperlink"/>
              <w:rFonts w:asciiTheme="minorHAnsi" w:hAnsiTheme="minorHAnsi"/>
              <w:noProof/>
              <w:u w:val="none"/>
            </w:rPr>
            <w:fldChar w:fldCharType="end"/>
          </w:r>
        </w:p>
      </w:sdtContent>
    </w:sdt>
    <w:p w:rsidR="000C6431" w:rsidRPr="000C6431" w:rsidRDefault="000C6431" w:rsidP="000C6431">
      <w:pPr>
        <w:pStyle w:val="BodyText"/>
        <w:rPr>
          <w:rStyle w:val="Hyperlink"/>
          <w:rFonts w:asciiTheme="minorHAnsi" w:hAnsiTheme="minorHAnsi"/>
          <w:noProof/>
          <w:szCs w:val="24"/>
          <w:u w:val="none"/>
        </w:rPr>
      </w:pPr>
    </w:p>
    <w:p w:rsidR="000C6431" w:rsidRPr="00382204" w:rsidRDefault="000C6431" w:rsidP="000C6431">
      <w:pPr>
        <w:pStyle w:val="BodyText"/>
        <w:rPr>
          <w:rStyle w:val="Hyperlink"/>
          <w:rFonts w:asciiTheme="minorHAnsi" w:hAnsiTheme="minorHAnsi"/>
          <w:noProof/>
          <w:color w:val="000000" w:themeColor="text1"/>
          <w:szCs w:val="24"/>
        </w:rPr>
      </w:pPr>
      <w:r w:rsidRPr="00382204">
        <w:rPr>
          <w:rStyle w:val="Hyperlink"/>
          <w:rFonts w:asciiTheme="minorHAnsi" w:hAnsiTheme="minorHAnsi"/>
          <w:noProof/>
          <w:color w:val="000000" w:themeColor="text1"/>
          <w:szCs w:val="24"/>
        </w:rPr>
        <w:t xml:space="preserve">Figurat </w:t>
      </w:r>
    </w:p>
    <w:p w:rsidR="000C6431" w:rsidRPr="000C6431" w:rsidRDefault="000C6431" w:rsidP="000C6431">
      <w:pPr>
        <w:pStyle w:val="BodyText"/>
        <w:rPr>
          <w:rStyle w:val="Hyperlink"/>
          <w:rFonts w:asciiTheme="minorHAnsi" w:hAnsiTheme="minorHAnsi"/>
          <w:noProof/>
          <w:color w:val="000000" w:themeColor="text1"/>
          <w:szCs w:val="24"/>
          <w:u w:val="none"/>
        </w:rPr>
      </w:pPr>
    </w:p>
    <w:p w:rsidR="00C51657" w:rsidRPr="000C6431" w:rsidRDefault="004A64EF" w:rsidP="000C6431">
      <w:pPr>
        <w:pStyle w:val="TOC3"/>
        <w:tabs>
          <w:tab w:val="right" w:leader="dot" w:pos="9063"/>
        </w:tabs>
        <w:ind w:left="0"/>
        <w:contextualSpacing/>
        <w:rPr>
          <w:rStyle w:val="Hyperlink"/>
          <w:rFonts w:asciiTheme="minorHAnsi" w:hAnsiTheme="minorHAnsi"/>
          <w:noProof/>
          <w:color w:val="000000" w:themeColor="text1"/>
          <w:sz w:val="22"/>
          <w:szCs w:val="22"/>
          <w:u w:val="none"/>
        </w:rPr>
      </w:pPr>
      <w:hyperlink w:anchor="_Toc21514443" w:history="1">
        <w:r w:rsidR="00C51657" w:rsidRPr="000C6431">
          <w:rPr>
            <w:rStyle w:val="Hyperlink"/>
            <w:rFonts w:asciiTheme="minorHAnsi" w:hAnsiTheme="minorHAnsi"/>
            <w:noProof/>
            <w:color w:val="000000" w:themeColor="text1"/>
            <w:sz w:val="22"/>
            <w:szCs w:val="22"/>
            <w:u w:val="none"/>
          </w:rPr>
          <w:t>Figura 1: Skema e llogaritjes së të hyrave të lejuara</w:t>
        </w:r>
        <w:r w:rsidR="00C51657" w:rsidRPr="000C6431">
          <w:rPr>
            <w:rStyle w:val="Hyperlink"/>
            <w:rFonts w:asciiTheme="minorHAnsi" w:hAnsiTheme="minorHAnsi"/>
            <w:noProof/>
            <w:webHidden/>
            <w:color w:val="000000" w:themeColor="text1"/>
            <w:sz w:val="22"/>
            <w:szCs w:val="22"/>
            <w:u w:val="none"/>
          </w:rPr>
          <w:tab/>
        </w:r>
        <w:r w:rsidR="00C51657" w:rsidRPr="000C6431">
          <w:rPr>
            <w:rStyle w:val="Hyperlink"/>
            <w:rFonts w:asciiTheme="minorHAnsi" w:hAnsiTheme="minorHAnsi"/>
            <w:noProof/>
            <w:webHidden/>
            <w:color w:val="000000" w:themeColor="text1"/>
            <w:sz w:val="22"/>
            <w:szCs w:val="22"/>
            <w:u w:val="none"/>
          </w:rPr>
          <w:fldChar w:fldCharType="begin"/>
        </w:r>
        <w:r w:rsidR="00C51657" w:rsidRPr="000C6431">
          <w:rPr>
            <w:rStyle w:val="Hyperlink"/>
            <w:rFonts w:asciiTheme="minorHAnsi" w:hAnsiTheme="minorHAnsi"/>
            <w:noProof/>
            <w:webHidden/>
            <w:color w:val="000000" w:themeColor="text1"/>
            <w:sz w:val="22"/>
            <w:szCs w:val="22"/>
            <w:u w:val="none"/>
          </w:rPr>
          <w:instrText xml:space="preserve"> PAGEREF _Toc21514443 \h </w:instrText>
        </w:r>
        <w:r w:rsidR="00C51657" w:rsidRPr="000C6431">
          <w:rPr>
            <w:rStyle w:val="Hyperlink"/>
            <w:rFonts w:asciiTheme="minorHAnsi" w:hAnsiTheme="minorHAnsi"/>
            <w:noProof/>
            <w:webHidden/>
            <w:color w:val="000000" w:themeColor="text1"/>
            <w:sz w:val="22"/>
            <w:szCs w:val="22"/>
            <w:u w:val="none"/>
          </w:rPr>
        </w:r>
        <w:r w:rsidR="00C51657" w:rsidRPr="000C6431">
          <w:rPr>
            <w:rStyle w:val="Hyperlink"/>
            <w:rFonts w:asciiTheme="minorHAnsi" w:hAnsiTheme="minorHAnsi"/>
            <w:noProof/>
            <w:webHidden/>
            <w:color w:val="000000" w:themeColor="text1"/>
            <w:sz w:val="22"/>
            <w:szCs w:val="22"/>
            <w:u w:val="none"/>
          </w:rPr>
          <w:fldChar w:fldCharType="separate"/>
        </w:r>
        <w:r w:rsidR="00923408">
          <w:rPr>
            <w:rStyle w:val="Hyperlink"/>
            <w:rFonts w:asciiTheme="minorHAnsi" w:hAnsiTheme="minorHAnsi"/>
            <w:noProof/>
            <w:webHidden/>
            <w:color w:val="000000" w:themeColor="text1"/>
            <w:sz w:val="22"/>
            <w:szCs w:val="22"/>
            <w:u w:val="none"/>
          </w:rPr>
          <w:t>5</w:t>
        </w:r>
        <w:r w:rsidR="00C51657" w:rsidRPr="000C6431">
          <w:rPr>
            <w:rStyle w:val="Hyperlink"/>
            <w:rFonts w:asciiTheme="minorHAnsi" w:hAnsiTheme="minorHAnsi"/>
            <w:noProof/>
            <w:webHidden/>
            <w:color w:val="000000" w:themeColor="text1"/>
            <w:sz w:val="22"/>
            <w:szCs w:val="22"/>
            <w:u w:val="none"/>
          </w:rPr>
          <w:fldChar w:fldCharType="end"/>
        </w:r>
      </w:hyperlink>
    </w:p>
    <w:p w:rsidR="00C51657" w:rsidRPr="000C6431" w:rsidRDefault="004A64EF" w:rsidP="000C6431">
      <w:pPr>
        <w:pStyle w:val="TOC3"/>
        <w:tabs>
          <w:tab w:val="right" w:leader="dot" w:pos="9063"/>
        </w:tabs>
        <w:ind w:left="0"/>
        <w:contextualSpacing/>
        <w:rPr>
          <w:rStyle w:val="Hyperlink"/>
          <w:rFonts w:asciiTheme="minorHAnsi" w:hAnsiTheme="minorHAnsi"/>
          <w:color w:val="000000" w:themeColor="text1"/>
          <w:sz w:val="22"/>
          <w:szCs w:val="22"/>
          <w:u w:val="none"/>
        </w:rPr>
      </w:pPr>
      <w:hyperlink w:anchor="_Toc21514448" w:history="1">
        <w:r w:rsidR="00C51657" w:rsidRPr="000C6431">
          <w:rPr>
            <w:rStyle w:val="Hyperlink"/>
            <w:rFonts w:asciiTheme="minorHAnsi" w:hAnsiTheme="minorHAnsi"/>
            <w:noProof/>
            <w:color w:val="000000" w:themeColor="text1"/>
            <w:sz w:val="22"/>
            <w:szCs w:val="22"/>
            <w:u w:val="none"/>
          </w:rPr>
          <w:t xml:space="preserve">Figura </w:t>
        </w:r>
        <w:r w:rsidR="004D35CB">
          <w:rPr>
            <w:rStyle w:val="Hyperlink"/>
            <w:rFonts w:asciiTheme="minorHAnsi" w:hAnsiTheme="minorHAnsi"/>
            <w:noProof/>
            <w:color w:val="000000" w:themeColor="text1"/>
            <w:sz w:val="22"/>
            <w:szCs w:val="22"/>
            <w:u w:val="none"/>
          </w:rPr>
          <w:t>2</w:t>
        </w:r>
        <w:r w:rsidR="00C51657" w:rsidRPr="000C6431">
          <w:rPr>
            <w:rStyle w:val="Hyperlink"/>
            <w:rFonts w:asciiTheme="minorHAnsi" w:hAnsiTheme="minorHAnsi"/>
            <w:noProof/>
            <w:color w:val="000000" w:themeColor="text1"/>
            <w:sz w:val="22"/>
            <w:szCs w:val="22"/>
            <w:u w:val="none"/>
          </w:rPr>
          <w:t>: Paraqitja skematike e kostove operacionale të propozuara nga NQ Termokos dhe të lejuara nga ZRRE-ja për sezonin e ngrohjes 20</w:t>
        </w:r>
        <w:r w:rsidR="003A13BC">
          <w:rPr>
            <w:rStyle w:val="Hyperlink"/>
            <w:rFonts w:asciiTheme="minorHAnsi" w:hAnsiTheme="minorHAnsi"/>
            <w:noProof/>
            <w:color w:val="000000" w:themeColor="text1"/>
            <w:sz w:val="22"/>
            <w:szCs w:val="22"/>
            <w:u w:val="none"/>
          </w:rPr>
          <w:t>20</w:t>
        </w:r>
        <w:r w:rsidR="00C51657" w:rsidRPr="000C6431">
          <w:rPr>
            <w:rStyle w:val="Hyperlink"/>
            <w:rFonts w:asciiTheme="minorHAnsi" w:hAnsiTheme="minorHAnsi"/>
            <w:noProof/>
            <w:color w:val="000000" w:themeColor="text1"/>
            <w:sz w:val="22"/>
            <w:szCs w:val="22"/>
            <w:u w:val="none"/>
          </w:rPr>
          <w:t>/202</w:t>
        </w:r>
        <w:r w:rsidR="003A13BC">
          <w:rPr>
            <w:rStyle w:val="Hyperlink"/>
            <w:rFonts w:asciiTheme="minorHAnsi" w:hAnsiTheme="minorHAnsi"/>
            <w:noProof/>
            <w:color w:val="000000" w:themeColor="text1"/>
            <w:sz w:val="22"/>
            <w:szCs w:val="22"/>
            <w:u w:val="none"/>
          </w:rPr>
          <w:t>1</w:t>
        </w:r>
        <w:r w:rsidR="00C51657" w:rsidRPr="000C6431">
          <w:rPr>
            <w:rStyle w:val="Hyperlink"/>
            <w:rFonts w:asciiTheme="minorHAnsi" w:hAnsiTheme="minorHAnsi"/>
            <w:webHidden/>
            <w:color w:val="000000" w:themeColor="text1"/>
            <w:sz w:val="22"/>
            <w:szCs w:val="22"/>
            <w:u w:val="none"/>
          </w:rPr>
          <w:tab/>
        </w:r>
        <w:r w:rsidR="00C51657" w:rsidRPr="000C6431">
          <w:rPr>
            <w:rStyle w:val="Hyperlink"/>
            <w:rFonts w:asciiTheme="minorHAnsi" w:hAnsiTheme="minorHAnsi"/>
            <w:webHidden/>
            <w:color w:val="000000" w:themeColor="text1"/>
            <w:sz w:val="22"/>
            <w:szCs w:val="22"/>
            <w:u w:val="none"/>
          </w:rPr>
          <w:fldChar w:fldCharType="begin"/>
        </w:r>
        <w:r w:rsidR="00C51657" w:rsidRPr="000C6431">
          <w:rPr>
            <w:rStyle w:val="Hyperlink"/>
            <w:rFonts w:asciiTheme="minorHAnsi" w:hAnsiTheme="minorHAnsi"/>
            <w:webHidden/>
            <w:color w:val="000000" w:themeColor="text1"/>
            <w:sz w:val="22"/>
            <w:szCs w:val="22"/>
            <w:u w:val="none"/>
          </w:rPr>
          <w:instrText xml:space="preserve"> PAGEREF _Toc21514448 \h </w:instrText>
        </w:r>
        <w:r w:rsidR="00C51657" w:rsidRPr="000C6431">
          <w:rPr>
            <w:rStyle w:val="Hyperlink"/>
            <w:rFonts w:asciiTheme="minorHAnsi" w:hAnsiTheme="minorHAnsi"/>
            <w:webHidden/>
            <w:color w:val="000000" w:themeColor="text1"/>
            <w:sz w:val="22"/>
            <w:szCs w:val="22"/>
            <w:u w:val="none"/>
          </w:rPr>
        </w:r>
        <w:r w:rsidR="00C51657" w:rsidRPr="000C6431">
          <w:rPr>
            <w:rStyle w:val="Hyperlink"/>
            <w:rFonts w:asciiTheme="minorHAnsi" w:hAnsiTheme="minorHAnsi"/>
            <w:webHidden/>
            <w:color w:val="000000" w:themeColor="text1"/>
            <w:sz w:val="22"/>
            <w:szCs w:val="22"/>
            <w:u w:val="none"/>
          </w:rPr>
          <w:fldChar w:fldCharType="separate"/>
        </w:r>
        <w:r w:rsidR="00923408">
          <w:rPr>
            <w:rStyle w:val="Hyperlink"/>
            <w:rFonts w:asciiTheme="minorHAnsi" w:hAnsiTheme="minorHAnsi"/>
            <w:noProof/>
            <w:webHidden/>
            <w:color w:val="000000" w:themeColor="text1"/>
            <w:sz w:val="22"/>
            <w:szCs w:val="22"/>
            <w:u w:val="none"/>
          </w:rPr>
          <w:t>8</w:t>
        </w:r>
        <w:r w:rsidR="00C51657" w:rsidRPr="000C6431">
          <w:rPr>
            <w:rStyle w:val="Hyperlink"/>
            <w:rFonts w:asciiTheme="minorHAnsi" w:hAnsiTheme="minorHAnsi"/>
            <w:webHidden/>
            <w:color w:val="000000" w:themeColor="text1"/>
            <w:sz w:val="22"/>
            <w:szCs w:val="22"/>
            <w:u w:val="none"/>
          </w:rPr>
          <w:fldChar w:fldCharType="end"/>
        </w:r>
      </w:hyperlink>
    </w:p>
    <w:p w:rsidR="000C6431" w:rsidRPr="000C6431" w:rsidRDefault="000C6431" w:rsidP="006D004B">
      <w:pPr>
        <w:pStyle w:val="BodyText"/>
        <w:rPr>
          <w:rFonts w:asciiTheme="minorHAnsi" w:hAnsiTheme="minorHAnsi"/>
          <w:color w:val="000000" w:themeColor="text1"/>
          <w:sz w:val="22"/>
          <w:szCs w:val="22"/>
        </w:rPr>
      </w:pPr>
    </w:p>
    <w:p w:rsidR="00C51657" w:rsidRPr="00382204" w:rsidRDefault="000C6431" w:rsidP="006D004B">
      <w:pPr>
        <w:pStyle w:val="BodyText"/>
        <w:rPr>
          <w:rFonts w:asciiTheme="minorHAnsi" w:hAnsiTheme="minorHAnsi"/>
          <w:color w:val="000000" w:themeColor="text1"/>
          <w:sz w:val="22"/>
          <w:szCs w:val="22"/>
          <w:u w:val="single"/>
        </w:rPr>
      </w:pPr>
      <w:r w:rsidRPr="00382204">
        <w:rPr>
          <w:rFonts w:asciiTheme="minorHAnsi" w:hAnsiTheme="minorHAnsi"/>
          <w:color w:val="000000" w:themeColor="text1"/>
          <w:sz w:val="22"/>
          <w:szCs w:val="22"/>
          <w:u w:val="single"/>
        </w:rPr>
        <w:t xml:space="preserve">Tabelat </w:t>
      </w:r>
    </w:p>
    <w:p w:rsidR="000C6431" w:rsidRPr="000C6431" w:rsidRDefault="000C6431" w:rsidP="006D004B">
      <w:pPr>
        <w:pStyle w:val="BodyText"/>
        <w:rPr>
          <w:rFonts w:asciiTheme="minorHAnsi" w:hAnsiTheme="minorHAnsi"/>
          <w:b/>
          <w:color w:val="000000" w:themeColor="text1"/>
          <w:sz w:val="22"/>
          <w:szCs w:val="22"/>
        </w:rPr>
      </w:pPr>
    </w:p>
    <w:p w:rsidR="00E807F8" w:rsidRPr="000C6431" w:rsidRDefault="004A64EF" w:rsidP="000C6431">
      <w:pPr>
        <w:pStyle w:val="TOC3"/>
        <w:tabs>
          <w:tab w:val="right" w:leader="dot" w:pos="9063"/>
        </w:tabs>
        <w:ind w:left="0"/>
        <w:contextualSpacing/>
        <w:rPr>
          <w:rStyle w:val="Hyperlink"/>
          <w:rFonts w:asciiTheme="minorHAnsi" w:hAnsiTheme="minorHAnsi"/>
          <w:color w:val="000000" w:themeColor="text1"/>
          <w:sz w:val="22"/>
          <w:szCs w:val="22"/>
          <w:u w:val="none"/>
        </w:rPr>
      </w:pPr>
      <w:hyperlink w:anchor="_Toc21514446" w:history="1">
        <w:r w:rsidR="00C51657" w:rsidRPr="000C6431">
          <w:rPr>
            <w:rStyle w:val="Hyperlink"/>
            <w:rFonts w:asciiTheme="minorHAnsi" w:hAnsiTheme="minorHAnsi"/>
            <w:noProof/>
            <w:color w:val="000000" w:themeColor="text1"/>
            <w:sz w:val="22"/>
            <w:szCs w:val="22"/>
            <w:u w:val="none"/>
          </w:rPr>
          <w:t>Tabela 1: Kostot e paraqitura nga ana e NQ Termokos SH.A., dhe ato të lejuara nga ZRRE (Në €)</w:t>
        </w:r>
        <w:r w:rsidR="00C51657" w:rsidRPr="000C6431">
          <w:rPr>
            <w:rStyle w:val="Hyperlink"/>
            <w:rFonts w:asciiTheme="minorHAnsi" w:hAnsiTheme="minorHAnsi"/>
            <w:webHidden/>
            <w:color w:val="000000" w:themeColor="text1"/>
            <w:sz w:val="22"/>
            <w:szCs w:val="22"/>
            <w:u w:val="none"/>
          </w:rPr>
          <w:tab/>
        </w:r>
        <w:r w:rsidR="00C51657" w:rsidRPr="000C6431">
          <w:rPr>
            <w:rStyle w:val="Hyperlink"/>
            <w:rFonts w:asciiTheme="minorHAnsi" w:hAnsiTheme="minorHAnsi"/>
            <w:webHidden/>
            <w:color w:val="000000" w:themeColor="text1"/>
            <w:sz w:val="22"/>
            <w:szCs w:val="22"/>
            <w:u w:val="none"/>
          </w:rPr>
          <w:fldChar w:fldCharType="begin"/>
        </w:r>
        <w:r w:rsidR="00C51657" w:rsidRPr="000C6431">
          <w:rPr>
            <w:rStyle w:val="Hyperlink"/>
            <w:rFonts w:asciiTheme="minorHAnsi" w:hAnsiTheme="minorHAnsi"/>
            <w:webHidden/>
            <w:color w:val="000000" w:themeColor="text1"/>
            <w:sz w:val="22"/>
            <w:szCs w:val="22"/>
            <w:u w:val="none"/>
          </w:rPr>
          <w:instrText xml:space="preserve"> PAGEREF _Toc21514446 \h </w:instrText>
        </w:r>
        <w:r w:rsidR="00C51657" w:rsidRPr="000C6431">
          <w:rPr>
            <w:rStyle w:val="Hyperlink"/>
            <w:rFonts w:asciiTheme="minorHAnsi" w:hAnsiTheme="minorHAnsi"/>
            <w:webHidden/>
            <w:color w:val="000000" w:themeColor="text1"/>
            <w:sz w:val="22"/>
            <w:szCs w:val="22"/>
            <w:u w:val="none"/>
          </w:rPr>
        </w:r>
        <w:r w:rsidR="00C51657" w:rsidRPr="000C6431">
          <w:rPr>
            <w:rStyle w:val="Hyperlink"/>
            <w:rFonts w:asciiTheme="minorHAnsi" w:hAnsiTheme="minorHAnsi"/>
            <w:webHidden/>
            <w:color w:val="000000" w:themeColor="text1"/>
            <w:sz w:val="22"/>
            <w:szCs w:val="22"/>
            <w:u w:val="none"/>
          </w:rPr>
          <w:fldChar w:fldCharType="separate"/>
        </w:r>
        <w:r w:rsidR="00923408">
          <w:rPr>
            <w:rStyle w:val="Hyperlink"/>
            <w:rFonts w:asciiTheme="minorHAnsi" w:hAnsiTheme="minorHAnsi"/>
            <w:noProof/>
            <w:webHidden/>
            <w:color w:val="000000" w:themeColor="text1"/>
            <w:sz w:val="22"/>
            <w:szCs w:val="22"/>
            <w:u w:val="none"/>
          </w:rPr>
          <w:t>8</w:t>
        </w:r>
        <w:r w:rsidR="00C51657" w:rsidRPr="000C6431">
          <w:rPr>
            <w:rStyle w:val="Hyperlink"/>
            <w:rFonts w:asciiTheme="minorHAnsi" w:hAnsiTheme="minorHAnsi"/>
            <w:webHidden/>
            <w:color w:val="000000" w:themeColor="text1"/>
            <w:sz w:val="22"/>
            <w:szCs w:val="22"/>
            <w:u w:val="none"/>
          </w:rPr>
          <w:fldChar w:fldCharType="end"/>
        </w:r>
      </w:hyperlink>
    </w:p>
    <w:bookmarkStart w:id="1" w:name="_Toc526514479"/>
    <w:bookmarkStart w:id="2" w:name="_Toc339538658"/>
    <w:bookmarkStart w:id="3" w:name="_Toc339539114"/>
    <w:bookmarkEnd w:id="1"/>
    <w:p w:rsidR="00C51657" w:rsidRPr="000C6431" w:rsidRDefault="00C51657" w:rsidP="000C6431">
      <w:pPr>
        <w:pStyle w:val="TOC3"/>
        <w:tabs>
          <w:tab w:val="right" w:leader="dot" w:pos="9063"/>
        </w:tabs>
        <w:ind w:left="0"/>
        <w:contextualSpacing/>
        <w:rPr>
          <w:rFonts w:asciiTheme="minorHAnsi" w:eastAsiaTheme="minorEastAsia" w:hAnsiTheme="minorHAnsi" w:cstheme="minorBidi"/>
          <w:noProof/>
          <w:color w:val="000000" w:themeColor="text1"/>
          <w:sz w:val="22"/>
          <w:szCs w:val="22"/>
          <w:lang w:val="de-DE"/>
        </w:rPr>
      </w:pPr>
      <w:r w:rsidRPr="000C6431">
        <w:rPr>
          <w:rStyle w:val="Hyperlink"/>
          <w:rFonts w:asciiTheme="minorHAnsi" w:hAnsiTheme="minorHAnsi"/>
          <w:noProof/>
          <w:color w:val="000000" w:themeColor="text1"/>
          <w:sz w:val="22"/>
          <w:szCs w:val="22"/>
          <w:u w:val="none"/>
        </w:rPr>
        <w:fldChar w:fldCharType="begin"/>
      </w:r>
      <w:r w:rsidRPr="000C6431">
        <w:rPr>
          <w:rStyle w:val="Hyperlink"/>
          <w:rFonts w:asciiTheme="minorHAnsi" w:hAnsiTheme="minorHAnsi"/>
          <w:noProof/>
          <w:color w:val="000000" w:themeColor="text1"/>
          <w:sz w:val="22"/>
          <w:szCs w:val="22"/>
          <w:u w:val="none"/>
        </w:rPr>
        <w:instrText xml:space="preserve"> </w:instrText>
      </w:r>
      <w:r w:rsidRPr="000C6431">
        <w:rPr>
          <w:rStyle w:val="Hyperlink"/>
          <w:rFonts w:asciiTheme="minorHAnsi" w:hAnsiTheme="minorHAnsi"/>
          <w:color w:val="000000" w:themeColor="text1"/>
          <w:sz w:val="22"/>
          <w:szCs w:val="22"/>
          <w:u w:val="none"/>
        </w:rPr>
        <w:instrText>HYPERLINK \l "_Toc21514455"</w:instrText>
      </w:r>
      <w:r w:rsidRPr="000C6431">
        <w:rPr>
          <w:rStyle w:val="Hyperlink"/>
          <w:rFonts w:asciiTheme="minorHAnsi" w:hAnsiTheme="minorHAnsi"/>
          <w:noProof/>
          <w:color w:val="000000" w:themeColor="text1"/>
          <w:sz w:val="22"/>
          <w:szCs w:val="22"/>
          <w:u w:val="none"/>
        </w:rPr>
        <w:instrText xml:space="preserve"> </w:instrText>
      </w:r>
      <w:r w:rsidRPr="000C6431">
        <w:rPr>
          <w:rStyle w:val="Hyperlink"/>
          <w:rFonts w:asciiTheme="minorHAnsi" w:hAnsiTheme="minorHAnsi"/>
          <w:noProof/>
          <w:color w:val="000000" w:themeColor="text1"/>
          <w:sz w:val="22"/>
          <w:szCs w:val="22"/>
          <w:u w:val="none"/>
        </w:rPr>
        <w:fldChar w:fldCharType="separate"/>
      </w:r>
      <w:r w:rsidRPr="000C6431">
        <w:rPr>
          <w:rStyle w:val="Hyperlink"/>
          <w:rFonts w:asciiTheme="minorHAnsi" w:hAnsiTheme="minorHAnsi"/>
          <w:noProof/>
          <w:color w:val="000000" w:themeColor="text1"/>
          <w:sz w:val="22"/>
          <w:szCs w:val="22"/>
          <w:u w:val="none"/>
        </w:rPr>
        <w:t>Tabela 2: RAB dhe komponentët e tij - NQ TERMOKOS sezoni i ngrohjes 20</w:t>
      </w:r>
      <w:r w:rsidR="003A13BC">
        <w:rPr>
          <w:rStyle w:val="Hyperlink"/>
          <w:rFonts w:asciiTheme="minorHAnsi" w:hAnsiTheme="minorHAnsi"/>
          <w:noProof/>
          <w:color w:val="000000" w:themeColor="text1"/>
          <w:sz w:val="22"/>
          <w:szCs w:val="22"/>
          <w:u w:val="none"/>
        </w:rPr>
        <w:t>20</w:t>
      </w:r>
      <w:r w:rsidRPr="000C6431">
        <w:rPr>
          <w:rStyle w:val="Hyperlink"/>
          <w:rFonts w:asciiTheme="minorHAnsi" w:hAnsiTheme="minorHAnsi"/>
          <w:noProof/>
          <w:color w:val="000000" w:themeColor="text1"/>
          <w:sz w:val="22"/>
          <w:szCs w:val="22"/>
          <w:u w:val="none"/>
        </w:rPr>
        <w:t>/202</w:t>
      </w:r>
      <w:r w:rsidR="003A13BC">
        <w:rPr>
          <w:rStyle w:val="Hyperlink"/>
          <w:rFonts w:asciiTheme="minorHAnsi" w:hAnsiTheme="minorHAnsi"/>
          <w:noProof/>
          <w:color w:val="000000" w:themeColor="text1"/>
          <w:sz w:val="22"/>
          <w:szCs w:val="22"/>
          <w:u w:val="none"/>
        </w:rPr>
        <w:t>1</w:t>
      </w:r>
      <w:r w:rsidRPr="000C6431">
        <w:rPr>
          <w:rStyle w:val="Hyperlink"/>
          <w:rFonts w:asciiTheme="minorHAnsi" w:hAnsiTheme="minorHAnsi"/>
          <w:webHidden/>
          <w:color w:val="000000" w:themeColor="text1"/>
          <w:sz w:val="22"/>
          <w:szCs w:val="22"/>
          <w:u w:val="none"/>
        </w:rPr>
        <w:tab/>
      </w:r>
      <w:r w:rsidRPr="000C6431">
        <w:rPr>
          <w:rStyle w:val="Hyperlink"/>
          <w:rFonts w:asciiTheme="minorHAnsi" w:hAnsiTheme="minorHAnsi"/>
          <w:webHidden/>
          <w:color w:val="000000" w:themeColor="text1"/>
          <w:sz w:val="22"/>
          <w:szCs w:val="22"/>
          <w:u w:val="none"/>
        </w:rPr>
        <w:fldChar w:fldCharType="begin"/>
      </w:r>
      <w:r w:rsidRPr="000C6431">
        <w:rPr>
          <w:rStyle w:val="Hyperlink"/>
          <w:rFonts w:asciiTheme="minorHAnsi" w:hAnsiTheme="minorHAnsi"/>
          <w:webHidden/>
          <w:color w:val="000000" w:themeColor="text1"/>
          <w:sz w:val="22"/>
          <w:szCs w:val="22"/>
          <w:u w:val="none"/>
        </w:rPr>
        <w:instrText xml:space="preserve"> PAGEREF _Toc21514455 \h </w:instrText>
      </w:r>
      <w:r w:rsidRPr="000C6431">
        <w:rPr>
          <w:rStyle w:val="Hyperlink"/>
          <w:rFonts w:asciiTheme="minorHAnsi" w:hAnsiTheme="minorHAnsi"/>
          <w:webHidden/>
          <w:color w:val="000000" w:themeColor="text1"/>
          <w:sz w:val="22"/>
          <w:szCs w:val="22"/>
          <w:u w:val="none"/>
        </w:rPr>
      </w:r>
      <w:r w:rsidRPr="000C6431">
        <w:rPr>
          <w:rStyle w:val="Hyperlink"/>
          <w:rFonts w:asciiTheme="minorHAnsi" w:hAnsiTheme="minorHAnsi"/>
          <w:webHidden/>
          <w:color w:val="000000" w:themeColor="text1"/>
          <w:sz w:val="22"/>
          <w:szCs w:val="22"/>
          <w:u w:val="none"/>
        </w:rPr>
        <w:fldChar w:fldCharType="separate"/>
      </w:r>
      <w:r w:rsidR="00923408">
        <w:rPr>
          <w:rStyle w:val="Hyperlink"/>
          <w:rFonts w:asciiTheme="minorHAnsi" w:hAnsiTheme="minorHAnsi"/>
          <w:noProof/>
          <w:webHidden/>
          <w:color w:val="000000" w:themeColor="text1"/>
          <w:sz w:val="22"/>
          <w:szCs w:val="22"/>
          <w:u w:val="none"/>
        </w:rPr>
        <w:t>1</w:t>
      </w:r>
      <w:r w:rsidRPr="000C6431">
        <w:rPr>
          <w:rStyle w:val="Hyperlink"/>
          <w:rFonts w:asciiTheme="minorHAnsi" w:hAnsiTheme="minorHAnsi"/>
          <w:webHidden/>
          <w:color w:val="000000" w:themeColor="text1"/>
          <w:sz w:val="22"/>
          <w:szCs w:val="22"/>
          <w:u w:val="none"/>
        </w:rPr>
        <w:fldChar w:fldCharType="end"/>
      </w:r>
      <w:r w:rsidRPr="000C6431">
        <w:rPr>
          <w:rStyle w:val="Hyperlink"/>
          <w:rFonts w:asciiTheme="minorHAnsi" w:hAnsiTheme="minorHAnsi"/>
          <w:noProof/>
          <w:color w:val="000000" w:themeColor="text1"/>
          <w:sz w:val="22"/>
          <w:szCs w:val="22"/>
          <w:u w:val="none"/>
        </w:rPr>
        <w:fldChar w:fldCharType="end"/>
      </w:r>
      <w:r w:rsidR="0064283F">
        <w:rPr>
          <w:rStyle w:val="Hyperlink"/>
          <w:rFonts w:asciiTheme="minorHAnsi" w:hAnsiTheme="minorHAnsi"/>
          <w:noProof/>
          <w:color w:val="000000" w:themeColor="text1"/>
          <w:sz w:val="22"/>
          <w:szCs w:val="22"/>
          <w:u w:val="none"/>
        </w:rPr>
        <w:t>9</w:t>
      </w:r>
    </w:p>
    <w:p w:rsidR="00C51657" w:rsidRPr="000C6431" w:rsidRDefault="004A64EF" w:rsidP="000C6431">
      <w:pPr>
        <w:pStyle w:val="TOC3"/>
        <w:tabs>
          <w:tab w:val="right" w:leader="dot" w:pos="9063"/>
        </w:tabs>
        <w:ind w:left="0"/>
        <w:contextualSpacing/>
        <w:rPr>
          <w:rStyle w:val="Hyperlink"/>
          <w:rFonts w:asciiTheme="minorHAnsi" w:hAnsiTheme="minorHAnsi"/>
          <w:color w:val="000000" w:themeColor="text1"/>
          <w:sz w:val="22"/>
          <w:szCs w:val="22"/>
          <w:u w:val="none"/>
        </w:rPr>
      </w:pPr>
      <w:hyperlink w:anchor="_Toc21514456" w:history="1">
        <w:r w:rsidR="00C51657" w:rsidRPr="000C6431">
          <w:rPr>
            <w:rStyle w:val="Hyperlink"/>
            <w:rFonts w:asciiTheme="minorHAnsi" w:hAnsiTheme="minorHAnsi"/>
            <w:noProof/>
            <w:color w:val="000000" w:themeColor="text1"/>
            <w:sz w:val="22"/>
            <w:szCs w:val="22"/>
            <w:u w:val="none"/>
          </w:rPr>
          <w:t>Tabela 3: RABf dhe komponentët e tij - NQ TERMOKOS sezoni i ngrohjes 20</w:t>
        </w:r>
        <w:r w:rsidR="003A13BC">
          <w:rPr>
            <w:rStyle w:val="Hyperlink"/>
            <w:rFonts w:asciiTheme="minorHAnsi" w:hAnsiTheme="minorHAnsi"/>
            <w:noProof/>
            <w:color w:val="000000" w:themeColor="text1"/>
            <w:sz w:val="22"/>
            <w:szCs w:val="22"/>
            <w:u w:val="none"/>
          </w:rPr>
          <w:t>20/2021</w:t>
        </w:r>
        <w:r w:rsidR="00C51657" w:rsidRPr="000C6431">
          <w:rPr>
            <w:rStyle w:val="Hyperlink"/>
            <w:rFonts w:asciiTheme="minorHAnsi" w:hAnsiTheme="minorHAnsi"/>
            <w:webHidden/>
            <w:color w:val="000000" w:themeColor="text1"/>
            <w:sz w:val="22"/>
            <w:szCs w:val="22"/>
            <w:u w:val="none"/>
          </w:rPr>
          <w:tab/>
        </w:r>
        <w:r w:rsidR="00C51657" w:rsidRPr="000C6431">
          <w:rPr>
            <w:rStyle w:val="Hyperlink"/>
            <w:rFonts w:asciiTheme="minorHAnsi" w:hAnsiTheme="minorHAnsi"/>
            <w:webHidden/>
            <w:color w:val="000000" w:themeColor="text1"/>
            <w:sz w:val="22"/>
            <w:szCs w:val="22"/>
            <w:u w:val="none"/>
          </w:rPr>
          <w:fldChar w:fldCharType="begin"/>
        </w:r>
        <w:r w:rsidR="00C51657" w:rsidRPr="000C6431">
          <w:rPr>
            <w:rStyle w:val="Hyperlink"/>
            <w:rFonts w:asciiTheme="minorHAnsi" w:hAnsiTheme="minorHAnsi"/>
            <w:webHidden/>
            <w:color w:val="000000" w:themeColor="text1"/>
            <w:sz w:val="22"/>
            <w:szCs w:val="22"/>
            <w:u w:val="none"/>
          </w:rPr>
          <w:instrText xml:space="preserve"> PAGEREF _Toc21514456 \h </w:instrText>
        </w:r>
        <w:r w:rsidR="00C51657" w:rsidRPr="000C6431">
          <w:rPr>
            <w:rStyle w:val="Hyperlink"/>
            <w:rFonts w:asciiTheme="minorHAnsi" w:hAnsiTheme="minorHAnsi"/>
            <w:webHidden/>
            <w:color w:val="000000" w:themeColor="text1"/>
            <w:sz w:val="22"/>
            <w:szCs w:val="22"/>
            <w:u w:val="none"/>
          </w:rPr>
        </w:r>
        <w:r w:rsidR="00C51657" w:rsidRPr="000C6431">
          <w:rPr>
            <w:rStyle w:val="Hyperlink"/>
            <w:rFonts w:asciiTheme="minorHAnsi" w:hAnsiTheme="minorHAnsi"/>
            <w:webHidden/>
            <w:color w:val="000000" w:themeColor="text1"/>
            <w:sz w:val="22"/>
            <w:szCs w:val="22"/>
            <w:u w:val="none"/>
          </w:rPr>
          <w:fldChar w:fldCharType="separate"/>
        </w:r>
        <w:r w:rsidR="00923408">
          <w:rPr>
            <w:rStyle w:val="Hyperlink"/>
            <w:rFonts w:asciiTheme="minorHAnsi" w:hAnsiTheme="minorHAnsi"/>
            <w:noProof/>
            <w:webHidden/>
            <w:color w:val="000000" w:themeColor="text1"/>
            <w:sz w:val="22"/>
            <w:szCs w:val="22"/>
            <w:u w:val="none"/>
          </w:rPr>
          <w:t>1</w:t>
        </w:r>
        <w:r w:rsidR="00C51657" w:rsidRPr="000C6431">
          <w:rPr>
            <w:rStyle w:val="Hyperlink"/>
            <w:rFonts w:asciiTheme="minorHAnsi" w:hAnsiTheme="minorHAnsi"/>
            <w:webHidden/>
            <w:color w:val="000000" w:themeColor="text1"/>
            <w:sz w:val="22"/>
            <w:szCs w:val="22"/>
            <w:u w:val="none"/>
          </w:rPr>
          <w:fldChar w:fldCharType="end"/>
        </w:r>
      </w:hyperlink>
      <w:r w:rsidR="0064283F">
        <w:rPr>
          <w:rStyle w:val="Hyperlink"/>
          <w:rFonts w:asciiTheme="minorHAnsi" w:hAnsiTheme="minorHAnsi"/>
          <w:color w:val="000000" w:themeColor="text1"/>
          <w:sz w:val="22"/>
          <w:szCs w:val="22"/>
          <w:u w:val="none"/>
        </w:rPr>
        <w:t>9</w:t>
      </w:r>
    </w:p>
    <w:p w:rsidR="00C51657" w:rsidRPr="000C6431" w:rsidRDefault="004A64EF" w:rsidP="000C6431">
      <w:pPr>
        <w:pStyle w:val="TOC3"/>
        <w:tabs>
          <w:tab w:val="right" w:leader="dot" w:pos="9063"/>
        </w:tabs>
        <w:ind w:left="0"/>
        <w:contextualSpacing/>
        <w:rPr>
          <w:rStyle w:val="Hyperlink"/>
          <w:rFonts w:asciiTheme="minorHAnsi" w:hAnsiTheme="minorHAnsi"/>
          <w:noProof/>
          <w:color w:val="000000" w:themeColor="text1"/>
          <w:sz w:val="22"/>
          <w:szCs w:val="22"/>
          <w:u w:val="none"/>
        </w:rPr>
      </w:pPr>
      <w:hyperlink w:anchor="_Toc21514458" w:history="1">
        <w:r w:rsidR="00C51657" w:rsidRPr="000C6431">
          <w:rPr>
            <w:rStyle w:val="Hyperlink"/>
            <w:rFonts w:asciiTheme="minorHAnsi" w:hAnsiTheme="minorHAnsi"/>
            <w:noProof/>
            <w:color w:val="000000" w:themeColor="text1"/>
            <w:sz w:val="22"/>
            <w:szCs w:val="22"/>
            <w:u w:val="none"/>
          </w:rPr>
          <w:t>Tabela 4: Kategorizimi i Aseteve (RAB) dhe norma mesatare e ponderuar e zhvlerësimit</w:t>
        </w:r>
        <w:r w:rsidR="00C51657" w:rsidRPr="000C6431">
          <w:rPr>
            <w:rStyle w:val="Hyperlink"/>
            <w:rFonts w:asciiTheme="minorHAnsi" w:hAnsiTheme="minorHAnsi"/>
            <w:webHidden/>
            <w:color w:val="000000" w:themeColor="text1"/>
            <w:sz w:val="22"/>
            <w:szCs w:val="22"/>
            <w:u w:val="none"/>
          </w:rPr>
          <w:tab/>
        </w:r>
        <w:r w:rsidR="0064283F">
          <w:rPr>
            <w:rStyle w:val="Hyperlink"/>
            <w:rFonts w:asciiTheme="minorHAnsi" w:hAnsiTheme="minorHAnsi"/>
            <w:webHidden/>
            <w:color w:val="000000" w:themeColor="text1"/>
            <w:sz w:val="22"/>
            <w:szCs w:val="22"/>
            <w:u w:val="none"/>
          </w:rPr>
          <w:t>20</w:t>
        </w:r>
      </w:hyperlink>
    </w:p>
    <w:p w:rsidR="006D004B" w:rsidRPr="000C6431" w:rsidRDefault="004A64EF" w:rsidP="000C6431">
      <w:pPr>
        <w:pStyle w:val="TOC3"/>
        <w:tabs>
          <w:tab w:val="right" w:leader="dot" w:pos="9063"/>
        </w:tabs>
        <w:ind w:left="0"/>
        <w:contextualSpacing/>
        <w:rPr>
          <w:rStyle w:val="Hyperlink"/>
          <w:rFonts w:asciiTheme="minorHAnsi" w:hAnsiTheme="minorHAnsi"/>
          <w:color w:val="000000" w:themeColor="text1"/>
          <w:sz w:val="22"/>
          <w:szCs w:val="22"/>
          <w:u w:val="none"/>
        </w:rPr>
      </w:pPr>
      <w:hyperlink w:anchor="_Toc21514868" w:history="1">
        <w:r w:rsidR="006D004B" w:rsidRPr="000C6431">
          <w:rPr>
            <w:rStyle w:val="Hyperlink"/>
            <w:rFonts w:asciiTheme="minorHAnsi" w:hAnsiTheme="minorHAnsi"/>
            <w:noProof/>
            <w:color w:val="000000" w:themeColor="text1"/>
            <w:sz w:val="22"/>
            <w:szCs w:val="22"/>
            <w:u w:val="none"/>
          </w:rPr>
          <w:t>Tabela 5: Kthimi i Lejuar (Profiti i Lejuar) në RABf për sezonin e ngrohjes 20</w:t>
        </w:r>
        <w:r w:rsidR="003A13BC">
          <w:rPr>
            <w:rStyle w:val="Hyperlink"/>
            <w:rFonts w:asciiTheme="minorHAnsi" w:hAnsiTheme="minorHAnsi"/>
            <w:noProof/>
            <w:color w:val="000000" w:themeColor="text1"/>
            <w:sz w:val="22"/>
            <w:szCs w:val="22"/>
            <w:u w:val="none"/>
          </w:rPr>
          <w:t>20</w:t>
        </w:r>
        <w:r w:rsidR="006D004B" w:rsidRPr="000C6431">
          <w:rPr>
            <w:rStyle w:val="Hyperlink"/>
            <w:rFonts w:asciiTheme="minorHAnsi" w:hAnsiTheme="minorHAnsi"/>
            <w:noProof/>
            <w:color w:val="000000" w:themeColor="text1"/>
            <w:sz w:val="22"/>
            <w:szCs w:val="22"/>
            <w:u w:val="none"/>
          </w:rPr>
          <w:t>/202</w:t>
        </w:r>
        <w:r w:rsidR="003A13BC">
          <w:rPr>
            <w:rStyle w:val="Hyperlink"/>
            <w:rFonts w:asciiTheme="minorHAnsi" w:hAnsiTheme="minorHAnsi"/>
            <w:noProof/>
            <w:color w:val="000000" w:themeColor="text1"/>
            <w:sz w:val="22"/>
            <w:szCs w:val="22"/>
            <w:u w:val="none"/>
          </w:rPr>
          <w:t>1</w:t>
        </w:r>
        <w:r w:rsidR="006D004B" w:rsidRPr="000C6431">
          <w:rPr>
            <w:rStyle w:val="Hyperlink"/>
            <w:rFonts w:asciiTheme="minorHAnsi" w:hAnsiTheme="minorHAnsi"/>
            <w:webHidden/>
            <w:color w:val="000000" w:themeColor="text1"/>
            <w:sz w:val="22"/>
            <w:szCs w:val="22"/>
            <w:u w:val="none"/>
          </w:rPr>
          <w:tab/>
        </w:r>
        <w:r w:rsidR="006D004B" w:rsidRPr="000C6431">
          <w:rPr>
            <w:rStyle w:val="Hyperlink"/>
            <w:rFonts w:asciiTheme="minorHAnsi" w:hAnsiTheme="minorHAnsi"/>
            <w:webHidden/>
            <w:color w:val="000000" w:themeColor="text1"/>
            <w:sz w:val="22"/>
            <w:szCs w:val="22"/>
            <w:u w:val="none"/>
          </w:rPr>
          <w:fldChar w:fldCharType="begin"/>
        </w:r>
        <w:r w:rsidR="006D004B" w:rsidRPr="000C6431">
          <w:rPr>
            <w:rStyle w:val="Hyperlink"/>
            <w:rFonts w:asciiTheme="minorHAnsi" w:hAnsiTheme="minorHAnsi"/>
            <w:webHidden/>
            <w:color w:val="000000" w:themeColor="text1"/>
            <w:sz w:val="22"/>
            <w:szCs w:val="22"/>
            <w:u w:val="none"/>
          </w:rPr>
          <w:instrText xml:space="preserve"> PAGEREF _Toc21514868 \h </w:instrText>
        </w:r>
        <w:r w:rsidR="006D004B" w:rsidRPr="000C6431">
          <w:rPr>
            <w:rStyle w:val="Hyperlink"/>
            <w:rFonts w:asciiTheme="minorHAnsi" w:hAnsiTheme="minorHAnsi"/>
            <w:webHidden/>
            <w:color w:val="000000" w:themeColor="text1"/>
            <w:sz w:val="22"/>
            <w:szCs w:val="22"/>
            <w:u w:val="none"/>
          </w:rPr>
        </w:r>
        <w:r w:rsidR="006D004B" w:rsidRPr="000C6431">
          <w:rPr>
            <w:rStyle w:val="Hyperlink"/>
            <w:rFonts w:asciiTheme="minorHAnsi" w:hAnsiTheme="minorHAnsi"/>
            <w:webHidden/>
            <w:color w:val="000000" w:themeColor="text1"/>
            <w:sz w:val="22"/>
            <w:szCs w:val="22"/>
            <w:u w:val="none"/>
          </w:rPr>
          <w:fldChar w:fldCharType="separate"/>
        </w:r>
        <w:r w:rsidR="00923408">
          <w:rPr>
            <w:rStyle w:val="Hyperlink"/>
            <w:rFonts w:asciiTheme="minorHAnsi" w:hAnsiTheme="minorHAnsi"/>
            <w:noProof/>
            <w:webHidden/>
            <w:color w:val="000000" w:themeColor="text1"/>
            <w:sz w:val="22"/>
            <w:szCs w:val="22"/>
            <w:u w:val="none"/>
          </w:rPr>
          <w:t>2</w:t>
        </w:r>
        <w:r w:rsidR="006D004B" w:rsidRPr="000C6431">
          <w:rPr>
            <w:rStyle w:val="Hyperlink"/>
            <w:rFonts w:asciiTheme="minorHAnsi" w:hAnsiTheme="minorHAnsi"/>
            <w:webHidden/>
            <w:color w:val="000000" w:themeColor="text1"/>
            <w:sz w:val="22"/>
            <w:szCs w:val="22"/>
            <w:u w:val="none"/>
          </w:rPr>
          <w:fldChar w:fldCharType="end"/>
        </w:r>
      </w:hyperlink>
      <w:r w:rsidR="0064283F">
        <w:rPr>
          <w:rStyle w:val="Hyperlink"/>
          <w:rFonts w:asciiTheme="minorHAnsi" w:hAnsiTheme="minorHAnsi"/>
          <w:color w:val="000000" w:themeColor="text1"/>
          <w:sz w:val="22"/>
          <w:szCs w:val="22"/>
          <w:u w:val="none"/>
        </w:rPr>
        <w:t>3</w:t>
      </w:r>
    </w:p>
    <w:p w:rsidR="00C51657" w:rsidRPr="000C6431" w:rsidRDefault="004A64EF" w:rsidP="000C6431">
      <w:pPr>
        <w:pStyle w:val="TOC3"/>
        <w:tabs>
          <w:tab w:val="right" w:leader="dot" w:pos="9063"/>
        </w:tabs>
        <w:ind w:left="0"/>
        <w:contextualSpacing/>
        <w:rPr>
          <w:rFonts w:asciiTheme="minorHAnsi" w:hAnsiTheme="minorHAnsi"/>
          <w:noProof/>
          <w:color w:val="000000" w:themeColor="text1"/>
          <w:sz w:val="22"/>
          <w:szCs w:val="22"/>
        </w:rPr>
      </w:pPr>
      <w:hyperlink w:anchor="_Toc21514465" w:history="1">
        <w:r w:rsidR="00C51657" w:rsidRPr="000C6431">
          <w:rPr>
            <w:rStyle w:val="Hyperlink"/>
            <w:rFonts w:asciiTheme="minorHAnsi" w:hAnsiTheme="minorHAnsi"/>
            <w:noProof/>
            <w:color w:val="000000" w:themeColor="text1"/>
            <w:sz w:val="22"/>
            <w:szCs w:val="22"/>
            <w:u w:val="none"/>
          </w:rPr>
          <w:t>Tabela 6: Të Hyrat e lejuara për NQ Termokos sezoni i ngrohjes 20</w:t>
        </w:r>
        <w:r w:rsidR="003A13BC">
          <w:rPr>
            <w:rStyle w:val="Hyperlink"/>
            <w:rFonts w:asciiTheme="minorHAnsi" w:hAnsiTheme="minorHAnsi"/>
            <w:noProof/>
            <w:color w:val="000000" w:themeColor="text1"/>
            <w:sz w:val="22"/>
            <w:szCs w:val="22"/>
            <w:u w:val="none"/>
          </w:rPr>
          <w:t>20</w:t>
        </w:r>
        <w:r w:rsidR="00C51657" w:rsidRPr="000C6431">
          <w:rPr>
            <w:rStyle w:val="Hyperlink"/>
            <w:rFonts w:asciiTheme="minorHAnsi" w:hAnsiTheme="minorHAnsi"/>
            <w:noProof/>
            <w:color w:val="000000" w:themeColor="text1"/>
            <w:sz w:val="22"/>
            <w:szCs w:val="22"/>
            <w:u w:val="none"/>
          </w:rPr>
          <w:t>/202</w:t>
        </w:r>
        <w:r w:rsidR="003A13BC">
          <w:rPr>
            <w:rStyle w:val="Hyperlink"/>
            <w:rFonts w:asciiTheme="minorHAnsi" w:hAnsiTheme="minorHAnsi"/>
            <w:noProof/>
            <w:color w:val="000000" w:themeColor="text1"/>
            <w:sz w:val="22"/>
            <w:szCs w:val="22"/>
            <w:u w:val="none"/>
          </w:rPr>
          <w:t>1</w:t>
        </w:r>
        <w:r w:rsidR="00C51657" w:rsidRPr="000C6431">
          <w:rPr>
            <w:rFonts w:asciiTheme="minorHAnsi" w:hAnsiTheme="minorHAnsi"/>
            <w:noProof/>
            <w:webHidden/>
            <w:color w:val="000000" w:themeColor="text1"/>
            <w:sz w:val="22"/>
            <w:szCs w:val="22"/>
          </w:rPr>
          <w:tab/>
        </w:r>
        <w:r w:rsidR="00C51657" w:rsidRPr="000C6431">
          <w:rPr>
            <w:rFonts w:asciiTheme="minorHAnsi" w:hAnsiTheme="minorHAnsi"/>
            <w:noProof/>
            <w:webHidden/>
            <w:color w:val="000000" w:themeColor="text1"/>
            <w:sz w:val="22"/>
            <w:szCs w:val="22"/>
          </w:rPr>
          <w:fldChar w:fldCharType="begin"/>
        </w:r>
        <w:r w:rsidR="00C51657" w:rsidRPr="000C6431">
          <w:rPr>
            <w:rFonts w:asciiTheme="minorHAnsi" w:hAnsiTheme="minorHAnsi"/>
            <w:noProof/>
            <w:webHidden/>
            <w:color w:val="000000" w:themeColor="text1"/>
            <w:sz w:val="22"/>
            <w:szCs w:val="22"/>
          </w:rPr>
          <w:instrText xml:space="preserve"> PAGEREF _Toc21514465 \h </w:instrText>
        </w:r>
        <w:r w:rsidR="00C51657" w:rsidRPr="000C6431">
          <w:rPr>
            <w:rFonts w:asciiTheme="minorHAnsi" w:hAnsiTheme="minorHAnsi"/>
            <w:noProof/>
            <w:webHidden/>
            <w:color w:val="000000" w:themeColor="text1"/>
            <w:sz w:val="22"/>
            <w:szCs w:val="22"/>
          </w:rPr>
        </w:r>
        <w:r w:rsidR="00C51657" w:rsidRPr="000C6431">
          <w:rPr>
            <w:rFonts w:asciiTheme="minorHAnsi" w:hAnsiTheme="minorHAnsi"/>
            <w:noProof/>
            <w:webHidden/>
            <w:color w:val="000000" w:themeColor="text1"/>
            <w:sz w:val="22"/>
            <w:szCs w:val="22"/>
          </w:rPr>
          <w:fldChar w:fldCharType="separate"/>
        </w:r>
        <w:r w:rsidR="00923408">
          <w:rPr>
            <w:rFonts w:asciiTheme="minorHAnsi" w:hAnsiTheme="minorHAnsi"/>
            <w:noProof/>
            <w:webHidden/>
            <w:color w:val="000000" w:themeColor="text1"/>
            <w:sz w:val="22"/>
            <w:szCs w:val="22"/>
          </w:rPr>
          <w:t>2</w:t>
        </w:r>
        <w:r w:rsidR="00C51657" w:rsidRPr="000C6431">
          <w:rPr>
            <w:rFonts w:asciiTheme="minorHAnsi" w:hAnsiTheme="minorHAnsi"/>
            <w:noProof/>
            <w:webHidden/>
            <w:color w:val="000000" w:themeColor="text1"/>
            <w:sz w:val="22"/>
            <w:szCs w:val="22"/>
          </w:rPr>
          <w:fldChar w:fldCharType="end"/>
        </w:r>
      </w:hyperlink>
      <w:r w:rsidR="0064283F">
        <w:rPr>
          <w:rFonts w:asciiTheme="minorHAnsi" w:hAnsiTheme="minorHAnsi"/>
          <w:noProof/>
          <w:color w:val="000000" w:themeColor="text1"/>
          <w:sz w:val="22"/>
          <w:szCs w:val="22"/>
        </w:rPr>
        <w:t>5</w:t>
      </w:r>
    </w:p>
    <w:p w:rsidR="00C51657" w:rsidRPr="000C6431" w:rsidRDefault="004A64EF" w:rsidP="000C6431">
      <w:pPr>
        <w:pStyle w:val="TOC3"/>
        <w:tabs>
          <w:tab w:val="right" w:leader="dot" w:pos="9063"/>
        </w:tabs>
        <w:ind w:left="0"/>
        <w:contextualSpacing/>
        <w:rPr>
          <w:rStyle w:val="Hyperlink"/>
          <w:rFonts w:asciiTheme="minorHAnsi" w:hAnsiTheme="minorHAnsi"/>
          <w:color w:val="000000" w:themeColor="text1"/>
          <w:sz w:val="22"/>
          <w:szCs w:val="22"/>
          <w:u w:val="none"/>
        </w:rPr>
      </w:pPr>
      <w:hyperlink w:anchor="_Toc21514467" w:history="1">
        <w:r w:rsidR="00C51657" w:rsidRPr="000C6431">
          <w:rPr>
            <w:rStyle w:val="Hyperlink"/>
            <w:rFonts w:asciiTheme="minorHAnsi" w:hAnsiTheme="minorHAnsi"/>
            <w:noProof/>
            <w:color w:val="000000" w:themeColor="text1"/>
            <w:sz w:val="22"/>
            <w:szCs w:val="22"/>
            <w:u w:val="none"/>
          </w:rPr>
          <w:t>Tabela 7: Përmbledhje e Bilancit të energjisë termike</w:t>
        </w:r>
        <w:r w:rsidR="00C51657" w:rsidRPr="000C6431">
          <w:rPr>
            <w:rStyle w:val="Hyperlink"/>
            <w:rFonts w:asciiTheme="minorHAnsi" w:hAnsiTheme="minorHAnsi"/>
            <w:webHidden/>
            <w:color w:val="000000" w:themeColor="text1"/>
            <w:sz w:val="22"/>
            <w:szCs w:val="22"/>
            <w:u w:val="none"/>
          </w:rPr>
          <w:tab/>
        </w:r>
        <w:r w:rsidR="00C51657" w:rsidRPr="000C6431">
          <w:rPr>
            <w:rStyle w:val="Hyperlink"/>
            <w:rFonts w:asciiTheme="minorHAnsi" w:hAnsiTheme="minorHAnsi"/>
            <w:webHidden/>
            <w:color w:val="000000" w:themeColor="text1"/>
            <w:sz w:val="22"/>
            <w:szCs w:val="22"/>
            <w:u w:val="none"/>
          </w:rPr>
          <w:fldChar w:fldCharType="begin"/>
        </w:r>
        <w:r w:rsidR="00C51657" w:rsidRPr="000C6431">
          <w:rPr>
            <w:rStyle w:val="Hyperlink"/>
            <w:rFonts w:asciiTheme="minorHAnsi" w:hAnsiTheme="minorHAnsi"/>
            <w:webHidden/>
            <w:color w:val="000000" w:themeColor="text1"/>
            <w:sz w:val="22"/>
            <w:szCs w:val="22"/>
            <w:u w:val="none"/>
          </w:rPr>
          <w:instrText xml:space="preserve"> PAGEREF _Toc21514467 \h </w:instrText>
        </w:r>
        <w:r w:rsidR="00C51657" w:rsidRPr="000C6431">
          <w:rPr>
            <w:rStyle w:val="Hyperlink"/>
            <w:rFonts w:asciiTheme="minorHAnsi" w:hAnsiTheme="minorHAnsi"/>
            <w:webHidden/>
            <w:color w:val="000000" w:themeColor="text1"/>
            <w:sz w:val="22"/>
            <w:szCs w:val="22"/>
            <w:u w:val="none"/>
          </w:rPr>
        </w:r>
        <w:r w:rsidR="00C51657" w:rsidRPr="000C6431">
          <w:rPr>
            <w:rStyle w:val="Hyperlink"/>
            <w:rFonts w:asciiTheme="minorHAnsi" w:hAnsiTheme="minorHAnsi"/>
            <w:webHidden/>
            <w:color w:val="000000" w:themeColor="text1"/>
            <w:sz w:val="22"/>
            <w:szCs w:val="22"/>
            <w:u w:val="none"/>
          </w:rPr>
          <w:fldChar w:fldCharType="separate"/>
        </w:r>
        <w:r w:rsidR="00923408">
          <w:rPr>
            <w:rStyle w:val="Hyperlink"/>
            <w:rFonts w:asciiTheme="minorHAnsi" w:hAnsiTheme="minorHAnsi"/>
            <w:noProof/>
            <w:webHidden/>
            <w:color w:val="000000" w:themeColor="text1"/>
            <w:sz w:val="22"/>
            <w:szCs w:val="22"/>
            <w:u w:val="none"/>
          </w:rPr>
          <w:t>2</w:t>
        </w:r>
        <w:r w:rsidR="00C51657" w:rsidRPr="000C6431">
          <w:rPr>
            <w:rStyle w:val="Hyperlink"/>
            <w:rFonts w:asciiTheme="minorHAnsi" w:hAnsiTheme="minorHAnsi"/>
            <w:webHidden/>
            <w:color w:val="000000" w:themeColor="text1"/>
            <w:sz w:val="22"/>
            <w:szCs w:val="22"/>
            <w:u w:val="none"/>
          </w:rPr>
          <w:fldChar w:fldCharType="end"/>
        </w:r>
      </w:hyperlink>
      <w:r w:rsidR="0064283F">
        <w:rPr>
          <w:rStyle w:val="Hyperlink"/>
          <w:rFonts w:asciiTheme="minorHAnsi" w:hAnsiTheme="minorHAnsi"/>
          <w:color w:val="000000" w:themeColor="text1"/>
          <w:sz w:val="22"/>
          <w:szCs w:val="22"/>
          <w:u w:val="none"/>
        </w:rPr>
        <w:t>5</w:t>
      </w:r>
    </w:p>
    <w:p w:rsidR="00C51657" w:rsidRPr="000C6431" w:rsidRDefault="00C51657" w:rsidP="00C51657">
      <w:pPr>
        <w:rPr>
          <w:rFonts w:asciiTheme="minorHAnsi" w:hAnsiTheme="minorHAnsi"/>
          <w:color w:val="000000" w:themeColor="text1"/>
          <w:sz w:val="22"/>
          <w:szCs w:val="22"/>
          <w:lang w:val="de-DE"/>
        </w:rPr>
      </w:pPr>
    </w:p>
    <w:p w:rsidR="000C6431" w:rsidRDefault="000C6431" w:rsidP="000C6431"/>
    <w:p w:rsidR="000C6431" w:rsidRDefault="000C6431" w:rsidP="000C6431"/>
    <w:p w:rsidR="0064283F" w:rsidRDefault="0064283F" w:rsidP="000C6431"/>
    <w:p w:rsidR="0064283F" w:rsidRPr="000C6431" w:rsidRDefault="0064283F" w:rsidP="000C6431"/>
    <w:p w:rsidR="00E807F8" w:rsidRPr="000C6431" w:rsidRDefault="004A64EF" w:rsidP="00382204">
      <w:pPr>
        <w:pStyle w:val="Heading1"/>
        <w:tabs>
          <w:tab w:val="clear" w:pos="2340"/>
          <w:tab w:val="num" w:pos="1620"/>
        </w:tabs>
        <w:ind w:left="720"/>
        <w:rPr>
          <w:color w:val="000000" w:themeColor="text1"/>
        </w:rPr>
      </w:pPr>
      <w:hyperlink w:anchor="_1._Hyrje" w:history="1">
        <w:bookmarkStart w:id="4" w:name="_Toc21513542"/>
        <w:bookmarkStart w:id="5" w:name="_Toc21514364"/>
        <w:bookmarkStart w:id="6" w:name="_Toc21521371"/>
        <w:r w:rsidR="00E807F8" w:rsidRPr="000C6431">
          <w:rPr>
            <w:rStyle w:val="Hyperlink"/>
            <w:rFonts w:asciiTheme="minorHAnsi" w:hAnsiTheme="minorHAnsi"/>
            <w:color w:val="000000" w:themeColor="text1"/>
            <w:sz w:val="24"/>
            <w:u w:val="none"/>
          </w:rPr>
          <w:t>Hyrje</w:t>
        </w:r>
        <w:bookmarkEnd w:id="2"/>
        <w:bookmarkEnd w:id="3"/>
        <w:bookmarkEnd w:id="4"/>
        <w:bookmarkEnd w:id="5"/>
        <w:bookmarkEnd w:id="6"/>
      </w:hyperlink>
      <w:r w:rsidR="00E807F8" w:rsidRPr="000C6431">
        <w:rPr>
          <w:color w:val="000000" w:themeColor="text1"/>
        </w:rPr>
        <w:t xml:space="preserve"> </w:t>
      </w:r>
    </w:p>
    <w:p w:rsidR="00E807F8" w:rsidRPr="00E84532" w:rsidRDefault="00E807F8" w:rsidP="00E807F8">
      <w:pPr>
        <w:rPr>
          <w:rFonts w:asciiTheme="minorHAnsi" w:hAnsiTheme="minorHAnsi"/>
          <w:b/>
          <w:bCs/>
        </w:rPr>
      </w:pPr>
    </w:p>
    <w:p w:rsidR="00E807F8" w:rsidRPr="00E84532" w:rsidRDefault="00E807F8" w:rsidP="00E807F8">
      <w:pPr>
        <w:jc w:val="both"/>
        <w:rPr>
          <w:rFonts w:asciiTheme="minorHAnsi" w:hAnsiTheme="minorHAnsi"/>
          <w:sz w:val="22"/>
        </w:rPr>
      </w:pPr>
      <w:r w:rsidRPr="00E84532">
        <w:rPr>
          <w:rFonts w:asciiTheme="minorHAnsi" w:hAnsiTheme="minorHAnsi"/>
          <w:sz w:val="22"/>
        </w:rPr>
        <w:t xml:space="preserve">Në pajtim me legjislacionin primar – nenet 47 dhe 48 të Ligjit për Rregullatorin e Energjisë, Zyra e Rregullatorit për Energji (ZRRE) është përgjegjëse për përcaktimin e metodologjisë së tarifave dhe aprovimin e tarifave në sektorin e rregulluar të energjisë; këtu janë një sërë parimesh të gjera, siç janë parimet e mos-diskriminimit dhe arsyeshmërisë me të cilat ndërmarrjet e energjisë do të mund t’i rikthenin të gjitha kostot e arsyeshme përfshirë edhe kthimin e arsyeshëm në investimet e tyre. Gjithashtu nenet 18 dhe 19 të Ligjit për Energjinë Termike përcaktojnë se Furnizuesi me obligimin e shërbimit publik, kryen furnizimin me energji termike me tarifa të rregulluara. </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cs="Calibri"/>
          <w:bCs/>
          <w:sz w:val="22"/>
          <w:szCs w:val="22"/>
        </w:rPr>
      </w:pPr>
      <w:r w:rsidRPr="00E84532">
        <w:rPr>
          <w:rFonts w:asciiTheme="minorHAnsi" w:hAnsiTheme="minorHAnsi" w:cs="Calibri"/>
          <w:bCs/>
          <w:sz w:val="22"/>
          <w:szCs w:val="22"/>
        </w:rPr>
        <w:t xml:space="preserve">Përderisa sektori i energjisë termike në transportimin dhe shpërndarjen e energjisë termike klasifikohet si monopol i natyrshëm, dhe për arsye se gjithashtu në gjenerim dhe furnizim ende nuk ekziston konkurrenca, atëherë tarifat e ngrohjes qendrore, që i përmbajnë të gjitha komponentët e lartpërmendura, i nënshtrohen përcaktimit - miratimit nga ZRRE-ja. </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 xml:space="preserve">Brenda kompetencave dhe obligimeve të veta ligjore, Zyra e Rregullatorit për Energji ka nxjerrë Rregullën për Vendosjen e Çmimeve të Energjisë Termike. Rregulla përcakton procedurat për dorëzimin, shqyrtimin e aplikacionit tarifor dhe aprovimin e tarifave, si dhe Metodologjinë për llogaritjen e të hyrave të lejuara dhe  tarifave. </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Për përcaktimin e të hyrave të lejuara për sezonin e ngrohjes 20</w:t>
      </w:r>
      <w:r w:rsidR="0050131C">
        <w:rPr>
          <w:rFonts w:asciiTheme="minorHAnsi" w:hAnsiTheme="minorHAnsi"/>
          <w:sz w:val="22"/>
        </w:rPr>
        <w:t>20</w:t>
      </w:r>
      <w:r w:rsidRPr="00E84532">
        <w:rPr>
          <w:rFonts w:asciiTheme="minorHAnsi" w:hAnsiTheme="minorHAnsi"/>
          <w:sz w:val="22"/>
        </w:rPr>
        <w:t>/20</w:t>
      </w:r>
      <w:r w:rsidR="004C2980">
        <w:rPr>
          <w:rFonts w:asciiTheme="minorHAnsi" w:hAnsiTheme="minorHAnsi"/>
          <w:sz w:val="22"/>
        </w:rPr>
        <w:t>2</w:t>
      </w:r>
      <w:r w:rsidR="0050131C">
        <w:rPr>
          <w:rFonts w:asciiTheme="minorHAnsi" w:hAnsiTheme="minorHAnsi"/>
          <w:sz w:val="22"/>
        </w:rPr>
        <w:t>1</w:t>
      </w:r>
      <w:r w:rsidRPr="00E84532">
        <w:rPr>
          <w:rFonts w:asciiTheme="minorHAnsi" w:hAnsiTheme="minorHAnsi"/>
          <w:sz w:val="22"/>
        </w:rPr>
        <w:t xml:space="preserve"> janë marrë parasysh si vijon:</w:t>
      </w:r>
    </w:p>
    <w:p w:rsidR="00E807F8" w:rsidRPr="00E84532" w:rsidRDefault="00E807F8" w:rsidP="00E807F8">
      <w:pPr>
        <w:jc w:val="both"/>
        <w:rPr>
          <w:rFonts w:asciiTheme="minorHAnsi" w:hAnsiTheme="minorHAnsi"/>
          <w:sz w:val="22"/>
        </w:rPr>
      </w:pPr>
    </w:p>
    <w:p w:rsidR="00E807F8" w:rsidRPr="00E84532" w:rsidRDefault="00E807F8" w:rsidP="00E807F8">
      <w:pPr>
        <w:pStyle w:val="BodyTextIndent"/>
        <w:ind w:left="360" w:hanging="360"/>
        <w:jc w:val="both"/>
        <w:rPr>
          <w:rFonts w:asciiTheme="minorHAnsi" w:hAnsiTheme="minorHAnsi"/>
          <w:sz w:val="22"/>
        </w:rPr>
      </w:pPr>
      <w:r w:rsidRPr="00E84532">
        <w:rPr>
          <w:rFonts w:asciiTheme="minorHAnsi" w:hAnsiTheme="minorHAnsi"/>
          <w:sz w:val="22"/>
        </w:rPr>
        <w:t xml:space="preserve">-  </w:t>
      </w:r>
      <w:r w:rsidRPr="00E84532">
        <w:rPr>
          <w:rFonts w:asciiTheme="minorHAnsi" w:hAnsiTheme="minorHAnsi"/>
          <w:sz w:val="22"/>
        </w:rPr>
        <w:tab/>
        <w:t>Informatat e dhëna nga NQ Termokosi në aplikacionin e tyre tarifor për sezonin e ngrohjes  20</w:t>
      </w:r>
      <w:r w:rsidR="0050131C">
        <w:rPr>
          <w:rFonts w:asciiTheme="minorHAnsi" w:hAnsiTheme="minorHAnsi"/>
          <w:sz w:val="22"/>
        </w:rPr>
        <w:t>20</w:t>
      </w:r>
      <w:r w:rsidRPr="00E84532">
        <w:rPr>
          <w:rFonts w:asciiTheme="minorHAnsi" w:hAnsiTheme="minorHAnsi"/>
          <w:sz w:val="22"/>
        </w:rPr>
        <w:t>/20</w:t>
      </w:r>
      <w:r w:rsidR="004C2980">
        <w:rPr>
          <w:rFonts w:asciiTheme="minorHAnsi" w:hAnsiTheme="minorHAnsi"/>
          <w:sz w:val="22"/>
        </w:rPr>
        <w:t>2</w:t>
      </w:r>
      <w:r w:rsidR="0050131C">
        <w:rPr>
          <w:rFonts w:asciiTheme="minorHAnsi" w:hAnsiTheme="minorHAnsi"/>
          <w:sz w:val="22"/>
        </w:rPr>
        <w:t>1</w:t>
      </w:r>
      <w:r w:rsidRPr="00E84532">
        <w:rPr>
          <w:rFonts w:asciiTheme="minorHAnsi" w:hAnsiTheme="minorHAnsi"/>
          <w:sz w:val="22"/>
        </w:rPr>
        <w:t>;</w:t>
      </w:r>
    </w:p>
    <w:p w:rsidR="00E807F8" w:rsidRPr="00E84532" w:rsidRDefault="00E807F8" w:rsidP="00E807F8">
      <w:pPr>
        <w:pStyle w:val="BodyTextIndent"/>
        <w:ind w:left="360" w:hanging="360"/>
        <w:jc w:val="both"/>
        <w:rPr>
          <w:rFonts w:asciiTheme="minorHAnsi" w:hAnsiTheme="minorHAnsi"/>
          <w:sz w:val="22"/>
        </w:rPr>
      </w:pPr>
      <w:r w:rsidRPr="00E84532">
        <w:rPr>
          <w:rFonts w:asciiTheme="minorHAnsi" w:hAnsiTheme="minorHAnsi"/>
          <w:sz w:val="22"/>
        </w:rPr>
        <w:t>-</w:t>
      </w:r>
      <w:r w:rsidRPr="00E84532">
        <w:rPr>
          <w:rFonts w:asciiTheme="minorHAnsi" w:hAnsiTheme="minorHAnsi"/>
          <w:sz w:val="22"/>
        </w:rPr>
        <w:tab/>
        <w:t>Informatat e dhëna nga NQ Termokosi gjatë raportimit rregullativ të realizimeve – shpenzimet dhe të ardhurat, asetet / investimet, si dhe informatat teknike dhe për konsumatorë që aktualisht janë realizuar në sezonin e ngrohjes 20</w:t>
      </w:r>
      <w:r w:rsidR="0050131C">
        <w:rPr>
          <w:rFonts w:asciiTheme="minorHAnsi" w:hAnsiTheme="minorHAnsi"/>
          <w:sz w:val="22"/>
        </w:rPr>
        <w:t>19</w:t>
      </w:r>
      <w:r w:rsidRPr="00E84532">
        <w:rPr>
          <w:rFonts w:asciiTheme="minorHAnsi" w:hAnsiTheme="minorHAnsi"/>
          <w:sz w:val="22"/>
        </w:rPr>
        <w:t>/20</w:t>
      </w:r>
      <w:r w:rsidR="0050131C">
        <w:rPr>
          <w:rFonts w:asciiTheme="minorHAnsi" w:hAnsiTheme="minorHAnsi"/>
          <w:sz w:val="22"/>
        </w:rPr>
        <w:t>20</w:t>
      </w:r>
      <w:r w:rsidRPr="00E84532">
        <w:rPr>
          <w:rFonts w:asciiTheme="minorHAnsi" w:hAnsiTheme="minorHAnsi"/>
          <w:sz w:val="22"/>
        </w:rPr>
        <w:t xml:space="preserve"> dhe në sezonet e mëparshme; </w:t>
      </w:r>
    </w:p>
    <w:p w:rsidR="00E807F8" w:rsidRPr="00E84532" w:rsidRDefault="00E807F8" w:rsidP="00E807F8">
      <w:pPr>
        <w:pStyle w:val="BodyTextIndent"/>
        <w:jc w:val="both"/>
        <w:rPr>
          <w:rFonts w:asciiTheme="minorHAnsi" w:hAnsiTheme="minorHAnsi"/>
          <w:sz w:val="22"/>
        </w:rPr>
      </w:pPr>
    </w:p>
    <w:p w:rsidR="00E807F8" w:rsidRPr="00E84532" w:rsidRDefault="00E807F8" w:rsidP="00E807F8">
      <w:pPr>
        <w:pStyle w:val="BodyTextIndent"/>
        <w:jc w:val="both"/>
        <w:rPr>
          <w:rFonts w:asciiTheme="minorHAnsi" w:hAnsiTheme="minorHAnsi"/>
          <w:sz w:val="22"/>
          <w:u w:val="single"/>
        </w:rPr>
      </w:pPr>
      <w:r w:rsidRPr="00E84532">
        <w:rPr>
          <w:rFonts w:asciiTheme="minorHAnsi" w:hAnsiTheme="minorHAnsi"/>
          <w:sz w:val="22"/>
          <w:u w:val="single"/>
        </w:rPr>
        <w:t>Ecuria e procesit të shqyrtimit tarifor:</w:t>
      </w:r>
    </w:p>
    <w:p w:rsidR="00E807F8" w:rsidRPr="00E84532" w:rsidRDefault="00E807F8" w:rsidP="00E807F8">
      <w:pPr>
        <w:pStyle w:val="BodyTextIndent"/>
        <w:jc w:val="both"/>
        <w:rPr>
          <w:rFonts w:asciiTheme="minorHAnsi" w:hAnsiTheme="minorHAnsi"/>
          <w:sz w:val="22"/>
          <w:u w:val="single"/>
        </w:rPr>
      </w:pPr>
    </w:p>
    <w:p w:rsidR="00E807F8" w:rsidRPr="00E84532" w:rsidRDefault="00E807F8" w:rsidP="00F23C29">
      <w:pPr>
        <w:pStyle w:val="ListParagraph"/>
        <w:numPr>
          <w:ilvl w:val="0"/>
          <w:numId w:val="20"/>
        </w:numPr>
        <w:tabs>
          <w:tab w:val="num" w:pos="360"/>
        </w:tabs>
        <w:ind w:left="360"/>
        <w:contextualSpacing w:val="0"/>
        <w:jc w:val="both"/>
        <w:rPr>
          <w:rFonts w:asciiTheme="minorHAnsi" w:hAnsiTheme="minorHAnsi"/>
          <w:sz w:val="22"/>
        </w:rPr>
      </w:pPr>
      <w:r w:rsidRPr="00E84532">
        <w:rPr>
          <w:rFonts w:asciiTheme="minorHAnsi" w:hAnsiTheme="minorHAnsi" w:cstheme="minorHAnsi"/>
          <w:b/>
          <w:sz w:val="22"/>
          <w:szCs w:val="22"/>
        </w:rPr>
        <w:t xml:space="preserve">Me </w:t>
      </w:r>
      <w:r w:rsidR="00605CCA">
        <w:rPr>
          <w:rFonts w:asciiTheme="minorHAnsi" w:hAnsiTheme="minorHAnsi" w:cstheme="minorHAnsi"/>
          <w:b/>
          <w:sz w:val="22"/>
          <w:szCs w:val="22"/>
        </w:rPr>
        <w:t>30 qershor</w:t>
      </w:r>
      <w:r w:rsidRPr="00E84532">
        <w:rPr>
          <w:rFonts w:asciiTheme="minorHAnsi" w:hAnsiTheme="minorHAnsi" w:cstheme="minorHAnsi"/>
          <w:b/>
          <w:sz w:val="22"/>
          <w:szCs w:val="22"/>
        </w:rPr>
        <w:t xml:space="preserve"> 20</w:t>
      </w:r>
      <w:r w:rsidR="00605CCA">
        <w:rPr>
          <w:rFonts w:asciiTheme="minorHAnsi" w:hAnsiTheme="minorHAnsi" w:cstheme="minorHAnsi"/>
          <w:b/>
          <w:sz w:val="22"/>
          <w:szCs w:val="22"/>
        </w:rPr>
        <w:t>20</w:t>
      </w:r>
      <w:r w:rsidRPr="00E84532">
        <w:rPr>
          <w:rFonts w:asciiTheme="minorHAnsi" w:hAnsiTheme="minorHAnsi" w:cstheme="minorHAnsi"/>
          <w:b/>
          <w:sz w:val="22"/>
          <w:szCs w:val="22"/>
        </w:rPr>
        <w:t xml:space="preserve"> </w:t>
      </w:r>
      <w:r w:rsidRPr="00E84532">
        <w:rPr>
          <w:rFonts w:asciiTheme="minorHAnsi" w:hAnsiTheme="minorHAnsi" w:cstheme="minorHAnsi"/>
          <w:sz w:val="22"/>
          <w:szCs w:val="22"/>
        </w:rPr>
        <w:t>– ZRRE</w:t>
      </w:r>
      <w:r w:rsidRPr="00E84532">
        <w:rPr>
          <w:rFonts w:asciiTheme="minorHAnsi" w:hAnsiTheme="minorHAnsi" w:cstheme="minorHAnsi"/>
          <w:b/>
          <w:sz w:val="22"/>
          <w:szCs w:val="22"/>
        </w:rPr>
        <w:t xml:space="preserve"> </w:t>
      </w:r>
      <w:r w:rsidRPr="00E84532">
        <w:rPr>
          <w:rFonts w:asciiTheme="minorHAnsi" w:hAnsiTheme="minorHAnsi" w:cstheme="minorHAnsi"/>
          <w:sz w:val="22"/>
          <w:szCs w:val="22"/>
        </w:rPr>
        <w:t xml:space="preserve">ka lëshuar shkresën për </w:t>
      </w:r>
      <w:r w:rsidR="008E09B3" w:rsidRPr="00E84532">
        <w:rPr>
          <w:rFonts w:asciiTheme="minorHAnsi" w:hAnsiTheme="minorHAnsi" w:cstheme="minorHAnsi"/>
          <w:sz w:val="22"/>
          <w:szCs w:val="22"/>
        </w:rPr>
        <w:t>njoftimin</w:t>
      </w:r>
      <w:r w:rsidRPr="00E84532">
        <w:rPr>
          <w:rFonts w:asciiTheme="minorHAnsi" w:hAnsiTheme="minorHAnsi" w:cstheme="minorHAnsi"/>
          <w:sz w:val="22"/>
          <w:szCs w:val="22"/>
        </w:rPr>
        <w:t xml:space="preserve"> e fillimit t</w:t>
      </w:r>
      <w:r w:rsidR="006122E6">
        <w:rPr>
          <w:rFonts w:asciiTheme="minorHAnsi" w:hAnsiTheme="minorHAnsi" w:cstheme="minorHAnsi"/>
          <w:sz w:val="22"/>
          <w:szCs w:val="22"/>
        </w:rPr>
        <w:t>ë</w:t>
      </w:r>
      <w:r w:rsidRPr="00E84532">
        <w:rPr>
          <w:rFonts w:asciiTheme="minorHAnsi" w:hAnsiTheme="minorHAnsi" w:cstheme="minorHAnsi"/>
          <w:sz w:val="22"/>
          <w:szCs w:val="22"/>
        </w:rPr>
        <w:t xml:space="preserve"> shqyrtimit të tarifave për NQ Termokos për sezonin 20</w:t>
      </w:r>
      <w:r w:rsidR="004C2980">
        <w:rPr>
          <w:rFonts w:asciiTheme="minorHAnsi" w:hAnsiTheme="minorHAnsi" w:cstheme="minorHAnsi"/>
          <w:sz w:val="22"/>
          <w:szCs w:val="22"/>
        </w:rPr>
        <w:t>20</w:t>
      </w:r>
      <w:r w:rsidR="00605CCA">
        <w:rPr>
          <w:rFonts w:asciiTheme="minorHAnsi" w:hAnsiTheme="minorHAnsi" w:cstheme="minorHAnsi"/>
          <w:sz w:val="22"/>
          <w:szCs w:val="22"/>
        </w:rPr>
        <w:t>/2021</w:t>
      </w:r>
      <w:r w:rsidRPr="00E84532">
        <w:rPr>
          <w:rFonts w:asciiTheme="minorHAnsi" w:hAnsiTheme="minorHAnsi"/>
          <w:sz w:val="22"/>
        </w:rPr>
        <w:t xml:space="preserve">; </w:t>
      </w:r>
    </w:p>
    <w:p w:rsidR="00E807F8" w:rsidRPr="00953CAB" w:rsidRDefault="00E807F8" w:rsidP="00953CAB">
      <w:pPr>
        <w:pStyle w:val="ListParagraph"/>
        <w:numPr>
          <w:ilvl w:val="0"/>
          <w:numId w:val="20"/>
        </w:numPr>
        <w:tabs>
          <w:tab w:val="num" w:pos="360"/>
        </w:tabs>
        <w:ind w:left="360"/>
        <w:contextualSpacing w:val="0"/>
        <w:jc w:val="both"/>
        <w:rPr>
          <w:rFonts w:asciiTheme="minorHAnsi" w:hAnsiTheme="minorHAnsi" w:cstheme="minorHAnsi"/>
          <w:sz w:val="22"/>
          <w:szCs w:val="22"/>
        </w:rPr>
      </w:pPr>
      <w:r w:rsidRPr="00E84532">
        <w:rPr>
          <w:rFonts w:asciiTheme="minorHAnsi" w:hAnsiTheme="minorHAnsi" w:cstheme="minorHAnsi"/>
          <w:b/>
          <w:sz w:val="22"/>
          <w:szCs w:val="22"/>
        </w:rPr>
        <w:t xml:space="preserve">Me </w:t>
      </w:r>
      <w:r w:rsidR="00605CCA">
        <w:rPr>
          <w:rFonts w:asciiTheme="minorHAnsi" w:hAnsiTheme="minorHAnsi" w:cstheme="minorHAnsi"/>
          <w:b/>
          <w:sz w:val="22"/>
          <w:szCs w:val="22"/>
        </w:rPr>
        <w:t>1</w:t>
      </w:r>
      <w:r w:rsidRPr="00E84532">
        <w:rPr>
          <w:rFonts w:asciiTheme="minorHAnsi" w:hAnsiTheme="minorHAnsi" w:cstheme="minorHAnsi"/>
          <w:b/>
          <w:sz w:val="22"/>
          <w:szCs w:val="22"/>
        </w:rPr>
        <w:t xml:space="preserve"> korrik 20</w:t>
      </w:r>
      <w:r w:rsidR="00605CCA">
        <w:rPr>
          <w:rFonts w:asciiTheme="minorHAnsi" w:hAnsiTheme="minorHAnsi" w:cstheme="minorHAnsi"/>
          <w:b/>
          <w:sz w:val="22"/>
          <w:szCs w:val="22"/>
        </w:rPr>
        <w:t>20</w:t>
      </w:r>
      <w:r w:rsidRPr="00E84532">
        <w:rPr>
          <w:rFonts w:asciiTheme="minorHAnsi" w:hAnsiTheme="minorHAnsi" w:cstheme="minorHAnsi"/>
          <w:sz w:val="22"/>
          <w:szCs w:val="22"/>
        </w:rPr>
        <w:t xml:space="preserve"> – ZRRE përmes e-mailit i ka dërguar NQ Termokos kërkesën për të dhëna dhe informata, ku janë përshkruar detajisht të dhënat dhe informatat që NQ Termokos duhet dorëzuar  për shqyrtimin tarifor, si dhe Planin dhe Orarin;</w:t>
      </w:r>
      <w:r w:rsidRPr="00953CAB">
        <w:rPr>
          <w:rFonts w:asciiTheme="minorHAnsi" w:hAnsiTheme="minorHAnsi" w:cs="Calibri"/>
          <w:sz w:val="22"/>
          <w:szCs w:val="22"/>
        </w:rPr>
        <w:t xml:space="preserve">  </w:t>
      </w:r>
    </w:p>
    <w:p w:rsidR="00E807F8" w:rsidRDefault="00E807F8" w:rsidP="00F23C29">
      <w:pPr>
        <w:pStyle w:val="ListParagraph"/>
        <w:numPr>
          <w:ilvl w:val="0"/>
          <w:numId w:val="20"/>
        </w:numPr>
        <w:tabs>
          <w:tab w:val="num" w:pos="360"/>
        </w:tabs>
        <w:ind w:left="360"/>
        <w:contextualSpacing w:val="0"/>
        <w:jc w:val="both"/>
        <w:rPr>
          <w:rFonts w:asciiTheme="minorHAnsi" w:hAnsiTheme="minorHAnsi" w:cstheme="minorHAnsi"/>
          <w:sz w:val="22"/>
          <w:szCs w:val="22"/>
        </w:rPr>
      </w:pPr>
      <w:r w:rsidRPr="00E84532">
        <w:rPr>
          <w:rFonts w:asciiTheme="minorHAnsi" w:hAnsiTheme="minorHAnsi" w:cstheme="minorHAnsi"/>
          <w:b/>
          <w:sz w:val="22"/>
          <w:szCs w:val="22"/>
        </w:rPr>
        <w:t xml:space="preserve">Me </w:t>
      </w:r>
      <w:r w:rsidR="00605CCA">
        <w:rPr>
          <w:rFonts w:asciiTheme="minorHAnsi" w:hAnsiTheme="minorHAnsi" w:cstheme="minorHAnsi"/>
          <w:b/>
          <w:sz w:val="22"/>
          <w:szCs w:val="22"/>
        </w:rPr>
        <w:t>07 gusht</w:t>
      </w:r>
      <w:r w:rsidRPr="00E84532">
        <w:rPr>
          <w:rFonts w:asciiTheme="minorHAnsi" w:hAnsiTheme="minorHAnsi" w:cstheme="minorHAnsi"/>
          <w:b/>
          <w:sz w:val="22"/>
          <w:szCs w:val="22"/>
        </w:rPr>
        <w:t xml:space="preserve"> 20</w:t>
      </w:r>
      <w:r w:rsidR="00605CCA">
        <w:rPr>
          <w:rFonts w:asciiTheme="minorHAnsi" w:hAnsiTheme="minorHAnsi" w:cstheme="minorHAnsi"/>
          <w:b/>
          <w:sz w:val="22"/>
          <w:szCs w:val="22"/>
        </w:rPr>
        <w:t>20</w:t>
      </w:r>
      <w:r w:rsidRPr="00E84532">
        <w:rPr>
          <w:rFonts w:asciiTheme="minorHAnsi" w:hAnsiTheme="minorHAnsi" w:cstheme="minorHAnsi"/>
          <w:sz w:val="22"/>
          <w:szCs w:val="22"/>
        </w:rPr>
        <w:t xml:space="preserve"> – NQ Termokos përmes e-mailit ka dorëzuar</w:t>
      </w:r>
      <w:r w:rsidR="00953CAB">
        <w:rPr>
          <w:rFonts w:asciiTheme="minorHAnsi" w:hAnsiTheme="minorHAnsi" w:cstheme="minorHAnsi"/>
          <w:sz w:val="22"/>
          <w:szCs w:val="22"/>
        </w:rPr>
        <w:t xml:space="preserve"> aplikacionin tarifor të pjesshëm me disa nga</w:t>
      </w:r>
      <w:r w:rsidRPr="00E84532">
        <w:rPr>
          <w:rFonts w:asciiTheme="minorHAnsi" w:hAnsiTheme="minorHAnsi" w:cstheme="minorHAnsi"/>
          <w:sz w:val="22"/>
          <w:szCs w:val="22"/>
        </w:rPr>
        <w:t xml:space="preserve"> të dhënat dhe informatat </w:t>
      </w:r>
      <w:r w:rsidR="00953CAB">
        <w:rPr>
          <w:rFonts w:asciiTheme="minorHAnsi" w:hAnsiTheme="minorHAnsi" w:cstheme="minorHAnsi"/>
          <w:sz w:val="22"/>
          <w:szCs w:val="22"/>
        </w:rPr>
        <w:t xml:space="preserve">e kërkuara </w:t>
      </w:r>
      <w:r w:rsidRPr="00E84532">
        <w:rPr>
          <w:rFonts w:asciiTheme="minorHAnsi" w:hAnsiTheme="minorHAnsi" w:cstheme="minorHAnsi"/>
          <w:sz w:val="22"/>
          <w:szCs w:val="22"/>
        </w:rPr>
        <w:t>për shqyrtim tarifor;</w:t>
      </w:r>
    </w:p>
    <w:p w:rsidR="00953CAB" w:rsidRPr="00E84532" w:rsidRDefault="00953CAB" w:rsidP="00953CAB">
      <w:pPr>
        <w:pStyle w:val="ListParagraph"/>
        <w:numPr>
          <w:ilvl w:val="0"/>
          <w:numId w:val="20"/>
        </w:numPr>
        <w:tabs>
          <w:tab w:val="num" w:pos="360"/>
        </w:tabs>
        <w:ind w:left="360"/>
        <w:contextualSpacing w:val="0"/>
        <w:jc w:val="both"/>
        <w:rPr>
          <w:rFonts w:asciiTheme="minorHAnsi" w:hAnsiTheme="minorHAnsi" w:cstheme="minorHAnsi"/>
          <w:sz w:val="22"/>
          <w:szCs w:val="22"/>
        </w:rPr>
      </w:pPr>
      <w:r>
        <w:rPr>
          <w:rFonts w:asciiTheme="minorHAnsi" w:hAnsiTheme="minorHAnsi" w:cstheme="minorHAnsi"/>
          <w:b/>
          <w:sz w:val="22"/>
          <w:szCs w:val="22"/>
        </w:rPr>
        <w:t xml:space="preserve">Me </w:t>
      </w:r>
      <w:r w:rsidR="00605CCA">
        <w:rPr>
          <w:rFonts w:asciiTheme="minorHAnsi" w:hAnsiTheme="minorHAnsi" w:cstheme="minorHAnsi"/>
          <w:b/>
          <w:sz w:val="22"/>
          <w:szCs w:val="22"/>
        </w:rPr>
        <w:t xml:space="preserve">12 </w:t>
      </w:r>
      <w:r>
        <w:rPr>
          <w:rFonts w:asciiTheme="minorHAnsi" w:hAnsiTheme="minorHAnsi" w:cstheme="minorHAnsi"/>
          <w:b/>
          <w:sz w:val="22"/>
          <w:szCs w:val="22"/>
        </w:rPr>
        <w:t>gusht 20</w:t>
      </w:r>
      <w:r w:rsidR="00605CCA">
        <w:rPr>
          <w:rFonts w:asciiTheme="minorHAnsi" w:hAnsiTheme="minorHAnsi" w:cstheme="minorHAnsi"/>
          <w:b/>
          <w:sz w:val="22"/>
          <w:szCs w:val="22"/>
        </w:rPr>
        <w:t>20</w:t>
      </w:r>
      <w:r>
        <w:rPr>
          <w:rFonts w:asciiTheme="minorHAnsi" w:hAnsiTheme="minorHAnsi" w:cstheme="minorHAnsi"/>
          <w:b/>
          <w:sz w:val="22"/>
          <w:szCs w:val="22"/>
        </w:rPr>
        <w:t xml:space="preserve"> –</w:t>
      </w:r>
      <w:r>
        <w:rPr>
          <w:rFonts w:asciiTheme="minorHAnsi" w:hAnsiTheme="minorHAnsi" w:cstheme="minorHAnsi"/>
          <w:sz w:val="22"/>
          <w:szCs w:val="22"/>
        </w:rPr>
        <w:t xml:space="preserve"> NQ Termokos ka dorëzuar të dhëna, informata dhe dokumentacion shtesë në kuadër të aplikacionit tarifor për sezonin 20</w:t>
      </w:r>
      <w:r w:rsidR="00605CCA">
        <w:rPr>
          <w:rFonts w:asciiTheme="minorHAnsi" w:hAnsiTheme="minorHAnsi" w:cstheme="minorHAnsi"/>
          <w:sz w:val="22"/>
          <w:szCs w:val="22"/>
        </w:rPr>
        <w:t>20</w:t>
      </w:r>
      <w:r>
        <w:rPr>
          <w:rFonts w:asciiTheme="minorHAnsi" w:hAnsiTheme="minorHAnsi" w:cstheme="minorHAnsi"/>
          <w:sz w:val="22"/>
          <w:szCs w:val="22"/>
        </w:rPr>
        <w:t>/202</w:t>
      </w:r>
      <w:r w:rsidR="00605CCA">
        <w:rPr>
          <w:rFonts w:asciiTheme="minorHAnsi" w:hAnsiTheme="minorHAnsi" w:cstheme="minorHAnsi"/>
          <w:sz w:val="22"/>
          <w:szCs w:val="22"/>
        </w:rPr>
        <w:t>1</w:t>
      </w:r>
      <w:r>
        <w:rPr>
          <w:rFonts w:asciiTheme="minorHAnsi" w:hAnsiTheme="minorHAnsi" w:cstheme="minorHAnsi"/>
          <w:sz w:val="22"/>
          <w:szCs w:val="22"/>
        </w:rPr>
        <w:t>;</w:t>
      </w:r>
    </w:p>
    <w:p w:rsidR="00E807F8" w:rsidRPr="00E84532" w:rsidRDefault="00DB27D8" w:rsidP="00F23C29">
      <w:pPr>
        <w:pStyle w:val="BodyTextIndent"/>
        <w:numPr>
          <w:ilvl w:val="0"/>
          <w:numId w:val="20"/>
        </w:numPr>
        <w:tabs>
          <w:tab w:val="num" w:pos="360"/>
        </w:tabs>
        <w:spacing w:after="0"/>
        <w:ind w:left="360"/>
        <w:jc w:val="both"/>
        <w:rPr>
          <w:rFonts w:asciiTheme="minorHAnsi" w:hAnsiTheme="minorHAnsi"/>
          <w:sz w:val="22"/>
        </w:rPr>
      </w:pPr>
      <w:r>
        <w:rPr>
          <w:rFonts w:asciiTheme="minorHAnsi" w:hAnsiTheme="minorHAnsi"/>
          <w:b/>
          <w:sz w:val="22"/>
        </w:rPr>
        <w:t>Me 2</w:t>
      </w:r>
      <w:r w:rsidR="00605CCA">
        <w:rPr>
          <w:rFonts w:asciiTheme="minorHAnsi" w:hAnsiTheme="minorHAnsi"/>
          <w:b/>
          <w:sz w:val="22"/>
        </w:rPr>
        <w:t>8</w:t>
      </w:r>
      <w:r w:rsidR="00E807F8" w:rsidRPr="00E84532">
        <w:rPr>
          <w:rFonts w:asciiTheme="minorHAnsi" w:hAnsiTheme="minorHAnsi"/>
          <w:b/>
          <w:sz w:val="22"/>
        </w:rPr>
        <w:t xml:space="preserve"> gusht 20</w:t>
      </w:r>
      <w:r w:rsidR="00605CCA">
        <w:rPr>
          <w:rFonts w:asciiTheme="minorHAnsi" w:hAnsiTheme="minorHAnsi"/>
          <w:b/>
          <w:sz w:val="22"/>
        </w:rPr>
        <w:t>20</w:t>
      </w:r>
      <w:r w:rsidR="00E807F8" w:rsidRPr="00E84532">
        <w:rPr>
          <w:rFonts w:asciiTheme="minorHAnsi" w:hAnsiTheme="minorHAnsi"/>
          <w:sz w:val="22"/>
        </w:rPr>
        <w:t xml:space="preserve"> – Pas analizimit dhe vlerësimit të të dhënave dhe informatave të dorëzuara nga NQ Termokos, ZRRE ka dërguar komentet me shkrim, ku janë specifikuar kërkesat për korrigjim, përmirësim  dhe plotësim të aplikacionit fillestarë; </w:t>
      </w:r>
    </w:p>
    <w:p w:rsidR="00E807F8" w:rsidRPr="00E84532" w:rsidRDefault="00E807F8" w:rsidP="00F23C29">
      <w:pPr>
        <w:pStyle w:val="BodyTextIndent"/>
        <w:numPr>
          <w:ilvl w:val="0"/>
          <w:numId w:val="20"/>
        </w:numPr>
        <w:tabs>
          <w:tab w:val="clear" w:pos="720"/>
          <w:tab w:val="num" w:pos="360"/>
        </w:tabs>
        <w:spacing w:after="0"/>
        <w:ind w:left="360"/>
        <w:jc w:val="both"/>
        <w:rPr>
          <w:rFonts w:asciiTheme="minorHAnsi" w:hAnsiTheme="minorHAnsi"/>
          <w:sz w:val="22"/>
        </w:rPr>
      </w:pPr>
      <w:r w:rsidRPr="00E84532">
        <w:rPr>
          <w:rFonts w:asciiTheme="minorHAnsi" w:hAnsiTheme="minorHAnsi"/>
          <w:b/>
          <w:sz w:val="22"/>
        </w:rPr>
        <w:t xml:space="preserve">Me </w:t>
      </w:r>
      <w:r w:rsidR="00605CCA">
        <w:rPr>
          <w:rFonts w:asciiTheme="minorHAnsi" w:hAnsiTheme="minorHAnsi"/>
          <w:b/>
          <w:sz w:val="22"/>
        </w:rPr>
        <w:t>04</w:t>
      </w:r>
      <w:r w:rsidRPr="00E84532">
        <w:rPr>
          <w:rFonts w:asciiTheme="minorHAnsi" w:hAnsiTheme="minorHAnsi"/>
          <w:b/>
          <w:sz w:val="22"/>
        </w:rPr>
        <w:t xml:space="preserve"> </w:t>
      </w:r>
      <w:r w:rsidR="00DB27D8">
        <w:rPr>
          <w:rFonts w:asciiTheme="minorHAnsi" w:hAnsiTheme="minorHAnsi"/>
          <w:b/>
          <w:sz w:val="22"/>
        </w:rPr>
        <w:t>shtator</w:t>
      </w:r>
      <w:r w:rsidRPr="00E84532">
        <w:rPr>
          <w:rFonts w:asciiTheme="minorHAnsi" w:hAnsiTheme="minorHAnsi"/>
          <w:b/>
          <w:sz w:val="22"/>
        </w:rPr>
        <w:t xml:space="preserve"> 20</w:t>
      </w:r>
      <w:r w:rsidR="00605CCA">
        <w:rPr>
          <w:rFonts w:asciiTheme="minorHAnsi" w:hAnsiTheme="minorHAnsi"/>
          <w:b/>
          <w:sz w:val="22"/>
        </w:rPr>
        <w:t>20</w:t>
      </w:r>
      <w:r w:rsidRPr="00E84532">
        <w:rPr>
          <w:rFonts w:asciiTheme="minorHAnsi" w:hAnsiTheme="minorHAnsi"/>
          <w:sz w:val="22"/>
        </w:rPr>
        <w:t xml:space="preserve"> – NQ Termokos ka ri</w:t>
      </w:r>
      <w:r w:rsidR="008E09B3">
        <w:rPr>
          <w:rFonts w:asciiTheme="minorHAnsi" w:hAnsiTheme="minorHAnsi"/>
          <w:sz w:val="22"/>
        </w:rPr>
        <w:t>-</w:t>
      </w:r>
      <w:r w:rsidRPr="00E84532">
        <w:rPr>
          <w:rFonts w:asciiTheme="minorHAnsi" w:hAnsiTheme="minorHAnsi"/>
          <w:sz w:val="22"/>
        </w:rPr>
        <w:t>dorëzuar aplikacionin me disa nga korrigjimet, përmirësimet dhe plotësimet e kërkuara në komentet e ZRRE-së</w:t>
      </w:r>
      <w:r w:rsidR="00DB27D8">
        <w:rPr>
          <w:rFonts w:asciiTheme="minorHAnsi" w:hAnsiTheme="minorHAnsi"/>
          <w:sz w:val="22"/>
        </w:rPr>
        <w:t>, si dhe përgjigjet në komentet e ZRRE-së</w:t>
      </w:r>
      <w:r w:rsidRPr="00E84532">
        <w:rPr>
          <w:rFonts w:asciiTheme="minorHAnsi" w:hAnsiTheme="minorHAnsi"/>
          <w:sz w:val="22"/>
        </w:rPr>
        <w:t>.</w:t>
      </w:r>
    </w:p>
    <w:p w:rsidR="00E807F8" w:rsidRPr="000C6431" w:rsidRDefault="004A64EF" w:rsidP="00382204">
      <w:pPr>
        <w:pStyle w:val="Heading1"/>
        <w:tabs>
          <w:tab w:val="clear" w:pos="2340"/>
          <w:tab w:val="num" w:pos="1620"/>
        </w:tabs>
        <w:ind w:left="720"/>
        <w:rPr>
          <w:color w:val="000000" w:themeColor="text1"/>
        </w:rPr>
      </w:pPr>
      <w:hyperlink r:id="rId8" w:history="1">
        <w:bookmarkStart w:id="7" w:name="_Toc339538659"/>
        <w:bookmarkStart w:id="8" w:name="_Toc339539115"/>
        <w:bookmarkStart w:id="9" w:name="_Toc21512670"/>
        <w:bookmarkStart w:id="10" w:name="_Toc21513543"/>
        <w:bookmarkStart w:id="11" w:name="_Toc21514365"/>
        <w:bookmarkStart w:id="12" w:name="_Toc21521372"/>
        <w:r w:rsidR="00E807F8" w:rsidRPr="000C6431">
          <w:rPr>
            <w:rStyle w:val="Hyperlink"/>
            <w:color w:val="000000" w:themeColor="text1"/>
            <w:u w:val="none"/>
          </w:rPr>
          <w:t>Parimet dhe Formulimi i Metodologjisë Tarifore</w:t>
        </w:r>
        <w:bookmarkEnd w:id="7"/>
        <w:bookmarkEnd w:id="8"/>
        <w:bookmarkEnd w:id="9"/>
        <w:bookmarkEnd w:id="10"/>
        <w:bookmarkEnd w:id="11"/>
        <w:bookmarkEnd w:id="12"/>
      </w:hyperlink>
    </w:p>
    <w:p w:rsidR="00E807F8" w:rsidRPr="00E84532" w:rsidRDefault="00E807F8" w:rsidP="00E807F8">
      <w:pPr>
        <w:pStyle w:val="BodyTextIndent"/>
        <w:jc w:val="both"/>
        <w:rPr>
          <w:rFonts w:asciiTheme="minorHAnsi" w:hAnsiTheme="minorHAnsi"/>
          <w:sz w:val="22"/>
          <w:szCs w:val="22"/>
        </w:rPr>
      </w:pPr>
      <w:r w:rsidRPr="00E84532">
        <w:rPr>
          <w:rFonts w:asciiTheme="minorHAnsi" w:hAnsiTheme="minorHAnsi"/>
          <w:sz w:val="22"/>
          <w:szCs w:val="22"/>
        </w:rPr>
        <w:tab/>
      </w:r>
    </w:p>
    <w:p w:rsidR="00E807F8" w:rsidRPr="00E84532" w:rsidRDefault="00E807F8" w:rsidP="00E807F8">
      <w:pPr>
        <w:pStyle w:val="BodyTextIndent"/>
        <w:ind w:left="0"/>
        <w:jc w:val="both"/>
        <w:rPr>
          <w:rFonts w:asciiTheme="minorHAnsi" w:hAnsiTheme="minorHAnsi"/>
          <w:sz w:val="22"/>
          <w:szCs w:val="22"/>
        </w:rPr>
      </w:pPr>
      <w:r w:rsidRPr="00E84532">
        <w:rPr>
          <w:rFonts w:asciiTheme="minorHAnsi" w:hAnsiTheme="minorHAnsi"/>
          <w:sz w:val="22"/>
        </w:rPr>
        <w:t>Për përcaktimin e të Hyrave të lejuara dhe të tarifave të energjisë termike për sezonin 20</w:t>
      </w:r>
      <w:r w:rsidR="009C06E9">
        <w:rPr>
          <w:rFonts w:asciiTheme="minorHAnsi" w:hAnsiTheme="minorHAnsi"/>
          <w:sz w:val="22"/>
        </w:rPr>
        <w:t>20</w:t>
      </w:r>
      <w:r w:rsidRPr="00E84532">
        <w:rPr>
          <w:rFonts w:asciiTheme="minorHAnsi" w:hAnsiTheme="minorHAnsi"/>
          <w:sz w:val="22"/>
        </w:rPr>
        <w:t>/20</w:t>
      </w:r>
      <w:r w:rsidR="009C06E9">
        <w:rPr>
          <w:rFonts w:asciiTheme="minorHAnsi" w:hAnsiTheme="minorHAnsi"/>
          <w:sz w:val="22"/>
        </w:rPr>
        <w:t>21</w:t>
      </w:r>
      <w:r w:rsidRPr="00E84532">
        <w:rPr>
          <w:rFonts w:asciiTheme="minorHAnsi" w:hAnsiTheme="minorHAnsi"/>
          <w:sz w:val="22"/>
        </w:rPr>
        <w:t xml:space="preserve"> është zbatuar Metodologjia e përcaktuar në Rregullën për Vendosjen e Çmimeve të Energjisë Termike</w:t>
      </w:r>
      <w:r w:rsidRPr="00E84532">
        <w:rPr>
          <w:rFonts w:asciiTheme="minorHAnsi" w:hAnsiTheme="minorHAnsi"/>
          <w:sz w:val="22"/>
          <w:szCs w:val="22"/>
        </w:rPr>
        <w:t>.</w:t>
      </w:r>
    </w:p>
    <w:p w:rsidR="00E807F8" w:rsidRPr="00E84532" w:rsidRDefault="00E807F8" w:rsidP="00E807F8">
      <w:pPr>
        <w:rPr>
          <w:rFonts w:asciiTheme="minorHAnsi" w:hAnsiTheme="minorHAnsi" w:cs="Calibri"/>
          <w:u w:val="single"/>
        </w:rPr>
      </w:pPr>
      <w:r w:rsidRPr="00E84532">
        <w:rPr>
          <w:rFonts w:asciiTheme="minorHAnsi" w:hAnsiTheme="minorHAnsi" w:cs="Calibri"/>
          <w:u w:val="single"/>
        </w:rPr>
        <w:t xml:space="preserve">Parimet </w:t>
      </w:r>
    </w:p>
    <w:p w:rsidR="00E807F8" w:rsidRPr="00E84532" w:rsidRDefault="00E807F8" w:rsidP="00E807F8">
      <w:pPr>
        <w:jc w:val="both"/>
        <w:rPr>
          <w:rFonts w:asciiTheme="minorHAnsi" w:hAnsiTheme="minorHAnsi"/>
          <w:sz w:val="22"/>
          <w:szCs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Parim bazë i kësaj metodologjie është se tarifat për ndërmarrjet që ofrojnë shërbime publike duhet të mbuloj</w:t>
      </w:r>
      <w:r w:rsidR="00F04799">
        <w:rPr>
          <w:rFonts w:asciiTheme="minorHAnsi" w:hAnsiTheme="minorHAnsi"/>
          <w:sz w:val="22"/>
        </w:rPr>
        <w:t>në</w:t>
      </w:r>
      <w:r w:rsidRPr="00E84532">
        <w:rPr>
          <w:rFonts w:asciiTheme="minorHAnsi" w:hAnsiTheme="minorHAnsi"/>
          <w:sz w:val="22"/>
        </w:rPr>
        <w:t xml:space="preserve"> të gjitha kostot </w:t>
      </w:r>
      <w:r w:rsidR="006122E6">
        <w:rPr>
          <w:rFonts w:asciiTheme="minorHAnsi" w:hAnsiTheme="minorHAnsi"/>
          <w:sz w:val="22"/>
        </w:rPr>
        <w:t xml:space="preserve">e arsyeshme </w:t>
      </w:r>
      <w:r w:rsidRPr="00E84532">
        <w:rPr>
          <w:rFonts w:asciiTheme="minorHAnsi" w:hAnsiTheme="minorHAnsi"/>
          <w:sz w:val="22"/>
        </w:rPr>
        <w:t>- operative dhe kapitale, kështu që në njërën anë konsumatorët nuk do të duhej të paguajnë më tepër se sa kostoja e shkaktuar për ofrimin e shërbimeve, ndërsa në anën tjetër ndërmarrja e shërbimeve publike duhet te mbulojë të gjitha kostot e arsyetuara</w:t>
      </w:r>
      <w:r w:rsidRPr="00E84532">
        <w:rPr>
          <w:rFonts w:asciiTheme="minorHAnsi" w:hAnsiTheme="minorHAnsi"/>
        </w:rPr>
        <w:t xml:space="preserve"> </w:t>
      </w:r>
      <w:r w:rsidRPr="00E84532">
        <w:rPr>
          <w:rFonts w:asciiTheme="minorHAnsi" w:hAnsiTheme="minorHAnsi"/>
          <w:sz w:val="22"/>
        </w:rPr>
        <w:t>plus një normë të arsyeshme të kthimit në investimet kapitale. Çmimi final i shërbimit zakonisht përcaktohet për të përfshirë të gjitha kostot operative të ndërmarrjeve që ofrojnë shërbime publike, d</w:t>
      </w:r>
      <w:r w:rsidR="008E09B3">
        <w:rPr>
          <w:rFonts w:asciiTheme="minorHAnsi" w:hAnsiTheme="minorHAnsi"/>
          <w:sz w:val="22"/>
        </w:rPr>
        <w:t>.</w:t>
      </w:r>
      <w:r w:rsidRPr="00E84532">
        <w:rPr>
          <w:rFonts w:asciiTheme="minorHAnsi" w:hAnsiTheme="minorHAnsi"/>
          <w:sz w:val="22"/>
        </w:rPr>
        <w:t>m</w:t>
      </w:r>
      <w:r w:rsidR="008E09B3">
        <w:rPr>
          <w:rFonts w:asciiTheme="minorHAnsi" w:hAnsiTheme="minorHAnsi"/>
          <w:sz w:val="22"/>
        </w:rPr>
        <w:t>.</w:t>
      </w:r>
      <w:r w:rsidRPr="00E84532">
        <w:rPr>
          <w:rFonts w:asciiTheme="minorHAnsi" w:hAnsiTheme="minorHAnsi"/>
          <w:sz w:val="22"/>
        </w:rPr>
        <w:t>th., të mbulojë koston e prodhimit, shpërndarjes dhe furnizimit (operimi dhe mirëmbajtja, lënda djegëse, pagat,</w:t>
      </w:r>
      <w:r w:rsidR="00DB27D8">
        <w:rPr>
          <w:rFonts w:asciiTheme="minorHAnsi" w:hAnsiTheme="minorHAnsi"/>
          <w:sz w:val="22"/>
        </w:rPr>
        <w:t xml:space="preserve"> kostot e humbjeve në rrj</w:t>
      </w:r>
      <w:r w:rsidR="009C06E9">
        <w:rPr>
          <w:rFonts w:asciiTheme="minorHAnsi" w:hAnsiTheme="minorHAnsi"/>
          <w:sz w:val="22"/>
        </w:rPr>
        <w:t>e</w:t>
      </w:r>
      <w:r w:rsidR="00DB27D8">
        <w:rPr>
          <w:rFonts w:asciiTheme="minorHAnsi" w:hAnsiTheme="minorHAnsi"/>
          <w:sz w:val="22"/>
        </w:rPr>
        <w:t>t,</w:t>
      </w:r>
      <w:r w:rsidRPr="00E84532">
        <w:rPr>
          <w:rFonts w:asciiTheme="minorHAnsi" w:hAnsiTheme="minorHAnsi"/>
          <w:sz w:val="22"/>
        </w:rPr>
        <w:t xml:space="preserve"> shpenzimet e përbashkëta</w:t>
      </w:r>
      <w:r w:rsidR="00DB27D8">
        <w:rPr>
          <w:rFonts w:asciiTheme="minorHAnsi" w:hAnsiTheme="minorHAnsi"/>
          <w:sz w:val="22"/>
        </w:rPr>
        <w:t xml:space="preserve"> dhe administrative</w:t>
      </w:r>
      <w:r w:rsidRPr="00E84532">
        <w:rPr>
          <w:rFonts w:asciiTheme="minorHAnsi" w:hAnsiTheme="minorHAnsi"/>
          <w:sz w:val="22"/>
        </w:rPr>
        <w:t>, etj.) plus një kthim të arsyeshëm në investimet që janë dedikuar ofrimit të shërbimit publik.</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 xml:space="preserve">Duke qenë se në disa raste rregullimi i tillë nuk nxit ndërmarrjet për të ngritur efikasitetin operativ dhe të stimuloj kursimin e shpenzimeve, përkundrazi mund të nxisin mbi-investime në asete dhe gjithashtu, dhe duke marrë parasysh obligimin e Rregullatorit për të mbrojtur konsumatorët, kërkohet që ndërmarrjet jo vetëm të  dëshmojnë “ shpenzimet e arsyeshme” të deklaruara, por edhe të tregojnë një rritje te efikasitetit operativ dhe </w:t>
      </w:r>
      <w:r w:rsidR="00F04799">
        <w:rPr>
          <w:rFonts w:asciiTheme="minorHAnsi" w:hAnsiTheme="minorHAnsi"/>
          <w:sz w:val="22"/>
        </w:rPr>
        <w:t>të kostove</w:t>
      </w:r>
      <w:r w:rsidRPr="00E84532">
        <w:rPr>
          <w:rFonts w:asciiTheme="minorHAnsi" w:hAnsiTheme="minorHAnsi"/>
          <w:sz w:val="22"/>
        </w:rPr>
        <w:t>. Masat e tilla krijojnë bazë për bashkërendimin në fillim të shqyrtimit tarifor, në të cilën Rregullatori shpërblen apo ndëshkon ndërmarrjen për rritjen apo rënien e efikasitetit dhe kontrollit të kostos.</w:t>
      </w:r>
    </w:p>
    <w:p w:rsidR="00E807F8" w:rsidRPr="00E84532" w:rsidRDefault="00E807F8" w:rsidP="00E807F8">
      <w:pPr>
        <w:jc w:val="both"/>
        <w:rPr>
          <w:rFonts w:asciiTheme="minorHAnsi" w:hAnsiTheme="minorHAnsi" w:cs="Calibri"/>
          <w:u w:val="single"/>
        </w:rPr>
      </w:pPr>
    </w:p>
    <w:p w:rsidR="00E807F8" w:rsidRPr="00E84532" w:rsidRDefault="00E807F8" w:rsidP="00E807F8">
      <w:pPr>
        <w:pStyle w:val="Heading9"/>
        <w:rPr>
          <w:rStyle w:val="Strong"/>
          <w:rFonts w:asciiTheme="minorHAnsi" w:hAnsiTheme="minorHAnsi" w:cs="Calibri"/>
          <w:sz w:val="24"/>
          <w:u w:val="single"/>
        </w:rPr>
      </w:pPr>
      <w:r w:rsidRPr="00E84532">
        <w:rPr>
          <w:rStyle w:val="Strong"/>
          <w:rFonts w:asciiTheme="minorHAnsi" w:hAnsiTheme="minorHAnsi" w:cs="Calibri"/>
          <w:sz w:val="24"/>
          <w:u w:val="single"/>
        </w:rPr>
        <w:t>Formulimi</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Me qëllim të llogaritjes së të Hyrave të lejuara dhe llogaritjes përfundimtare të tarifave, në Rregullën për Vendosjen e Çmimeve të Energjisë Termike (shtojcat 1,2,3, dhe 6) është dhënë në detaje formulimi i Metodologjisë tarifore. Megjithatë, për arsye konsistence, formulimi do të paraqitet shkurtimisht edhe në këtë raport.</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Skematikisht, Metodologjia tarifore mund të tregohet si më poshtë. Kostot të cilat ndërmarrja duhet t’i mbulojë përbëhen nga kostot operative, nga zhvlerësimi që paraqet mundësinë që ndërmarrja të zëvendësoj asetet e veta, koston e hu</w:t>
      </w:r>
      <w:r w:rsidR="004E1106">
        <w:rPr>
          <w:rFonts w:asciiTheme="minorHAnsi" w:hAnsiTheme="minorHAnsi"/>
          <w:sz w:val="22"/>
        </w:rPr>
        <w:t>mbjeve të rr</w:t>
      </w:r>
      <w:r w:rsidRPr="00E84532">
        <w:rPr>
          <w:rFonts w:asciiTheme="minorHAnsi" w:hAnsiTheme="minorHAnsi"/>
          <w:sz w:val="22"/>
        </w:rPr>
        <w:t>j</w:t>
      </w:r>
      <w:r w:rsidR="004E1106">
        <w:rPr>
          <w:rFonts w:asciiTheme="minorHAnsi" w:hAnsiTheme="minorHAnsi"/>
          <w:sz w:val="22"/>
        </w:rPr>
        <w:t>e</w:t>
      </w:r>
      <w:r w:rsidRPr="00E84532">
        <w:rPr>
          <w:rFonts w:asciiTheme="minorHAnsi" w:hAnsiTheme="minorHAnsi"/>
          <w:sz w:val="22"/>
        </w:rPr>
        <w:t>tit dhe kthimin në Bazën e Rregulluar të Aseteve (RAB), e cila në fakt paraqet fitimin për ndërmarrjen.</w:t>
      </w:r>
    </w:p>
    <w:p w:rsidR="00E807F8" w:rsidRPr="00E84532" w:rsidRDefault="00E807F8" w:rsidP="00E807F8">
      <w:pPr>
        <w:jc w:val="both"/>
        <w:rPr>
          <w:rFonts w:asciiTheme="minorHAnsi" w:hAnsiTheme="minorHAnsi"/>
          <w:b/>
          <w:sz w:val="22"/>
        </w:rPr>
      </w:pPr>
    </w:p>
    <w:p w:rsidR="00E807F8" w:rsidRPr="00E84532" w:rsidRDefault="00E807F8" w:rsidP="00F02724">
      <w:pPr>
        <w:jc w:val="center"/>
        <w:rPr>
          <w:rFonts w:asciiTheme="minorHAnsi" w:hAnsiTheme="minorHAnsi"/>
          <w:b/>
          <w:bCs/>
          <w:color w:val="FFFFFF"/>
        </w:rPr>
      </w:pPr>
      <w:r w:rsidRPr="00E84532">
        <w:rPr>
          <w:rFonts w:asciiTheme="minorHAnsi" w:hAnsiTheme="minorHAnsi"/>
          <w:noProof/>
          <w:lang w:val="en-US"/>
        </w:rPr>
        <w:lastRenderedPageBreak/>
        <w:drawing>
          <wp:inline distT="0" distB="0" distL="0" distR="0" wp14:anchorId="01CEA0FC" wp14:editId="6F02A34F">
            <wp:extent cx="5600700" cy="2635203"/>
            <wp:effectExtent l="19050" t="19050" r="19050" b="12747"/>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600700" cy="2635203"/>
                    </a:xfrm>
                    <a:prstGeom prst="rect">
                      <a:avLst/>
                    </a:prstGeom>
                    <a:noFill/>
                    <a:ln w="9525">
                      <a:solidFill>
                        <a:schemeClr val="tx2">
                          <a:lumMod val="60000"/>
                          <a:lumOff val="40000"/>
                          <a:alpha val="50000"/>
                        </a:schemeClr>
                      </a:solidFill>
                      <a:miter lim="800000"/>
                      <a:headEnd/>
                      <a:tailEnd/>
                    </a:ln>
                  </pic:spPr>
                </pic:pic>
              </a:graphicData>
            </a:graphic>
          </wp:inline>
        </w:drawing>
      </w:r>
    </w:p>
    <w:p w:rsidR="00E807F8" w:rsidRPr="006122E6" w:rsidRDefault="00E807F8" w:rsidP="006122E6">
      <w:pPr>
        <w:pStyle w:val="Heading3"/>
      </w:pPr>
      <w:bookmarkStart w:id="13" w:name="_Toc339538660"/>
      <w:bookmarkStart w:id="14" w:name="_Toc21513322"/>
      <w:bookmarkStart w:id="15" w:name="_Toc21514366"/>
      <w:bookmarkStart w:id="16" w:name="_Toc21514443"/>
      <w:bookmarkStart w:id="17" w:name="_Toc21514850"/>
      <w:bookmarkStart w:id="18" w:name="_Toc21515550"/>
      <w:bookmarkStart w:id="19" w:name="_Toc21521373"/>
      <w:r w:rsidRPr="006122E6">
        <w:t xml:space="preserve">Figura </w:t>
      </w:r>
      <w:r w:rsidR="00642719" w:rsidRPr="006122E6">
        <w:fldChar w:fldCharType="begin"/>
      </w:r>
      <w:r w:rsidRPr="006122E6">
        <w:instrText xml:space="preserve"> SEQ Figura \* ARABIC </w:instrText>
      </w:r>
      <w:r w:rsidR="00642719" w:rsidRPr="006122E6">
        <w:fldChar w:fldCharType="separate"/>
      </w:r>
      <w:r w:rsidR="00923408" w:rsidRPr="006122E6">
        <w:rPr>
          <w:noProof/>
        </w:rPr>
        <w:t>1</w:t>
      </w:r>
      <w:r w:rsidR="00642719" w:rsidRPr="006122E6">
        <w:fldChar w:fldCharType="end"/>
      </w:r>
      <w:r w:rsidRPr="006122E6">
        <w:t>: Skema e llogaritjes së të hyrave të lejuara</w:t>
      </w:r>
      <w:bookmarkEnd w:id="13"/>
      <w:bookmarkEnd w:id="14"/>
      <w:bookmarkEnd w:id="15"/>
      <w:bookmarkEnd w:id="16"/>
      <w:bookmarkEnd w:id="17"/>
      <w:bookmarkEnd w:id="18"/>
      <w:bookmarkEnd w:id="19"/>
    </w:p>
    <w:p w:rsidR="00E807F8" w:rsidRPr="00954DC8" w:rsidRDefault="00E807F8" w:rsidP="00E807F8">
      <w:pPr>
        <w:jc w:val="both"/>
        <w:rPr>
          <w:rFonts w:asciiTheme="minorHAnsi" w:hAnsiTheme="minorHAnsi"/>
          <w:b/>
          <w:bCs/>
        </w:rPr>
      </w:pPr>
    </w:p>
    <w:p w:rsidR="00E807F8" w:rsidRPr="00E84532" w:rsidRDefault="00E807F8" w:rsidP="00E807F8">
      <w:pPr>
        <w:jc w:val="both"/>
        <w:rPr>
          <w:rFonts w:asciiTheme="minorHAnsi" w:hAnsiTheme="minorHAnsi"/>
          <w:sz w:val="22"/>
        </w:rPr>
      </w:pPr>
      <w:r w:rsidRPr="00E84532">
        <w:rPr>
          <w:rFonts w:asciiTheme="minorHAnsi" w:hAnsiTheme="minorHAnsi"/>
          <w:sz w:val="22"/>
        </w:rPr>
        <w:t>Formulat bazë të rregullimit:</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Të hyrat e lejuara janë llogaritur sipas formulës:</w:t>
      </w:r>
    </w:p>
    <w:p w:rsidR="00E807F8" w:rsidRPr="00E84532" w:rsidRDefault="00E807F8" w:rsidP="00E807F8">
      <w:pPr>
        <w:jc w:val="both"/>
        <w:rPr>
          <w:rFonts w:asciiTheme="minorHAnsi" w:hAnsiTheme="minorHAnsi" w:cs="Calibri"/>
          <w:b/>
          <w:sz w:val="22"/>
        </w:rPr>
      </w:pPr>
      <w:r w:rsidRPr="00E84532">
        <w:rPr>
          <w:rFonts w:asciiTheme="minorHAnsi" w:hAnsiTheme="minorHAnsi" w:cs="Calibri"/>
          <w:b/>
        </w:rPr>
        <w:t>MAR = OPM + DEP + RTN + LOS + ADJ</w:t>
      </w:r>
    </w:p>
    <w:p w:rsidR="00E807F8" w:rsidRPr="00E84532" w:rsidRDefault="00E807F8" w:rsidP="00E807F8">
      <w:pPr>
        <w:tabs>
          <w:tab w:val="left" w:pos="360"/>
        </w:tabs>
        <w:autoSpaceDE w:val="0"/>
        <w:autoSpaceDN w:val="0"/>
        <w:adjustRightInd w:val="0"/>
        <w:ind w:left="360" w:hanging="360"/>
        <w:rPr>
          <w:rFonts w:asciiTheme="minorHAnsi" w:hAnsiTheme="minorHAnsi" w:cs="Calibri"/>
          <w:bCs/>
          <w:szCs w:val="22"/>
        </w:rPr>
      </w:pPr>
    </w:p>
    <w:p w:rsidR="00E807F8" w:rsidRPr="00E84532" w:rsidRDefault="00E807F8" w:rsidP="00E807F8">
      <w:pPr>
        <w:tabs>
          <w:tab w:val="left" w:pos="0"/>
        </w:tabs>
        <w:autoSpaceDE w:val="0"/>
        <w:autoSpaceDN w:val="0"/>
        <w:adjustRightInd w:val="0"/>
        <w:rPr>
          <w:rFonts w:asciiTheme="minorHAnsi" w:hAnsiTheme="minorHAnsi" w:cs="Calibri"/>
          <w:bCs/>
          <w:sz w:val="22"/>
          <w:szCs w:val="22"/>
        </w:rPr>
      </w:pPr>
      <w:r w:rsidRPr="00E84532">
        <w:rPr>
          <w:rFonts w:asciiTheme="minorHAnsi" w:hAnsiTheme="minorHAnsi" w:cs="Calibri"/>
          <w:bCs/>
          <w:sz w:val="22"/>
          <w:szCs w:val="22"/>
        </w:rPr>
        <w:t>Ku:</w:t>
      </w:r>
    </w:p>
    <w:p w:rsidR="00E807F8" w:rsidRPr="00E84532" w:rsidRDefault="00E807F8" w:rsidP="00E807F8">
      <w:pPr>
        <w:tabs>
          <w:tab w:val="left" w:pos="0"/>
        </w:tabs>
        <w:autoSpaceDE w:val="0"/>
        <w:autoSpaceDN w:val="0"/>
        <w:adjustRightInd w:val="0"/>
        <w:rPr>
          <w:rFonts w:asciiTheme="minorHAnsi" w:hAnsiTheme="minorHAnsi" w:cs="Calibri"/>
          <w:bCs/>
          <w:sz w:val="22"/>
          <w:szCs w:val="22"/>
        </w:rPr>
      </w:pPr>
      <w:r w:rsidRPr="00E84532">
        <w:rPr>
          <w:rFonts w:asciiTheme="minorHAnsi" w:hAnsiTheme="minorHAnsi" w:cs="Calibri"/>
          <w:bCs/>
          <w:sz w:val="22"/>
          <w:szCs w:val="22"/>
        </w:rPr>
        <w:br/>
      </w:r>
      <w:r w:rsidRPr="00E84532">
        <w:rPr>
          <w:rFonts w:asciiTheme="minorHAnsi" w:hAnsiTheme="minorHAnsi" w:cs="Calibri"/>
          <w:b/>
          <w:bCs/>
          <w:sz w:val="22"/>
          <w:szCs w:val="22"/>
        </w:rPr>
        <w:t>MAR</w:t>
      </w:r>
      <w:r w:rsidRPr="00E84532">
        <w:rPr>
          <w:rFonts w:asciiTheme="minorHAnsi" w:hAnsiTheme="minorHAnsi" w:cs="Calibri"/>
          <w:bCs/>
          <w:sz w:val="22"/>
          <w:szCs w:val="22"/>
        </w:rPr>
        <w:t xml:space="preserve"> </w:t>
      </w:r>
      <w:r w:rsidRPr="00E84532">
        <w:rPr>
          <w:rFonts w:asciiTheme="minorHAnsi" w:hAnsiTheme="minorHAnsi" w:cs="Calibri"/>
          <w:bCs/>
          <w:sz w:val="22"/>
          <w:szCs w:val="22"/>
        </w:rPr>
        <w:tab/>
        <w:t>Të Hyrat e lejuara maksimale;</w:t>
      </w:r>
    </w:p>
    <w:p w:rsidR="00E807F8" w:rsidRPr="00E84532" w:rsidRDefault="00E807F8" w:rsidP="00E807F8">
      <w:pPr>
        <w:tabs>
          <w:tab w:val="left" w:pos="0"/>
        </w:tabs>
        <w:autoSpaceDE w:val="0"/>
        <w:autoSpaceDN w:val="0"/>
        <w:adjustRightInd w:val="0"/>
        <w:rPr>
          <w:rFonts w:asciiTheme="minorHAnsi" w:hAnsiTheme="minorHAnsi" w:cs="Calibri"/>
          <w:bCs/>
          <w:sz w:val="22"/>
          <w:szCs w:val="22"/>
        </w:rPr>
      </w:pPr>
      <w:r w:rsidRPr="00E84532">
        <w:rPr>
          <w:rFonts w:asciiTheme="minorHAnsi" w:hAnsiTheme="minorHAnsi" w:cs="Calibri"/>
          <w:b/>
          <w:bCs/>
          <w:sz w:val="22"/>
          <w:szCs w:val="22"/>
        </w:rPr>
        <w:t>OPM</w:t>
      </w:r>
      <w:r w:rsidRPr="00E84532">
        <w:rPr>
          <w:rFonts w:asciiTheme="minorHAnsi" w:hAnsiTheme="minorHAnsi" w:cs="Calibri"/>
          <w:bCs/>
          <w:sz w:val="22"/>
          <w:szCs w:val="22"/>
        </w:rPr>
        <w:tab/>
        <w:t>Kostot e lejuara të operimit dhe mirëmbajtjes;</w:t>
      </w:r>
    </w:p>
    <w:p w:rsidR="00E807F8" w:rsidRPr="00E84532" w:rsidRDefault="00E807F8" w:rsidP="00E807F8">
      <w:pPr>
        <w:tabs>
          <w:tab w:val="left" w:pos="0"/>
        </w:tabs>
        <w:autoSpaceDE w:val="0"/>
        <w:autoSpaceDN w:val="0"/>
        <w:adjustRightInd w:val="0"/>
        <w:rPr>
          <w:rFonts w:asciiTheme="minorHAnsi" w:hAnsiTheme="minorHAnsi" w:cs="Calibri"/>
          <w:bCs/>
          <w:sz w:val="22"/>
          <w:szCs w:val="22"/>
        </w:rPr>
      </w:pPr>
      <w:r w:rsidRPr="00E84532">
        <w:rPr>
          <w:rFonts w:asciiTheme="minorHAnsi" w:hAnsiTheme="minorHAnsi" w:cs="Calibri"/>
          <w:b/>
          <w:bCs/>
          <w:sz w:val="22"/>
          <w:szCs w:val="22"/>
        </w:rPr>
        <w:t>DEP</w:t>
      </w:r>
      <w:r w:rsidRPr="00E84532">
        <w:rPr>
          <w:rFonts w:asciiTheme="minorHAnsi" w:hAnsiTheme="minorHAnsi" w:cs="Calibri"/>
          <w:bCs/>
          <w:sz w:val="22"/>
          <w:szCs w:val="22"/>
        </w:rPr>
        <w:tab/>
        <w:t>Zhvlerësimi vjetor i lejuar;</w:t>
      </w:r>
    </w:p>
    <w:p w:rsidR="00E807F8" w:rsidRPr="00E84532" w:rsidRDefault="00E807F8" w:rsidP="00E807F8">
      <w:pPr>
        <w:tabs>
          <w:tab w:val="left" w:pos="0"/>
        </w:tabs>
        <w:autoSpaceDE w:val="0"/>
        <w:autoSpaceDN w:val="0"/>
        <w:adjustRightInd w:val="0"/>
        <w:rPr>
          <w:rFonts w:asciiTheme="minorHAnsi" w:hAnsiTheme="minorHAnsi" w:cs="Calibri"/>
          <w:bCs/>
          <w:sz w:val="22"/>
          <w:szCs w:val="22"/>
        </w:rPr>
      </w:pPr>
      <w:r w:rsidRPr="00E84532">
        <w:rPr>
          <w:rFonts w:asciiTheme="minorHAnsi" w:hAnsiTheme="minorHAnsi" w:cs="Calibri"/>
          <w:b/>
          <w:bCs/>
          <w:sz w:val="22"/>
          <w:szCs w:val="22"/>
        </w:rPr>
        <w:t>RTN</w:t>
      </w:r>
      <w:r w:rsidRPr="00E84532">
        <w:rPr>
          <w:rFonts w:asciiTheme="minorHAnsi" w:hAnsiTheme="minorHAnsi" w:cs="Calibri"/>
          <w:bCs/>
          <w:sz w:val="22"/>
          <w:szCs w:val="22"/>
        </w:rPr>
        <w:tab/>
        <w:t>Kthimi i lejuar në asete;</w:t>
      </w:r>
    </w:p>
    <w:p w:rsidR="00E807F8" w:rsidRPr="00E84532" w:rsidRDefault="00E807F8" w:rsidP="00E807F8">
      <w:pPr>
        <w:tabs>
          <w:tab w:val="left" w:pos="0"/>
        </w:tabs>
        <w:autoSpaceDE w:val="0"/>
        <w:autoSpaceDN w:val="0"/>
        <w:adjustRightInd w:val="0"/>
        <w:ind w:left="720" w:hanging="720"/>
        <w:rPr>
          <w:rFonts w:asciiTheme="minorHAnsi" w:hAnsiTheme="minorHAnsi" w:cs="Calibri"/>
          <w:color w:val="000000"/>
          <w:sz w:val="22"/>
          <w:szCs w:val="22"/>
        </w:rPr>
      </w:pPr>
      <w:r w:rsidRPr="00E84532">
        <w:rPr>
          <w:rFonts w:asciiTheme="minorHAnsi" w:hAnsiTheme="minorHAnsi" w:cs="Calibri"/>
          <w:b/>
          <w:bCs/>
          <w:sz w:val="22"/>
          <w:szCs w:val="22"/>
        </w:rPr>
        <w:t>LOS</w:t>
      </w:r>
      <w:r w:rsidRPr="00E84532">
        <w:rPr>
          <w:rFonts w:asciiTheme="minorHAnsi" w:hAnsiTheme="minorHAnsi" w:cs="Calibri"/>
          <w:bCs/>
          <w:sz w:val="22"/>
          <w:szCs w:val="22"/>
        </w:rPr>
        <w:tab/>
        <w:t>Kostoja e humbjeve në rrjet;</w:t>
      </w:r>
    </w:p>
    <w:p w:rsidR="00E807F8" w:rsidRPr="00E84532" w:rsidRDefault="00E807F8" w:rsidP="00E807F8">
      <w:pPr>
        <w:tabs>
          <w:tab w:val="left" w:pos="0"/>
        </w:tabs>
        <w:autoSpaceDE w:val="0"/>
        <w:autoSpaceDN w:val="0"/>
        <w:adjustRightInd w:val="0"/>
        <w:rPr>
          <w:rFonts w:asciiTheme="minorHAnsi" w:hAnsiTheme="minorHAnsi" w:cs="Calibri"/>
          <w:bCs/>
          <w:sz w:val="22"/>
          <w:szCs w:val="22"/>
        </w:rPr>
      </w:pPr>
      <w:r w:rsidRPr="00E84532">
        <w:rPr>
          <w:rFonts w:asciiTheme="minorHAnsi" w:hAnsiTheme="minorHAnsi" w:cs="Calibri"/>
          <w:b/>
          <w:bCs/>
          <w:sz w:val="22"/>
          <w:szCs w:val="22"/>
        </w:rPr>
        <w:t>ADJ</w:t>
      </w:r>
      <w:r w:rsidRPr="00E84532">
        <w:rPr>
          <w:rFonts w:asciiTheme="minorHAnsi" w:hAnsiTheme="minorHAnsi" w:cs="Calibri"/>
          <w:bCs/>
          <w:sz w:val="22"/>
          <w:szCs w:val="22"/>
        </w:rPr>
        <w:tab/>
      </w:r>
      <w:r w:rsidRPr="00E84532">
        <w:rPr>
          <w:rFonts w:asciiTheme="minorHAnsi" w:hAnsiTheme="minorHAnsi" w:cs="Calibri"/>
          <w:bCs/>
          <w:color w:val="000000"/>
          <w:sz w:val="22"/>
          <w:szCs w:val="22"/>
        </w:rPr>
        <w:t>Përshtatja (axhustimi) i të hyrave</w:t>
      </w:r>
      <w:r w:rsidRPr="00E84532">
        <w:rPr>
          <w:rFonts w:asciiTheme="minorHAnsi" w:hAnsiTheme="minorHAnsi" w:cs="Calibri"/>
          <w:bCs/>
          <w:sz w:val="22"/>
          <w:szCs w:val="22"/>
        </w:rPr>
        <w:t>.</w:t>
      </w:r>
    </w:p>
    <w:p w:rsidR="00E807F8" w:rsidRPr="00E84532" w:rsidRDefault="00E807F8" w:rsidP="00E807F8">
      <w:pPr>
        <w:jc w:val="both"/>
        <w:rPr>
          <w:rFonts w:asciiTheme="minorHAnsi" w:hAnsiTheme="minorHAnsi"/>
          <w:b/>
          <w:bCs/>
          <w:sz w:val="22"/>
        </w:rPr>
      </w:pPr>
      <w:r w:rsidRPr="00E84532">
        <w:rPr>
          <w:rFonts w:asciiTheme="minorHAnsi" w:hAnsiTheme="minorHAnsi"/>
          <w:b/>
          <w:bCs/>
          <w:sz w:val="22"/>
        </w:rPr>
        <w:tab/>
      </w:r>
    </w:p>
    <w:p w:rsidR="00E807F8" w:rsidRPr="00E84532" w:rsidRDefault="00E807F8" w:rsidP="00E807F8">
      <w:pPr>
        <w:jc w:val="both"/>
        <w:rPr>
          <w:rFonts w:asciiTheme="minorHAnsi" w:hAnsiTheme="minorHAnsi"/>
          <w:sz w:val="22"/>
        </w:rPr>
      </w:pPr>
      <w:r w:rsidRPr="00E84532">
        <w:rPr>
          <w:rFonts w:asciiTheme="minorHAnsi" w:hAnsiTheme="minorHAnsi"/>
          <w:sz w:val="22"/>
        </w:rPr>
        <w:t>Të Hyrat e lejuara paraqesin koston vjetore të kompanisë, e që përmbajnë: i) kostot operative, të cilat janë të “arsyetuara”; ii) zhvlerësimin vjetor; iii) Koston e humbjeve në rrjet; dhe iv) kthimin e lejuar në Bazën e Rregulluar të Aseteve (RAB).</w:t>
      </w:r>
    </w:p>
    <w:p w:rsidR="00E807F8" w:rsidRPr="00E84532" w:rsidRDefault="00E807F8" w:rsidP="00E807F8">
      <w:pPr>
        <w:jc w:val="both"/>
        <w:rPr>
          <w:rFonts w:asciiTheme="minorHAnsi" w:hAnsiTheme="minorHAnsi"/>
          <w:sz w:val="22"/>
        </w:rPr>
      </w:pPr>
      <w:r w:rsidRPr="00E84532">
        <w:rPr>
          <w:rFonts w:asciiTheme="minorHAnsi" w:hAnsiTheme="minorHAnsi"/>
          <w:sz w:val="22"/>
        </w:rPr>
        <w:t xml:space="preserve"> </w:t>
      </w:r>
    </w:p>
    <w:p w:rsidR="00E807F8" w:rsidRPr="00E84532" w:rsidRDefault="00E807F8" w:rsidP="00E807F8">
      <w:pPr>
        <w:jc w:val="both"/>
        <w:rPr>
          <w:rFonts w:asciiTheme="minorHAnsi" w:hAnsiTheme="minorHAnsi"/>
          <w:sz w:val="22"/>
        </w:rPr>
      </w:pPr>
      <w:r w:rsidRPr="00E84532">
        <w:rPr>
          <w:rFonts w:asciiTheme="minorHAnsi" w:hAnsiTheme="minorHAnsi"/>
          <w:sz w:val="22"/>
        </w:rPr>
        <w:t>Kostot operative përbehen nga pjesa fikse dhe ajo variabile, e formuluar si vijon:</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b/>
          <w:bCs/>
          <w:vertAlign w:val="subscript"/>
        </w:rPr>
      </w:pPr>
      <w:r w:rsidRPr="00E84532">
        <w:rPr>
          <w:rFonts w:asciiTheme="minorHAnsi" w:hAnsiTheme="minorHAnsi"/>
          <w:b/>
          <w:bCs/>
        </w:rPr>
        <w:t>OC = OC</w:t>
      </w:r>
      <w:r w:rsidRPr="00E84532">
        <w:rPr>
          <w:rFonts w:asciiTheme="minorHAnsi" w:hAnsiTheme="minorHAnsi"/>
          <w:b/>
          <w:bCs/>
          <w:vertAlign w:val="subscript"/>
        </w:rPr>
        <w:t xml:space="preserve">F </w:t>
      </w:r>
      <w:r w:rsidRPr="00E84532">
        <w:rPr>
          <w:rFonts w:asciiTheme="minorHAnsi" w:hAnsiTheme="minorHAnsi"/>
          <w:b/>
          <w:bCs/>
        </w:rPr>
        <w:t>+</w:t>
      </w:r>
      <w:r w:rsidRPr="00E84532">
        <w:rPr>
          <w:rFonts w:asciiTheme="minorHAnsi" w:hAnsiTheme="minorHAnsi"/>
          <w:b/>
          <w:bCs/>
          <w:vertAlign w:val="subscript"/>
        </w:rPr>
        <w:t xml:space="preserve"> </w:t>
      </w:r>
      <w:r w:rsidRPr="00E84532">
        <w:rPr>
          <w:rFonts w:asciiTheme="minorHAnsi" w:hAnsiTheme="minorHAnsi"/>
          <w:b/>
          <w:bCs/>
        </w:rPr>
        <w:t>OC</w:t>
      </w:r>
      <w:r w:rsidRPr="00E84532">
        <w:rPr>
          <w:rFonts w:asciiTheme="minorHAnsi" w:hAnsiTheme="minorHAnsi"/>
          <w:b/>
          <w:bCs/>
          <w:vertAlign w:val="subscript"/>
        </w:rPr>
        <w:t>v</w:t>
      </w:r>
    </w:p>
    <w:p w:rsidR="00E807F8" w:rsidRPr="00E84532" w:rsidRDefault="00E807F8" w:rsidP="00E807F8">
      <w:pPr>
        <w:jc w:val="both"/>
        <w:rPr>
          <w:rFonts w:asciiTheme="minorHAnsi" w:hAnsiTheme="minorHAnsi"/>
          <w:b/>
          <w:bCs/>
          <w:vertAlign w:val="subscript"/>
        </w:rPr>
      </w:pPr>
    </w:p>
    <w:p w:rsidR="00E807F8" w:rsidRPr="00F04799" w:rsidRDefault="00E807F8" w:rsidP="00E807F8">
      <w:pPr>
        <w:pStyle w:val="BodyText3"/>
        <w:rPr>
          <w:rFonts w:asciiTheme="minorHAnsi" w:hAnsiTheme="minorHAnsi"/>
          <w:sz w:val="22"/>
          <w:szCs w:val="22"/>
        </w:rPr>
      </w:pPr>
      <w:r w:rsidRPr="00F04799">
        <w:rPr>
          <w:rFonts w:asciiTheme="minorHAnsi" w:hAnsiTheme="minorHAnsi"/>
          <w:sz w:val="22"/>
          <w:szCs w:val="22"/>
        </w:rPr>
        <w:t>Kostot operative paraqesin kostot totale të arsye</w:t>
      </w:r>
      <w:r w:rsidR="00F04799">
        <w:rPr>
          <w:rFonts w:asciiTheme="minorHAnsi" w:hAnsiTheme="minorHAnsi"/>
          <w:sz w:val="22"/>
          <w:szCs w:val="22"/>
        </w:rPr>
        <w:t>shme</w:t>
      </w:r>
      <w:r w:rsidRPr="00F04799">
        <w:rPr>
          <w:rFonts w:asciiTheme="minorHAnsi" w:hAnsiTheme="minorHAnsi"/>
          <w:sz w:val="22"/>
          <w:szCs w:val="22"/>
        </w:rPr>
        <w:t xml:space="preserve"> të parashikuara për një vit, e që këtu hyjnë: i) kostot për lëndë djegëse, kostot e blerjes së energjisë termike dhe kostot tjera si energjia elektrike, kemikalet për trajtimin e ujit, pjesët rezervë; ii) kostot tjera operative të sistemit, riparimet dhe mirëmbajtja; dhe iii) kostot e personelit dhe kostot e përbashkëta. Kostot operative të lejuara nuk përfshijnë: i) subvencionet; ii) kostot e refuzuara nga autoritetet tatimore, dhe kostot e ndarjes së rezervave apo shpërndarjes së tyre; dhe iii) pagesat e qirasë për mjetet që nuk janë të shënuara në llogari</w:t>
      </w:r>
      <w:r w:rsidR="008E09B3" w:rsidRPr="00F04799">
        <w:rPr>
          <w:rFonts w:asciiTheme="minorHAnsi" w:hAnsiTheme="minorHAnsi"/>
          <w:sz w:val="22"/>
          <w:szCs w:val="22"/>
        </w:rPr>
        <w:t>-</w:t>
      </w:r>
      <w:r w:rsidRPr="00F04799">
        <w:rPr>
          <w:rFonts w:asciiTheme="minorHAnsi" w:hAnsiTheme="minorHAnsi"/>
          <w:sz w:val="22"/>
          <w:szCs w:val="22"/>
        </w:rPr>
        <w:t>mbajtjen, shpenzimet financiare apo shpenzimet tjera te pa arsyetuara.</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Baza e Rregulluar e Aseteve është llogaritur sipas formulës:</w:t>
      </w:r>
    </w:p>
    <w:p w:rsidR="00E807F8" w:rsidRPr="00E84532" w:rsidRDefault="00E807F8" w:rsidP="00E807F8">
      <w:pPr>
        <w:jc w:val="both"/>
        <w:rPr>
          <w:rFonts w:asciiTheme="minorHAnsi" w:hAnsiTheme="minorHAnsi"/>
          <w:sz w:val="22"/>
        </w:rPr>
      </w:pPr>
    </w:p>
    <w:p w:rsidR="00E807F8" w:rsidRPr="00E84532" w:rsidRDefault="00E807F8" w:rsidP="00E807F8">
      <w:pPr>
        <w:autoSpaceDE w:val="0"/>
        <w:autoSpaceDN w:val="0"/>
        <w:adjustRightInd w:val="0"/>
        <w:rPr>
          <w:rFonts w:asciiTheme="minorHAnsi" w:hAnsiTheme="minorHAnsi" w:cs="Calibri"/>
          <w:b/>
          <w:noProof/>
          <w:color w:val="000000"/>
          <w:sz w:val="26"/>
          <w:szCs w:val="26"/>
          <w:vertAlign w:val="subscript"/>
        </w:rPr>
      </w:pPr>
      <w:r w:rsidRPr="00E84532">
        <w:rPr>
          <w:rFonts w:asciiTheme="minorHAnsi" w:hAnsiTheme="minorHAnsi" w:cs="Calibri"/>
          <w:b/>
          <w:noProof/>
          <w:color w:val="000000"/>
          <w:sz w:val="26"/>
          <w:szCs w:val="26"/>
        </w:rPr>
        <w:lastRenderedPageBreak/>
        <w:t>RAB</w:t>
      </w:r>
      <w:r w:rsidRPr="00E84532">
        <w:rPr>
          <w:rFonts w:asciiTheme="minorHAnsi" w:hAnsiTheme="minorHAnsi" w:cs="Calibri"/>
          <w:b/>
          <w:noProof/>
          <w:color w:val="000000"/>
          <w:sz w:val="26"/>
          <w:szCs w:val="26"/>
          <w:vertAlign w:val="subscript"/>
        </w:rPr>
        <w:t xml:space="preserve">n </w:t>
      </w:r>
      <w:r w:rsidRPr="00E84532">
        <w:rPr>
          <w:rFonts w:asciiTheme="minorHAnsi" w:hAnsiTheme="minorHAnsi" w:cs="Calibri"/>
          <w:b/>
          <w:noProof/>
          <w:color w:val="000000"/>
          <w:sz w:val="26"/>
          <w:szCs w:val="26"/>
          <w:vertAlign w:val="superscript"/>
        </w:rPr>
        <w:t xml:space="preserve">përf. </w:t>
      </w:r>
      <w:r w:rsidRPr="00E84532">
        <w:rPr>
          <w:rFonts w:asciiTheme="minorHAnsi" w:hAnsiTheme="minorHAnsi" w:cs="Calibri"/>
          <w:b/>
          <w:noProof/>
          <w:color w:val="000000"/>
          <w:sz w:val="26"/>
          <w:szCs w:val="26"/>
        </w:rPr>
        <w:t>= RAB</w:t>
      </w:r>
      <w:r w:rsidRPr="00E84532">
        <w:rPr>
          <w:rFonts w:asciiTheme="minorHAnsi" w:hAnsiTheme="minorHAnsi" w:cs="Calibri"/>
          <w:b/>
          <w:noProof/>
          <w:color w:val="000000"/>
          <w:sz w:val="26"/>
          <w:szCs w:val="26"/>
          <w:vertAlign w:val="subscript"/>
        </w:rPr>
        <w:t>n</w:t>
      </w:r>
      <w:r w:rsidRPr="00E84532">
        <w:rPr>
          <w:rFonts w:asciiTheme="minorHAnsi" w:hAnsiTheme="minorHAnsi" w:cs="Calibri"/>
          <w:b/>
          <w:noProof/>
          <w:color w:val="000000"/>
          <w:sz w:val="26"/>
          <w:szCs w:val="26"/>
          <w:vertAlign w:val="superscript"/>
        </w:rPr>
        <w:t>fill.</w:t>
      </w:r>
      <w:r w:rsidRPr="00E84532">
        <w:rPr>
          <w:rFonts w:asciiTheme="minorHAnsi" w:hAnsiTheme="minorHAnsi" w:cs="Calibri"/>
          <w:b/>
          <w:noProof/>
          <w:color w:val="000000"/>
          <w:sz w:val="26"/>
          <w:szCs w:val="26"/>
        </w:rPr>
        <w:t xml:space="preserve"> + INV</w:t>
      </w:r>
      <w:r w:rsidRPr="00E84532">
        <w:rPr>
          <w:rFonts w:asciiTheme="minorHAnsi" w:hAnsiTheme="minorHAnsi" w:cs="Calibri"/>
          <w:b/>
          <w:noProof/>
          <w:color w:val="000000"/>
          <w:sz w:val="26"/>
          <w:szCs w:val="26"/>
          <w:vertAlign w:val="subscript"/>
        </w:rPr>
        <w:t xml:space="preserve">n </w:t>
      </w:r>
      <w:r w:rsidRPr="00E84532">
        <w:rPr>
          <w:rFonts w:asciiTheme="minorHAnsi" w:hAnsiTheme="minorHAnsi" w:cs="Calibri"/>
          <w:b/>
          <w:noProof/>
          <w:color w:val="000000"/>
          <w:sz w:val="26"/>
          <w:szCs w:val="26"/>
        </w:rPr>
        <w:t>+ WC</w:t>
      </w:r>
      <w:r w:rsidRPr="00E84532">
        <w:rPr>
          <w:rFonts w:asciiTheme="minorHAnsi" w:hAnsiTheme="minorHAnsi" w:cs="Calibri"/>
          <w:b/>
          <w:noProof/>
          <w:color w:val="000000"/>
          <w:sz w:val="26"/>
          <w:szCs w:val="26"/>
          <w:vertAlign w:val="subscript"/>
        </w:rPr>
        <w:t>n</w:t>
      </w:r>
      <w:r w:rsidRPr="00E84532">
        <w:rPr>
          <w:rFonts w:asciiTheme="minorHAnsi" w:hAnsiTheme="minorHAnsi" w:cs="Calibri"/>
          <w:b/>
          <w:noProof/>
          <w:color w:val="000000"/>
          <w:sz w:val="26"/>
          <w:szCs w:val="26"/>
        </w:rPr>
        <w:t>– DEP</w:t>
      </w:r>
      <w:r w:rsidRPr="00E84532">
        <w:rPr>
          <w:rFonts w:asciiTheme="minorHAnsi" w:hAnsiTheme="minorHAnsi" w:cs="Calibri"/>
          <w:b/>
          <w:noProof/>
          <w:color w:val="000000"/>
          <w:sz w:val="26"/>
          <w:szCs w:val="26"/>
          <w:vertAlign w:val="subscript"/>
        </w:rPr>
        <w:t>n-1</w:t>
      </w:r>
      <w:r w:rsidRPr="00E84532">
        <w:rPr>
          <w:rFonts w:asciiTheme="minorHAnsi" w:hAnsiTheme="minorHAnsi" w:cs="Calibri"/>
          <w:b/>
          <w:noProof/>
          <w:color w:val="000000"/>
          <w:sz w:val="26"/>
          <w:szCs w:val="26"/>
        </w:rPr>
        <w:t xml:space="preserve"> – DIS</w:t>
      </w:r>
      <w:r w:rsidRPr="00E84532">
        <w:rPr>
          <w:rFonts w:asciiTheme="minorHAnsi" w:hAnsiTheme="minorHAnsi" w:cs="Calibri"/>
          <w:b/>
          <w:noProof/>
          <w:color w:val="000000"/>
          <w:sz w:val="26"/>
          <w:szCs w:val="26"/>
          <w:vertAlign w:val="subscript"/>
        </w:rPr>
        <w:t>n-1</w:t>
      </w:r>
    </w:p>
    <w:p w:rsidR="00E807F8" w:rsidRPr="00E84532" w:rsidRDefault="00E807F8" w:rsidP="00E807F8">
      <w:pPr>
        <w:pStyle w:val="BodyText"/>
        <w:jc w:val="both"/>
        <w:rPr>
          <w:rFonts w:asciiTheme="minorHAnsi" w:hAnsiTheme="minorHAnsi"/>
          <w:sz w:val="22"/>
          <w:szCs w:val="22"/>
        </w:rPr>
      </w:pPr>
    </w:p>
    <w:p w:rsidR="00E807F8" w:rsidRPr="00E84532" w:rsidRDefault="00E807F8" w:rsidP="00E807F8">
      <w:pPr>
        <w:jc w:val="both"/>
        <w:rPr>
          <w:rFonts w:asciiTheme="minorHAnsi" w:hAnsiTheme="minorHAnsi"/>
          <w:noProof/>
          <w:sz w:val="22"/>
        </w:rPr>
      </w:pPr>
      <w:r w:rsidRPr="00E84532">
        <w:rPr>
          <w:rFonts w:asciiTheme="minorHAnsi" w:hAnsiTheme="minorHAnsi"/>
          <w:noProof/>
          <w:sz w:val="22"/>
        </w:rPr>
        <w:t>Baza e Rregulluar e Aseteve (RAB) paraqet asetet e ndërmarrjes të konsideruara për përdorim dhe të dobishme për ofrimin e shërbimit publik, e të cilat përfshijnë: i) Bazën e Rregulluar të Asteve fillestar (RAB</w:t>
      </w:r>
      <w:r w:rsidRPr="00E84532">
        <w:rPr>
          <w:rFonts w:asciiTheme="minorHAnsi" w:hAnsiTheme="minorHAnsi"/>
          <w:noProof/>
          <w:sz w:val="22"/>
          <w:vertAlign w:val="subscript"/>
        </w:rPr>
        <w:t>n</w:t>
      </w:r>
      <w:r w:rsidRPr="00E84532">
        <w:rPr>
          <w:rFonts w:asciiTheme="minorHAnsi" w:hAnsiTheme="minorHAnsi"/>
          <w:noProof/>
          <w:sz w:val="22"/>
          <w:vertAlign w:val="superscript"/>
        </w:rPr>
        <w:t>fill.</w:t>
      </w:r>
      <w:r w:rsidRPr="00E84532">
        <w:rPr>
          <w:rFonts w:asciiTheme="minorHAnsi" w:hAnsiTheme="minorHAnsi"/>
          <w:noProof/>
          <w:sz w:val="22"/>
        </w:rPr>
        <w:t xml:space="preserve">) që faktikisht paraqet RAB-in përfundimtarë të realizuar në sezonin paraprak 2017/18 (n-1); ii) investimet e reja kur janë të planifikuara dhe të aprovuara nga Rregullatori </w:t>
      </w:r>
      <w:r w:rsidRPr="00E84532">
        <w:rPr>
          <w:rFonts w:asciiTheme="minorHAnsi" w:hAnsiTheme="minorHAnsi"/>
          <w:noProof/>
          <w:sz w:val="22"/>
          <w:szCs w:val="22"/>
        </w:rPr>
        <w:t>(</w:t>
      </w:r>
      <w:r w:rsidRPr="00E84532">
        <w:rPr>
          <w:rFonts w:asciiTheme="minorHAnsi" w:hAnsiTheme="minorHAnsi" w:cs="Calibri"/>
          <w:noProof/>
          <w:color w:val="000000"/>
          <w:sz w:val="22"/>
          <w:szCs w:val="22"/>
        </w:rPr>
        <w:t>INV</w:t>
      </w:r>
      <w:r w:rsidRPr="00E84532">
        <w:rPr>
          <w:rFonts w:asciiTheme="minorHAnsi" w:hAnsiTheme="minorHAnsi" w:cs="Calibri"/>
          <w:noProof/>
          <w:color w:val="000000"/>
          <w:sz w:val="22"/>
          <w:szCs w:val="22"/>
          <w:vertAlign w:val="subscript"/>
        </w:rPr>
        <w:t>n</w:t>
      </w:r>
      <w:r w:rsidRPr="00E84532">
        <w:rPr>
          <w:rFonts w:asciiTheme="minorHAnsi" w:hAnsiTheme="minorHAnsi" w:cs="Calibri"/>
          <w:noProof/>
          <w:color w:val="000000"/>
          <w:sz w:val="22"/>
          <w:szCs w:val="22"/>
        </w:rPr>
        <w:t>)</w:t>
      </w:r>
      <w:r w:rsidRPr="00E84532">
        <w:rPr>
          <w:rFonts w:asciiTheme="minorHAnsi" w:hAnsiTheme="minorHAnsi"/>
          <w:noProof/>
          <w:sz w:val="22"/>
        </w:rPr>
        <w:t xml:space="preserve">; iii) kapitali i mjaftueshëm punues për kompaninë që të kryejë aktivitetet e saj </w:t>
      </w:r>
      <w:r w:rsidRPr="00E84532">
        <w:rPr>
          <w:rFonts w:asciiTheme="minorHAnsi" w:hAnsiTheme="minorHAnsi"/>
          <w:noProof/>
          <w:sz w:val="22"/>
          <w:szCs w:val="22"/>
        </w:rPr>
        <w:t>(</w:t>
      </w:r>
      <w:r w:rsidRPr="00E84532">
        <w:rPr>
          <w:rFonts w:asciiTheme="minorHAnsi" w:hAnsiTheme="minorHAnsi" w:cs="Calibri"/>
          <w:noProof/>
          <w:color w:val="000000"/>
          <w:sz w:val="22"/>
          <w:szCs w:val="22"/>
        </w:rPr>
        <w:t>WC</w:t>
      </w:r>
      <w:r w:rsidRPr="00E84532">
        <w:rPr>
          <w:rFonts w:asciiTheme="minorHAnsi" w:hAnsiTheme="minorHAnsi" w:cs="Calibri"/>
          <w:noProof/>
          <w:color w:val="000000"/>
          <w:sz w:val="22"/>
          <w:szCs w:val="22"/>
          <w:vertAlign w:val="subscript"/>
        </w:rPr>
        <w:t>n</w:t>
      </w:r>
      <w:r w:rsidRPr="00E84532">
        <w:rPr>
          <w:rFonts w:asciiTheme="minorHAnsi" w:hAnsiTheme="minorHAnsi" w:cs="Calibri"/>
          <w:noProof/>
          <w:color w:val="000000"/>
          <w:sz w:val="22"/>
          <w:szCs w:val="22"/>
        </w:rPr>
        <w:t>)</w:t>
      </w:r>
      <w:r w:rsidRPr="00E84532">
        <w:rPr>
          <w:rFonts w:asciiTheme="minorHAnsi" w:hAnsiTheme="minorHAnsi"/>
          <w:noProof/>
          <w:sz w:val="22"/>
        </w:rPr>
        <w:t xml:space="preserve">; Zhvlerësimin e aseteve të realizuar në sezonin paraprak 2017/18 (n-1) </w:t>
      </w:r>
      <w:r w:rsidRPr="00E84532">
        <w:rPr>
          <w:rFonts w:asciiTheme="minorHAnsi" w:hAnsiTheme="minorHAnsi"/>
          <w:noProof/>
          <w:sz w:val="22"/>
          <w:szCs w:val="22"/>
        </w:rPr>
        <w:t>(</w:t>
      </w:r>
      <w:r w:rsidRPr="00E84532">
        <w:rPr>
          <w:rFonts w:asciiTheme="minorHAnsi" w:hAnsiTheme="minorHAnsi" w:cs="Calibri"/>
          <w:noProof/>
          <w:color w:val="000000"/>
          <w:sz w:val="22"/>
          <w:szCs w:val="22"/>
        </w:rPr>
        <w:t>DEP</w:t>
      </w:r>
      <w:r w:rsidRPr="00E84532">
        <w:rPr>
          <w:rFonts w:asciiTheme="minorHAnsi" w:hAnsiTheme="minorHAnsi" w:cs="Calibri"/>
          <w:noProof/>
          <w:color w:val="000000"/>
          <w:sz w:val="22"/>
          <w:szCs w:val="22"/>
          <w:vertAlign w:val="subscript"/>
        </w:rPr>
        <w:t>n-1</w:t>
      </w:r>
      <w:r w:rsidRPr="00E84532">
        <w:rPr>
          <w:rFonts w:asciiTheme="minorHAnsi" w:hAnsiTheme="minorHAnsi" w:cs="Calibri"/>
          <w:noProof/>
          <w:color w:val="000000"/>
          <w:sz w:val="22"/>
          <w:szCs w:val="22"/>
        </w:rPr>
        <w:t>)</w:t>
      </w:r>
      <w:r w:rsidRPr="00E84532">
        <w:rPr>
          <w:rFonts w:asciiTheme="minorHAnsi" w:hAnsiTheme="minorHAnsi" w:cs="Calibri"/>
          <w:b/>
          <w:noProof/>
          <w:color w:val="000000"/>
          <w:sz w:val="26"/>
          <w:szCs w:val="26"/>
          <w:vertAlign w:val="subscript"/>
        </w:rPr>
        <w:t xml:space="preserve"> </w:t>
      </w:r>
      <w:r w:rsidRPr="00E84532">
        <w:rPr>
          <w:rFonts w:asciiTheme="minorHAnsi" w:hAnsiTheme="minorHAnsi"/>
          <w:noProof/>
          <w:sz w:val="22"/>
        </w:rPr>
        <w:t>dhe iv) Asetet e tjetërsuara (</w:t>
      </w:r>
      <w:r w:rsidRPr="00E84532">
        <w:rPr>
          <w:rFonts w:asciiTheme="minorHAnsi" w:hAnsiTheme="minorHAnsi" w:cs="Calibri"/>
          <w:noProof/>
          <w:color w:val="000000"/>
          <w:sz w:val="22"/>
          <w:szCs w:val="22"/>
        </w:rPr>
        <w:t>DIS</w:t>
      </w:r>
      <w:r w:rsidRPr="00E84532">
        <w:rPr>
          <w:rFonts w:asciiTheme="minorHAnsi" w:hAnsiTheme="minorHAnsi" w:cs="Calibri"/>
          <w:noProof/>
          <w:color w:val="000000"/>
          <w:sz w:val="22"/>
          <w:szCs w:val="22"/>
          <w:vertAlign w:val="subscript"/>
        </w:rPr>
        <w:t>n-1</w:t>
      </w:r>
      <w:r w:rsidRPr="00E84532">
        <w:rPr>
          <w:rFonts w:asciiTheme="minorHAnsi" w:hAnsiTheme="minorHAnsi" w:cs="Calibri"/>
          <w:noProof/>
          <w:color w:val="000000"/>
          <w:sz w:val="22"/>
          <w:szCs w:val="22"/>
        </w:rPr>
        <w:t>)</w:t>
      </w:r>
      <w:r w:rsidRPr="00E84532">
        <w:rPr>
          <w:rFonts w:asciiTheme="minorHAnsi" w:hAnsiTheme="minorHAnsi"/>
          <w:noProof/>
          <w:sz w:val="22"/>
        </w:rPr>
        <w:t xml:space="preserve"> . </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b/>
          <w:bCs/>
        </w:rPr>
      </w:pPr>
      <w:r w:rsidRPr="00E84532">
        <w:rPr>
          <w:rFonts w:asciiTheme="minorHAnsi" w:hAnsiTheme="minorHAnsi"/>
          <w:sz w:val="22"/>
        </w:rPr>
        <w:t>ZRRE-ja, si Normë të Kthimit, ka marrë vlerën e WACC-ut (Mesatares së ponderuar të kostos së kapitalit). WACC (%) është shuma e  mesatares së ponderuar të kostos së ekuitetit dhe kostos së borxhit, dhe është llogaritur  sipas formulës:</w:t>
      </w:r>
    </w:p>
    <w:p w:rsidR="00E807F8" w:rsidRPr="00E84532" w:rsidRDefault="00E807F8" w:rsidP="00E807F8">
      <w:pPr>
        <w:jc w:val="both"/>
        <w:rPr>
          <w:rFonts w:asciiTheme="minorHAnsi" w:hAnsiTheme="minorHAnsi"/>
          <w:b/>
          <w:bCs/>
        </w:rPr>
      </w:pPr>
    </w:p>
    <w:p w:rsidR="00E807F8" w:rsidRPr="00E84532" w:rsidRDefault="00E807F8" w:rsidP="00E807F8">
      <w:pPr>
        <w:jc w:val="both"/>
        <w:rPr>
          <w:rFonts w:asciiTheme="minorHAnsi" w:hAnsiTheme="minorHAnsi"/>
          <w:b/>
          <w:bCs/>
        </w:rPr>
      </w:pPr>
      <w:r w:rsidRPr="00E84532">
        <w:rPr>
          <w:rFonts w:asciiTheme="minorHAnsi" w:hAnsiTheme="minorHAnsi"/>
          <w:b/>
          <w:bCs/>
        </w:rPr>
        <w:t>WACC = [(D/V) * k</w:t>
      </w:r>
      <w:r w:rsidRPr="00E84532">
        <w:rPr>
          <w:rFonts w:asciiTheme="minorHAnsi" w:hAnsiTheme="minorHAnsi"/>
          <w:b/>
          <w:bCs/>
          <w:vertAlign w:val="subscript"/>
        </w:rPr>
        <w:t>d</w:t>
      </w:r>
      <w:r w:rsidRPr="00E84532">
        <w:rPr>
          <w:rFonts w:asciiTheme="minorHAnsi" w:hAnsiTheme="minorHAnsi"/>
          <w:b/>
          <w:bCs/>
        </w:rPr>
        <w:t>] + [(E/V) * k</w:t>
      </w:r>
      <w:r w:rsidRPr="00E84532">
        <w:rPr>
          <w:rFonts w:asciiTheme="minorHAnsi" w:hAnsiTheme="minorHAnsi"/>
          <w:b/>
          <w:bCs/>
          <w:vertAlign w:val="subscript"/>
        </w:rPr>
        <w:t>e</w:t>
      </w:r>
      <w:r w:rsidRPr="00E84532">
        <w:rPr>
          <w:rFonts w:asciiTheme="minorHAnsi" w:hAnsiTheme="minorHAnsi"/>
          <w:b/>
          <w:bCs/>
        </w:rPr>
        <w:t xml:space="preserve">]  </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Ku:</w:t>
      </w:r>
    </w:p>
    <w:p w:rsidR="00E807F8" w:rsidRPr="00E84532" w:rsidRDefault="00E807F8" w:rsidP="00E807F8">
      <w:pPr>
        <w:jc w:val="both"/>
        <w:rPr>
          <w:rFonts w:asciiTheme="minorHAnsi" w:hAnsiTheme="minorHAnsi"/>
          <w:sz w:val="22"/>
        </w:rPr>
      </w:pPr>
      <w:r w:rsidRPr="00E84532">
        <w:rPr>
          <w:rFonts w:asciiTheme="minorHAnsi" w:hAnsiTheme="minorHAnsi"/>
          <w:b/>
          <w:bCs/>
          <w:sz w:val="22"/>
        </w:rPr>
        <w:t>D/V</w:t>
      </w:r>
      <w:r w:rsidRPr="00E84532">
        <w:rPr>
          <w:rFonts w:asciiTheme="minorHAnsi" w:hAnsiTheme="minorHAnsi"/>
          <w:sz w:val="22"/>
        </w:rPr>
        <w:t xml:space="preserve">- </w:t>
      </w:r>
      <w:r w:rsidRPr="00E84532">
        <w:rPr>
          <w:rFonts w:asciiTheme="minorHAnsi" w:hAnsiTheme="minorHAnsi"/>
          <w:sz w:val="22"/>
        </w:rPr>
        <w:tab/>
      </w:r>
      <w:r w:rsidRPr="00E84532">
        <w:rPr>
          <w:rFonts w:asciiTheme="minorHAnsi" w:hAnsiTheme="minorHAnsi"/>
          <w:sz w:val="22"/>
        </w:rPr>
        <w:tab/>
      </w:r>
      <w:r w:rsidRPr="00E84532">
        <w:rPr>
          <w:rFonts w:asciiTheme="minorHAnsi" w:hAnsiTheme="minorHAnsi"/>
          <w:sz w:val="22"/>
        </w:rPr>
        <w:tab/>
        <w:t>Pjesa e borxhit nga baza totale e kapitalit</w:t>
      </w:r>
    </w:p>
    <w:p w:rsidR="00E807F8" w:rsidRPr="00E84532" w:rsidRDefault="00E807F8" w:rsidP="00E807F8">
      <w:pPr>
        <w:jc w:val="both"/>
        <w:rPr>
          <w:rFonts w:asciiTheme="minorHAnsi" w:hAnsiTheme="minorHAnsi"/>
          <w:sz w:val="22"/>
        </w:rPr>
      </w:pPr>
      <w:r w:rsidRPr="00E84532">
        <w:rPr>
          <w:rFonts w:asciiTheme="minorHAnsi" w:hAnsiTheme="minorHAnsi"/>
          <w:b/>
          <w:bCs/>
          <w:sz w:val="22"/>
        </w:rPr>
        <w:t>E/V</w:t>
      </w:r>
      <w:r w:rsidRPr="00E84532">
        <w:rPr>
          <w:rFonts w:asciiTheme="minorHAnsi" w:hAnsiTheme="minorHAnsi"/>
          <w:sz w:val="22"/>
        </w:rPr>
        <w:t xml:space="preserve"> -</w:t>
      </w:r>
      <w:r w:rsidRPr="00E84532">
        <w:rPr>
          <w:rFonts w:asciiTheme="minorHAnsi" w:hAnsiTheme="minorHAnsi"/>
          <w:sz w:val="22"/>
        </w:rPr>
        <w:tab/>
      </w:r>
      <w:r w:rsidRPr="00E84532">
        <w:rPr>
          <w:rFonts w:asciiTheme="minorHAnsi" w:hAnsiTheme="minorHAnsi"/>
          <w:sz w:val="22"/>
        </w:rPr>
        <w:tab/>
      </w:r>
      <w:r w:rsidRPr="00E84532">
        <w:rPr>
          <w:rFonts w:asciiTheme="minorHAnsi" w:hAnsiTheme="minorHAnsi"/>
          <w:sz w:val="22"/>
        </w:rPr>
        <w:tab/>
        <w:t>Pjesa e ekuitetit nga baza totale e kapitalit</w:t>
      </w:r>
    </w:p>
    <w:p w:rsidR="00E807F8" w:rsidRPr="00E84532" w:rsidRDefault="00E807F8" w:rsidP="00E807F8">
      <w:pPr>
        <w:jc w:val="both"/>
        <w:rPr>
          <w:rFonts w:asciiTheme="minorHAnsi" w:hAnsiTheme="minorHAnsi"/>
          <w:sz w:val="22"/>
        </w:rPr>
      </w:pPr>
      <w:r w:rsidRPr="00E84532">
        <w:rPr>
          <w:rFonts w:asciiTheme="minorHAnsi" w:hAnsiTheme="minorHAnsi"/>
          <w:b/>
          <w:bCs/>
          <w:sz w:val="22"/>
        </w:rPr>
        <w:t>V</w:t>
      </w:r>
      <w:r w:rsidRPr="00E84532">
        <w:rPr>
          <w:rFonts w:asciiTheme="minorHAnsi" w:hAnsiTheme="minorHAnsi"/>
          <w:sz w:val="22"/>
        </w:rPr>
        <w:t xml:space="preserve"> - </w:t>
      </w:r>
      <w:r w:rsidRPr="00E84532">
        <w:rPr>
          <w:rFonts w:asciiTheme="minorHAnsi" w:hAnsiTheme="minorHAnsi"/>
          <w:sz w:val="22"/>
        </w:rPr>
        <w:tab/>
      </w:r>
      <w:r w:rsidRPr="00E84532">
        <w:rPr>
          <w:rFonts w:asciiTheme="minorHAnsi" w:hAnsiTheme="minorHAnsi"/>
          <w:sz w:val="22"/>
        </w:rPr>
        <w:tab/>
      </w:r>
      <w:r w:rsidRPr="00E84532">
        <w:rPr>
          <w:rFonts w:asciiTheme="minorHAnsi" w:hAnsiTheme="minorHAnsi"/>
          <w:sz w:val="22"/>
        </w:rPr>
        <w:tab/>
        <w:t>Baza totale e kapitalit, e cila është i gjithë ekuiteti dhe borxhi</w:t>
      </w:r>
    </w:p>
    <w:p w:rsidR="00E807F8" w:rsidRPr="00E84532" w:rsidRDefault="00E807F8" w:rsidP="00E807F8">
      <w:pPr>
        <w:jc w:val="both"/>
        <w:rPr>
          <w:rFonts w:asciiTheme="minorHAnsi" w:hAnsiTheme="minorHAnsi"/>
          <w:sz w:val="22"/>
        </w:rPr>
      </w:pPr>
      <w:r w:rsidRPr="00E84532">
        <w:rPr>
          <w:rFonts w:asciiTheme="minorHAnsi" w:hAnsiTheme="minorHAnsi"/>
          <w:b/>
          <w:bCs/>
          <w:sz w:val="22"/>
        </w:rPr>
        <w:t>k</w:t>
      </w:r>
      <w:r w:rsidRPr="00E84532">
        <w:rPr>
          <w:rFonts w:asciiTheme="minorHAnsi" w:hAnsiTheme="minorHAnsi"/>
          <w:b/>
          <w:bCs/>
          <w:sz w:val="22"/>
          <w:vertAlign w:val="subscript"/>
        </w:rPr>
        <w:t xml:space="preserve">d - </w:t>
      </w:r>
      <w:r w:rsidRPr="00E84532">
        <w:rPr>
          <w:rFonts w:asciiTheme="minorHAnsi" w:hAnsiTheme="minorHAnsi"/>
          <w:b/>
          <w:bCs/>
          <w:sz w:val="22"/>
          <w:vertAlign w:val="subscript"/>
        </w:rPr>
        <w:tab/>
      </w:r>
      <w:r w:rsidRPr="00E84532">
        <w:rPr>
          <w:rFonts w:asciiTheme="minorHAnsi" w:hAnsiTheme="minorHAnsi"/>
          <w:b/>
          <w:bCs/>
          <w:sz w:val="22"/>
          <w:vertAlign w:val="subscript"/>
        </w:rPr>
        <w:tab/>
      </w:r>
      <w:r w:rsidRPr="00E84532">
        <w:rPr>
          <w:rFonts w:asciiTheme="minorHAnsi" w:hAnsiTheme="minorHAnsi"/>
          <w:b/>
          <w:bCs/>
          <w:sz w:val="22"/>
          <w:vertAlign w:val="subscript"/>
        </w:rPr>
        <w:tab/>
      </w:r>
      <w:r w:rsidRPr="00E84532">
        <w:rPr>
          <w:rFonts w:asciiTheme="minorHAnsi" w:hAnsiTheme="minorHAnsi"/>
          <w:sz w:val="22"/>
        </w:rPr>
        <w:t>Kostoja e borxhit</w:t>
      </w:r>
    </w:p>
    <w:p w:rsidR="00E807F8" w:rsidRPr="00E84532" w:rsidRDefault="00E807F8" w:rsidP="00E807F8">
      <w:pPr>
        <w:jc w:val="both"/>
        <w:rPr>
          <w:rFonts w:asciiTheme="minorHAnsi" w:hAnsiTheme="minorHAnsi"/>
          <w:sz w:val="22"/>
        </w:rPr>
      </w:pPr>
      <w:r w:rsidRPr="00E84532">
        <w:rPr>
          <w:rFonts w:asciiTheme="minorHAnsi" w:hAnsiTheme="minorHAnsi"/>
          <w:b/>
          <w:bCs/>
          <w:sz w:val="22"/>
        </w:rPr>
        <w:t>k</w:t>
      </w:r>
      <w:r w:rsidRPr="00E84532">
        <w:rPr>
          <w:rFonts w:asciiTheme="minorHAnsi" w:hAnsiTheme="minorHAnsi"/>
          <w:b/>
          <w:bCs/>
          <w:sz w:val="22"/>
          <w:vertAlign w:val="subscript"/>
        </w:rPr>
        <w:t xml:space="preserve">e - </w:t>
      </w:r>
      <w:r w:rsidRPr="00E84532">
        <w:rPr>
          <w:rFonts w:asciiTheme="minorHAnsi" w:hAnsiTheme="minorHAnsi"/>
          <w:b/>
          <w:bCs/>
          <w:sz w:val="22"/>
          <w:vertAlign w:val="subscript"/>
        </w:rPr>
        <w:tab/>
      </w:r>
      <w:r w:rsidRPr="00E84532">
        <w:rPr>
          <w:rFonts w:asciiTheme="minorHAnsi" w:hAnsiTheme="minorHAnsi"/>
          <w:b/>
          <w:bCs/>
          <w:sz w:val="22"/>
          <w:vertAlign w:val="subscript"/>
        </w:rPr>
        <w:tab/>
      </w:r>
      <w:r w:rsidRPr="00E84532">
        <w:rPr>
          <w:rFonts w:asciiTheme="minorHAnsi" w:hAnsiTheme="minorHAnsi"/>
          <w:b/>
          <w:bCs/>
          <w:sz w:val="22"/>
          <w:vertAlign w:val="subscript"/>
        </w:rPr>
        <w:tab/>
      </w:r>
      <w:r w:rsidRPr="00E84532">
        <w:rPr>
          <w:rFonts w:asciiTheme="minorHAnsi" w:hAnsiTheme="minorHAnsi"/>
          <w:sz w:val="22"/>
        </w:rPr>
        <w:t>Kostoja e Ekuitetit</w:t>
      </w:r>
    </w:p>
    <w:p w:rsidR="00E807F8" w:rsidRPr="00E84532" w:rsidRDefault="00E807F8" w:rsidP="00E807F8">
      <w:pPr>
        <w:jc w:val="both"/>
        <w:rPr>
          <w:rFonts w:asciiTheme="minorHAnsi" w:hAnsiTheme="minorHAnsi"/>
          <w:b/>
          <w:bCs/>
          <w:sz w:val="22"/>
          <w:szCs w:val="22"/>
        </w:rPr>
      </w:pPr>
    </w:p>
    <w:p w:rsidR="00E807F8" w:rsidRPr="000C6431" w:rsidRDefault="004A64EF" w:rsidP="00382204">
      <w:pPr>
        <w:pStyle w:val="Heading1"/>
        <w:tabs>
          <w:tab w:val="clear" w:pos="2340"/>
          <w:tab w:val="num" w:pos="1620"/>
        </w:tabs>
        <w:ind w:left="720"/>
        <w:rPr>
          <w:rStyle w:val="Strong"/>
          <w:b/>
          <w:bCs/>
          <w:color w:val="000000" w:themeColor="text1"/>
        </w:rPr>
      </w:pPr>
      <w:hyperlink r:id="rId10" w:history="1">
        <w:bookmarkStart w:id="20" w:name="_Toc339538662"/>
        <w:bookmarkStart w:id="21" w:name="_Toc339539117"/>
        <w:bookmarkStart w:id="22" w:name="_Toc21513544"/>
        <w:bookmarkStart w:id="23" w:name="_Toc21514367"/>
        <w:bookmarkStart w:id="24" w:name="_Toc21521374"/>
        <w:r w:rsidR="00E807F8" w:rsidRPr="000C6431">
          <w:rPr>
            <w:rStyle w:val="Hyperlink"/>
            <w:color w:val="000000" w:themeColor="text1"/>
            <w:u w:val="none"/>
          </w:rPr>
          <w:t xml:space="preserve">Përcaktimi i të </w:t>
        </w:r>
        <w:r w:rsidR="00E807F8" w:rsidRPr="00F90B33">
          <w:rPr>
            <w:rStyle w:val="Hyperlink"/>
            <w:color w:val="auto"/>
            <w:u w:val="none"/>
          </w:rPr>
          <w:t>Hyrave</w:t>
        </w:r>
        <w:r w:rsidR="00E807F8" w:rsidRPr="000C6431">
          <w:rPr>
            <w:rStyle w:val="Hyperlink"/>
            <w:color w:val="000000" w:themeColor="text1"/>
            <w:u w:val="none"/>
          </w:rPr>
          <w:t xml:space="preserve"> të Lejuara</w:t>
        </w:r>
        <w:bookmarkEnd w:id="20"/>
        <w:bookmarkEnd w:id="21"/>
        <w:bookmarkEnd w:id="22"/>
        <w:bookmarkEnd w:id="23"/>
        <w:bookmarkEnd w:id="24"/>
      </w:hyperlink>
    </w:p>
    <w:p w:rsidR="00E807F8" w:rsidRPr="00E84532" w:rsidRDefault="00E807F8" w:rsidP="00E807F8">
      <w:pPr>
        <w:jc w:val="both"/>
        <w:rPr>
          <w:rFonts w:asciiTheme="minorHAnsi" w:hAnsiTheme="minorHAnsi"/>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Për përcaktimin e të Hyrave të lejuara të NQ Termokos SH.A. për sezonin 20</w:t>
      </w:r>
      <w:r w:rsidR="001D2483">
        <w:rPr>
          <w:rFonts w:asciiTheme="minorHAnsi" w:hAnsiTheme="minorHAnsi"/>
          <w:sz w:val="22"/>
          <w:szCs w:val="22"/>
        </w:rPr>
        <w:t>20</w:t>
      </w:r>
      <w:r w:rsidRPr="00E84532">
        <w:rPr>
          <w:rFonts w:asciiTheme="minorHAnsi" w:hAnsiTheme="minorHAnsi"/>
          <w:sz w:val="22"/>
          <w:szCs w:val="22"/>
        </w:rPr>
        <w:t>/20</w:t>
      </w:r>
      <w:r w:rsidR="00DB27D8">
        <w:rPr>
          <w:rFonts w:asciiTheme="minorHAnsi" w:hAnsiTheme="minorHAnsi"/>
          <w:sz w:val="22"/>
          <w:szCs w:val="22"/>
        </w:rPr>
        <w:t>2</w:t>
      </w:r>
      <w:r w:rsidR="001D2483">
        <w:rPr>
          <w:rFonts w:asciiTheme="minorHAnsi" w:hAnsiTheme="minorHAnsi"/>
          <w:sz w:val="22"/>
          <w:szCs w:val="22"/>
        </w:rPr>
        <w:t>1</w:t>
      </w:r>
      <w:r w:rsidRPr="00E84532">
        <w:rPr>
          <w:rFonts w:asciiTheme="minorHAnsi" w:hAnsiTheme="minorHAnsi"/>
          <w:sz w:val="22"/>
          <w:szCs w:val="22"/>
        </w:rPr>
        <w:t>, në pajtim Rregullën për Vendosjen e Çmimeve të Energjisë Termike, ZRRE ka ndërmarrë si vijon:</w:t>
      </w:r>
    </w:p>
    <w:p w:rsidR="00E807F8" w:rsidRPr="00E84532" w:rsidRDefault="00E807F8" w:rsidP="00E807F8">
      <w:pPr>
        <w:jc w:val="both"/>
        <w:rPr>
          <w:rFonts w:asciiTheme="minorHAnsi" w:hAnsiTheme="minorHAnsi"/>
          <w:sz w:val="22"/>
          <w:szCs w:val="22"/>
        </w:rPr>
      </w:pPr>
    </w:p>
    <w:p w:rsidR="00E807F8" w:rsidRPr="00E84532" w:rsidRDefault="00E807F8" w:rsidP="00F23C29">
      <w:pPr>
        <w:numPr>
          <w:ilvl w:val="0"/>
          <w:numId w:val="5"/>
        </w:numPr>
        <w:tabs>
          <w:tab w:val="clear" w:pos="720"/>
          <w:tab w:val="num" w:pos="360"/>
        </w:tabs>
        <w:ind w:left="360"/>
        <w:jc w:val="both"/>
        <w:rPr>
          <w:rFonts w:asciiTheme="minorHAnsi" w:hAnsiTheme="minorHAnsi"/>
          <w:sz w:val="22"/>
          <w:szCs w:val="22"/>
        </w:rPr>
      </w:pPr>
      <w:r w:rsidRPr="00E84532">
        <w:rPr>
          <w:rFonts w:asciiTheme="minorHAnsi" w:hAnsiTheme="minorHAnsi"/>
          <w:sz w:val="22"/>
          <w:szCs w:val="22"/>
        </w:rPr>
        <w:t>Vlerësimin dhe përcaktimin e kostove operative të lejuara;</w:t>
      </w:r>
    </w:p>
    <w:p w:rsidR="00E807F8" w:rsidRPr="00E84532" w:rsidRDefault="00E807F8" w:rsidP="00F23C29">
      <w:pPr>
        <w:numPr>
          <w:ilvl w:val="0"/>
          <w:numId w:val="5"/>
        </w:numPr>
        <w:tabs>
          <w:tab w:val="clear" w:pos="720"/>
          <w:tab w:val="num" w:pos="360"/>
        </w:tabs>
        <w:ind w:left="360"/>
        <w:jc w:val="both"/>
        <w:rPr>
          <w:rFonts w:asciiTheme="minorHAnsi" w:hAnsiTheme="minorHAnsi"/>
          <w:sz w:val="22"/>
          <w:szCs w:val="22"/>
        </w:rPr>
      </w:pPr>
      <w:r w:rsidRPr="00E84532">
        <w:rPr>
          <w:rFonts w:asciiTheme="minorHAnsi" w:hAnsiTheme="minorHAnsi"/>
          <w:sz w:val="22"/>
          <w:szCs w:val="22"/>
        </w:rPr>
        <w:t>Vlerësimin dhe përcaktimin e zhvlerësimit;</w:t>
      </w:r>
    </w:p>
    <w:p w:rsidR="00E807F8" w:rsidRPr="00E84532" w:rsidRDefault="00E807F8" w:rsidP="00F23C29">
      <w:pPr>
        <w:numPr>
          <w:ilvl w:val="0"/>
          <w:numId w:val="5"/>
        </w:numPr>
        <w:tabs>
          <w:tab w:val="clear" w:pos="720"/>
          <w:tab w:val="num" w:pos="360"/>
        </w:tabs>
        <w:ind w:left="360"/>
        <w:jc w:val="both"/>
        <w:rPr>
          <w:rFonts w:asciiTheme="minorHAnsi" w:hAnsiTheme="minorHAnsi"/>
          <w:sz w:val="22"/>
          <w:szCs w:val="22"/>
        </w:rPr>
      </w:pPr>
      <w:r w:rsidRPr="00E84532">
        <w:rPr>
          <w:rFonts w:asciiTheme="minorHAnsi" w:hAnsiTheme="minorHAnsi"/>
          <w:sz w:val="22"/>
          <w:szCs w:val="22"/>
        </w:rPr>
        <w:t>Përcaktimin e Kthimit të lejuar në RAB (</w:t>
      </w:r>
      <w:r w:rsidR="00F04799">
        <w:rPr>
          <w:rFonts w:asciiTheme="minorHAnsi" w:hAnsiTheme="minorHAnsi"/>
          <w:sz w:val="22"/>
          <w:szCs w:val="22"/>
        </w:rPr>
        <w:t>kthimit në investime</w:t>
      </w:r>
      <w:r w:rsidRPr="00E84532">
        <w:rPr>
          <w:rFonts w:asciiTheme="minorHAnsi" w:hAnsiTheme="minorHAnsi"/>
          <w:sz w:val="22"/>
          <w:szCs w:val="22"/>
        </w:rPr>
        <w:t>), i cili përfshin:</w:t>
      </w:r>
    </w:p>
    <w:p w:rsidR="00E807F8" w:rsidRPr="00E84532" w:rsidRDefault="00E807F8" w:rsidP="00E807F8">
      <w:pPr>
        <w:pStyle w:val="BodyTextIndent2"/>
        <w:ind w:left="720"/>
        <w:jc w:val="both"/>
        <w:rPr>
          <w:rFonts w:asciiTheme="minorHAnsi" w:hAnsiTheme="minorHAnsi"/>
          <w:lang w:val="sq-AL"/>
        </w:rPr>
      </w:pPr>
      <w:r w:rsidRPr="00E84532">
        <w:rPr>
          <w:rFonts w:asciiTheme="minorHAnsi" w:hAnsiTheme="minorHAnsi"/>
          <w:lang w:val="sq-AL"/>
        </w:rPr>
        <w:t xml:space="preserve">a) </w:t>
      </w:r>
      <w:r w:rsidRPr="00E84532">
        <w:rPr>
          <w:rFonts w:asciiTheme="minorHAnsi" w:hAnsiTheme="minorHAnsi"/>
          <w:lang w:val="sq-AL"/>
        </w:rPr>
        <w:tab/>
        <w:t>përcaktimin e RAB-it – vlerësimi dhe aprovimi i aseteve të kompanisë, verifikimi dhe aprovimi i investimeve të planifikuara dhe kapitali</w:t>
      </w:r>
      <w:r w:rsidR="006122E6">
        <w:rPr>
          <w:rFonts w:asciiTheme="minorHAnsi" w:hAnsiTheme="minorHAnsi"/>
          <w:lang w:val="sq-AL"/>
        </w:rPr>
        <w:t>t</w:t>
      </w:r>
      <w:r w:rsidRPr="00E84532">
        <w:rPr>
          <w:rFonts w:asciiTheme="minorHAnsi" w:hAnsiTheme="minorHAnsi"/>
          <w:lang w:val="sq-AL"/>
        </w:rPr>
        <w:t xml:space="preserve"> punues; dhe  </w:t>
      </w:r>
    </w:p>
    <w:p w:rsidR="00E807F8" w:rsidRPr="00E84532" w:rsidRDefault="00E807F8" w:rsidP="00F23C29">
      <w:pPr>
        <w:numPr>
          <w:ilvl w:val="1"/>
          <w:numId w:val="5"/>
        </w:numPr>
        <w:tabs>
          <w:tab w:val="clear" w:pos="1440"/>
        </w:tabs>
        <w:ind w:left="720"/>
        <w:jc w:val="both"/>
        <w:rPr>
          <w:rFonts w:asciiTheme="minorHAnsi" w:hAnsiTheme="minorHAnsi"/>
          <w:sz w:val="22"/>
          <w:szCs w:val="22"/>
        </w:rPr>
      </w:pPr>
      <w:r w:rsidRPr="00E84532">
        <w:rPr>
          <w:rFonts w:asciiTheme="minorHAnsi" w:hAnsiTheme="minorHAnsi"/>
          <w:sz w:val="22"/>
          <w:szCs w:val="22"/>
        </w:rPr>
        <w:t>llogaritjen e Normës së kthimit të lejuar (RoR)/ WACC;</w:t>
      </w:r>
    </w:p>
    <w:p w:rsidR="00E807F8" w:rsidRPr="00E84532" w:rsidRDefault="00E807F8" w:rsidP="00F23C29">
      <w:pPr>
        <w:pStyle w:val="ListParagraph"/>
        <w:numPr>
          <w:ilvl w:val="0"/>
          <w:numId w:val="5"/>
        </w:numPr>
        <w:tabs>
          <w:tab w:val="clear" w:pos="720"/>
          <w:tab w:val="num" w:pos="360"/>
        </w:tabs>
        <w:ind w:left="360"/>
        <w:contextualSpacing w:val="0"/>
        <w:jc w:val="both"/>
        <w:rPr>
          <w:rFonts w:asciiTheme="minorHAnsi" w:hAnsiTheme="minorHAnsi"/>
          <w:sz w:val="22"/>
          <w:szCs w:val="22"/>
        </w:rPr>
      </w:pPr>
      <w:r w:rsidRPr="00E84532">
        <w:rPr>
          <w:rFonts w:asciiTheme="minorHAnsi" w:hAnsiTheme="minorHAnsi"/>
          <w:sz w:val="22"/>
          <w:szCs w:val="22"/>
        </w:rPr>
        <w:t>Vlerësimin dhe përcaktimin e kostos së lejuar për humbjet në rrjet.</w:t>
      </w:r>
    </w:p>
    <w:p w:rsidR="00E807F8" w:rsidRPr="00E84532" w:rsidRDefault="00E807F8" w:rsidP="00E807F8">
      <w:pPr>
        <w:jc w:val="both"/>
        <w:rPr>
          <w:rFonts w:asciiTheme="minorHAnsi" w:hAnsiTheme="minorHAnsi"/>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Në përcaktimin e të Hyrave të lejuara, ZRRE ka marrë parasysh sa vijon:</w:t>
      </w:r>
    </w:p>
    <w:p w:rsidR="00E807F8" w:rsidRPr="00E84532" w:rsidRDefault="00E807F8" w:rsidP="00E807F8">
      <w:pPr>
        <w:jc w:val="both"/>
        <w:rPr>
          <w:rFonts w:asciiTheme="minorHAnsi" w:hAnsiTheme="minorHAnsi"/>
          <w:sz w:val="22"/>
          <w:szCs w:val="22"/>
        </w:rPr>
      </w:pPr>
    </w:p>
    <w:p w:rsidR="00E807F8" w:rsidRPr="00E84532" w:rsidRDefault="00E807F8" w:rsidP="00E807F8">
      <w:pPr>
        <w:ind w:left="360" w:hanging="360"/>
        <w:jc w:val="both"/>
        <w:rPr>
          <w:rFonts w:asciiTheme="minorHAnsi" w:hAnsiTheme="minorHAnsi"/>
          <w:sz w:val="22"/>
          <w:szCs w:val="22"/>
        </w:rPr>
      </w:pPr>
      <w:r w:rsidRPr="00E84532">
        <w:rPr>
          <w:rFonts w:asciiTheme="minorHAnsi" w:hAnsiTheme="minorHAnsi"/>
          <w:sz w:val="22"/>
          <w:szCs w:val="22"/>
        </w:rPr>
        <w:t xml:space="preserve">- </w:t>
      </w:r>
      <w:r w:rsidRPr="00E84532">
        <w:rPr>
          <w:rFonts w:asciiTheme="minorHAnsi" w:hAnsiTheme="minorHAnsi"/>
          <w:sz w:val="22"/>
          <w:szCs w:val="22"/>
        </w:rPr>
        <w:tab/>
        <w:t>Informatat e ofruara nga NQ Termokosi në aplikacionin e tij për tar</w:t>
      </w:r>
      <w:r w:rsidR="00DB27D8">
        <w:rPr>
          <w:rFonts w:asciiTheme="minorHAnsi" w:hAnsiTheme="minorHAnsi"/>
          <w:sz w:val="22"/>
          <w:szCs w:val="22"/>
        </w:rPr>
        <w:t>ifat për sezonin e ngrohjes 20</w:t>
      </w:r>
      <w:r w:rsidR="001D2483">
        <w:rPr>
          <w:rFonts w:asciiTheme="minorHAnsi" w:hAnsiTheme="minorHAnsi"/>
          <w:sz w:val="22"/>
          <w:szCs w:val="22"/>
        </w:rPr>
        <w:t>20</w:t>
      </w:r>
      <w:r w:rsidRPr="00E84532">
        <w:rPr>
          <w:rFonts w:asciiTheme="minorHAnsi" w:hAnsiTheme="minorHAnsi"/>
          <w:sz w:val="22"/>
          <w:szCs w:val="22"/>
        </w:rPr>
        <w:t>/20</w:t>
      </w:r>
      <w:r w:rsidR="00DB27D8">
        <w:rPr>
          <w:rFonts w:asciiTheme="minorHAnsi" w:hAnsiTheme="minorHAnsi"/>
          <w:sz w:val="22"/>
          <w:szCs w:val="22"/>
        </w:rPr>
        <w:t>2</w:t>
      </w:r>
      <w:r w:rsidR="001D2483">
        <w:rPr>
          <w:rFonts w:asciiTheme="minorHAnsi" w:hAnsiTheme="minorHAnsi"/>
          <w:sz w:val="22"/>
          <w:szCs w:val="22"/>
        </w:rPr>
        <w:t>1</w:t>
      </w:r>
      <w:r w:rsidRPr="00E84532">
        <w:rPr>
          <w:rFonts w:asciiTheme="minorHAnsi" w:hAnsiTheme="minorHAnsi"/>
          <w:sz w:val="22"/>
          <w:szCs w:val="22"/>
        </w:rPr>
        <w:t xml:space="preserve"> – informatën rreth të ardhurave të parashikuara nga shitja e ngrohjes dhe nga shërbimet e tjera të ndërlidhura, kostot e parashikuara totale, asetet dhe investimet e planifikuara, prodhimin dhe furnizimin e parashikuar të ngrohjes, si dhe sipërfaqen ngrohëse të parashikuar;</w:t>
      </w:r>
    </w:p>
    <w:p w:rsidR="00E807F8" w:rsidRPr="00E84532" w:rsidRDefault="00E807F8" w:rsidP="00F23C29">
      <w:pPr>
        <w:numPr>
          <w:ilvl w:val="0"/>
          <w:numId w:val="6"/>
        </w:numPr>
        <w:ind w:left="360"/>
        <w:jc w:val="both"/>
        <w:rPr>
          <w:rFonts w:asciiTheme="minorHAnsi" w:hAnsiTheme="minorHAnsi"/>
          <w:sz w:val="22"/>
          <w:szCs w:val="22"/>
        </w:rPr>
      </w:pPr>
      <w:r w:rsidRPr="00E84532">
        <w:rPr>
          <w:rFonts w:asciiTheme="minorHAnsi" w:hAnsiTheme="minorHAnsi"/>
          <w:sz w:val="22"/>
          <w:szCs w:val="22"/>
        </w:rPr>
        <w:t>Informatat e ofruara nga NQ Termokosi gjatë raportimit rregullativ – shpenzimet dhe të ardhurat, asetet/ investimet, si edhe informatat teknike dhe për konsumatorë të cilat faktikisht janë realizuar në sezonin e kaluar 20</w:t>
      </w:r>
      <w:r w:rsidR="001D2483">
        <w:rPr>
          <w:rFonts w:asciiTheme="minorHAnsi" w:hAnsiTheme="minorHAnsi"/>
          <w:sz w:val="22"/>
          <w:szCs w:val="22"/>
        </w:rPr>
        <w:t>19</w:t>
      </w:r>
      <w:r w:rsidRPr="00E84532">
        <w:rPr>
          <w:rFonts w:asciiTheme="minorHAnsi" w:hAnsiTheme="minorHAnsi"/>
          <w:sz w:val="22"/>
          <w:szCs w:val="22"/>
        </w:rPr>
        <w:t>/20</w:t>
      </w:r>
      <w:r w:rsidR="001D2483">
        <w:rPr>
          <w:rFonts w:asciiTheme="minorHAnsi" w:hAnsiTheme="minorHAnsi"/>
          <w:sz w:val="22"/>
          <w:szCs w:val="22"/>
        </w:rPr>
        <w:t>20</w:t>
      </w:r>
      <w:r w:rsidRPr="00E84532">
        <w:rPr>
          <w:rFonts w:asciiTheme="minorHAnsi" w:hAnsiTheme="minorHAnsi"/>
          <w:sz w:val="22"/>
          <w:szCs w:val="22"/>
        </w:rPr>
        <w:t>;</w:t>
      </w:r>
    </w:p>
    <w:p w:rsidR="00E807F8" w:rsidRPr="00E84532" w:rsidRDefault="00E807F8" w:rsidP="00F23C29">
      <w:pPr>
        <w:numPr>
          <w:ilvl w:val="0"/>
          <w:numId w:val="6"/>
        </w:numPr>
        <w:ind w:left="360"/>
        <w:jc w:val="both"/>
        <w:rPr>
          <w:rFonts w:asciiTheme="minorHAnsi" w:hAnsiTheme="minorHAnsi"/>
          <w:sz w:val="22"/>
          <w:szCs w:val="22"/>
        </w:rPr>
      </w:pPr>
      <w:r w:rsidRPr="00E84532">
        <w:rPr>
          <w:rFonts w:asciiTheme="minorHAnsi" w:hAnsiTheme="minorHAnsi"/>
          <w:sz w:val="22"/>
          <w:szCs w:val="22"/>
        </w:rPr>
        <w:t xml:space="preserve">Informatat që ZRRE i ka siguruar nga shqyrtimet tarifore dhe monitorimet e realizimeve dhe performancës të </w:t>
      </w:r>
      <w:r w:rsidR="00F02724" w:rsidRPr="00E84532">
        <w:rPr>
          <w:rFonts w:asciiTheme="minorHAnsi" w:hAnsiTheme="minorHAnsi"/>
          <w:sz w:val="22"/>
          <w:szCs w:val="22"/>
        </w:rPr>
        <w:t>sezoneve</w:t>
      </w:r>
      <w:r w:rsidRPr="00E84532">
        <w:rPr>
          <w:rFonts w:asciiTheme="minorHAnsi" w:hAnsiTheme="minorHAnsi"/>
          <w:sz w:val="22"/>
          <w:szCs w:val="22"/>
        </w:rPr>
        <w:t xml:space="preserve"> / viteve të kaluara.</w:t>
      </w:r>
    </w:p>
    <w:p w:rsidR="003A13BC" w:rsidRDefault="003A13BC" w:rsidP="00E807F8">
      <w:pPr>
        <w:jc w:val="both"/>
        <w:rPr>
          <w:rFonts w:asciiTheme="minorHAnsi" w:hAnsiTheme="minorHAnsi"/>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lastRenderedPageBreak/>
        <w:t>Duke e ditur se informatat e parashikuara janë thelbësore për përcaktimin e të Hyrave të lejuara, këto do të duhej të ishin të besueshme dhe reale. Përgjithësisht, në parashikimin / planifikimin e biznesit do të duhej të kemi qasje reale të përc</w:t>
      </w:r>
      <w:r w:rsidR="00F02724">
        <w:rPr>
          <w:rFonts w:asciiTheme="minorHAnsi" w:hAnsiTheme="minorHAnsi"/>
          <w:sz w:val="22"/>
          <w:szCs w:val="22"/>
        </w:rPr>
        <w:t>j</w:t>
      </w:r>
      <w:r w:rsidRPr="00E84532">
        <w:rPr>
          <w:rFonts w:asciiTheme="minorHAnsi" w:hAnsiTheme="minorHAnsi"/>
          <w:sz w:val="22"/>
          <w:szCs w:val="22"/>
        </w:rPr>
        <w:t>ellur me vlerësim të hollësishëm të faktorëve të shumtë që ndikojnë në biznes; p.sh., vlerësimi i tregut dhe parashikimi i zgjerimit të bazës së konsumatorëve, vlerësimi i prodhimit / mundësitë e furnizimit dhe mundësitë financiare të kompanisë. Natyrisht, parashikimi/planifikimi i drejtë duhet të bazohet në të dhënat që kompania i ka realizuar në të kaluarën gjatë një periudhe të caktuar.</w:t>
      </w: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 xml:space="preserve">   </w:t>
      </w: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 xml:space="preserve">Duhet cekur këtu se, aplikacioni për tarifa i NQ Termokos ka qenë mjaft i detajuar dhe i kompletuar. Megjithatë, në disa nga të dhënat dhe informatat që ka përmbajtur aplikacioni janë vërejtur pasaktësi, mos-përputhje dhe jo-konsistencë, të cilat janë përmirësuar sqaruar dhe plotësuar pas komenteve të ZRRE-së dhe takimeve të përbashkëta ZRRE-NQ Termokos. </w:t>
      </w:r>
    </w:p>
    <w:p w:rsidR="00E807F8" w:rsidRPr="00E84532" w:rsidRDefault="00E807F8" w:rsidP="00E807F8">
      <w:pPr>
        <w:jc w:val="both"/>
        <w:rPr>
          <w:rFonts w:asciiTheme="minorHAnsi" w:hAnsiTheme="minorHAnsi"/>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Në fakt, sa i përket informatave të parashikuara (siç është përcaktuar në Shtojcën 4 të Rregullës për Vendosjen e Çmimeve të Energjisë Termike, NQ Termokosi i ka dorëzuar ZRRE-së pasqyrat/tabelat që përshijnë të ardhurat dhe kostot e parashikuara, të dhëna teknike dhe të konsumatorëve, asetet operative dhe investimet e parashikuara, për periudhën një vjeçare që mbulon</w:t>
      </w:r>
      <w:r w:rsidR="00DB27D8">
        <w:rPr>
          <w:rFonts w:asciiTheme="minorHAnsi" w:hAnsiTheme="minorHAnsi"/>
          <w:sz w:val="22"/>
          <w:szCs w:val="22"/>
        </w:rPr>
        <w:t xml:space="preserve"> plotësisht sezonin e ngrohjes – periudha: </w:t>
      </w:r>
      <w:r w:rsidRPr="00E84532">
        <w:rPr>
          <w:rFonts w:asciiTheme="minorHAnsi" w:hAnsiTheme="minorHAnsi"/>
          <w:sz w:val="22"/>
          <w:szCs w:val="22"/>
        </w:rPr>
        <w:t>15 tetor 20</w:t>
      </w:r>
      <w:r w:rsidR="001D2483">
        <w:rPr>
          <w:rFonts w:asciiTheme="minorHAnsi" w:hAnsiTheme="minorHAnsi"/>
          <w:sz w:val="22"/>
          <w:szCs w:val="22"/>
        </w:rPr>
        <w:t>20</w:t>
      </w:r>
      <w:r w:rsidRPr="00E84532">
        <w:rPr>
          <w:rFonts w:asciiTheme="minorHAnsi" w:hAnsiTheme="minorHAnsi"/>
          <w:sz w:val="22"/>
          <w:szCs w:val="22"/>
        </w:rPr>
        <w:t xml:space="preserve"> – 14 tetor 20</w:t>
      </w:r>
      <w:r w:rsidR="001D2483">
        <w:rPr>
          <w:rFonts w:asciiTheme="minorHAnsi" w:hAnsiTheme="minorHAnsi"/>
          <w:sz w:val="22"/>
          <w:szCs w:val="22"/>
        </w:rPr>
        <w:t>21</w:t>
      </w:r>
      <w:r w:rsidRPr="00E84532">
        <w:rPr>
          <w:rFonts w:asciiTheme="minorHAnsi" w:hAnsiTheme="minorHAnsi"/>
          <w:sz w:val="22"/>
          <w:szCs w:val="22"/>
        </w:rPr>
        <w:t>. Ndërsa si dokumente mbështetëse ka dorëzuar: i) Raportin e auditorit dhe Pasqyrat financiare statusore për vitin 201</w:t>
      </w:r>
      <w:r w:rsidR="001D2483">
        <w:rPr>
          <w:rFonts w:asciiTheme="minorHAnsi" w:hAnsiTheme="minorHAnsi"/>
          <w:sz w:val="22"/>
          <w:szCs w:val="22"/>
        </w:rPr>
        <w:t>9</w:t>
      </w:r>
      <w:r w:rsidRPr="00E84532">
        <w:rPr>
          <w:rFonts w:asciiTheme="minorHAnsi" w:hAnsiTheme="minorHAnsi"/>
          <w:sz w:val="22"/>
          <w:szCs w:val="22"/>
        </w:rPr>
        <w:t xml:space="preserve">; ii) </w:t>
      </w:r>
      <w:r w:rsidRPr="00E84532">
        <w:rPr>
          <w:rFonts w:asciiTheme="minorHAnsi" w:hAnsiTheme="minorHAnsi"/>
          <w:bCs/>
          <w:sz w:val="22"/>
          <w:szCs w:val="22"/>
        </w:rPr>
        <w:t>Matjet e konsumit të regjistruara në sezonin e kaluar sipas Listës së nënstacioneve - të dhënat për sipërfaqet ngrohëse dhe kapacitetet përkatëse, si dhe të dhënat tjera teknike</w:t>
      </w:r>
      <w:r w:rsidRPr="00E84532">
        <w:rPr>
          <w:rFonts w:asciiTheme="minorHAnsi" w:hAnsiTheme="minorHAnsi"/>
          <w:sz w:val="22"/>
          <w:szCs w:val="22"/>
        </w:rPr>
        <w:t xml:space="preserve">; ii) </w:t>
      </w:r>
      <w:r w:rsidRPr="00E84532">
        <w:rPr>
          <w:rFonts w:asciiTheme="minorHAnsi" w:hAnsiTheme="minorHAnsi"/>
          <w:bCs/>
          <w:sz w:val="22"/>
          <w:szCs w:val="22"/>
        </w:rPr>
        <w:t xml:space="preserve">Listën e aseteve – të dhënat detale për asetet fikse ku janë dhënë vlera fillestare (e blerjes), zhvlerësimi i akumuluar dhe vlera e tanishme e aseteve (e dorëzuar </w:t>
      </w:r>
      <w:r w:rsidRPr="00E84532">
        <w:rPr>
          <w:rFonts w:asciiTheme="minorHAnsi" w:hAnsiTheme="minorHAnsi"/>
          <w:sz w:val="22"/>
          <w:szCs w:val="22"/>
        </w:rPr>
        <w:t>në raportimet e rregullta vjetore/sezonale); iii) Planifikimet e Investimeve në periudhë një</w:t>
      </w:r>
      <w:r w:rsidR="001D2483">
        <w:rPr>
          <w:rFonts w:asciiTheme="minorHAnsi" w:hAnsiTheme="minorHAnsi"/>
          <w:sz w:val="22"/>
          <w:szCs w:val="22"/>
        </w:rPr>
        <w:t>vjeçare që përfshinë sezonin 2020</w:t>
      </w:r>
      <w:r w:rsidRPr="00E84532">
        <w:rPr>
          <w:rFonts w:asciiTheme="minorHAnsi" w:hAnsiTheme="minorHAnsi"/>
          <w:sz w:val="22"/>
          <w:szCs w:val="22"/>
        </w:rPr>
        <w:t>/</w:t>
      </w:r>
      <w:r w:rsidR="00DB27D8">
        <w:rPr>
          <w:rFonts w:asciiTheme="minorHAnsi" w:hAnsiTheme="minorHAnsi"/>
          <w:sz w:val="22"/>
          <w:szCs w:val="22"/>
        </w:rPr>
        <w:t>2</w:t>
      </w:r>
      <w:r w:rsidR="001D2483">
        <w:rPr>
          <w:rFonts w:asciiTheme="minorHAnsi" w:hAnsiTheme="minorHAnsi"/>
          <w:sz w:val="22"/>
          <w:szCs w:val="22"/>
        </w:rPr>
        <w:t>1</w:t>
      </w:r>
      <w:r w:rsidRPr="00E84532">
        <w:rPr>
          <w:rFonts w:asciiTheme="minorHAnsi" w:hAnsiTheme="minorHAnsi"/>
          <w:sz w:val="22"/>
          <w:szCs w:val="22"/>
        </w:rPr>
        <w:t>; iv) Planifikimet për kyçjet e reja për sezonin 20</w:t>
      </w:r>
      <w:r w:rsidR="001D2483">
        <w:rPr>
          <w:rFonts w:asciiTheme="minorHAnsi" w:hAnsiTheme="minorHAnsi"/>
          <w:sz w:val="22"/>
          <w:szCs w:val="22"/>
        </w:rPr>
        <w:t>20</w:t>
      </w:r>
      <w:r w:rsidRPr="00E84532">
        <w:rPr>
          <w:rFonts w:asciiTheme="minorHAnsi" w:hAnsiTheme="minorHAnsi"/>
          <w:sz w:val="22"/>
          <w:szCs w:val="22"/>
        </w:rPr>
        <w:t>/20</w:t>
      </w:r>
      <w:r w:rsidR="00DB27D8">
        <w:rPr>
          <w:rFonts w:asciiTheme="minorHAnsi" w:hAnsiTheme="minorHAnsi"/>
          <w:sz w:val="22"/>
          <w:szCs w:val="22"/>
        </w:rPr>
        <w:t>2</w:t>
      </w:r>
      <w:r w:rsidR="001D2483">
        <w:rPr>
          <w:rFonts w:asciiTheme="minorHAnsi" w:hAnsiTheme="minorHAnsi"/>
          <w:sz w:val="22"/>
          <w:szCs w:val="22"/>
        </w:rPr>
        <w:t>1</w:t>
      </w:r>
      <w:r w:rsidRPr="00E84532">
        <w:rPr>
          <w:rFonts w:asciiTheme="minorHAnsi" w:hAnsiTheme="minorHAnsi"/>
          <w:sz w:val="22"/>
          <w:szCs w:val="22"/>
        </w:rPr>
        <w:t xml:space="preserve">; v) Planifikimet për faturimin e konsumatorëve bazuar në furnizimin / konsumin e matur; vi) Matjet e regjistruara për energjinë termike të prodhuar nga kogjenerimi (dorëzuar në raportimet e rregullta vjetore/sezonale; dhe vii) </w:t>
      </w:r>
      <w:r w:rsidRPr="00E84532">
        <w:rPr>
          <w:rFonts w:asciiTheme="minorHAnsi" w:hAnsiTheme="minorHAnsi"/>
          <w:bCs/>
          <w:sz w:val="22"/>
          <w:szCs w:val="22"/>
        </w:rPr>
        <w:t>Të dhëna të parashikuara për faturimin e konsumatorëve</w:t>
      </w:r>
      <w:r w:rsidR="008F5B59">
        <w:rPr>
          <w:rFonts w:asciiTheme="minorHAnsi" w:hAnsiTheme="minorHAnsi"/>
          <w:bCs/>
          <w:sz w:val="22"/>
          <w:szCs w:val="22"/>
        </w:rPr>
        <w:t xml:space="preserve"> 20</w:t>
      </w:r>
      <w:r w:rsidR="001D2483">
        <w:rPr>
          <w:rFonts w:asciiTheme="minorHAnsi" w:hAnsiTheme="minorHAnsi"/>
          <w:bCs/>
          <w:sz w:val="22"/>
          <w:szCs w:val="22"/>
        </w:rPr>
        <w:t>20</w:t>
      </w:r>
      <w:r w:rsidR="008F5B59">
        <w:rPr>
          <w:rFonts w:asciiTheme="minorHAnsi" w:hAnsiTheme="minorHAnsi"/>
          <w:bCs/>
          <w:sz w:val="22"/>
          <w:szCs w:val="22"/>
        </w:rPr>
        <w:t>/202</w:t>
      </w:r>
      <w:r w:rsidR="001D2483">
        <w:rPr>
          <w:rFonts w:asciiTheme="minorHAnsi" w:hAnsiTheme="minorHAnsi"/>
          <w:bCs/>
          <w:sz w:val="22"/>
          <w:szCs w:val="22"/>
        </w:rPr>
        <w:t>1</w:t>
      </w:r>
      <w:r w:rsidRPr="00E84532">
        <w:rPr>
          <w:rFonts w:asciiTheme="minorHAnsi" w:hAnsiTheme="minorHAnsi"/>
          <w:bCs/>
          <w:sz w:val="22"/>
          <w:szCs w:val="22"/>
        </w:rPr>
        <w:t xml:space="preserve"> bazuar në </w:t>
      </w:r>
      <w:r w:rsidR="008F5B59">
        <w:rPr>
          <w:rFonts w:asciiTheme="minorHAnsi" w:hAnsiTheme="minorHAnsi"/>
          <w:bCs/>
          <w:sz w:val="22"/>
          <w:szCs w:val="22"/>
        </w:rPr>
        <w:t xml:space="preserve">realizimet </w:t>
      </w:r>
      <w:r w:rsidR="001D2483">
        <w:rPr>
          <w:rFonts w:asciiTheme="minorHAnsi" w:hAnsiTheme="minorHAnsi"/>
          <w:bCs/>
          <w:sz w:val="22"/>
          <w:szCs w:val="22"/>
        </w:rPr>
        <w:t>-</w:t>
      </w:r>
      <w:r w:rsidR="00C70463">
        <w:rPr>
          <w:rFonts w:asciiTheme="minorHAnsi" w:hAnsiTheme="minorHAnsi"/>
          <w:bCs/>
          <w:sz w:val="22"/>
          <w:szCs w:val="22"/>
        </w:rPr>
        <w:t xml:space="preserve"> </w:t>
      </w:r>
      <w:r w:rsidRPr="00E84532">
        <w:rPr>
          <w:rFonts w:asciiTheme="minorHAnsi" w:hAnsiTheme="minorHAnsi"/>
          <w:bCs/>
          <w:sz w:val="22"/>
          <w:szCs w:val="22"/>
        </w:rPr>
        <w:t>matjen e konsumit dhe sipërfaqen ngrohëse të konsumatorëve në sezonin e kaluar 201</w:t>
      </w:r>
      <w:r w:rsidR="00520A4D">
        <w:rPr>
          <w:rFonts w:asciiTheme="minorHAnsi" w:hAnsiTheme="minorHAnsi"/>
          <w:bCs/>
          <w:sz w:val="22"/>
          <w:szCs w:val="22"/>
        </w:rPr>
        <w:t>8</w:t>
      </w:r>
      <w:r w:rsidRPr="00E84532">
        <w:rPr>
          <w:rFonts w:asciiTheme="minorHAnsi" w:hAnsiTheme="minorHAnsi"/>
          <w:bCs/>
          <w:sz w:val="22"/>
          <w:szCs w:val="22"/>
        </w:rPr>
        <w:t>/201</w:t>
      </w:r>
      <w:r w:rsidR="00520A4D">
        <w:rPr>
          <w:rFonts w:asciiTheme="minorHAnsi" w:hAnsiTheme="minorHAnsi"/>
          <w:bCs/>
          <w:sz w:val="22"/>
          <w:szCs w:val="22"/>
        </w:rPr>
        <w:t>9</w:t>
      </w:r>
      <w:r w:rsidR="001D2483">
        <w:rPr>
          <w:rFonts w:asciiTheme="minorHAnsi" w:hAnsiTheme="minorHAnsi"/>
          <w:bCs/>
          <w:sz w:val="22"/>
          <w:szCs w:val="22"/>
        </w:rPr>
        <w:t>, si dhe planifikimet e kyçjeve të reja respektivisht zgjerimit të sipërfaqes ngrohëse të konsumatorëve</w:t>
      </w:r>
      <w:r w:rsidRPr="00E84532">
        <w:rPr>
          <w:rFonts w:asciiTheme="minorHAnsi" w:hAnsiTheme="minorHAnsi"/>
          <w:bCs/>
          <w:szCs w:val="22"/>
        </w:rPr>
        <w:t>.</w:t>
      </w:r>
      <w:r w:rsidRPr="00E84532">
        <w:rPr>
          <w:rFonts w:asciiTheme="minorHAnsi" w:hAnsiTheme="minorHAnsi"/>
          <w:sz w:val="22"/>
          <w:szCs w:val="22"/>
        </w:rPr>
        <w:t xml:space="preserve"> </w:t>
      </w:r>
    </w:p>
    <w:p w:rsidR="00E807F8" w:rsidRPr="00E84532" w:rsidRDefault="00E807F8" w:rsidP="00E807F8">
      <w:pPr>
        <w:jc w:val="both"/>
        <w:rPr>
          <w:rFonts w:asciiTheme="minorHAnsi" w:hAnsiTheme="minorHAnsi"/>
          <w:sz w:val="22"/>
          <w:szCs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ZRRE-ja ka bërë përpjekje dhe ka angazhuar ekspertizën në dispozicion për të bërë një vlerësim sa më real të informatave të parashikuara të dorëzuara nga ana e Termokosit. Është bërë një analizë gjithëpërfshirëse dhe vlerësim i informatave të paraqitura, që është përcjellur me krahasimin e të dhënave respektive nga sezonet e kaluara, me qëllim që të bëhet përcaktimi (parashikimi) i saktë i të hyrave të lejuara për sezonin 20</w:t>
      </w:r>
      <w:r w:rsidR="001D2483">
        <w:rPr>
          <w:rFonts w:asciiTheme="minorHAnsi" w:hAnsiTheme="minorHAnsi"/>
          <w:sz w:val="22"/>
        </w:rPr>
        <w:t>20</w:t>
      </w:r>
      <w:r w:rsidRPr="00E84532">
        <w:rPr>
          <w:rFonts w:asciiTheme="minorHAnsi" w:hAnsiTheme="minorHAnsi"/>
          <w:sz w:val="22"/>
        </w:rPr>
        <w:t>/20</w:t>
      </w:r>
      <w:r w:rsidR="00520A4D">
        <w:rPr>
          <w:rFonts w:asciiTheme="minorHAnsi" w:hAnsiTheme="minorHAnsi"/>
          <w:sz w:val="22"/>
        </w:rPr>
        <w:t>2</w:t>
      </w:r>
      <w:r w:rsidR="001D2483">
        <w:rPr>
          <w:rFonts w:asciiTheme="minorHAnsi" w:hAnsiTheme="minorHAnsi"/>
          <w:sz w:val="22"/>
        </w:rPr>
        <w:t>1</w:t>
      </w:r>
      <w:r w:rsidRPr="00E84532">
        <w:rPr>
          <w:rFonts w:asciiTheme="minorHAnsi" w:hAnsiTheme="minorHAnsi"/>
          <w:sz w:val="22"/>
        </w:rPr>
        <w:t xml:space="preserve">. </w:t>
      </w:r>
    </w:p>
    <w:p w:rsidR="00E807F8" w:rsidRPr="00F53E76" w:rsidRDefault="00E807F8" w:rsidP="004D35CB">
      <w:pPr>
        <w:pStyle w:val="Heading2"/>
        <w:numPr>
          <w:ilvl w:val="0"/>
          <w:numId w:val="0"/>
        </w:numPr>
        <w:spacing w:after="120"/>
        <w:ind w:left="720"/>
      </w:pPr>
    </w:p>
    <w:p w:rsidR="00E807F8" w:rsidRPr="00080A99" w:rsidRDefault="00E807F8" w:rsidP="00F53E76">
      <w:pPr>
        <w:pStyle w:val="Heading2"/>
        <w:rPr>
          <w:color w:val="000000" w:themeColor="text1"/>
        </w:rPr>
      </w:pPr>
      <w:bookmarkStart w:id="25" w:name="_Toc339538663"/>
      <w:bookmarkStart w:id="26" w:name="_Toc339539118"/>
      <w:bookmarkStart w:id="27" w:name="_Toc21513545"/>
      <w:bookmarkStart w:id="28" w:name="_Toc21514368"/>
      <w:bookmarkStart w:id="29" w:name="_Toc21514852"/>
      <w:bookmarkStart w:id="30" w:name="_Toc21515552"/>
      <w:bookmarkStart w:id="31" w:name="_Toc21521375"/>
      <w:r w:rsidRPr="00080A99">
        <w:rPr>
          <w:color w:val="000000" w:themeColor="text1"/>
        </w:rPr>
        <w:t>Vlerësimi dhe përcaktimi i kostove operative të lejuara</w:t>
      </w:r>
      <w:bookmarkEnd w:id="25"/>
      <w:bookmarkEnd w:id="26"/>
      <w:bookmarkEnd w:id="27"/>
      <w:bookmarkEnd w:id="28"/>
      <w:bookmarkEnd w:id="29"/>
      <w:bookmarkEnd w:id="30"/>
      <w:bookmarkEnd w:id="31"/>
    </w:p>
    <w:p w:rsidR="00E807F8" w:rsidRPr="00E84532" w:rsidRDefault="00E807F8" w:rsidP="00E807F8">
      <w:pPr>
        <w:jc w:val="both"/>
        <w:rPr>
          <w:rFonts w:asciiTheme="minorHAnsi" w:hAnsiTheme="minorHAnsi"/>
          <w:b/>
          <w:bCs/>
          <w:sz w:val="22"/>
        </w:rPr>
      </w:pPr>
    </w:p>
    <w:p w:rsidR="00E807F8" w:rsidRPr="00E84532" w:rsidRDefault="00E807F8" w:rsidP="00E807F8">
      <w:pPr>
        <w:jc w:val="both"/>
        <w:rPr>
          <w:rFonts w:asciiTheme="minorHAnsi" w:hAnsiTheme="minorHAnsi"/>
          <w:bCs/>
          <w:sz w:val="22"/>
        </w:rPr>
      </w:pPr>
      <w:r w:rsidRPr="00E84532">
        <w:rPr>
          <w:rFonts w:asciiTheme="minorHAnsi" w:hAnsiTheme="minorHAnsi"/>
          <w:bCs/>
          <w:sz w:val="22"/>
        </w:rPr>
        <w:t>Planifikimet për kostot opera</w:t>
      </w:r>
      <w:r w:rsidR="008E09B3">
        <w:rPr>
          <w:rFonts w:asciiTheme="minorHAnsi" w:hAnsiTheme="minorHAnsi"/>
          <w:bCs/>
          <w:sz w:val="22"/>
        </w:rPr>
        <w:t>tive</w:t>
      </w:r>
      <w:r w:rsidRPr="00E84532">
        <w:rPr>
          <w:rFonts w:asciiTheme="minorHAnsi" w:hAnsiTheme="minorHAnsi"/>
          <w:bCs/>
          <w:sz w:val="22"/>
        </w:rPr>
        <w:t xml:space="preserve"> të dorëzuara nga ana e NQ Termokosi për periudhën 15 tetor 20</w:t>
      </w:r>
      <w:r w:rsidR="003A13BC">
        <w:rPr>
          <w:rFonts w:asciiTheme="minorHAnsi" w:hAnsiTheme="minorHAnsi"/>
          <w:bCs/>
          <w:sz w:val="22"/>
        </w:rPr>
        <w:t>20</w:t>
      </w:r>
      <w:r w:rsidRPr="00E84532">
        <w:rPr>
          <w:rFonts w:asciiTheme="minorHAnsi" w:hAnsiTheme="minorHAnsi"/>
          <w:bCs/>
          <w:sz w:val="22"/>
        </w:rPr>
        <w:t xml:space="preserve"> – 14 tetor 20</w:t>
      </w:r>
      <w:r w:rsidR="00520A4D">
        <w:rPr>
          <w:rFonts w:asciiTheme="minorHAnsi" w:hAnsiTheme="minorHAnsi"/>
          <w:bCs/>
          <w:sz w:val="22"/>
        </w:rPr>
        <w:t>2</w:t>
      </w:r>
      <w:r w:rsidR="003A13BC">
        <w:rPr>
          <w:rFonts w:asciiTheme="minorHAnsi" w:hAnsiTheme="minorHAnsi"/>
          <w:bCs/>
          <w:sz w:val="22"/>
        </w:rPr>
        <w:t>1</w:t>
      </w:r>
      <w:r w:rsidRPr="00E84532">
        <w:rPr>
          <w:rFonts w:asciiTheme="minorHAnsi" w:hAnsiTheme="minorHAnsi"/>
          <w:bCs/>
          <w:sz w:val="22"/>
        </w:rPr>
        <w:t>, periudhë kjo që mbulon gjithë sezonin e ngrohjes 20</w:t>
      </w:r>
      <w:r w:rsidR="003A13BC">
        <w:rPr>
          <w:rFonts w:asciiTheme="minorHAnsi" w:hAnsiTheme="minorHAnsi"/>
          <w:bCs/>
          <w:sz w:val="22"/>
        </w:rPr>
        <w:t>20</w:t>
      </w:r>
      <w:r w:rsidRPr="00E84532">
        <w:rPr>
          <w:rFonts w:asciiTheme="minorHAnsi" w:hAnsiTheme="minorHAnsi"/>
          <w:bCs/>
          <w:sz w:val="22"/>
        </w:rPr>
        <w:t>/20</w:t>
      </w:r>
      <w:r w:rsidR="00520A4D">
        <w:rPr>
          <w:rFonts w:asciiTheme="minorHAnsi" w:hAnsiTheme="minorHAnsi"/>
          <w:bCs/>
          <w:sz w:val="22"/>
        </w:rPr>
        <w:t>2</w:t>
      </w:r>
      <w:r w:rsidR="003A13BC">
        <w:rPr>
          <w:rFonts w:asciiTheme="minorHAnsi" w:hAnsiTheme="minorHAnsi"/>
          <w:bCs/>
          <w:sz w:val="22"/>
        </w:rPr>
        <w:t>1</w:t>
      </w:r>
      <w:r w:rsidRPr="00E84532">
        <w:rPr>
          <w:rFonts w:asciiTheme="minorHAnsi" w:hAnsiTheme="minorHAnsi"/>
          <w:bCs/>
          <w:sz w:val="22"/>
        </w:rPr>
        <w:t>, janë strukturuar si kosto variabël dhe fikse, e cila ndarje kryesisht është në pajtim me dispozitat e Rregullës për Vendosjen e Çmimeve të Energjisë Termike, si dhe me parimet e avancuara të kontabilitetit dhe me Standardet Kosovare të Kontabilitetit.</w:t>
      </w:r>
    </w:p>
    <w:p w:rsidR="00E807F8" w:rsidRPr="00E84532" w:rsidRDefault="00E807F8" w:rsidP="00E807F8">
      <w:pPr>
        <w:jc w:val="both"/>
        <w:rPr>
          <w:rFonts w:asciiTheme="minorHAnsi" w:hAnsiTheme="minorHAnsi"/>
          <w:bCs/>
          <w:sz w:val="22"/>
        </w:rPr>
      </w:pPr>
    </w:p>
    <w:p w:rsidR="00E807F8" w:rsidRPr="00E84532" w:rsidRDefault="00E807F8" w:rsidP="00E807F8">
      <w:pPr>
        <w:jc w:val="both"/>
        <w:rPr>
          <w:rFonts w:asciiTheme="minorHAnsi" w:hAnsiTheme="minorHAnsi"/>
          <w:bCs/>
          <w:sz w:val="22"/>
        </w:rPr>
      </w:pPr>
      <w:r w:rsidRPr="00E84532">
        <w:rPr>
          <w:rFonts w:asciiTheme="minorHAnsi" w:hAnsiTheme="minorHAnsi"/>
          <w:bCs/>
          <w:sz w:val="22"/>
        </w:rPr>
        <w:t>Në këtë seksion do të tregohen në mënyrë tabelare shpenzimet e parashikuara siç janë prezantuar nga NQ Termokosi dhe shpenzimet opera</w:t>
      </w:r>
      <w:r w:rsidR="008E09B3">
        <w:rPr>
          <w:rFonts w:asciiTheme="minorHAnsi" w:hAnsiTheme="minorHAnsi"/>
          <w:bCs/>
          <w:sz w:val="22"/>
        </w:rPr>
        <w:t>tive</w:t>
      </w:r>
      <w:r w:rsidRPr="00E84532">
        <w:rPr>
          <w:rFonts w:asciiTheme="minorHAnsi" w:hAnsiTheme="minorHAnsi"/>
          <w:bCs/>
          <w:sz w:val="22"/>
        </w:rPr>
        <w:t xml:space="preserve"> të lejuara që ZRRE i ka aprovuar (Tabela 1.) Në vijim të tabelës është dhënë shpjegimi analitik për secilin pozicion të kostove opera</w:t>
      </w:r>
      <w:r w:rsidR="008E09B3">
        <w:rPr>
          <w:rFonts w:asciiTheme="minorHAnsi" w:hAnsiTheme="minorHAnsi"/>
          <w:bCs/>
          <w:sz w:val="22"/>
        </w:rPr>
        <w:t>tive</w:t>
      </w:r>
      <w:r w:rsidRPr="00E84532">
        <w:rPr>
          <w:rFonts w:asciiTheme="minorHAnsi" w:hAnsiTheme="minorHAnsi"/>
          <w:bCs/>
          <w:sz w:val="22"/>
        </w:rPr>
        <w:t>.</w:t>
      </w:r>
    </w:p>
    <w:p w:rsidR="00E807F8" w:rsidRDefault="00E807F8" w:rsidP="00E807F8">
      <w:pPr>
        <w:ind w:left="900" w:hanging="900"/>
        <w:rPr>
          <w:rFonts w:asciiTheme="minorHAnsi" w:hAnsiTheme="minorHAnsi"/>
          <w:b/>
          <w:bCs/>
          <w:sz w:val="22"/>
        </w:rPr>
      </w:pPr>
    </w:p>
    <w:p w:rsidR="00AD1F56" w:rsidRDefault="00AD1F56" w:rsidP="00E807F8">
      <w:pPr>
        <w:ind w:left="900" w:hanging="900"/>
        <w:rPr>
          <w:rFonts w:asciiTheme="minorHAnsi" w:hAnsiTheme="minorHAnsi"/>
          <w:b/>
          <w:bCs/>
          <w:sz w:val="22"/>
        </w:rPr>
      </w:pPr>
    </w:p>
    <w:p w:rsidR="00E807F8" w:rsidRPr="00F53E76" w:rsidRDefault="00E807F8" w:rsidP="006122E6">
      <w:pPr>
        <w:pStyle w:val="Heading3"/>
      </w:pPr>
      <w:bookmarkStart w:id="32" w:name="_Toc21513177"/>
      <w:bookmarkStart w:id="33" w:name="_Toc21514369"/>
      <w:bookmarkStart w:id="34" w:name="_Toc21514446"/>
      <w:bookmarkStart w:id="35" w:name="_Toc21514853"/>
      <w:bookmarkStart w:id="36" w:name="_Toc21515553"/>
      <w:bookmarkStart w:id="37" w:name="_Toc21521376"/>
      <w:r w:rsidRPr="00680367">
        <w:lastRenderedPageBreak/>
        <w:t xml:space="preserve">Tabela </w:t>
      </w:r>
      <w:r w:rsidR="00642719" w:rsidRPr="00680367">
        <w:fldChar w:fldCharType="begin"/>
      </w:r>
      <w:r w:rsidRPr="00680367">
        <w:instrText xml:space="preserve"> SEQ Tabela \* ARABIC </w:instrText>
      </w:r>
      <w:r w:rsidR="00642719" w:rsidRPr="00680367">
        <w:fldChar w:fldCharType="separate"/>
      </w:r>
      <w:r w:rsidR="00923408" w:rsidRPr="00680367">
        <w:rPr>
          <w:noProof/>
        </w:rPr>
        <w:t>1</w:t>
      </w:r>
      <w:r w:rsidR="00642719" w:rsidRPr="00680367">
        <w:fldChar w:fldCharType="end"/>
      </w:r>
      <w:r w:rsidRPr="00680367">
        <w:t>: Kostot e paraqitura nga ana e NQ Termokos SH.A.</w:t>
      </w:r>
      <w:r w:rsidR="00C70463" w:rsidRPr="00680367">
        <w:t xml:space="preserve">, dhe ato të lejuara nga ZRRE </w:t>
      </w:r>
      <w:r w:rsidRPr="00680367">
        <w:t>(Në €)</w:t>
      </w:r>
      <w:bookmarkEnd w:id="32"/>
      <w:bookmarkEnd w:id="33"/>
      <w:bookmarkEnd w:id="34"/>
      <w:bookmarkEnd w:id="35"/>
      <w:bookmarkEnd w:id="36"/>
      <w:bookmarkEnd w:id="37"/>
    </w:p>
    <w:p w:rsidR="00E807F8" w:rsidRPr="00E84532" w:rsidRDefault="00680367" w:rsidP="00860633">
      <w:pPr>
        <w:ind w:left="900" w:hanging="900"/>
        <w:jc w:val="center"/>
        <w:rPr>
          <w:rFonts w:asciiTheme="minorHAnsi" w:hAnsiTheme="minorHAnsi"/>
          <w:b/>
          <w:bCs/>
          <w:sz w:val="22"/>
        </w:rPr>
      </w:pPr>
      <w:r w:rsidRPr="00680367">
        <w:rPr>
          <w:noProof/>
          <w:lang w:val="en-US"/>
        </w:rPr>
        <w:drawing>
          <wp:inline distT="0" distB="0" distL="0" distR="0" wp14:anchorId="4A268496" wp14:editId="42B93E37">
            <wp:extent cx="5732780" cy="426974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780" cy="4269740"/>
                    </a:xfrm>
                    <a:prstGeom prst="rect">
                      <a:avLst/>
                    </a:prstGeom>
                    <a:noFill/>
                    <a:ln>
                      <a:noFill/>
                    </a:ln>
                  </pic:spPr>
                </pic:pic>
              </a:graphicData>
            </a:graphic>
          </wp:inline>
        </w:drawing>
      </w:r>
    </w:p>
    <w:p w:rsidR="00E807F8" w:rsidRDefault="00E807F8" w:rsidP="00E807F8">
      <w:pPr>
        <w:ind w:left="900" w:hanging="900"/>
        <w:rPr>
          <w:rFonts w:asciiTheme="minorHAnsi" w:hAnsiTheme="minorHAnsi"/>
          <w:b/>
          <w:bCs/>
          <w:sz w:val="22"/>
        </w:rPr>
      </w:pPr>
    </w:p>
    <w:p w:rsidR="00234B7D" w:rsidRPr="00E84532" w:rsidRDefault="00234B7D" w:rsidP="00E807F8">
      <w:pPr>
        <w:ind w:left="900" w:hanging="900"/>
        <w:rPr>
          <w:rFonts w:asciiTheme="minorHAnsi" w:hAnsiTheme="minorHAnsi"/>
          <w:b/>
          <w:bCs/>
          <w:sz w:val="22"/>
        </w:rPr>
      </w:pPr>
    </w:p>
    <w:p w:rsidR="00E807F8" w:rsidRDefault="00680367" w:rsidP="00E807F8">
      <w:pPr>
        <w:jc w:val="center"/>
        <w:rPr>
          <w:rFonts w:asciiTheme="minorHAnsi" w:hAnsiTheme="minorHAnsi"/>
          <w:b/>
          <w:bCs/>
          <w:sz w:val="22"/>
        </w:rPr>
      </w:pPr>
      <w:r>
        <w:rPr>
          <w:noProof/>
          <w:lang w:val="en-US"/>
        </w:rPr>
        <w:drawing>
          <wp:inline distT="0" distB="0" distL="0" distR="0" wp14:anchorId="5794A802" wp14:editId="7CFE415F">
            <wp:extent cx="4610099" cy="3057526"/>
            <wp:effectExtent l="0" t="0" r="63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4B7D" w:rsidRPr="00F53E76" w:rsidRDefault="00234B7D" w:rsidP="006122E6">
      <w:pPr>
        <w:pStyle w:val="Heading3"/>
      </w:pPr>
      <w:bookmarkStart w:id="38" w:name="_Toc339537716"/>
      <w:bookmarkStart w:id="39" w:name="_Toc339538667"/>
      <w:bookmarkStart w:id="40" w:name="_Toc339539121"/>
      <w:bookmarkStart w:id="41" w:name="_Toc21513324"/>
      <w:bookmarkStart w:id="42" w:name="_Toc21514371"/>
      <w:bookmarkStart w:id="43" w:name="_Toc21514448"/>
      <w:bookmarkStart w:id="44" w:name="_Toc21514855"/>
      <w:bookmarkStart w:id="45" w:name="_Toc21515555"/>
      <w:bookmarkStart w:id="46" w:name="_Toc21521378"/>
      <w:r w:rsidRPr="00680367">
        <w:t xml:space="preserve">Figura </w:t>
      </w:r>
      <w:r w:rsidR="004A64EF">
        <w:fldChar w:fldCharType="begin"/>
      </w:r>
      <w:r w:rsidR="004A64EF">
        <w:instrText xml:space="preserve"> SEQ Figura \* ARABIC </w:instrText>
      </w:r>
      <w:r w:rsidR="004A64EF">
        <w:fldChar w:fldCharType="separate"/>
      </w:r>
      <w:r w:rsidR="00923408" w:rsidRPr="00680367">
        <w:rPr>
          <w:noProof/>
        </w:rPr>
        <w:t>2</w:t>
      </w:r>
      <w:r w:rsidR="004A64EF">
        <w:rPr>
          <w:noProof/>
        </w:rPr>
        <w:fldChar w:fldCharType="end"/>
      </w:r>
      <w:r w:rsidRPr="00680367">
        <w:t xml:space="preserve">: Paraqitja skematike e kostove operacionale të propozuara nga NQ Termokos dhe të lejuara nga ZRRE-ja për sezonin e ngrohjes </w:t>
      </w:r>
      <w:bookmarkEnd w:id="38"/>
      <w:bookmarkEnd w:id="39"/>
      <w:bookmarkEnd w:id="40"/>
      <w:r w:rsidRPr="00680367">
        <w:t>20</w:t>
      </w:r>
      <w:r w:rsidR="00680367" w:rsidRPr="00680367">
        <w:t>20</w:t>
      </w:r>
      <w:r w:rsidRPr="00680367">
        <w:t>/202</w:t>
      </w:r>
      <w:bookmarkEnd w:id="41"/>
      <w:bookmarkEnd w:id="42"/>
      <w:bookmarkEnd w:id="43"/>
      <w:bookmarkEnd w:id="44"/>
      <w:bookmarkEnd w:id="45"/>
      <w:bookmarkEnd w:id="46"/>
      <w:r w:rsidR="00680367" w:rsidRPr="00680367">
        <w:t>1</w:t>
      </w:r>
    </w:p>
    <w:p w:rsidR="00234B7D" w:rsidRDefault="00234B7D" w:rsidP="00E807F8">
      <w:pPr>
        <w:jc w:val="center"/>
        <w:rPr>
          <w:rFonts w:asciiTheme="minorHAnsi" w:hAnsiTheme="minorHAnsi"/>
          <w:b/>
          <w:bCs/>
          <w:sz w:val="22"/>
        </w:rPr>
      </w:pPr>
    </w:p>
    <w:p w:rsidR="00D825FC" w:rsidRPr="00E84532" w:rsidRDefault="00D825FC" w:rsidP="00E807F8">
      <w:pPr>
        <w:jc w:val="center"/>
        <w:rPr>
          <w:rFonts w:asciiTheme="minorHAnsi" w:hAnsiTheme="minorHAnsi"/>
          <w:b/>
          <w:bCs/>
          <w:sz w:val="22"/>
        </w:rPr>
      </w:pPr>
    </w:p>
    <w:p w:rsidR="00E807F8" w:rsidRPr="00E84532" w:rsidRDefault="004A64EF" w:rsidP="00E807F8">
      <w:pPr>
        <w:jc w:val="both"/>
        <w:rPr>
          <w:rFonts w:asciiTheme="minorHAnsi" w:hAnsiTheme="minorHAnsi" w:cs="Calibri"/>
          <w:b/>
          <w:bCs/>
        </w:rPr>
      </w:pPr>
      <w:hyperlink r:id="rId13" w:history="1">
        <w:bookmarkStart w:id="47" w:name="_Toc339537715"/>
        <w:bookmarkStart w:id="48" w:name="_Toc339538665"/>
        <w:bookmarkStart w:id="49" w:name="_Toc339539119"/>
        <w:r w:rsidR="00E807F8" w:rsidRPr="00E84532">
          <w:rPr>
            <w:rStyle w:val="Hyperlink"/>
            <w:rFonts w:asciiTheme="minorHAnsi" w:hAnsiTheme="minorHAnsi" w:cs="Calibri"/>
            <w:color w:val="auto"/>
          </w:rPr>
          <w:t>Shpjegim analitik</w:t>
        </w:r>
        <w:bookmarkEnd w:id="47"/>
        <w:bookmarkEnd w:id="48"/>
        <w:bookmarkEnd w:id="49"/>
      </w:hyperlink>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 xml:space="preserve">Në vijim janë dhënë shpjegime të detajizuara dhe arsyetimet për përcaktimin / lejimin për secilin grup të kostove respektivisht  për pozicionet kryesore të kostove operative. </w:t>
      </w:r>
    </w:p>
    <w:p w:rsidR="00E807F8" w:rsidRPr="00E84532" w:rsidRDefault="00E807F8" w:rsidP="00E807F8">
      <w:pPr>
        <w:jc w:val="both"/>
        <w:rPr>
          <w:rFonts w:asciiTheme="minorHAnsi" w:hAnsiTheme="minorHAnsi"/>
          <w:sz w:val="22"/>
        </w:rPr>
      </w:pPr>
    </w:p>
    <w:p w:rsidR="00E807F8" w:rsidRPr="00E84532" w:rsidRDefault="004A64EF" w:rsidP="00E807F8">
      <w:pPr>
        <w:rPr>
          <w:rFonts w:asciiTheme="minorHAnsi" w:hAnsiTheme="minorHAnsi" w:cs="Calibri"/>
          <w:sz w:val="22"/>
          <w:szCs w:val="22"/>
          <w:u w:val="single"/>
        </w:rPr>
      </w:pPr>
      <w:hyperlink r:id="rId14" w:history="1">
        <w:r w:rsidR="00E807F8" w:rsidRPr="00E84532">
          <w:rPr>
            <w:rStyle w:val="Hyperlink"/>
            <w:rFonts w:asciiTheme="minorHAnsi" w:hAnsiTheme="minorHAnsi" w:cs="Calibri"/>
            <w:color w:val="auto"/>
            <w:sz w:val="22"/>
            <w:szCs w:val="22"/>
          </w:rPr>
          <w:t>Kostot variabile:</w:t>
        </w:r>
      </w:hyperlink>
    </w:p>
    <w:p w:rsidR="00E807F8" w:rsidRPr="00E84532" w:rsidRDefault="00E807F8" w:rsidP="00E807F8">
      <w:pPr>
        <w:jc w:val="both"/>
        <w:rPr>
          <w:rFonts w:asciiTheme="minorHAnsi" w:hAnsiTheme="minorHAnsi"/>
          <w:sz w:val="22"/>
        </w:rPr>
      </w:pPr>
    </w:p>
    <w:p w:rsidR="00E807F8" w:rsidRPr="00E84532" w:rsidRDefault="00E807F8" w:rsidP="00F23C29">
      <w:pPr>
        <w:numPr>
          <w:ilvl w:val="0"/>
          <w:numId w:val="7"/>
        </w:numPr>
        <w:tabs>
          <w:tab w:val="clear" w:pos="720"/>
          <w:tab w:val="num" w:pos="360"/>
        </w:tabs>
        <w:ind w:left="360"/>
        <w:jc w:val="both"/>
        <w:rPr>
          <w:rFonts w:asciiTheme="minorHAnsi" w:hAnsiTheme="minorHAnsi"/>
          <w:sz w:val="22"/>
        </w:rPr>
      </w:pPr>
      <w:r w:rsidRPr="00E84532">
        <w:rPr>
          <w:rFonts w:asciiTheme="minorHAnsi" w:hAnsiTheme="minorHAnsi"/>
          <w:b/>
          <w:sz w:val="22"/>
        </w:rPr>
        <w:t>Kostoja e blerjes së energjisë termike nga kogjenerimi në TC Kosova B – komponent</w:t>
      </w:r>
      <w:r w:rsidR="00750BF8">
        <w:rPr>
          <w:rFonts w:asciiTheme="minorHAnsi" w:hAnsiTheme="minorHAnsi"/>
          <w:b/>
          <w:sz w:val="22"/>
        </w:rPr>
        <w:t>i</w:t>
      </w:r>
      <w:r w:rsidRPr="00E84532">
        <w:rPr>
          <w:rFonts w:asciiTheme="minorHAnsi" w:hAnsiTheme="minorHAnsi"/>
          <w:b/>
          <w:sz w:val="22"/>
        </w:rPr>
        <w:t xml:space="preserve"> </w:t>
      </w:r>
      <w:r w:rsidR="00750BF8">
        <w:rPr>
          <w:rFonts w:asciiTheme="minorHAnsi" w:hAnsiTheme="minorHAnsi"/>
          <w:b/>
          <w:sz w:val="22"/>
        </w:rPr>
        <w:t>i</w:t>
      </w:r>
      <w:r w:rsidRPr="00E84532">
        <w:rPr>
          <w:rFonts w:asciiTheme="minorHAnsi" w:hAnsiTheme="minorHAnsi"/>
          <w:b/>
          <w:sz w:val="22"/>
        </w:rPr>
        <w:t xml:space="preserve"> pagesës për sasinë e energjisë termike</w:t>
      </w:r>
      <w:r w:rsidRPr="00E84532">
        <w:rPr>
          <w:rFonts w:asciiTheme="minorHAnsi" w:hAnsiTheme="minorHAnsi"/>
          <w:sz w:val="22"/>
        </w:rPr>
        <w:t>:</w:t>
      </w:r>
    </w:p>
    <w:p w:rsidR="00E807F8" w:rsidRPr="00E84532" w:rsidRDefault="00E807F8" w:rsidP="00E807F8">
      <w:pPr>
        <w:ind w:left="360"/>
        <w:jc w:val="both"/>
        <w:rPr>
          <w:rFonts w:asciiTheme="minorHAnsi" w:hAnsiTheme="minorHAnsi"/>
          <w:sz w:val="22"/>
        </w:rPr>
      </w:pPr>
    </w:p>
    <w:p w:rsidR="00E807F8" w:rsidRPr="00E84532" w:rsidRDefault="00E807F8" w:rsidP="00F23C29">
      <w:pPr>
        <w:pStyle w:val="ListParagraph"/>
        <w:numPr>
          <w:ilvl w:val="0"/>
          <w:numId w:val="13"/>
        </w:numPr>
        <w:ind w:left="720"/>
        <w:contextualSpacing w:val="0"/>
        <w:jc w:val="both"/>
        <w:rPr>
          <w:rFonts w:asciiTheme="minorHAnsi" w:hAnsiTheme="minorHAnsi"/>
          <w:sz w:val="22"/>
        </w:rPr>
      </w:pPr>
      <w:r w:rsidRPr="00E84532">
        <w:rPr>
          <w:rFonts w:asciiTheme="minorHAnsi" w:hAnsiTheme="minorHAnsi"/>
          <w:sz w:val="22"/>
        </w:rPr>
        <w:t>NQ Termokos ka propozuar koston totale të blerjes së energjisë termike nga kogjenerimi në vlerë prej 1,</w:t>
      </w:r>
      <w:r w:rsidR="0042318A">
        <w:rPr>
          <w:rFonts w:asciiTheme="minorHAnsi" w:hAnsiTheme="minorHAnsi"/>
          <w:sz w:val="22"/>
        </w:rPr>
        <w:t>230</w:t>
      </w:r>
      <w:r w:rsidRPr="00E84532">
        <w:rPr>
          <w:rFonts w:asciiTheme="minorHAnsi" w:hAnsiTheme="minorHAnsi"/>
          <w:sz w:val="22"/>
        </w:rPr>
        <w:t>,</w:t>
      </w:r>
      <w:r w:rsidR="0042318A">
        <w:rPr>
          <w:rFonts w:asciiTheme="minorHAnsi" w:hAnsiTheme="minorHAnsi"/>
          <w:sz w:val="22"/>
        </w:rPr>
        <w:t>610</w:t>
      </w:r>
      <w:r w:rsidRPr="00E84532">
        <w:rPr>
          <w:rFonts w:asciiTheme="minorHAnsi" w:hAnsiTheme="minorHAnsi"/>
          <w:sz w:val="22"/>
        </w:rPr>
        <w:t xml:space="preserve"> €. Kjo kosto është e bazuar në: kapacitetin e rezervuar sipas planifikimeve të Bilancit të energjisë dhe sasinë e planifikuar të energjisë termike, si dhe  në çmimet përkatëse pë</w:t>
      </w:r>
      <w:r w:rsidR="00630F3E">
        <w:rPr>
          <w:rFonts w:asciiTheme="minorHAnsi" w:hAnsiTheme="minorHAnsi"/>
          <w:sz w:val="22"/>
        </w:rPr>
        <w:t>r</w:t>
      </w:r>
      <w:r w:rsidRPr="00E84532">
        <w:rPr>
          <w:rFonts w:asciiTheme="minorHAnsi" w:hAnsiTheme="minorHAnsi"/>
          <w:sz w:val="22"/>
        </w:rPr>
        <w:t xml:space="preserve"> kapacitet dhe sasisë së energjisë termike sipas marrëveshjes për shit-blerjen e energjisë termike KEK Gjenerimi – NQ Termokos.</w:t>
      </w:r>
    </w:p>
    <w:p w:rsidR="00E807F8" w:rsidRPr="00E84532" w:rsidRDefault="00E807F8" w:rsidP="00E807F8">
      <w:pPr>
        <w:pStyle w:val="ListParagraph"/>
        <w:jc w:val="both"/>
        <w:rPr>
          <w:rFonts w:asciiTheme="minorHAnsi" w:hAnsiTheme="minorHAnsi"/>
          <w:sz w:val="22"/>
        </w:rPr>
      </w:pPr>
    </w:p>
    <w:p w:rsidR="00E807F8" w:rsidRPr="00E84532" w:rsidRDefault="00E807F8" w:rsidP="00E807F8">
      <w:pPr>
        <w:pStyle w:val="ListParagraph"/>
        <w:jc w:val="both"/>
        <w:rPr>
          <w:rFonts w:asciiTheme="minorHAnsi" w:hAnsiTheme="minorHAnsi"/>
          <w:sz w:val="22"/>
        </w:rPr>
      </w:pPr>
      <w:r w:rsidRPr="00E84532">
        <w:rPr>
          <w:rFonts w:asciiTheme="minorHAnsi" w:hAnsiTheme="minorHAnsi"/>
          <w:sz w:val="22"/>
        </w:rPr>
        <w:t>Më konkretisht, Komponent</w:t>
      </w:r>
      <w:r w:rsidR="00750BF8">
        <w:rPr>
          <w:rFonts w:asciiTheme="minorHAnsi" w:hAnsiTheme="minorHAnsi"/>
          <w:sz w:val="22"/>
        </w:rPr>
        <w:t>i</w:t>
      </w:r>
      <w:r w:rsidRPr="00E84532">
        <w:rPr>
          <w:rFonts w:asciiTheme="minorHAnsi" w:hAnsiTheme="minorHAnsi"/>
          <w:sz w:val="22"/>
        </w:rPr>
        <w:t xml:space="preserve"> variabil </w:t>
      </w:r>
      <w:r w:rsidR="00750BF8">
        <w:rPr>
          <w:rFonts w:asciiTheme="minorHAnsi" w:hAnsiTheme="minorHAnsi"/>
          <w:sz w:val="22"/>
        </w:rPr>
        <w:t>i</w:t>
      </w:r>
      <w:r w:rsidRPr="00E84532">
        <w:rPr>
          <w:rFonts w:asciiTheme="minorHAnsi" w:hAnsiTheme="minorHAnsi"/>
          <w:sz w:val="22"/>
        </w:rPr>
        <w:t xml:space="preserve"> pagesës për sasinë e energjisë termike është bazuar në sasinë e planifikuar prej 2</w:t>
      </w:r>
      <w:r w:rsidR="0042318A">
        <w:rPr>
          <w:rFonts w:asciiTheme="minorHAnsi" w:hAnsiTheme="minorHAnsi"/>
          <w:sz w:val="22"/>
        </w:rPr>
        <w:t>67</w:t>
      </w:r>
      <w:r w:rsidRPr="00E84532">
        <w:rPr>
          <w:rFonts w:asciiTheme="minorHAnsi" w:hAnsiTheme="minorHAnsi"/>
          <w:sz w:val="22"/>
        </w:rPr>
        <w:t>,</w:t>
      </w:r>
      <w:r w:rsidR="0042318A">
        <w:rPr>
          <w:rFonts w:asciiTheme="minorHAnsi" w:hAnsiTheme="minorHAnsi"/>
          <w:sz w:val="22"/>
        </w:rPr>
        <w:t>6</w:t>
      </w:r>
      <w:r w:rsidR="00D235A0">
        <w:rPr>
          <w:rFonts w:asciiTheme="minorHAnsi" w:hAnsiTheme="minorHAnsi"/>
          <w:sz w:val="22"/>
        </w:rPr>
        <w:t>48</w:t>
      </w:r>
      <w:r w:rsidRPr="00E84532">
        <w:rPr>
          <w:rFonts w:asciiTheme="minorHAnsi" w:hAnsiTheme="minorHAnsi"/>
          <w:sz w:val="22"/>
        </w:rPr>
        <w:t xml:space="preserve"> MWh</w:t>
      </w:r>
      <w:r w:rsidRPr="00E84532">
        <w:rPr>
          <w:rFonts w:asciiTheme="minorHAnsi" w:hAnsiTheme="minorHAnsi"/>
          <w:sz w:val="22"/>
          <w:vertAlign w:val="subscript"/>
        </w:rPr>
        <w:t>TH</w:t>
      </w:r>
      <w:r w:rsidRPr="00E84532">
        <w:rPr>
          <w:rFonts w:asciiTheme="minorHAnsi" w:hAnsiTheme="minorHAnsi"/>
          <w:sz w:val="22"/>
        </w:rPr>
        <w:t xml:space="preserve"> dhe </w:t>
      </w:r>
      <w:r w:rsidR="00D235A0">
        <w:rPr>
          <w:rFonts w:asciiTheme="minorHAnsi" w:hAnsiTheme="minorHAnsi"/>
          <w:sz w:val="22"/>
        </w:rPr>
        <w:t>çmimin (</w:t>
      </w:r>
      <w:r w:rsidRPr="00E84532">
        <w:rPr>
          <w:rFonts w:asciiTheme="minorHAnsi" w:hAnsiTheme="minorHAnsi"/>
          <w:sz w:val="22"/>
        </w:rPr>
        <w:t>ngarkesën</w:t>
      </w:r>
      <w:r w:rsidR="00D235A0">
        <w:rPr>
          <w:rFonts w:asciiTheme="minorHAnsi" w:hAnsiTheme="minorHAnsi"/>
          <w:sz w:val="22"/>
        </w:rPr>
        <w:t>)</w:t>
      </w:r>
      <w:r w:rsidRPr="00E84532">
        <w:rPr>
          <w:rFonts w:asciiTheme="minorHAnsi" w:hAnsiTheme="minorHAnsi"/>
          <w:sz w:val="22"/>
        </w:rPr>
        <w:t xml:space="preserve"> prej 1.3</w:t>
      </w:r>
      <w:r w:rsidR="0042318A">
        <w:rPr>
          <w:rFonts w:asciiTheme="minorHAnsi" w:hAnsiTheme="minorHAnsi"/>
          <w:sz w:val="22"/>
        </w:rPr>
        <w:t>5</w:t>
      </w:r>
      <w:r w:rsidRPr="00E84532">
        <w:rPr>
          <w:rFonts w:asciiTheme="minorHAnsi" w:hAnsiTheme="minorHAnsi"/>
          <w:sz w:val="22"/>
        </w:rPr>
        <w:t xml:space="preserve"> €/MWh</w:t>
      </w:r>
      <w:r w:rsidRPr="00E84532">
        <w:rPr>
          <w:rFonts w:asciiTheme="minorHAnsi" w:hAnsiTheme="minorHAnsi"/>
          <w:sz w:val="22"/>
          <w:vertAlign w:val="subscript"/>
        </w:rPr>
        <w:t>TH</w:t>
      </w:r>
      <w:r w:rsidRPr="00E84532">
        <w:rPr>
          <w:rFonts w:asciiTheme="minorHAnsi" w:hAnsiTheme="minorHAnsi"/>
          <w:sz w:val="22"/>
        </w:rPr>
        <w:t>.</w:t>
      </w:r>
    </w:p>
    <w:p w:rsidR="00E807F8" w:rsidRPr="00E84532" w:rsidRDefault="00E807F8" w:rsidP="00E807F8">
      <w:pPr>
        <w:pStyle w:val="ListParagraph"/>
        <w:jc w:val="both"/>
        <w:rPr>
          <w:rFonts w:asciiTheme="minorHAnsi" w:hAnsiTheme="minorHAnsi"/>
          <w:sz w:val="22"/>
        </w:rPr>
      </w:pPr>
    </w:p>
    <w:p w:rsidR="00E807F8" w:rsidRPr="00E84532" w:rsidRDefault="00E807F8" w:rsidP="00F23C29">
      <w:pPr>
        <w:pStyle w:val="ListParagraph"/>
        <w:numPr>
          <w:ilvl w:val="0"/>
          <w:numId w:val="13"/>
        </w:numPr>
        <w:ind w:left="720"/>
        <w:contextualSpacing w:val="0"/>
        <w:jc w:val="both"/>
        <w:rPr>
          <w:rFonts w:asciiTheme="minorHAnsi" w:hAnsiTheme="minorHAnsi"/>
          <w:sz w:val="22"/>
        </w:rPr>
      </w:pPr>
      <w:r w:rsidRPr="00E84532">
        <w:rPr>
          <w:rFonts w:asciiTheme="minorHAnsi" w:hAnsiTheme="minorHAnsi"/>
          <w:sz w:val="22"/>
        </w:rPr>
        <w:t xml:space="preserve">Vlerësimi – Propozimi i NQ Termokos vlerësohet </w:t>
      </w:r>
      <w:r w:rsidR="00D235A0">
        <w:rPr>
          <w:rFonts w:asciiTheme="minorHAnsi" w:hAnsiTheme="minorHAnsi"/>
          <w:sz w:val="22"/>
        </w:rPr>
        <w:t xml:space="preserve">se </w:t>
      </w:r>
      <w:r w:rsidRPr="00E84532">
        <w:rPr>
          <w:rFonts w:asciiTheme="minorHAnsi" w:hAnsiTheme="minorHAnsi"/>
          <w:sz w:val="22"/>
        </w:rPr>
        <w:t xml:space="preserve">është kryesisht real dhe i bazuar. Duhet theksuar gjithashtu se </w:t>
      </w:r>
      <w:r w:rsidR="00D235A0">
        <w:rPr>
          <w:rFonts w:asciiTheme="minorHAnsi" w:hAnsiTheme="minorHAnsi"/>
          <w:sz w:val="22"/>
        </w:rPr>
        <w:t>është</w:t>
      </w:r>
      <w:r w:rsidRPr="00E84532">
        <w:rPr>
          <w:rFonts w:asciiTheme="minorHAnsi" w:hAnsiTheme="minorHAnsi"/>
          <w:sz w:val="22"/>
        </w:rPr>
        <w:t xml:space="preserve"> përfshirë </w:t>
      </w:r>
      <w:r w:rsidR="00D235A0">
        <w:rPr>
          <w:rFonts w:asciiTheme="minorHAnsi" w:hAnsiTheme="minorHAnsi"/>
          <w:sz w:val="22"/>
        </w:rPr>
        <w:t xml:space="preserve">edhe </w:t>
      </w:r>
      <w:r w:rsidRPr="00E84532">
        <w:rPr>
          <w:rFonts w:asciiTheme="minorHAnsi" w:hAnsiTheme="minorHAnsi"/>
          <w:sz w:val="22"/>
        </w:rPr>
        <w:t>komponent</w:t>
      </w:r>
      <w:r w:rsidR="00D235A0">
        <w:rPr>
          <w:rFonts w:asciiTheme="minorHAnsi" w:hAnsiTheme="minorHAnsi"/>
          <w:sz w:val="22"/>
        </w:rPr>
        <w:t>a</w:t>
      </w:r>
      <w:r w:rsidRPr="00E84532">
        <w:rPr>
          <w:rFonts w:asciiTheme="minorHAnsi" w:hAnsiTheme="minorHAnsi"/>
          <w:sz w:val="22"/>
        </w:rPr>
        <w:t xml:space="preserve"> e pagesës për taksën vjetore të licencimit, e cila llogaritet bazuar në taksën vjetore të licencave për prodhimin e energjisë termike të përcaktuar sipas Rregullës për Taksat të nxjerrë nga ZRRE. Llogaritjet rezultojnë si në vijim:</w:t>
      </w:r>
    </w:p>
    <w:p w:rsidR="00E807F8" w:rsidRPr="00E84532" w:rsidRDefault="00E807F8" w:rsidP="00F23C29">
      <w:pPr>
        <w:pStyle w:val="ListParagraph"/>
        <w:numPr>
          <w:ilvl w:val="0"/>
          <w:numId w:val="6"/>
        </w:numPr>
        <w:tabs>
          <w:tab w:val="clear" w:pos="720"/>
          <w:tab w:val="num" w:pos="1080"/>
        </w:tabs>
        <w:ind w:left="1080"/>
        <w:contextualSpacing w:val="0"/>
        <w:jc w:val="both"/>
        <w:rPr>
          <w:rFonts w:asciiTheme="minorHAnsi" w:hAnsiTheme="minorHAnsi"/>
          <w:sz w:val="22"/>
        </w:rPr>
      </w:pPr>
      <w:r w:rsidRPr="00E84532">
        <w:rPr>
          <w:rFonts w:asciiTheme="minorHAnsi" w:hAnsiTheme="minorHAnsi"/>
          <w:sz w:val="22"/>
        </w:rPr>
        <w:t>Komponent</w:t>
      </w:r>
      <w:r w:rsidR="00750BF8">
        <w:rPr>
          <w:rFonts w:asciiTheme="minorHAnsi" w:hAnsiTheme="minorHAnsi"/>
          <w:sz w:val="22"/>
        </w:rPr>
        <w:t>i</w:t>
      </w:r>
      <w:r w:rsidRPr="00E84532">
        <w:rPr>
          <w:rFonts w:asciiTheme="minorHAnsi" w:hAnsiTheme="minorHAnsi"/>
          <w:sz w:val="22"/>
        </w:rPr>
        <w:t xml:space="preserve"> </w:t>
      </w:r>
      <w:r w:rsidR="00750BF8">
        <w:rPr>
          <w:rFonts w:asciiTheme="minorHAnsi" w:hAnsiTheme="minorHAnsi"/>
          <w:sz w:val="22"/>
        </w:rPr>
        <w:t>i</w:t>
      </w:r>
      <w:r w:rsidRPr="00E84532">
        <w:rPr>
          <w:rFonts w:asciiTheme="minorHAnsi" w:hAnsiTheme="minorHAnsi"/>
          <w:sz w:val="22"/>
        </w:rPr>
        <w:t xml:space="preserve"> pagesës për sasinë e energjisë termike: 3</w:t>
      </w:r>
      <w:r w:rsidR="0042318A">
        <w:rPr>
          <w:rFonts w:asciiTheme="minorHAnsi" w:hAnsiTheme="minorHAnsi"/>
          <w:sz w:val="22"/>
        </w:rPr>
        <w:t>61,325</w:t>
      </w:r>
      <w:r w:rsidRPr="00E84532">
        <w:rPr>
          <w:rFonts w:asciiTheme="minorHAnsi" w:hAnsiTheme="minorHAnsi"/>
          <w:sz w:val="22"/>
        </w:rPr>
        <w:t xml:space="preserve"> €; dhe</w:t>
      </w:r>
    </w:p>
    <w:p w:rsidR="00E807F8" w:rsidRPr="00E84532" w:rsidRDefault="00E807F8" w:rsidP="00F23C29">
      <w:pPr>
        <w:pStyle w:val="ListParagraph"/>
        <w:numPr>
          <w:ilvl w:val="0"/>
          <w:numId w:val="6"/>
        </w:numPr>
        <w:tabs>
          <w:tab w:val="clear" w:pos="720"/>
          <w:tab w:val="num" w:pos="1080"/>
        </w:tabs>
        <w:ind w:left="1080"/>
        <w:contextualSpacing w:val="0"/>
        <w:jc w:val="both"/>
        <w:rPr>
          <w:rFonts w:asciiTheme="minorHAnsi" w:hAnsiTheme="minorHAnsi"/>
          <w:sz w:val="22"/>
        </w:rPr>
      </w:pPr>
      <w:r w:rsidRPr="00E84532">
        <w:rPr>
          <w:rFonts w:asciiTheme="minorHAnsi" w:hAnsiTheme="minorHAnsi"/>
          <w:sz w:val="22"/>
        </w:rPr>
        <w:t>Komponent</w:t>
      </w:r>
      <w:r w:rsidR="00750BF8">
        <w:rPr>
          <w:rFonts w:asciiTheme="minorHAnsi" w:hAnsiTheme="minorHAnsi"/>
          <w:sz w:val="22"/>
        </w:rPr>
        <w:t>i</w:t>
      </w:r>
      <w:r w:rsidRPr="00E84532">
        <w:rPr>
          <w:rFonts w:asciiTheme="minorHAnsi" w:hAnsiTheme="minorHAnsi"/>
          <w:sz w:val="22"/>
        </w:rPr>
        <w:t xml:space="preserve"> </w:t>
      </w:r>
      <w:r w:rsidR="00750BF8">
        <w:rPr>
          <w:rFonts w:asciiTheme="minorHAnsi" w:hAnsiTheme="minorHAnsi"/>
          <w:sz w:val="22"/>
        </w:rPr>
        <w:t>i</w:t>
      </w:r>
      <w:r w:rsidRPr="00E84532">
        <w:rPr>
          <w:rFonts w:asciiTheme="minorHAnsi" w:hAnsiTheme="minorHAnsi"/>
          <w:sz w:val="22"/>
        </w:rPr>
        <w:t xml:space="preserve"> pagesës për taksën vjetore të licencimit: 2</w:t>
      </w:r>
      <w:r w:rsidR="0042318A">
        <w:rPr>
          <w:rFonts w:asciiTheme="minorHAnsi" w:hAnsiTheme="minorHAnsi"/>
          <w:sz w:val="22"/>
        </w:rPr>
        <w:t>6</w:t>
      </w:r>
      <w:r w:rsidRPr="00E84532">
        <w:rPr>
          <w:rFonts w:asciiTheme="minorHAnsi" w:hAnsiTheme="minorHAnsi"/>
          <w:sz w:val="22"/>
        </w:rPr>
        <w:t>,</w:t>
      </w:r>
      <w:r w:rsidR="0042318A">
        <w:rPr>
          <w:rFonts w:asciiTheme="minorHAnsi" w:hAnsiTheme="minorHAnsi"/>
          <w:sz w:val="22"/>
        </w:rPr>
        <w:t>76</w:t>
      </w:r>
      <w:r w:rsidR="00D235A0">
        <w:rPr>
          <w:rFonts w:asciiTheme="minorHAnsi" w:hAnsiTheme="minorHAnsi"/>
          <w:sz w:val="22"/>
        </w:rPr>
        <w:t>5</w:t>
      </w:r>
      <w:r w:rsidRPr="00E84532">
        <w:rPr>
          <w:rFonts w:asciiTheme="minorHAnsi" w:hAnsiTheme="minorHAnsi"/>
          <w:sz w:val="22"/>
        </w:rPr>
        <w:t xml:space="preserve"> €.</w:t>
      </w:r>
    </w:p>
    <w:p w:rsidR="00E807F8" w:rsidRPr="00E84532" w:rsidRDefault="00E807F8" w:rsidP="00E807F8">
      <w:pPr>
        <w:ind w:left="720"/>
        <w:jc w:val="both"/>
        <w:rPr>
          <w:rFonts w:asciiTheme="minorHAnsi" w:hAnsiTheme="minorHAnsi"/>
          <w:sz w:val="22"/>
        </w:rPr>
      </w:pPr>
    </w:p>
    <w:p w:rsidR="00E807F8" w:rsidRPr="00E84532" w:rsidRDefault="00E807F8" w:rsidP="00E807F8">
      <w:pPr>
        <w:ind w:left="720"/>
        <w:jc w:val="both"/>
        <w:rPr>
          <w:rFonts w:asciiTheme="minorHAnsi" w:hAnsiTheme="minorHAnsi"/>
          <w:sz w:val="22"/>
        </w:rPr>
      </w:pPr>
      <w:r w:rsidRPr="00E84532">
        <w:rPr>
          <w:rFonts w:asciiTheme="minorHAnsi" w:hAnsiTheme="minorHAnsi"/>
          <w:sz w:val="22"/>
        </w:rPr>
        <w:t>Komponentët e la</w:t>
      </w:r>
      <w:r w:rsidR="00750BF8">
        <w:rPr>
          <w:rFonts w:asciiTheme="minorHAnsi" w:hAnsiTheme="minorHAnsi"/>
          <w:sz w:val="22"/>
        </w:rPr>
        <w:t>r</w:t>
      </w:r>
      <w:r w:rsidRPr="00E84532">
        <w:rPr>
          <w:rFonts w:asciiTheme="minorHAnsi" w:hAnsiTheme="minorHAnsi"/>
          <w:sz w:val="22"/>
        </w:rPr>
        <w:t>t</w:t>
      </w:r>
      <w:r w:rsidR="00750BF8">
        <w:rPr>
          <w:rFonts w:asciiTheme="minorHAnsi" w:hAnsiTheme="minorHAnsi"/>
          <w:sz w:val="22"/>
        </w:rPr>
        <w:t>ë-</w:t>
      </w:r>
      <w:r w:rsidRPr="00E84532">
        <w:rPr>
          <w:rFonts w:asciiTheme="minorHAnsi" w:hAnsiTheme="minorHAnsi"/>
          <w:sz w:val="22"/>
        </w:rPr>
        <w:t xml:space="preserve">përshkruar rezultojnë komponentën e pagesës për sasinë e energjisë termike nga kogjenerimi në TC Kosova B, në vlerë prej </w:t>
      </w:r>
      <w:r w:rsidRPr="00E84532">
        <w:rPr>
          <w:rFonts w:asciiTheme="minorHAnsi" w:hAnsiTheme="minorHAnsi"/>
          <w:b/>
          <w:sz w:val="22"/>
        </w:rPr>
        <w:t>3</w:t>
      </w:r>
      <w:r w:rsidR="0042318A">
        <w:rPr>
          <w:rFonts w:asciiTheme="minorHAnsi" w:hAnsiTheme="minorHAnsi"/>
          <w:b/>
          <w:sz w:val="22"/>
        </w:rPr>
        <w:t>88</w:t>
      </w:r>
      <w:r w:rsidRPr="00E84532">
        <w:rPr>
          <w:rFonts w:asciiTheme="minorHAnsi" w:hAnsiTheme="minorHAnsi"/>
          <w:b/>
          <w:sz w:val="22"/>
        </w:rPr>
        <w:t>,</w:t>
      </w:r>
      <w:r w:rsidR="0042318A">
        <w:rPr>
          <w:rFonts w:asciiTheme="minorHAnsi" w:hAnsiTheme="minorHAnsi"/>
          <w:b/>
          <w:sz w:val="22"/>
        </w:rPr>
        <w:t>09</w:t>
      </w:r>
      <w:r w:rsidR="002505F8">
        <w:rPr>
          <w:rFonts w:asciiTheme="minorHAnsi" w:hAnsiTheme="minorHAnsi"/>
          <w:b/>
          <w:sz w:val="22"/>
        </w:rPr>
        <w:t>0</w:t>
      </w:r>
      <w:r w:rsidRPr="00E84532">
        <w:rPr>
          <w:rFonts w:asciiTheme="minorHAnsi" w:hAnsiTheme="minorHAnsi"/>
          <w:b/>
          <w:sz w:val="22"/>
        </w:rPr>
        <w:t xml:space="preserve"> €</w:t>
      </w:r>
      <w:r w:rsidR="00D235A0">
        <w:rPr>
          <w:rFonts w:asciiTheme="minorHAnsi" w:hAnsiTheme="minorHAnsi"/>
          <w:sz w:val="22"/>
        </w:rPr>
        <w:t xml:space="preserve"> e cila lejohet për sezonin 20</w:t>
      </w:r>
      <w:r w:rsidR="0042318A">
        <w:rPr>
          <w:rFonts w:asciiTheme="minorHAnsi" w:hAnsiTheme="minorHAnsi"/>
          <w:sz w:val="22"/>
        </w:rPr>
        <w:t>20</w:t>
      </w:r>
      <w:r w:rsidRPr="00E84532">
        <w:rPr>
          <w:rFonts w:asciiTheme="minorHAnsi" w:hAnsiTheme="minorHAnsi"/>
          <w:sz w:val="22"/>
        </w:rPr>
        <w:t>/20</w:t>
      </w:r>
      <w:r w:rsidR="00D235A0">
        <w:rPr>
          <w:rFonts w:asciiTheme="minorHAnsi" w:hAnsiTheme="minorHAnsi"/>
          <w:sz w:val="22"/>
        </w:rPr>
        <w:t>2</w:t>
      </w:r>
      <w:r w:rsidR="0042318A">
        <w:rPr>
          <w:rFonts w:asciiTheme="minorHAnsi" w:hAnsiTheme="minorHAnsi"/>
          <w:sz w:val="22"/>
        </w:rPr>
        <w:t>1</w:t>
      </w:r>
      <w:r w:rsidRPr="00E84532">
        <w:rPr>
          <w:rFonts w:asciiTheme="minorHAnsi" w:hAnsiTheme="minorHAnsi"/>
          <w:sz w:val="22"/>
        </w:rPr>
        <w:t xml:space="preserve"> .</w:t>
      </w:r>
    </w:p>
    <w:p w:rsidR="00E807F8" w:rsidRPr="00E84532" w:rsidRDefault="00E807F8" w:rsidP="00E807F8">
      <w:pPr>
        <w:ind w:left="720"/>
        <w:jc w:val="both"/>
        <w:rPr>
          <w:rFonts w:asciiTheme="minorHAnsi" w:hAnsiTheme="minorHAnsi"/>
          <w:sz w:val="22"/>
        </w:rPr>
      </w:pPr>
      <w:r w:rsidRPr="00E84532">
        <w:rPr>
          <w:rFonts w:asciiTheme="minorHAnsi" w:hAnsiTheme="minorHAnsi"/>
          <w:sz w:val="22"/>
        </w:rPr>
        <w:t xml:space="preserve"> </w:t>
      </w:r>
    </w:p>
    <w:p w:rsidR="00E807F8" w:rsidRPr="00E84532" w:rsidRDefault="00E807F8" w:rsidP="00F23C29">
      <w:pPr>
        <w:pStyle w:val="ListParagraph"/>
        <w:numPr>
          <w:ilvl w:val="0"/>
          <w:numId w:val="13"/>
        </w:numPr>
        <w:ind w:left="720"/>
        <w:contextualSpacing w:val="0"/>
        <w:jc w:val="both"/>
        <w:rPr>
          <w:rFonts w:asciiTheme="minorHAnsi" w:hAnsiTheme="minorHAnsi"/>
          <w:sz w:val="22"/>
        </w:rPr>
      </w:pPr>
      <w:r w:rsidRPr="00E84532">
        <w:rPr>
          <w:rFonts w:asciiTheme="minorHAnsi" w:hAnsiTheme="minorHAnsi"/>
          <w:sz w:val="22"/>
        </w:rPr>
        <w:t xml:space="preserve">Është e vlefshme të përmendet se kostoja e tërësishme e blerjes së energjisë termike nga kogjenerimi në TC Kosova B – që përshinë komponentën për kapacitetin e rezervuar dhe komponentën për sasinë e energjisë termike – është </w:t>
      </w:r>
      <w:r w:rsidRPr="00E84532">
        <w:rPr>
          <w:rFonts w:asciiTheme="minorHAnsi" w:hAnsiTheme="minorHAnsi"/>
          <w:b/>
          <w:sz w:val="22"/>
        </w:rPr>
        <w:t>1,</w:t>
      </w:r>
      <w:r w:rsidR="00002250">
        <w:rPr>
          <w:rFonts w:asciiTheme="minorHAnsi" w:hAnsiTheme="minorHAnsi"/>
          <w:b/>
          <w:sz w:val="22"/>
        </w:rPr>
        <w:t>230</w:t>
      </w:r>
      <w:r w:rsidRPr="00E84532">
        <w:rPr>
          <w:rFonts w:asciiTheme="minorHAnsi" w:hAnsiTheme="minorHAnsi"/>
          <w:b/>
          <w:sz w:val="22"/>
        </w:rPr>
        <w:t>,</w:t>
      </w:r>
      <w:r w:rsidR="00002250">
        <w:rPr>
          <w:rFonts w:asciiTheme="minorHAnsi" w:hAnsiTheme="minorHAnsi"/>
          <w:b/>
          <w:sz w:val="22"/>
        </w:rPr>
        <w:t>610</w:t>
      </w:r>
      <w:r w:rsidRPr="00E84532">
        <w:rPr>
          <w:rFonts w:asciiTheme="minorHAnsi" w:hAnsiTheme="minorHAnsi"/>
          <w:b/>
          <w:sz w:val="22"/>
        </w:rPr>
        <w:t xml:space="preserve"> €.</w:t>
      </w:r>
      <w:r w:rsidRPr="00E84532">
        <w:rPr>
          <w:rFonts w:asciiTheme="minorHAnsi" w:hAnsiTheme="minorHAnsi"/>
          <w:sz w:val="22"/>
        </w:rPr>
        <w:t xml:space="preserve"> </w:t>
      </w:r>
    </w:p>
    <w:p w:rsidR="00E807F8" w:rsidRPr="00E84532" w:rsidRDefault="00E807F8" w:rsidP="00E807F8">
      <w:pPr>
        <w:pStyle w:val="ListParagraph"/>
        <w:jc w:val="both"/>
        <w:rPr>
          <w:rFonts w:asciiTheme="minorHAnsi" w:hAnsiTheme="minorHAnsi"/>
          <w:sz w:val="22"/>
        </w:rPr>
      </w:pPr>
      <w:r w:rsidRPr="00E84532">
        <w:rPr>
          <w:rFonts w:asciiTheme="minorHAnsi" w:hAnsiTheme="minorHAnsi"/>
          <w:sz w:val="22"/>
        </w:rPr>
        <w:t xml:space="preserve">  </w:t>
      </w:r>
    </w:p>
    <w:p w:rsidR="00E807F8" w:rsidRPr="00E84532" w:rsidRDefault="00E807F8" w:rsidP="00F23C29">
      <w:pPr>
        <w:numPr>
          <w:ilvl w:val="0"/>
          <w:numId w:val="7"/>
        </w:numPr>
        <w:tabs>
          <w:tab w:val="clear" w:pos="720"/>
          <w:tab w:val="num" w:pos="360"/>
        </w:tabs>
        <w:ind w:left="360"/>
        <w:jc w:val="both"/>
        <w:rPr>
          <w:rFonts w:asciiTheme="minorHAnsi" w:hAnsiTheme="minorHAnsi"/>
          <w:b/>
          <w:sz w:val="22"/>
        </w:rPr>
      </w:pPr>
      <w:r w:rsidRPr="00E84532">
        <w:rPr>
          <w:rFonts w:asciiTheme="minorHAnsi" w:hAnsiTheme="minorHAnsi"/>
          <w:b/>
          <w:sz w:val="22"/>
        </w:rPr>
        <w:t>Kostoja e lëndës djegëse – mazutit:</w:t>
      </w:r>
    </w:p>
    <w:p w:rsidR="00E807F8" w:rsidRPr="00E84532" w:rsidRDefault="00E807F8" w:rsidP="00E807F8">
      <w:pPr>
        <w:ind w:left="360"/>
        <w:jc w:val="both"/>
        <w:rPr>
          <w:rFonts w:asciiTheme="minorHAnsi" w:hAnsiTheme="minorHAnsi"/>
          <w:b/>
          <w:sz w:val="22"/>
        </w:rPr>
      </w:pPr>
    </w:p>
    <w:p w:rsidR="00E807F8" w:rsidRPr="00E84532" w:rsidRDefault="00E807F8" w:rsidP="00F23C29">
      <w:pPr>
        <w:numPr>
          <w:ilvl w:val="1"/>
          <w:numId w:val="7"/>
        </w:numPr>
        <w:tabs>
          <w:tab w:val="clear" w:pos="1440"/>
          <w:tab w:val="num" w:pos="720"/>
        </w:tabs>
        <w:ind w:left="720"/>
        <w:jc w:val="both"/>
        <w:rPr>
          <w:rFonts w:asciiTheme="minorHAnsi" w:hAnsiTheme="minorHAnsi"/>
          <w:sz w:val="22"/>
          <w:szCs w:val="22"/>
        </w:rPr>
      </w:pPr>
      <w:r w:rsidRPr="00E84532">
        <w:rPr>
          <w:rFonts w:asciiTheme="minorHAnsi" w:hAnsiTheme="minorHAnsi"/>
          <w:sz w:val="22"/>
        </w:rPr>
        <w:t xml:space="preserve">Kostoja e mazutit e propozuar nga Termokosi </w:t>
      </w:r>
      <w:r w:rsidR="00002250">
        <w:rPr>
          <w:rFonts w:asciiTheme="minorHAnsi" w:hAnsiTheme="minorHAnsi"/>
          <w:sz w:val="22"/>
        </w:rPr>
        <w:t xml:space="preserve">320,500 € </w:t>
      </w:r>
      <w:r w:rsidR="00F02EC6">
        <w:rPr>
          <w:rFonts w:asciiTheme="minorHAnsi" w:hAnsiTheme="minorHAnsi"/>
          <w:sz w:val="22"/>
        </w:rPr>
        <w:t xml:space="preserve">është bazuar në </w:t>
      </w:r>
      <w:r w:rsidR="00F02EC6" w:rsidRPr="00E84532">
        <w:rPr>
          <w:rFonts w:asciiTheme="minorHAnsi" w:hAnsiTheme="minorHAnsi"/>
          <w:sz w:val="22"/>
        </w:rPr>
        <w:t xml:space="preserve">sasinë e parashikuar </w:t>
      </w:r>
      <w:r w:rsidR="00F02EC6">
        <w:rPr>
          <w:rFonts w:asciiTheme="minorHAnsi" w:hAnsiTheme="minorHAnsi"/>
          <w:sz w:val="22"/>
        </w:rPr>
        <w:t xml:space="preserve">të shpenzimit të mazutit prej 710 ton </w:t>
      </w:r>
      <w:r w:rsidRPr="00E84532">
        <w:rPr>
          <w:rFonts w:asciiTheme="minorHAnsi" w:hAnsiTheme="minorHAnsi"/>
          <w:sz w:val="22"/>
        </w:rPr>
        <w:t>dhe çmimin e blerjes prej 450 €/ton</w:t>
      </w:r>
      <w:r w:rsidR="002E35FD">
        <w:rPr>
          <w:rFonts w:asciiTheme="minorHAnsi" w:hAnsiTheme="minorHAnsi"/>
          <w:sz w:val="22"/>
        </w:rPr>
        <w:t>, si</w:t>
      </w:r>
      <w:r w:rsidR="00002250">
        <w:rPr>
          <w:rFonts w:asciiTheme="minorHAnsi" w:hAnsiTheme="minorHAnsi"/>
          <w:sz w:val="22"/>
        </w:rPr>
        <w:t xml:space="preserve"> dhe taksën vjetore të licencimit prej 1,000 €</w:t>
      </w:r>
      <w:r w:rsidRPr="00E84532">
        <w:rPr>
          <w:rFonts w:asciiTheme="minorHAnsi" w:hAnsiTheme="minorHAnsi"/>
          <w:sz w:val="22"/>
        </w:rPr>
        <w:t xml:space="preserve">; </w:t>
      </w:r>
    </w:p>
    <w:p w:rsidR="00E807F8" w:rsidRPr="00E84532" w:rsidRDefault="00E807F8" w:rsidP="00F23C29">
      <w:pPr>
        <w:numPr>
          <w:ilvl w:val="1"/>
          <w:numId w:val="7"/>
        </w:numPr>
        <w:tabs>
          <w:tab w:val="clear" w:pos="1440"/>
          <w:tab w:val="num" w:pos="720"/>
        </w:tabs>
        <w:ind w:left="720"/>
        <w:jc w:val="both"/>
        <w:rPr>
          <w:rFonts w:asciiTheme="minorHAnsi" w:hAnsiTheme="minorHAnsi"/>
          <w:sz w:val="22"/>
          <w:szCs w:val="22"/>
        </w:rPr>
      </w:pPr>
      <w:r w:rsidRPr="00E84532">
        <w:rPr>
          <w:rFonts w:asciiTheme="minorHAnsi" w:hAnsiTheme="minorHAnsi"/>
          <w:sz w:val="22"/>
        </w:rPr>
        <w:t xml:space="preserve">Vlerësimi – Me funksionalizimin e projektit të kogjenerimit stabilimentet (kaldajat) e prodhimit të energjisë termike janë kapacitet rezervë për tu aktivizuar vetëm në rastet e ndërprerjeve të paplanifikuara (avarive) të stabilimenteve të TC Kosova B. Kështu që përdorimi i tyre eventual do të zgjaste për periudha të shkurtëra gjersa të kryhen riparimet e nevojshme. Duke marrë parasysh se konsumi mesatar ditor, bazuar në të dhënat historike (14 </w:t>
      </w:r>
      <w:r w:rsidR="00EF1A8F" w:rsidRPr="00E84532">
        <w:rPr>
          <w:rFonts w:asciiTheme="minorHAnsi" w:hAnsiTheme="minorHAnsi"/>
          <w:sz w:val="22"/>
        </w:rPr>
        <w:t>vjeçare</w:t>
      </w:r>
      <w:r w:rsidRPr="00E84532">
        <w:rPr>
          <w:rFonts w:asciiTheme="minorHAnsi" w:hAnsiTheme="minorHAnsi"/>
          <w:sz w:val="22"/>
        </w:rPr>
        <w:t>) vlerësohet të jetë rreth 70 ton/ditë, atëherë vlerësohet se sasia e planifikuar pre</w:t>
      </w:r>
      <w:r w:rsidR="00F02EC6">
        <w:rPr>
          <w:rFonts w:asciiTheme="minorHAnsi" w:hAnsiTheme="minorHAnsi"/>
          <w:sz w:val="22"/>
        </w:rPr>
        <w:t>j</w:t>
      </w:r>
      <w:r w:rsidRPr="00E84532">
        <w:rPr>
          <w:rFonts w:asciiTheme="minorHAnsi" w:hAnsiTheme="minorHAnsi"/>
          <w:sz w:val="22"/>
        </w:rPr>
        <w:t xml:space="preserve"> </w:t>
      </w:r>
      <w:r w:rsidR="00F02EC6">
        <w:rPr>
          <w:rFonts w:asciiTheme="minorHAnsi" w:hAnsiTheme="minorHAnsi"/>
          <w:sz w:val="22"/>
        </w:rPr>
        <w:t>710</w:t>
      </w:r>
      <w:r w:rsidRPr="00E84532">
        <w:rPr>
          <w:rFonts w:asciiTheme="minorHAnsi" w:hAnsiTheme="minorHAnsi"/>
          <w:sz w:val="22"/>
        </w:rPr>
        <w:t xml:space="preserve"> ton është mjaftueshme për të prodhuar energji termike për një </w:t>
      </w:r>
      <w:r w:rsidR="004E1106" w:rsidRPr="00E84532">
        <w:rPr>
          <w:rFonts w:asciiTheme="minorHAnsi" w:hAnsiTheme="minorHAnsi"/>
          <w:sz w:val="22"/>
        </w:rPr>
        <w:t>periudhë</w:t>
      </w:r>
      <w:r w:rsidRPr="00E84532">
        <w:rPr>
          <w:rFonts w:asciiTheme="minorHAnsi" w:hAnsiTheme="minorHAnsi"/>
          <w:sz w:val="22"/>
        </w:rPr>
        <w:t xml:space="preserve"> </w:t>
      </w:r>
      <w:r w:rsidR="00F02EC6">
        <w:rPr>
          <w:rFonts w:asciiTheme="minorHAnsi" w:hAnsiTheme="minorHAnsi"/>
          <w:sz w:val="22"/>
        </w:rPr>
        <w:t>dhjetë</w:t>
      </w:r>
      <w:r w:rsidRPr="00E84532">
        <w:rPr>
          <w:rFonts w:asciiTheme="minorHAnsi" w:hAnsiTheme="minorHAnsi"/>
          <w:sz w:val="22"/>
        </w:rPr>
        <w:t>-</w:t>
      </w:r>
      <w:r w:rsidR="00F02EC6">
        <w:rPr>
          <w:rFonts w:asciiTheme="minorHAnsi" w:hAnsiTheme="minorHAnsi"/>
          <w:sz w:val="22"/>
        </w:rPr>
        <w:t>dit</w:t>
      </w:r>
      <w:r w:rsidRPr="00E84532">
        <w:rPr>
          <w:rFonts w:asciiTheme="minorHAnsi" w:hAnsiTheme="minorHAnsi"/>
          <w:sz w:val="22"/>
        </w:rPr>
        <w:t xml:space="preserve">ore. Sa i përket çmimit të blerjes, duhet theksuar se çmimi i furnizimit të mazutit përbëhet nga çmimi aktual i tregut dhe ‘premiumi’ për të mbuluar shpenzimet e furnizuesit. </w:t>
      </w:r>
      <w:r w:rsidR="0042318A">
        <w:rPr>
          <w:rFonts w:asciiTheme="minorHAnsi" w:hAnsiTheme="minorHAnsi"/>
          <w:sz w:val="22"/>
        </w:rPr>
        <w:t xml:space="preserve">Megjithatë duke marrë parasysh se sasia e mazutit është rezerva </w:t>
      </w:r>
      <w:r w:rsidR="001D156F">
        <w:rPr>
          <w:rFonts w:asciiTheme="minorHAnsi" w:hAnsiTheme="minorHAnsi"/>
          <w:sz w:val="22"/>
        </w:rPr>
        <w:t>nga sasia e blerë vite më parë atëherë është marrë ç</w:t>
      </w:r>
      <w:r w:rsidRPr="00E84532">
        <w:rPr>
          <w:rFonts w:asciiTheme="minorHAnsi" w:hAnsiTheme="minorHAnsi"/>
          <w:sz w:val="22"/>
        </w:rPr>
        <w:t>mimi i blerjes</w:t>
      </w:r>
      <w:r w:rsidR="001D156F">
        <w:rPr>
          <w:rFonts w:asciiTheme="minorHAnsi" w:hAnsiTheme="minorHAnsi"/>
          <w:sz w:val="22"/>
        </w:rPr>
        <w:t xml:space="preserve"> në </w:t>
      </w:r>
      <w:r w:rsidR="001D156F">
        <w:rPr>
          <w:rFonts w:asciiTheme="minorHAnsi" w:hAnsiTheme="minorHAnsi"/>
          <w:sz w:val="22"/>
        </w:rPr>
        <w:lastRenderedPageBreak/>
        <w:t>atë kohë (450 €/ton)</w:t>
      </w:r>
      <w:r w:rsidRPr="00E84532">
        <w:rPr>
          <w:rFonts w:asciiTheme="minorHAnsi" w:hAnsiTheme="minorHAnsi"/>
          <w:sz w:val="22"/>
        </w:rPr>
        <w:t xml:space="preserve">. Bazuar në sa u tha më lartë mund të vlerësohet se planifikimi për koston e mazutit propozuar nga NQ Termokos është real dhe lejon </w:t>
      </w:r>
      <w:r w:rsidRPr="00E84532">
        <w:rPr>
          <w:rFonts w:asciiTheme="minorHAnsi" w:hAnsiTheme="minorHAnsi"/>
          <w:b/>
          <w:sz w:val="22"/>
        </w:rPr>
        <w:t>koston e mazutit</w:t>
      </w:r>
      <w:r w:rsidRPr="00E84532">
        <w:rPr>
          <w:rFonts w:asciiTheme="minorHAnsi" w:hAnsiTheme="minorHAnsi"/>
          <w:sz w:val="22"/>
        </w:rPr>
        <w:t xml:space="preserve"> në vlerë prej </w:t>
      </w:r>
      <w:r w:rsidR="00F02EC6" w:rsidRPr="00F02EC6">
        <w:rPr>
          <w:rFonts w:asciiTheme="minorHAnsi" w:hAnsiTheme="minorHAnsi"/>
          <w:b/>
          <w:sz w:val="22"/>
        </w:rPr>
        <w:t>319</w:t>
      </w:r>
      <w:r w:rsidRPr="00E84532">
        <w:rPr>
          <w:rFonts w:asciiTheme="minorHAnsi" w:hAnsiTheme="minorHAnsi"/>
          <w:b/>
          <w:sz w:val="22"/>
        </w:rPr>
        <w:t>,</w:t>
      </w:r>
      <w:r w:rsidR="00F02EC6">
        <w:rPr>
          <w:rFonts w:asciiTheme="minorHAnsi" w:hAnsiTheme="minorHAnsi"/>
          <w:b/>
          <w:sz w:val="22"/>
        </w:rPr>
        <w:t>5</w:t>
      </w:r>
      <w:r w:rsidRPr="00E84532">
        <w:rPr>
          <w:rFonts w:asciiTheme="minorHAnsi" w:hAnsiTheme="minorHAnsi"/>
          <w:b/>
          <w:sz w:val="22"/>
        </w:rPr>
        <w:t>00€.</w:t>
      </w:r>
      <w:r w:rsidRPr="00E84532">
        <w:rPr>
          <w:rFonts w:asciiTheme="minorHAnsi" w:hAnsiTheme="minorHAnsi"/>
          <w:sz w:val="22"/>
        </w:rPr>
        <w:t xml:space="preserve"> </w:t>
      </w:r>
    </w:p>
    <w:p w:rsidR="00E807F8" w:rsidRPr="00E84532" w:rsidRDefault="00E807F8" w:rsidP="00E807F8">
      <w:pPr>
        <w:ind w:left="720"/>
        <w:jc w:val="both"/>
        <w:rPr>
          <w:rFonts w:asciiTheme="minorHAnsi" w:hAnsiTheme="minorHAnsi"/>
          <w:sz w:val="22"/>
          <w:szCs w:val="22"/>
        </w:rPr>
      </w:pPr>
      <w:r w:rsidRPr="00E84532">
        <w:rPr>
          <w:rFonts w:asciiTheme="minorHAnsi" w:hAnsiTheme="minorHAnsi"/>
          <w:sz w:val="22"/>
        </w:rPr>
        <w:t>Lidhur me koston e mazutit për prodhimin vetanak të energjisë termike duhet theksuar se, edhe pse NQ Termokos nuk e ka paraqitur</w:t>
      </w:r>
      <w:r w:rsidR="001D156F">
        <w:rPr>
          <w:rFonts w:asciiTheme="minorHAnsi" w:hAnsiTheme="minorHAnsi"/>
          <w:sz w:val="22"/>
        </w:rPr>
        <w:t xml:space="preserve"> si pozicion të ndarë</w:t>
      </w:r>
      <w:r w:rsidRPr="00E84532">
        <w:rPr>
          <w:rFonts w:asciiTheme="minorHAnsi" w:hAnsiTheme="minorHAnsi"/>
          <w:sz w:val="22"/>
        </w:rPr>
        <w:t xml:space="preserve">, ZRRE ka </w:t>
      </w:r>
      <w:r w:rsidR="001D156F">
        <w:rPr>
          <w:rFonts w:asciiTheme="minorHAnsi" w:hAnsiTheme="minorHAnsi"/>
          <w:sz w:val="22"/>
        </w:rPr>
        <w:t xml:space="preserve">përcaktuar </w:t>
      </w:r>
      <w:r w:rsidRPr="00E84532">
        <w:rPr>
          <w:rFonts w:asciiTheme="minorHAnsi" w:hAnsiTheme="minorHAnsi"/>
          <w:sz w:val="22"/>
        </w:rPr>
        <w:t xml:space="preserve">edhe koston për pagesën e taksës vjetore të licencimit. Kjo pagesë është llogaritur </w:t>
      </w:r>
      <w:r w:rsidR="00F02EC6">
        <w:rPr>
          <w:rFonts w:asciiTheme="minorHAnsi" w:hAnsiTheme="minorHAnsi"/>
          <w:b/>
          <w:sz w:val="22"/>
        </w:rPr>
        <w:t>1</w:t>
      </w:r>
      <w:r w:rsidRPr="00E84532">
        <w:rPr>
          <w:rFonts w:asciiTheme="minorHAnsi" w:hAnsiTheme="minorHAnsi"/>
          <w:b/>
          <w:sz w:val="22"/>
        </w:rPr>
        <w:t>,</w:t>
      </w:r>
      <w:r w:rsidR="000E149B">
        <w:rPr>
          <w:rFonts w:asciiTheme="minorHAnsi" w:hAnsiTheme="minorHAnsi"/>
          <w:b/>
          <w:sz w:val="22"/>
        </w:rPr>
        <w:t>364</w:t>
      </w:r>
      <w:r w:rsidRPr="00E84532">
        <w:rPr>
          <w:rFonts w:asciiTheme="minorHAnsi" w:hAnsiTheme="minorHAnsi"/>
          <w:b/>
          <w:sz w:val="22"/>
        </w:rPr>
        <w:t xml:space="preserve"> €</w:t>
      </w:r>
      <w:r w:rsidRPr="00E84532">
        <w:rPr>
          <w:rFonts w:asciiTheme="minorHAnsi" w:hAnsiTheme="minorHAnsi"/>
          <w:sz w:val="22"/>
        </w:rPr>
        <w:t xml:space="preserve"> bazuar në prodhimin e parashikuar të ener</w:t>
      </w:r>
      <w:r w:rsidR="00F02EC6">
        <w:rPr>
          <w:rFonts w:asciiTheme="minorHAnsi" w:hAnsiTheme="minorHAnsi"/>
          <w:sz w:val="22"/>
        </w:rPr>
        <w:t xml:space="preserve">gjisë termike nga mazuti prej </w:t>
      </w:r>
      <w:r w:rsidR="000E149B">
        <w:rPr>
          <w:rFonts w:asciiTheme="minorHAnsi" w:hAnsiTheme="minorHAnsi"/>
          <w:sz w:val="22"/>
        </w:rPr>
        <w:t>6</w:t>
      </w:r>
      <w:r w:rsidRPr="00E84532">
        <w:rPr>
          <w:rFonts w:asciiTheme="minorHAnsi" w:hAnsiTheme="minorHAnsi"/>
          <w:sz w:val="22"/>
        </w:rPr>
        <w:t>,</w:t>
      </w:r>
      <w:r w:rsidR="000E149B">
        <w:rPr>
          <w:rFonts w:asciiTheme="minorHAnsi" w:hAnsiTheme="minorHAnsi"/>
          <w:sz w:val="22"/>
        </w:rPr>
        <w:t>820</w:t>
      </w:r>
      <w:r w:rsidRPr="00E84532">
        <w:rPr>
          <w:rFonts w:asciiTheme="minorHAnsi" w:hAnsiTheme="minorHAnsi"/>
          <w:sz w:val="22"/>
        </w:rPr>
        <w:t xml:space="preserve"> MWh dhe taksën vjetore të licencimit 0.20 €/MWh</w:t>
      </w:r>
      <w:r w:rsidR="00F02724">
        <w:rPr>
          <w:rFonts w:asciiTheme="minorHAnsi" w:hAnsiTheme="minorHAnsi"/>
          <w:sz w:val="22"/>
        </w:rPr>
        <w:t xml:space="preserve"> (sipas Rregullës për taksat nxj</w:t>
      </w:r>
      <w:r w:rsidRPr="00E84532">
        <w:rPr>
          <w:rFonts w:asciiTheme="minorHAnsi" w:hAnsiTheme="minorHAnsi"/>
          <w:sz w:val="22"/>
        </w:rPr>
        <w:t>er</w:t>
      </w:r>
      <w:r w:rsidR="00F02724">
        <w:rPr>
          <w:rFonts w:asciiTheme="minorHAnsi" w:hAnsiTheme="minorHAnsi"/>
          <w:sz w:val="22"/>
        </w:rPr>
        <w:t>r</w:t>
      </w:r>
      <w:r w:rsidRPr="00E84532">
        <w:rPr>
          <w:rFonts w:asciiTheme="minorHAnsi" w:hAnsiTheme="minorHAnsi"/>
          <w:sz w:val="22"/>
        </w:rPr>
        <w:t>ur nga ZRRE).</w:t>
      </w:r>
    </w:p>
    <w:p w:rsidR="00E807F8" w:rsidRPr="00E84532" w:rsidRDefault="00E807F8" w:rsidP="00E807F8">
      <w:pPr>
        <w:ind w:left="720"/>
        <w:jc w:val="both"/>
        <w:rPr>
          <w:rFonts w:asciiTheme="minorHAnsi" w:hAnsiTheme="minorHAnsi"/>
          <w:sz w:val="22"/>
          <w:szCs w:val="22"/>
        </w:rPr>
      </w:pPr>
    </w:p>
    <w:p w:rsidR="00E807F8" w:rsidRPr="00E84532" w:rsidRDefault="00E807F8" w:rsidP="00F23C29">
      <w:pPr>
        <w:numPr>
          <w:ilvl w:val="2"/>
          <w:numId w:val="6"/>
        </w:numPr>
        <w:tabs>
          <w:tab w:val="clear" w:pos="2160"/>
          <w:tab w:val="num" w:pos="360"/>
        </w:tabs>
        <w:ind w:left="360"/>
        <w:jc w:val="both"/>
        <w:rPr>
          <w:rFonts w:asciiTheme="minorHAnsi" w:hAnsiTheme="minorHAnsi"/>
          <w:sz w:val="22"/>
          <w:szCs w:val="22"/>
        </w:rPr>
      </w:pPr>
      <w:r w:rsidRPr="00E84532">
        <w:rPr>
          <w:rFonts w:asciiTheme="minorHAnsi" w:hAnsiTheme="minorHAnsi"/>
          <w:b/>
          <w:sz w:val="22"/>
          <w:szCs w:val="22"/>
        </w:rPr>
        <w:t>Kostoja e ujit për (ri)mbushjen e sistemit të ngrohje</w:t>
      </w:r>
      <w:r w:rsidRPr="00E84532">
        <w:rPr>
          <w:rFonts w:asciiTheme="minorHAnsi" w:hAnsiTheme="minorHAnsi"/>
          <w:sz w:val="22"/>
          <w:szCs w:val="22"/>
        </w:rPr>
        <w:t>:</w:t>
      </w:r>
    </w:p>
    <w:p w:rsidR="00E807F8" w:rsidRPr="00E84532" w:rsidRDefault="00E807F8" w:rsidP="00E807F8">
      <w:pPr>
        <w:ind w:left="720"/>
        <w:jc w:val="both"/>
        <w:rPr>
          <w:rFonts w:asciiTheme="minorHAnsi" w:hAnsiTheme="minorHAnsi"/>
          <w:b/>
          <w:sz w:val="22"/>
          <w:szCs w:val="22"/>
        </w:rPr>
      </w:pPr>
    </w:p>
    <w:p w:rsidR="00E807F8" w:rsidRPr="00F37A6C" w:rsidRDefault="00E807F8" w:rsidP="000F1941">
      <w:pPr>
        <w:pStyle w:val="ListParagraph"/>
        <w:numPr>
          <w:ilvl w:val="0"/>
          <w:numId w:val="14"/>
        </w:numPr>
        <w:ind w:left="720"/>
        <w:contextualSpacing w:val="0"/>
        <w:jc w:val="both"/>
        <w:rPr>
          <w:rFonts w:asciiTheme="minorHAnsi" w:hAnsiTheme="minorHAnsi"/>
          <w:sz w:val="22"/>
          <w:szCs w:val="22"/>
        </w:rPr>
      </w:pPr>
      <w:r w:rsidRPr="00F37A6C">
        <w:rPr>
          <w:rFonts w:asciiTheme="minorHAnsi" w:hAnsiTheme="minorHAnsi"/>
          <w:sz w:val="22"/>
          <w:szCs w:val="22"/>
        </w:rPr>
        <w:t xml:space="preserve">NQ Termokos ka propozuar koston në vlerë prej </w:t>
      </w:r>
      <w:r w:rsidR="00826F59" w:rsidRPr="00F37A6C">
        <w:rPr>
          <w:rFonts w:asciiTheme="minorHAnsi" w:hAnsiTheme="minorHAnsi"/>
          <w:sz w:val="22"/>
          <w:szCs w:val="22"/>
        </w:rPr>
        <w:t>9</w:t>
      </w:r>
      <w:r w:rsidR="00A5454B">
        <w:rPr>
          <w:rFonts w:asciiTheme="minorHAnsi" w:hAnsiTheme="minorHAnsi"/>
          <w:sz w:val="22"/>
          <w:szCs w:val="22"/>
        </w:rPr>
        <w:t>4</w:t>
      </w:r>
      <w:r w:rsidRPr="00F37A6C">
        <w:rPr>
          <w:rFonts w:asciiTheme="minorHAnsi" w:hAnsiTheme="minorHAnsi"/>
          <w:sz w:val="22"/>
          <w:szCs w:val="22"/>
        </w:rPr>
        <w:t>,</w:t>
      </w:r>
      <w:r w:rsidR="00A5454B">
        <w:rPr>
          <w:rFonts w:asciiTheme="minorHAnsi" w:hAnsiTheme="minorHAnsi"/>
          <w:sz w:val="22"/>
          <w:szCs w:val="22"/>
        </w:rPr>
        <w:t>698</w:t>
      </w:r>
      <w:r w:rsidRPr="00F37A6C">
        <w:rPr>
          <w:rFonts w:asciiTheme="minorHAnsi" w:hAnsiTheme="minorHAnsi"/>
          <w:sz w:val="22"/>
          <w:szCs w:val="22"/>
        </w:rPr>
        <w:t xml:space="preserve"> €, për sasinë e parashikuar të </w:t>
      </w:r>
      <w:r w:rsidR="00826F59" w:rsidRPr="00F37A6C">
        <w:rPr>
          <w:rFonts w:asciiTheme="minorHAnsi" w:hAnsiTheme="minorHAnsi"/>
          <w:sz w:val="22"/>
          <w:szCs w:val="22"/>
        </w:rPr>
        <w:t xml:space="preserve">shpenzimit të </w:t>
      </w:r>
      <w:r w:rsidRPr="00F37A6C">
        <w:rPr>
          <w:rFonts w:asciiTheme="minorHAnsi" w:hAnsiTheme="minorHAnsi"/>
          <w:sz w:val="22"/>
          <w:szCs w:val="22"/>
        </w:rPr>
        <w:t xml:space="preserve">ujit </w:t>
      </w:r>
      <w:r w:rsidR="00A5454B">
        <w:rPr>
          <w:rFonts w:asciiTheme="minorHAnsi" w:hAnsiTheme="minorHAnsi"/>
          <w:sz w:val="22"/>
          <w:szCs w:val="22"/>
        </w:rPr>
        <w:t>65</w:t>
      </w:r>
      <w:r w:rsidRPr="00F37A6C">
        <w:rPr>
          <w:rFonts w:asciiTheme="minorHAnsi" w:hAnsiTheme="minorHAnsi"/>
          <w:sz w:val="22"/>
          <w:szCs w:val="22"/>
        </w:rPr>
        <w:t>,</w:t>
      </w:r>
      <w:r w:rsidR="00A5454B">
        <w:rPr>
          <w:rFonts w:asciiTheme="minorHAnsi" w:hAnsiTheme="minorHAnsi"/>
          <w:sz w:val="22"/>
          <w:szCs w:val="22"/>
        </w:rPr>
        <w:t>823</w:t>
      </w:r>
      <w:r w:rsidRPr="00F37A6C">
        <w:rPr>
          <w:rFonts w:asciiTheme="minorHAnsi" w:hAnsiTheme="minorHAnsi"/>
          <w:sz w:val="22"/>
          <w:szCs w:val="22"/>
        </w:rPr>
        <w:t xml:space="preserve"> m</w:t>
      </w:r>
      <w:r w:rsidRPr="00F37A6C">
        <w:rPr>
          <w:rFonts w:asciiTheme="minorHAnsi" w:hAnsiTheme="minorHAnsi"/>
          <w:sz w:val="22"/>
          <w:szCs w:val="22"/>
          <w:vertAlign w:val="superscript"/>
        </w:rPr>
        <w:t>3</w:t>
      </w:r>
      <w:r w:rsidR="00826F59" w:rsidRPr="00F37A6C">
        <w:rPr>
          <w:rFonts w:asciiTheme="minorHAnsi" w:hAnsiTheme="minorHAnsi"/>
          <w:sz w:val="22"/>
          <w:szCs w:val="22"/>
          <w:vertAlign w:val="superscript"/>
        </w:rPr>
        <w:t xml:space="preserve"> </w:t>
      </w:r>
      <w:r w:rsidRPr="00F37A6C">
        <w:rPr>
          <w:rFonts w:asciiTheme="minorHAnsi" w:hAnsiTheme="minorHAnsi"/>
          <w:sz w:val="22"/>
          <w:szCs w:val="22"/>
        </w:rPr>
        <w:t>për rimbushje të sistemit të shpërndarjes (rrjetit primarë) si dhe koston për rimbushjen e rrjetit të transportimit të energjisë termike nga kogjenerimi dhe kostoja për sh</w:t>
      </w:r>
      <w:r w:rsidR="00F37A6C">
        <w:rPr>
          <w:rFonts w:asciiTheme="minorHAnsi" w:hAnsiTheme="minorHAnsi"/>
          <w:sz w:val="22"/>
          <w:szCs w:val="22"/>
        </w:rPr>
        <w:t>penzimet e ujit në nënstacione.</w:t>
      </w:r>
    </w:p>
    <w:p w:rsidR="00E807F8" w:rsidRPr="00E84532" w:rsidRDefault="00E807F8" w:rsidP="00F23C29">
      <w:pPr>
        <w:pStyle w:val="ListParagraph"/>
        <w:numPr>
          <w:ilvl w:val="0"/>
          <w:numId w:val="14"/>
        </w:numPr>
        <w:ind w:left="720"/>
        <w:contextualSpacing w:val="0"/>
        <w:jc w:val="both"/>
        <w:rPr>
          <w:rFonts w:asciiTheme="minorHAnsi" w:hAnsiTheme="minorHAnsi"/>
          <w:sz w:val="22"/>
          <w:szCs w:val="22"/>
        </w:rPr>
      </w:pPr>
      <w:r w:rsidRPr="00E84532">
        <w:rPr>
          <w:rFonts w:asciiTheme="minorHAnsi" w:hAnsiTheme="minorHAnsi"/>
          <w:sz w:val="22"/>
          <w:szCs w:val="22"/>
        </w:rPr>
        <w:t xml:space="preserve">Vlerësimi – ZRRE ka kryer vlerësimet duke u bazuar </w:t>
      </w:r>
      <w:r w:rsidR="002E35FD">
        <w:rPr>
          <w:rFonts w:asciiTheme="minorHAnsi" w:hAnsiTheme="minorHAnsi"/>
          <w:sz w:val="22"/>
          <w:szCs w:val="22"/>
        </w:rPr>
        <w:t xml:space="preserve">në </w:t>
      </w:r>
      <w:r w:rsidR="00826F59">
        <w:rPr>
          <w:rFonts w:asciiTheme="minorHAnsi" w:hAnsiTheme="minorHAnsi"/>
          <w:sz w:val="22"/>
          <w:szCs w:val="22"/>
        </w:rPr>
        <w:t>realizimin e kësaj kostoje në sezonet e kaluara – konkretisht në sezonin 2019</w:t>
      </w:r>
      <w:r w:rsidR="00A5454B">
        <w:rPr>
          <w:rFonts w:asciiTheme="minorHAnsi" w:hAnsiTheme="minorHAnsi"/>
          <w:sz w:val="22"/>
          <w:szCs w:val="22"/>
        </w:rPr>
        <w:t>/2020</w:t>
      </w:r>
      <w:r w:rsidR="00826F59">
        <w:rPr>
          <w:rFonts w:asciiTheme="minorHAnsi" w:hAnsiTheme="minorHAnsi"/>
          <w:sz w:val="22"/>
          <w:szCs w:val="22"/>
        </w:rPr>
        <w:t xml:space="preserve"> kostoja e ujit e realizuar ka qenë 9</w:t>
      </w:r>
      <w:r w:rsidR="00A5454B">
        <w:rPr>
          <w:rFonts w:asciiTheme="minorHAnsi" w:hAnsiTheme="minorHAnsi"/>
          <w:sz w:val="22"/>
          <w:szCs w:val="22"/>
        </w:rPr>
        <w:t>0</w:t>
      </w:r>
      <w:r w:rsidR="00826F59">
        <w:rPr>
          <w:rFonts w:asciiTheme="minorHAnsi" w:hAnsiTheme="minorHAnsi"/>
          <w:sz w:val="22"/>
          <w:szCs w:val="22"/>
        </w:rPr>
        <w:t>,</w:t>
      </w:r>
      <w:r w:rsidR="00A5454B">
        <w:rPr>
          <w:rFonts w:asciiTheme="minorHAnsi" w:hAnsiTheme="minorHAnsi"/>
          <w:sz w:val="22"/>
          <w:szCs w:val="22"/>
        </w:rPr>
        <w:t>188</w:t>
      </w:r>
      <w:r w:rsidR="00826F59">
        <w:rPr>
          <w:rFonts w:asciiTheme="minorHAnsi" w:hAnsiTheme="minorHAnsi"/>
          <w:sz w:val="22"/>
          <w:szCs w:val="22"/>
        </w:rPr>
        <w:t xml:space="preserve"> € për konsumin e ujit prej </w:t>
      </w:r>
      <w:r w:rsidR="00A5454B">
        <w:rPr>
          <w:rFonts w:asciiTheme="minorHAnsi" w:hAnsiTheme="minorHAnsi"/>
          <w:sz w:val="22"/>
          <w:szCs w:val="22"/>
        </w:rPr>
        <w:t>62</w:t>
      </w:r>
      <w:r w:rsidR="00826F59">
        <w:rPr>
          <w:rFonts w:asciiTheme="minorHAnsi" w:hAnsiTheme="minorHAnsi"/>
          <w:sz w:val="22"/>
          <w:szCs w:val="22"/>
        </w:rPr>
        <w:t>,</w:t>
      </w:r>
      <w:r w:rsidR="00A5454B">
        <w:rPr>
          <w:rFonts w:asciiTheme="minorHAnsi" w:hAnsiTheme="minorHAnsi"/>
          <w:sz w:val="22"/>
          <w:szCs w:val="22"/>
        </w:rPr>
        <w:t>6</w:t>
      </w:r>
      <w:r w:rsidR="00826F59">
        <w:rPr>
          <w:rFonts w:asciiTheme="minorHAnsi" w:hAnsiTheme="minorHAnsi"/>
          <w:sz w:val="22"/>
          <w:szCs w:val="22"/>
        </w:rPr>
        <w:t>8</w:t>
      </w:r>
      <w:r w:rsidR="00A5454B">
        <w:rPr>
          <w:rFonts w:asciiTheme="minorHAnsi" w:hAnsiTheme="minorHAnsi"/>
          <w:sz w:val="22"/>
          <w:szCs w:val="22"/>
        </w:rPr>
        <w:t>9</w:t>
      </w:r>
      <w:r w:rsidR="00826F59">
        <w:rPr>
          <w:rFonts w:asciiTheme="minorHAnsi" w:hAnsiTheme="minorHAnsi"/>
          <w:sz w:val="22"/>
          <w:szCs w:val="22"/>
        </w:rPr>
        <w:t xml:space="preserve"> m</w:t>
      </w:r>
      <w:r w:rsidR="00826F59" w:rsidRPr="00826F59">
        <w:rPr>
          <w:rFonts w:asciiTheme="minorHAnsi" w:hAnsiTheme="minorHAnsi"/>
          <w:sz w:val="22"/>
          <w:szCs w:val="22"/>
          <w:vertAlign w:val="superscript"/>
        </w:rPr>
        <w:t>3</w:t>
      </w:r>
      <w:r w:rsidR="00AC4452">
        <w:rPr>
          <w:rFonts w:asciiTheme="minorHAnsi" w:hAnsiTheme="minorHAnsi"/>
          <w:sz w:val="22"/>
          <w:szCs w:val="22"/>
        </w:rPr>
        <w:t xml:space="preserve">. </w:t>
      </w:r>
      <w:r w:rsidR="00826F59">
        <w:rPr>
          <w:rFonts w:asciiTheme="minorHAnsi" w:hAnsiTheme="minorHAnsi"/>
          <w:sz w:val="22"/>
          <w:szCs w:val="22"/>
        </w:rPr>
        <w:t xml:space="preserve">Gjithashtu </w:t>
      </w:r>
      <w:r w:rsidR="00C27411">
        <w:rPr>
          <w:rFonts w:asciiTheme="minorHAnsi" w:hAnsiTheme="minorHAnsi"/>
          <w:sz w:val="22"/>
          <w:szCs w:val="22"/>
        </w:rPr>
        <w:t xml:space="preserve">vlerësimet kanë </w:t>
      </w:r>
      <w:r w:rsidR="00826F59">
        <w:rPr>
          <w:rFonts w:asciiTheme="minorHAnsi" w:hAnsiTheme="minorHAnsi"/>
          <w:sz w:val="22"/>
          <w:szCs w:val="22"/>
        </w:rPr>
        <w:t xml:space="preserve">marrë përbazë </w:t>
      </w:r>
      <w:r w:rsidR="00826F59" w:rsidRPr="00E84532">
        <w:rPr>
          <w:rFonts w:asciiTheme="minorHAnsi" w:hAnsiTheme="minorHAnsi"/>
          <w:sz w:val="22"/>
          <w:szCs w:val="22"/>
        </w:rPr>
        <w:t xml:space="preserve">sasinë e parashikuar të ujit për rimbushje të rrjetit primar të shpërndarjes </w:t>
      </w:r>
      <w:r w:rsidR="00826F59">
        <w:rPr>
          <w:rFonts w:asciiTheme="minorHAnsi" w:hAnsiTheme="minorHAnsi"/>
          <w:sz w:val="22"/>
          <w:szCs w:val="22"/>
        </w:rPr>
        <w:t>(</w:t>
      </w:r>
      <w:r w:rsidR="00A5454B">
        <w:rPr>
          <w:rFonts w:asciiTheme="minorHAnsi" w:hAnsiTheme="minorHAnsi"/>
          <w:sz w:val="22"/>
          <w:szCs w:val="22"/>
        </w:rPr>
        <w:t>6</w:t>
      </w:r>
      <w:r w:rsidR="00826F59">
        <w:rPr>
          <w:rFonts w:asciiTheme="minorHAnsi" w:hAnsiTheme="minorHAnsi"/>
          <w:sz w:val="22"/>
          <w:szCs w:val="22"/>
        </w:rPr>
        <w:t>5</w:t>
      </w:r>
      <w:r w:rsidR="00826F59" w:rsidRPr="00E84532">
        <w:rPr>
          <w:rFonts w:asciiTheme="minorHAnsi" w:hAnsiTheme="minorHAnsi"/>
          <w:sz w:val="22"/>
          <w:szCs w:val="22"/>
        </w:rPr>
        <w:t>,</w:t>
      </w:r>
      <w:r w:rsidR="00A5454B">
        <w:rPr>
          <w:rFonts w:asciiTheme="minorHAnsi" w:hAnsiTheme="minorHAnsi"/>
          <w:sz w:val="22"/>
          <w:szCs w:val="22"/>
        </w:rPr>
        <w:t>823</w:t>
      </w:r>
      <w:r w:rsidR="00826F59" w:rsidRPr="00E84532">
        <w:rPr>
          <w:rFonts w:asciiTheme="minorHAnsi" w:hAnsiTheme="minorHAnsi"/>
          <w:sz w:val="22"/>
          <w:szCs w:val="22"/>
        </w:rPr>
        <w:t xml:space="preserve"> </w:t>
      </w:r>
      <w:r w:rsidR="00826F59" w:rsidRPr="00826F59">
        <w:rPr>
          <w:rFonts w:asciiTheme="minorHAnsi" w:hAnsiTheme="minorHAnsi"/>
          <w:sz w:val="22"/>
          <w:szCs w:val="22"/>
        </w:rPr>
        <w:t>m</w:t>
      </w:r>
      <w:r w:rsidR="00826F59" w:rsidRPr="00826F59">
        <w:rPr>
          <w:rFonts w:asciiTheme="minorHAnsi" w:hAnsiTheme="minorHAnsi"/>
          <w:sz w:val="22"/>
          <w:szCs w:val="22"/>
          <w:vertAlign w:val="superscript"/>
        </w:rPr>
        <w:t>3</w:t>
      </w:r>
      <w:r w:rsidR="00826F59">
        <w:rPr>
          <w:rFonts w:asciiTheme="minorHAnsi" w:hAnsiTheme="minorHAnsi"/>
          <w:sz w:val="22"/>
          <w:szCs w:val="22"/>
        </w:rPr>
        <w:t xml:space="preserve"> </w:t>
      </w:r>
      <w:r w:rsidR="00C27411">
        <w:rPr>
          <w:rFonts w:asciiTheme="minorHAnsi" w:hAnsiTheme="minorHAnsi"/>
          <w:sz w:val="22"/>
          <w:szCs w:val="22"/>
        </w:rPr>
        <w:t xml:space="preserve">– konsum pak më i </w:t>
      </w:r>
      <w:r w:rsidR="00A5454B">
        <w:rPr>
          <w:rFonts w:asciiTheme="minorHAnsi" w:hAnsiTheme="minorHAnsi"/>
          <w:sz w:val="22"/>
          <w:szCs w:val="22"/>
        </w:rPr>
        <w:t xml:space="preserve">madhë </w:t>
      </w:r>
      <w:r w:rsidR="00C27411">
        <w:rPr>
          <w:rFonts w:asciiTheme="minorHAnsi" w:hAnsiTheme="minorHAnsi"/>
          <w:sz w:val="22"/>
          <w:szCs w:val="22"/>
        </w:rPr>
        <w:t>s</w:t>
      </w:r>
      <w:r w:rsidR="00A5454B">
        <w:rPr>
          <w:rFonts w:asciiTheme="minorHAnsi" w:hAnsiTheme="minorHAnsi"/>
          <w:sz w:val="22"/>
          <w:szCs w:val="22"/>
        </w:rPr>
        <w:t>e sezonin e kaluar për shkak të zgjerimit</w:t>
      </w:r>
      <w:r w:rsidR="00C27411">
        <w:rPr>
          <w:rFonts w:asciiTheme="minorHAnsi" w:hAnsiTheme="minorHAnsi"/>
          <w:sz w:val="22"/>
          <w:szCs w:val="22"/>
        </w:rPr>
        <w:t xml:space="preserve"> të rrjet</w:t>
      </w:r>
      <w:r w:rsidR="00A5454B">
        <w:rPr>
          <w:rFonts w:asciiTheme="minorHAnsi" w:hAnsiTheme="minorHAnsi"/>
          <w:sz w:val="22"/>
          <w:szCs w:val="22"/>
        </w:rPr>
        <w:t>it</w:t>
      </w:r>
      <w:r w:rsidR="00826F59">
        <w:rPr>
          <w:rFonts w:asciiTheme="minorHAnsi" w:hAnsiTheme="minorHAnsi"/>
          <w:sz w:val="22"/>
          <w:szCs w:val="22"/>
        </w:rPr>
        <w:t>)</w:t>
      </w:r>
      <w:r w:rsidR="00C27411">
        <w:rPr>
          <w:rFonts w:asciiTheme="minorHAnsi" w:hAnsiTheme="minorHAnsi"/>
          <w:sz w:val="22"/>
          <w:szCs w:val="22"/>
        </w:rPr>
        <w:t xml:space="preserve">, si </w:t>
      </w:r>
      <w:r w:rsidR="00826F59" w:rsidRPr="00826F59">
        <w:rPr>
          <w:rFonts w:asciiTheme="minorHAnsi" w:hAnsiTheme="minorHAnsi"/>
          <w:sz w:val="22"/>
          <w:szCs w:val="22"/>
        </w:rPr>
        <w:t>dhe</w:t>
      </w:r>
      <w:r w:rsidR="00826F59" w:rsidRPr="00E84532">
        <w:rPr>
          <w:rFonts w:asciiTheme="minorHAnsi" w:hAnsiTheme="minorHAnsi"/>
          <w:sz w:val="22"/>
          <w:szCs w:val="22"/>
        </w:rPr>
        <w:t xml:space="preserve"> kostot tjera të ujit për rrjetin e kogjenerimit dhe nënstacionet</w:t>
      </w:r>
      <w:r w:rsidR="00C27411">
        <w:rPr>
          <w:rFonts w:asciiTheme="minorHAnsi" w:hAnsiTheme="minorHAnsi"/>
          <w:sz w:val="22"/>
          <w:szCs w:val="22"/>
        </w:rPr>
        <w:t xml:space="preserve">. </w:t>
      </w:r>
      <w:r w:rsidR="00C27411" w:rsidRPr="00E84532">
        <w:rPr>
          <w:rFonts w:asciiTheme="minorHAnsi" w:hAnsiTheme="minorHAnsi"/>
          <w:sz w:val="22"/>
          <w:szCs w:val="22"/>
        </w:rPr>
        <w:t>Rrjedhimisht, bazuar në llogaritjet përkatëse që marrin parasysh</w:t>
      </w:r>
      <w:r w:rsidR="00C27411">
        <w:rPr>
          <w:rFonts w:asciiTheme="minorHAnsi" w:hAnsiTheme="minorHAnsi"/>
          <w:sz w:val="22"/>
          <w:szCs w:val="22"/>
        </w:rPr>
        <w:t xml:space="preserve"> e</w:t>
      </w:r>
      <w:r w:rsidRPr="00E84532">
        <w:rPr>
          <w:rFonts w:asciiTheme="minorHAnsi" w:hAnsiTheme="minorHAnsi"/>
          <w:sz w:val="22"/>
          <w:szCs w:val="22"/>
        </w:rPr>
        <w:t>dhe tarifat aktuale të shërbimeve të ujit për KRU Prishtina – për shërbimin e ujësjellësit: 0.</w:t>
      </w:r>
      <w:r w:rsidR="00A5454B">
        <w:rPr>
          <w:rFonts w:asciiTheme="minorHAnsi" w:hAnsiTheme="minorHAnsi"/>
          <w:sz w:val="22"/>
          <w:szCs w:val="22"/>
        </w:rPr>
        <w:t>69</w:t>
      </w:r>
      <w:r w:rsidRPr="00E84532">
        <w:rPr>
          <w:rFonts w:asciiTheme="minorHAnsi" w:hAnsiTheme="minorHAnsi"/>
          <w:sz w:val="22"/>
          <w:szCs w:val="22"/>
        </w:rPr>
        <w:t xml:space="preserve"> €/ m</w:t>
      </w:r>
      <w:r w:rsidRPr="00E84532">
        <w:rPr>
          <w:rFonts w:asciiTheme="minorHAnsi" w:hAnsiTheme="minorHAnsi"/>
          <w:sz w:val="22"/>
          <w:szCs w:val="22"/>
          <w:vertAlign w:val="superscript"/>
        </w:rPr>
        <w:t>3</w:t>
      </w:r>
      <w:r w:rsidRPr="00E84532">
        <w:rPr>
          <w:rFonts w:asciiTheme="minorHAnsi" w:hAnsiTheme="minorHAnsi"/>
          <w:sz w:val="22"/>
          <w:szCs w:val="22"/>
        </w:rPr>
        <w:t xml:space="preserve"> dhe për shërbi</w:t>
      </w:r>
      <w:r w:rsidR="00F02724">
        <w:rPr>
          <w:rFonts w:asciiTheme="minorHAnsi" w:hAnsiTheme="minorHAnsi"/>
          <w:sz w:val="22"/>
          <w:szCs w:val="22"/>
        </w:rPr>
        <w:t>mi</w:t>
      </w:r>
      <w:r w:rsidRPr="00E84532">
        <w:rPr>
          <w:rFonts w:asciiTheme="minorHAnsi" w:hAnsiTheme="minorHAnsi"/>
          <w:sz w:val="22"/>
          <w:szCs w:val="22"/>
        </w:rPr>
        <w:t xml:space="preserve">n e </w:t>
      </w:r>
      <w:r w:rsidR="00F02724" w:rsidRPr="00E84532">
        <w:rPr>
          <w:rFonts w:asciiTheme="minorHAnsi" w:hAnsiTheme="minorHAnsi"/>
          <w:sz w:val="22"/>
          <w:szCs w:val="22"/>
        </w:rPr>
        <w:t>ujërave</w:t>
      </w:r>
      <w:r w:rsidRPr="00E84532">
        <w:rPr>
          <w:rFonts w:asciiTheme="minorHAnsi" w:hAnsiTheme="minorHAnsi"/>
          <w:sz w:val="22"/>
          <w:szCs w:val="22"/>
        </w:rPr>
        <w:t xml:space="preserve"> të zeza: 0.11 €/m</w:t>
      </w:r>
      <w:r w:rsidRPr="00E84532">
        <w:rPr>
          <w:rFonts w:asciiTheme="minorHAnsi" w:hAnsiTheme="minorHAnsi"/>
          <w:sz w:val="22"/>
          <w:szCs w:val="22"/>
          <w:vertAlign w:val="superscript"/>
        </w:rPr>
        <w:t>3</w:t>
      </w:r>
      <w:r w:rsidRPr="00E84532">
        <w:rPr>
          <w:rFonts w:asciiTheme="minorHAnsi" w:hAnsiTheme="minorHAnsi"/>
          <w:sz w:val="22"/>
          <w:szCs w:val="22"/>
        </w:rPr>
        <w:t xml:space="preserve">, </w:t>
      </w:r>
      <w:r w:rsidR="00002250">
        <w:rPr>
          <w:rFonts w:asciiTheme="minorHAnsi" w:hAnsiTheme="minorHAnsi"/>
          <w:sz w:val="22"/>
          <w:szCs w:val="22"/>
        </w:rPr>
        <w:t xml:space="preserve">si dhe koston për e ujit për nënstacione, ZRRE </w:t>
      </w:r>
      <w:r w:rsidR="00C27411">
        <w:rPr>
          <w:rFonts w:asciiTheme="minorHAnsi" w:hAnsiTheme="minorHAnsi"/>
          <w:sz w:val="22"/>
          <w:szCs w:val="22"/>
        </w:rPr>
        <w:t xml:space="preserve">vlerëson se kostoja e propozuar </w:t>
      </w:r>
      <w:r w:rsidRPr="00E84532">
        <w:rPr>
          <w:rFonts w:asciiTheme="minorHAnsi" w:hAnsiTheme="minorHAnsi"/>
          <w:sz w:val="22"/>
          <w:szCs w:val="22"/>
        </w:rPr>
        <w:t xml:space="preserve">e ujit prej </w:t>
      </w:r>
      <w:r w:rsidR="00C27411">
        <w:rPr>
          <w:rFonts w:asciiTheme="minorHAnsi" w:hAnsiTheme="minorHAnsi"/>
          <w:b/>
          <w:sz w:val="22"/>
          <w:szCs w:val="22"/>
        </w:rPr>
        <w:t>9</w:t>
      </w:r>
      <w:r w:rsidR="00A5454B">
        <w:rPr>
          <w:rFonts w:asciiTheme="minorHAnsi" w:hAnsiTheme="minorHAnsi"/>
          <w:b/>
          <w:sz w:val="22"/>
          <w:szCs w:val="22"/>
        </w:rPr>
        <w:t>4</w:t>
      </w:r>
      <w:r w:rsidRPr="00E84532">
        <w:rPr>
          <w:rFonts w:asciiTheme="minorHAnsi" w:hAnsiTheme="minorHAnsi"/>
          <w:b/>
          <w:sz w:val="22"/>
          <w:szCs w:val="22"/>
        </w:rPr>
        <w:t>,</w:t>
      </w:r>
      <w:r w:rsidR="00A5454B">
        <w:rPr>
          <w:rFonts w:asciiTheme="minorHAnsi" w:hAnsiTheme="minorHAnsi"/>
          <w:b/>
          <w:sz w:val="22"/>
          <w:szCs w:val="22"/>
        </w:rPr>
        <w:t>698</w:t>
      </w:r>
      <w:r w:rsidRPr="00E84532">
        <w:rPr>
          <w:rFonts w:asciiTheme="minorHAnsi" w:hAnsiTheme="minorHAnsi"/>
          <w:b/>
          <w:sz w:val="22"/>
          <w:szCs w:val="22"/>
        </w:rPr>
        <w:t xml:space="preserve"> €,</w:t>
      </w:r>
      <w:r w:rsidRPr="00E84532">
        <w:rPr>
          <w:rFonts w:asciiTheme="minorHAnsi" w:hAnsiTheme="minorHAnsi"/>
          <w:sz w:val="22"/>
          <w:szCs w:val="22"/>
        </w:rPr>
        <w:t xml:space="preserve"> </w:t>
      </w:r>
      <w:r w:rsidR="00002250">
        <w:rPr>
          <w:rFonts w:asciiTheme="minorHAnsi" w:hAnsiTheme="minorHAnsi"/>
          <w:sz w:val="22"/>
          <w:szCs w:val="22"/>
        </w:rPr>
        <w:t>është</w:t>
      </w:r>
      <w:r w:rsidRPr="00E84532">
        <w:rPr>
          <w:rFonts w:asciiTheme="minorHAnsi" w:hAnsiTheme="minorHAnsi"/>
          <w:sz w:val="22"/>
          <w:szCs w:val="22"/>
        </w:rPr>
        <w:t xml:space="preserve"> reale dhe e mjaftueshme</w:t>
      </w:r>
      <w:r w:rsidR="00F37A6C">
        <w:rPr>
          <w:rFonts w:asciiTheme="minorHAnsi" w:hAnsiTheme="minorHAnsi"/>
          <w:sz w:val="22"/>
          <w:szCs w:val="22"/>
        </w:rPr>
        <w:t xml:space="preserve"> për sezonin 2020</w:t>
      </w:r>
      <w:r w:rsidR="00A5454B">
        <w:rPr>
          <w:rFonts w:asciiTheme="minorHAnsi" w:hAnsiTheme="minorHAnsi"/>
          <w:sz w:val="22"/>
          <w:szCs w:val="22"/>
        </w:rPr>
        <w:t>/2021</w:t>
      </w:r>
      <w:r w:rsidRPr="00E84532">
        <w:rPr>
          <w:rFonts w:asciiTheme="minorHAnsi" w:hAnsiTheme="minorHAnsi"/>
          <w:sz w:val="22"/>
          <w:szCs w:val="22"/>
        </w:rPr>
        <w:t>.</w:t>
      </w: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 xml:space="preserve"> </w:t>
      </w:r>
      <w:r w:rsidRPr="00E84532">
        <w:rPr>
          <w:rFonts w:asciiTheme="minorHAnsi" w:hAnsiTheme="minorHAnsi"/>
          <w:sz w:val="22"/>
          <w:szCs w:val="22"/>
          <w:vertAlign w:val="superscript"/>
        </w:rPr>
        <w:t xml:space="preserve"> </w:t>
      </w:r>
      <w:r w:rsidRPr="00E84532">
        <w:rPr>
          <w:rFonts w:asciiTheme="minorHAnsi" w:hAnsiTheme="minorHAnsi"/>
          <w:sz w:val="22"/>
          <w:szCs w:val="22"/>
        </w:rPr>
        <w:t xml:space="preserve">  </w:t>
      </w:r>
    </w:p>
    <w:p w:rsidR="00E807F8" w:rsidRPr="00E84532" w:rsidRDefault="00E807F8" w:rsidP="00F23C29">
      <w:pPr>
        <w:numPr>
          <w:ilvl w:val="2"/>
          <w:numId w:val="6"/>
        </w:numPr>
        <w:tabs>
          <w:tab w:val="clear" w:pos="2160"/>
          <w:tab w:val="num" w:pos="360"/>
        </w:tabs>
        <w:ind w:left="360"/>
        <w:jc w:val="both"/>
        <w:rPr>
          <w:rFonts w:asciiTheme="minorHAnsi" w:hAnsiTheme="minorHAnsi"/>
          <w:b/>
          <w:sz w:val="22"/>
          <w:szCs w:val="22"/>
        </w:rPr>
      </w:pPr>
      <w:r w:rsidRPr="00E84532">
        <w:rPr>
          <w:rFonts w:asciiTheme="minorHAnsi" w:hAnsiTheme="minorHAnsi"/>
          <w:b/>
          <w:sz w:val="22"/>
          <w:szCs w:val="22"/>
        </w:rPr>
        <w:t>Kostoja e kemikaljeve për trajtimin e ujit</w:t>
      </w:r>
    </w:p>
    <w:p w:rsidR="00E807F8" w:rsidRPr="00E84532" w:rsidRDefault="00E807F8" w:rsidP="00E807F8">
      <w:pPr>
        <w:ind w:left="360"/>
        <w:jc w:val="both"/>
        <w:rPr>
          <w:rFonts w:asciiTheme="minorHAnsi" w:hAnsiTheme="minorHAnsi"/>
          <w:b/>
          <w:sz w:val="22"/>
          <w:szCs w:val="22"/>
        </w:rPr>
      </w:pPr>
    </w:p>
    <w:p w:rsidR="00E807F8" w:rsidRPr="00E84532" w:rsidRDefault="00E807F8" w:rsidP="00F23C29">
      <w:pPr>
        <w:numPr>
          <w:ilvl w:val="3"/>
          <w:numId w:val="15"/>
        </w:numPr>
        <w:tabs>
          <w:tab w:val="clear" w:pos="2880"/>
          <w:tab w:val="num" w:pos="720"/>
        </w:tabs>
        <w:ind w:left="720"/>
        <w:jc w:val="both"/>
        <w:rPr>
          <w:rFonts w:asciiTheme="minorHAnsi" w:hAnsiTheme="minorHAnsi"/>
          <w:sz w:val="22"/>
          <w:szCs w:val="22"/>
        </w:rPr>
      </w:pPr>
      <w:r w:rsidRPr="00E84532">
        <w:rPr>
          <w:rFonts w:asciiTheme="minorHAnsi" w:hAnsiTheme="minorHAnsi"/>
          <w:sz w:val="22"/>
          <w:szCs w:val="22"/>
        </w:rPr>
        <w:t xml:space="preserve">NQ Termokosi ka propozuar koston e kemikaljeve për trajtimin e ujit në vlerë prej </w:t>
      </w:r>
      <w:r w:rsidR="00C22F4C">
        <w:rPr>
          <w:rFonts w:asciiTheme="minorHAnsi" w:hAnsiTheme="minorHAnsi"/>
          <w:sz w:val="22"/>
          <w:szCs w:val="22"/>
        </w:rPr>
        <w:t>15</w:t>
      </w:r>
      <w:r w:rsidRPr="00E84532">
        <w:rPr>
          <w:rFonts w:asciiTheme="minorHAnsi" w:hAnsiTheme="minorHAnsi"/>
          <w:sz w:val="22"/>
          <w:szCs w:val="22"/>
        </w:rPr>
        <w:t>,</w:t>
      </w:r>
      <w:r w:rsidR="00C22F4C">
        <w:rPr>
          <w:rFonts w:asciiTheme="minorHAnsi" w:hAnsiTheme="minorHAnsi"/>
          <w:sz w:val="22"/>
          <w:szCs w:val="22"/>
        </w:rPr>
        <w:t>222</w:t>
      </w:r>
      <w:r w:rsidRPr="00E84532">
        <w:rPr>
          <w:rFonts w:asciiTheme="minorHAnsi" w:hAnsiTheme="minorHAnsi"/>
          <w:sz w:val="22"/>
          <w:szCs w:val="22"/>
        </w:rPr>
        <w:t xml:space="preserve"> €, që </w:t>
      </w:r>
      <w:r w:rsidR="00B836CF">
        <w:rPr>
          <w:rFonts w:asciiTheme="minorHAnsi" w:hAnsiTheme="minorHAnsi"/>
          <w:sz w:val="22"/>
          <w:szCs w:val="22"/>
        </w:rPr>
        <w:t xml:space="preserve">është kosto e rritur për </w:t>
      </w:r>
      <w:r w:rsidR="00C22F4C">
        <w:rPr>
          <w:rFonts w:asciiTheme="minorHAnsi" w:hAnsiTheme="minorHAnsi"/>
          <w:sz w:val="22"/>
          <w:szCs w:val="22"/>
        </w:rPr>
        <w:t>vetëm 754</w:t>
      </w:r>
      <w:r w:rsidRPr="00E84532">
        <w:rPr>
          <w:rFonts w:asciiTheme="minorHAnsi" w:hAnsiTheme="minorHAnsi"/>
          <w:sz w:val="22"/>
          <w:szCs w:val="22"/>
        </w:rPr>
        <w:t xml:space="preserve"> € në krahasim me </w:t>
      </w:r>
      <w:r w:rsidR="00A41953">
        <w:rPr>
          <w:rFonts w:asciiTheme="minorHAnsi" w:hAnsiTheme="minorHAnsi"/>
          <w:sz w:val="22"/>
          <w:szCs w:val="22"/>
        </w:rPr>
        <w:t xml:space="preserve">koston e </w:t>
      </w:r>
      <w:r w:rsidR="00C22F4C">
        <w:rPr>
          <w:rFonts w:asciiTheme="minorHAnsi" w:hAnsiTheme="minorHAnsi"/>
          <w:sz w:val="22"/>
          <w:szCs w:val="22"/>
        </w:rPr>
        <w:t xml:space="preserve">realizuar në sezonin e kaluar </w:t>
      </w:r>
      <w:r w:rsidR="00A41953">
        <w:rPr>
          <w:rFonts w:asciiTheme="minorHAnsi" w:hAnsiTheme="minorHAnsi"/>
          <w:sz w:val="22"/>
          <w:szCs w:val="22"/>
        </w:rPr>
        <w:t>201</w:t>
      </w:r>
      <w:r w:rsidR="00C22F4C">
        <w:rPr>
          <w:rFonts w:asciiTheme="minorHAnsi" w:hAnsiTheme="minorHAnsi"/>
          <w:sz w:val="22"/>
          <w:szCs w:val="22"/>
        </w:rPr>
        <w:t>9</w:t>
      </w:r>
      <w:r w:rsidRPr="00E84532">
        <w:rPr>
          <w:rFonts w:asciiTheme="minorHAnsi" w:hAnsiTheme="minorHAnsi"/>
          <w:sz w:val="22"/>
          <w:szCs w:val="22"/>
        </w:rPr>
        <w:t>/20</w:t>
      </w:r>
      <w:r w:rsidR="00C22F4C">
        <w:rPr>
          <w:rFonts w:asciiTheme="minorHAnsi" w:hAnsiTheme="minorHAnsi"/>
          <w:sz w:val="22"/>
          <w:szCs w:val="22"/>
        </w:rPr>
        <w:t>20 (14,468 €), e që reflekton rritjen e planifikuar sasië së ujit për rimbushje të sistemit</w:t>
      </w:r>
      <w:r w:rsidRPr="00E84532">
        <w:rPr>
          <w:rFonts w:asciiTheme="minorHAnsi" w:hAnsiTheme="minorHAnsi"/>
          <w:sz w:val="22"/>
          <w:szCs w:val="22"/>
        </w:rPr>
        <w:t>.</w:t>
      </w:r>
    </w:p>
    <w:p w:rsidR="00E807F8" w:rsidRPr="00E84532" w:rsidRDefault="00E807F8" w:rsidP="00E807F8">
      <w:pPr>
        <w:ind w:left="720"/>
        <w:jc w:val="both"/>
        <w:rPr>
          <w:rFonts w:asciiTheme="minorHAnsi" w:hAnsiTheme="minorHAnsi"/>
          <w:sz w:val="22"/>
          <w:szCs w:val="22"/>
        </w:rPr>
      </w:pPr>
    </w:p>
    <w:p w:rsidR="00E807F8" w:rsidRPr="00E84532" w:rsidRDefault="00E807F8" w:rsidP="00F23C29">
      <w:pPr>
        <w:numPr>
          <w:ilvl w:val="3"/>
          <w:numId w:val="15"/>
        </w:numPr>
        <w:tabs>
          <w:tab w:val="clear" w:pos="2880"/>
          <w:tab w:val="num" w:pos="720"/>
        </w:tabs>
        <w:ind w:left="720"/>
        <w:jc w:val="both"/>
        <w:rPr>
          <w:rFonts w:asciiTheme="minorHAnsi" w:hAnsiTheme="minorHAnsi"/>
          <w:sz w:val="22"/>
          <w:szCs w:val="22"/>
        </w:rPr>
      </w:pPr>
      <w:r w:rsidRPr="00E84532">
        <w:rPr>
          <w:rFonts w:asciiTheme="minorHAnsi" w:hAnsiTheme="minorHAnsi"/>
          <w:sz w:val="22"/>
          <w:szCs w:val="22"/>
        </w:rPr>
        <w:t xml:space="preserve">Vlerësimi – Duke marrë parasysh sasinë e ujit që duhet trajtuar, rrjedhjet e ujit (humbjet) dhe rritjen e planifikuar të sipërfaqes për ngrohje, ZRRE vlerëson se vlera prej </w:t>
      </w:r>
      <w:r w:rsidR="00C22F4C">
        <w:rPr>
          <w:rFonts w:asciiTheme="minorHAnsi" w:hAnsiTheme="minorHAnsi"/>
          <w:b/>
          <w:sz w:val="22"/>
          <w:szCs w:val="22"/>
        </w:rPr>
        <w:t>1</w:t>
      </w:r>
      <w:r w:rsidRPr="00E84532">
        <w:rPr>
          <w:rFonts w:asciiTheme="minorHAnsi" w:hAnsiTheme="minorHAnsi"/>
          <w:b/>
          <w:sz w:val="22"/>
          <w:szCs w:val="22"/>
        </w:rPr>
        <w:t>5,</w:t>
      </w:r>
      <w:r w:rsidR="00C22F4C">
        <w:rPr>
          <w:rFonts w:asciiTheme="minorHAnsi" w:hAnsiTheme="minorHAnsi"/>
          <w:b/>
          <w:sz w:val="22"/>
          <w:szCs w:val="22"/>
        </w:rPr>
        <w:t>222</w:t>
      </w:r>
      <w:r w:rsidRPr="00E84532">
        <w:rPr>
          <w:rFonts w:asciiTheme="minorHAnsi" w:hAnsiTheme="minorHAnsi"/>
          <w:b/>
          <w:sz w:val="22"/>
          <w:szCs w:val="22"/>
        </w:rPr>
        <w:t xml:space="preserve"> €</w:t>
      </w:r>
      <w:r w:rsidRPr="00E84532">
        <w:rPr>
          <w:rFonts w:asciiTheme="minorHAnsi" w:hAnsiTheme="minorHAnsi"/>
          <w:sz w:val="22"/>
          <w:szCs w:val="22"/>
        </w:rPr>
        <w:t xml:space="preserve"> është e mjaftueshme për të mbuluar koston e kemikaljeve për trajtimin e ujit.</w:t>
      </w:r>
    </w:p>
    <w:p w:rsidR="00E807F8" w:rsidRPr="00E84532" w:rsidRDefault="00E807F8" w:rsidP="00E807F8">
      <w:pPr>
        <w:jc w:val="both"/>
        <w:rPr>
          <w:rFonts w:asciiTheme="minorHAnsi" w:hAnsiTheme="minorHAnsi"/>
          <w:sz w:val="22"/>
          <w:szCs w:val="22"/>
        </w:rPr>
      </w:pPr>
    </w:p>
    <w:p w:rsidR="00E807F8" w:rsidRPr="00E84532" w:rsidRDefault="00E807F8" w:rsidP="00F23C29">
      <w:pPr>
        <w:numPr>
          <w:ilvl w:val="4"/>
          <w:numId w:val="6"/>
        </w:numPr>
        <w:tabs>
          <w:tab w:val="clear" w:pos="3600"/>
          <w:tab w:val="num" w:pos="360"/>
        </w:tabs>
        <w:ind w:left="360"/>
        <w:jc w:val="both"/>
        <w:rPr>
          <w:rFonts w:asciiTheme="minorHAnsi" w:hAnsiTheme="minorHAnsi"/>
          <w:b/>
          <w:sz w:val="22"/>
          <w:szCs w:val="22"/>
        </w:rPr>
      </w:pPr>
      <w:r w:rsidRPr="00E84532">
        <w:rPr>
          <w:rFonts w:asciiTheme="minorHAnsi" w:hAnsiTheme="minorHAnsi"/>
          <w:b/>
          <w:sz w:val="22"/>
          <w:szCs w:val="22"/>
        </w:rPr>
        <w:t xml:space="preserve">Kostoja e energjisë elektrike  </w:t>
      </w:r>
    </w:p>
    <w:p w:rsidR="00E807F8" w:rsidRPr="00E84532" w:rsidRDefault="00E807F8" w:rsidP="00E807F8">
      <w:pPr>
        <w:ind w:left="720"/>
        <w:jc w:val="both"/>
        <w:rPr>
          <w:rFonts w:asciiTheme="minorHAnsi" w:hAnsiTheme="minorHAnsi"/>
          <w:sz w:val="22"/>
          <w:szCs w:val="22"/>
        </w:rPr>
      </w:pPr>
    </w:p>
    <w:p w:rsidR="00E807F8" w:rsidRPr="00E84532" w:rsidRDefault="00E807F8" w:rsidP="00F23C29">
      <w:pPr>
        <w:numPr>
          <w:ilvl w:val="5"/>
          <w:numId w:val="6"/>
        </w:numPr>
        <w:tabs>
          <w:tab w:val="clear" w:pos="4320"/>
          <w:tab w:val="num" w:pos="720"/>
        </w:tabs>
        <w:ind w:left="720"/>
        <w:jc w:val="both"/>
        <w:rPr>
          <w:rFonts w:asciiTheme="minorHAnsi" w:hAnsiTheme="minorHAnsi"/>
          <w:sz w:val="22"/>
          <w:szCs w:val="22"/>
        </w:rPr>
      </w:pPr>
      <w:r w:rsidRPr="00E84532">
        <w:rPr>
          <w:rFonts w:asciiTheme="minorHAnsi" w:hAnsiTheme="minorHAnsi"/>
          <w:sz w:val="22"/>
          <w:szCs w:val="22"/>
        </w:rPr>
        <w:t>Për koston e energjisë elektrike NQ Termokos ka propozuar vlerën totale prej 5</w:t>
      </w:r>
      <w:r w:rsidR="005F7877">
        <w:rPr>
          <w:rFonts w:asciiTheme="minorHAnsi" w:hAnsiTheme="minorHAnsi"/>
          <w:sz w:val="22"/>
          <w:szCs w:val="22"/>
        </w:rPr>
        <w:t>9</w:t>
      </w:r>
      <w:r w:rsidR="00C22F4C">
        <w:rPr>
          <w:rFonts w:asciiTheme="minorHAnsi" w:hAnsiTheme="minorHAnsi"/>
          <w:sz w:val="22"/>
          <w:szCs w:val="22"/>
        </w:rPr>
        <w:t>6</w:t>
      </w:r>
      <w:r w:rsidRPr="00E84532">
        <w:rPr>
          <w:rFonts w:asciiTheme="minorHAnsi" w:hAnsiTheme="minorHAnsi"/>
          <w:sz w:val="22"/>
          <w:szCs w:val="22"/>
        </w:rPr>
        <w:t>,</w:t>
      </w:r>
      <w:r w:rsidR="00C22F4C">
        <w:rPr>
          <w:rFonts w:asciiTheme="minorHAnsi" w:hAnsiTheme="minorHAnsi"/>
          <w:sz w:val="22"/>
          <w:szCs w:val="22"/>
        </w:rPr>
        <w:t>48</w:t>
      </w:r>
      <w:r w:rsidR="005F7877">
        <w:rPr>
          <w:rFonts w:asciiTheme="minorHAnsi" w:hAnsiTheme="minorHAnsi"/>
          <w:sz w:val="22"/>
          <w:szCs w:val="22"/>
        </w:rPr>
        <w:t>9</w:t>
      </w:r>
      <w:r w:rsidRPr="00E84532">
        <w:rPr>
          <w:rFonts w:asciiTheme="minorHAnsi" w:hAnsiTheme="minorHAnsi"/>
          <w:sz w:val="22"/>
          <w:szCs w:val="22"/>
        </w:rPr>
        <w:t xml:space="preserve"> €</w:t>
      </w:r>
      <w:r w:rsidR="005F7877">
        <w:rPr>
          <w:rFonts w:asciiTheme="minorHAnsi" w:hAnsiTheme="minorHAnsi"/>
          <w:sz w:val="22"/>
          <w:szCs w:val="22"/>
        </w:rPr>
        <w:t xml:space="preserve"> - </w:t>
      </w:r>
      <w:r w:rsidRPr="00E84532">
        <w:rPr>
          <w:rFonts w:asciiTheme="minorHAnsi" w:hAnsiTheme="minorHAnsi"/>
          <w:sz w:val="22"/>
          <w:szCs w:val="22"/>
        </w:rPr>
        <w:t>kjo kosto merr parasysh konsumin e energjisë elektrike në impiante</w:t>
      </w:r>
      <w:r w:rsidR="005F7877">
        <w:rPr>
          <w:rFonts w:asciiTheme="minorHAnsi" w:hAnsiTheme="minorHAnsi"/>
          <w:sz w:val="22"/>
          <w:szCs w:val="22"/>
        </w:rPr>
        <w:t xml:space="preserve">t e sistemit dhe në nënstacione. </w:t>
      </w:r>
      <w:r w:rsidRPr="00E84532">
        <w:rPr>
          <w:rFonts w:asciiTheme="minorHAnsi" w:hAnsiTheme="minorHAnsi"/>
          <w:sz w:val="22"/>
          <w:szCs w:val="22"/>
        </w:rPr>
        <w:t xml:space="preserve">Duhet theksuar se vlera e propozuar e kostos së energjisë elektrike paraqet një rritje prej </w:t>
      </w:r>
      <w:r w:rsidR="00C22F4C">
        <w:rPr>
          <w:rFonts w:asciiTheme="minorHAnsi" w:hAnsiTheme="minorHAnsi"/>
          <w:sz w:val="22"/>
          <w:szCs w:val="22"/>
        </w:rPr>
        <w:t>rreth</w:t>
      </w:r>
      <w:r w:rsidRPr="00E84532">
        <w:rPr>
          <w:rFonts w:asciiTheme="minorHAnsi" w:hAnsiTheme="minorHAnsi"/>
          <w:sz w:val="22"/>
          <w:szCs w:val="22"/>
        </w:rPr>
        <w:t xml:space="preserve"> 1</w:t>
      </w:r>
      <w:r w:rsidR="00C22F4C">
        <w:rPr>
          <w:rFonts w:asciiTheme="minorHAnsi" w:hAnsiTheme="minorHAnsi"/>
          <w:sz w:val="22"/>
          <w:szCs w:val="22"/>
        </w:rPr>
        <w:t>1</w:t>
      </w:r>
      <w:r w:rsidRPr="00E84532">
        <w:rPr>
          <w:rFonts w:asciiTheme="minorHAnsi" w:hAnsiTheme="minorHAnsi"/>
          <w:sz w:val="22"/>
          <w:szCs w:val="22"/>
        </w:rPr>
        <w:t>%  krahasuar me vlerën e realizuar në sezonin e kaluar 201</w:t>
      </w:r>
      <w:r w:rsidR="00C22F4C">
        <w:rPr>
          <w:rFonts w:asciiTheme="minorHAnsi" w:hAnsiTheme="minorHAnsi"/>
          <w:sz w:val="22"/>
          <w:szCs w:val="22"/>
        </w:rPr>
        <w:t>9/2020</w:t>
      </w:r>
      <w:r w:rsidRPr="00E84532">
        <w:rPr>
          <w:rFonts w:asciiTheme="minorHAnsi" w:hAnsiTheme="minorHAnsi"/>
          <w:sz w:val="22"/>
          <w:szCs w:val="22"/>
        </w:rPr>
        <w:t xml:space="preserve"> (</w:t>
      </w:r>
      <w:r w:rsidR="00C22F4C">
        <w:rPr>
          <w:rFonts w:asciiTheme="minorHAnsi" w:hAnsiTheme="minorHAnsi"/>
          <w:sz w:val="22"/>
          <w:szCs w:val="22"/>
        </w:rPr>
        <w:t>537</w:t>
      </w:r>
      <w:r w:rsidRPr="00E84532">
        <w:rPr>
          <w:rFonts w:asciiTheme="minorHAnsi" w:hAnsiTheme="minorHAnsi"/>
          <w:sz w:val="22"/>
          <w:szCs w:val="22"/>
        </w:rPr>
        <w:t>,</w:t>
      </w:r>
      <w:r w:rsidR="00C22F4C">
        <w:rPr>
          <w:rFonts w:asciiTheme="minorHAnsi" w:hAnsiTheme="minorHAnsi"/>
          <w:sz w:val="22"/>
          <w:szCs w:val="22"/>
        </w:rPr>
        <w:t>3</w:t>
      </w:r>
      <w:r w:rsidR="005F7877">
        <w:rPr>
          <w:rFonts w:asciiTheme="minorHAnsi" w:hAnsiTheme="minorHAnsi"/>
          <w:sz w:val="22"/>
          <w:szCs w:val="22"/>
        </w:rPr>
        <w:t>7</w:t>
      </w:r>
      <w:r w:rsidR="00C22F4C">
        <w:rPr>
          <w:rFonts w:asciiTheme="minorHAnsi" w:hAnsiTheme="minorHAnsi"/>
          <w:sz w:val="22"/>
          <w:szCs w:val="22"/>
        </w:rPr>
        <w:t>8</w:t>
      </w:r>
      <w:r w:rsidRPr="00E84532">
        <w:rPr>
          <w:rFonts w:asciiTheme="minorHAnsi" w:hAnsiTheme="minorHAnsi"/>
          <w:sz w:val="22"/>
          <w:szCs w:val="22"/>
        </w:rPr>
        <w:t>€). Kjo rritje është arsyetuar kryesisht me shtim të numrit të nënstacioneve për shkak të rritjes së bazës së konsumatorëve gjegjësisht shtimit të sipërfaqes ngrohëse dhe shtimin e pajisjeve të reja.</w:t>
      </w:r>
    </w:p>
    <w:p w:rsidR="00E807F8" w:rsidRPr="00E84532" w:rsidRDefault="00E807F8" w:rsidP="00E807F8">
      <w:pPr>
        <w:ind w:left="720"/>
        <w:jc w:val="both"/>
        <w:rPr>
          <w:rFonts w:asciiTheme="minorHAnsi" w:hAnsiTheme="minorHAnsi"/>
          <w:sz w:val="22"/>
          <w:szCs w:val="22"/>
        </w:rPr>
      </w:pPr>
      <w:r w:rsidRPr="00E84532">
        <w:rPr>
          <w:rFonts w:asciiTheme="minorHAnsi" w:hAnsiTheme="minorHAnsi"/>
          <w:sz w:val="22"/>
          <w:szCs w:val="22"/>
        </w:rPr>
        <w:t xml:space="preserve"> </w:t>
      </w:r>
    </w:p>
    <w:p w:rsidR="00002250" w:rsidRPr="00002250" w:rsidRDefault="00E807F8" w:rsidP="005F7877">
      <w:pPr>
        <w:numPr>
          <w:ilvl w:val="5"/>
          <w:numId w:val="6"/>
        </w:numPr>
        <w:tabs>
          <w:tab w:val="clear" w:pos="4320"/>
          <w:tab w:val="num" w:pos="720"/>
        </w:tabs>
        <w:ind w:left="720"/>
        <w:jc w:val="both"/>
        <w:rPr>
          <w:rFonts w:asciiTheme="minorHAnsi" w:hAnsiTheme="minorHAnsi"/>
          <w:sz w:val="22"/>
        </w:rPr>
      </w:pPr>
      <w:r w:rsidRPr="00E84532">
        <w:rPr>
          <w:rFonts w:asciiTheme="minorHAnsi" w:hAnsiTheme="minorHAnsi"/>
          <w:sz w:val="22"/>
          <w:szCs w:val="22"/>
        </w:rPr>
        <w:t>Vlerësimi – ZRRE vlerëson se planifikimi i kostos së energjisë elektrike është i bazuar dhe real dhe se rritja prej rreth 1</w:t>
      </w:r>
      <w:r w:rsidR="00C22F4C">
        <w:rPr>
          <w:rFonts w:asciiTheme="minorHAnsi" w:hAnsiTheme="minorHAnsi"/>
          <w:sz w:val="22"/>
          <w:szCs w:val="22"/>
        </w:rPr>
        <w:t>1</w:t>
      </w:r>
      <w:r w:rsidRPr="00E84532">
        <w:rPr>
          <w:rFonts w:asciiTheme="minorHAnsi" w:hAnsiTheme="minorHAnsi"/>
          <w:sz w:val="22"/>
          <w:szCs w:val="22"/>
        </w:rPr>
        <w:t xml:space="preserve">% korrespondon me shtimin e numrit të nënstacioneve respektivisht sipërfaqes për ngrohje. Rrjedhimisht pranohet kostoja e paraqitur e energjisë elektrike në vlerë prej </w:t>
      </w:r>
      <w:r w:rsidRPr="00E84532">
        <w:rPr>
          <w:rFonts w:asciiTheme="minorHAnsi" w:hAnsiTheme="minorHAnsi"/>
          <w:b/>
          <w:sz w:val="22"/>
          <w:szCs w:val="22"/>
        </w:rPr>
        <w:t>5</w:t>
      </w:r>
      <w:r w:rsidR="005F7877">
        <w:rPr>
          <w:rFonts w:asciiTheme="minorHAnsi" w:hAnsiTheme="minorHAnsi"/>
          <w:b/>
          <w:sz w:val="22"/>
          <w:szCs w:val="22"/>
        </w:rPr>
        <w:t>9</w:t>
      </w:r>
      <w:r w:rsidR="00C22F4C">
        <w:rPr>
          <w:rFonts w:asciiTheme="minorHAnsi" w:hAnsiTheme="minorHAnsi"/>
          <w:b/>
          <w:sz w:val="22"/>
          <w:szCs w:val="22"/>
        </w:rPr>
        <w:t>6</w:t>
      </w:r>
      <w:r w:rsidRPr="00E84532">
        <w:rPr>
          <w:rFonts w:asciiTheme="minorHAnsi" w:hAnsiTheme="minorHAnsi"/>
          <w:b/>
          <w:sz w:val="22"/>
          <w:szCs w:val="22"/>
        </w:rPr>
        <w:t>,</w:t>
      </w:r>
      <w:r w:rsidR="00C22F4C">
        <w:rPr>
          <w:rFonts w:asciiTheme="minorHAnsi" w:hAnsiTheme="minorHAnsi"/>
          <w:b/>
          <w:sz w:val="22"/>
          <w:szCs w:val="22"/>
        </w:rPr>
        <w:t>48</w:t>
      </w:r>
      <w:r w:rsidR="005F7877">
        <w:rPr>
          <w:rFonts w:asciiTheme="minorHAnsi" w:hAnsiTheme="minorHAnsi"/>
          <w:b/>
          <w:sz w:val="22"/>
          <w:szCs w:val="22"/>
        </w:rPr>
        <w:t>9</w:t>
      </w:r>
      <w:r w:rsidRPr="00E84532">
        <w:rPr>
          <w:rFonts w:asciiTheme="minorHAnsi" w:hAnsiTheme="minorHAnsi"/>
          <w:b/>
          <w:sz w:val="22"/>
          <w:szCs w:val="22"/>
        </w:rPr>
        <w:t xml:space="preserve"> €</w:t>
      </w:r>
      <w:r w:rsidRPr="00E84532">
        <w:rPr>
          <w:rFonts w:asciiTheme="minorHAnsi" w:hAnsiTheme="minorHAnsi"/>
          <w:sz w:val="22"/>
          <w:szCs w:val="22"/>
        </w:rPr>
        <w:t xml:space="preserve"> si reale dhe e mjaftueshme për të mbuluar konsumin e tërësishëm të </w:t>
      </w:r>
      <w:r w:rsidRPr="00E84532">
        <w:rPr>
          <w:rFonts w:asciiTheme="minorHAnsi" w:hAnsiTheme="minorHAnsi"/>
          <w:sz w:val="22"/>
          <w:szCs w:val="22"/>
        </w:rPr>
        <w:lastRenderedPageBreak/>
        <w:t>energjisë elektrike për periudhën në fjalë, përfshirë edhe shpenzimet shtesë për shkak të rritjes së sipërfaqes ngrohëse dhe instalimit të pajisjeve shtesë (të reja).</w:t>
      </w:r>
    </w:p>
    <w:p w:rsidR="00E807F8" w:rsidRPr="00C22F4C" w:rsidRDefault="00E807F8" w:rsidP="00002250">
      <w:pPr>
        <w:jc w:val="both"/>
        <w:rPr>
          <w:rFonts w:asciiTheme="minorHAnsi" w:hAnsiTheme="minorHAnsi"/>
          <w:sz w:val="22"/>
        </w:rPr>
      </w:pPr>
      <w:r w:rsidRPr="00E84532">
        <w:rPr>
          <w:rFonts w:asciiTheme="minorHAnsi" w:hAnsiTheme="minorHAnsi"/>
          <w:sz w:val="22"/>
          <w:szCs w:val="22"/>
        </w:rPr>
        <w:t xml:space="preserve">  </w:t>
      </w:r>
    </w:p>
    <w:p w:rsidR="00E807F8" w:rsidRPr="00E84532" w:rsidRDefault="00E807F8" w:rsidP="00F23C29">
      <w:pPr>
        <w:numPr>
          <w:ilvl w:val="4"/>
          <w:numId w:val="7"/>
        </w:numPr>
        <w:tabs>
          <w:tab w:val="clear" w:pos="3600"/>
          <w:tab w:val="num" w:pos="360"/>
        </w:tabs>
        <w:ind w:left="360"/>
        <w:jc w:val="both"/>
        <w:rPr>
          <w:rFonts w:asciiTheme="minorHAnsi" w:hAnsiTheme="minorHAnsi"/>
          <w:b/>
          <w:sz w:val="22"/>
        </w:rPr>
      </w:pPr>
      <w:r w:rsidRPr="00E84532">
        <w:rPr>
          <w:rFonts w:asciiTheme="minorHAnsi" w:hAnsiTheme="minorHAnsi"/>
          <w:b/>
          <w:sz w:val="22"/>
        </w:rPr>
        <w:t>Kostoja e Personelit (“puna direkte”)</w:t>
      </w:r>
    </w:p>
    <w:p w:rsidR="00E807F8" w:rsidRPr="00E84532" w:rsidRDefault="00E807F8" w:rsidP="00E807F8">
      <w:pPr>
        <w:ind w:left="360"/>
        <w:jc w:val="both"/>
        <w:rPr>
          <w:rFonts w:asciiTheme="minorHAnsi" w:hAnsiTheme="minorHAnsi"/>
          <w:sz w:val="22"/>
        </w:rPr>
      </w:pPr>
    </w:p>
    <w:p w:rsidR="00E807F8" w:rsidRPr="00F02724" w:rsidRDefault="00E807F8" w:rsidP="00F23C29">
      <w:pPr>
        <w:numPr>
          <w:ilvl w:val="5"/>
          <w:numId w:val="7"/>
        </w:numPr>
        <w:tabs>
          <w:tab w:val="clear" w:pos="4320"/>
          <w:tab w:val="num" w:pos="720"/>
        </w:tabs>
        <w:ind w:left="720"/>
        <w:jc w:val="both"/>
        <w:rPr>
          <w:rFonts w:asciiTheme="minorHAnsi" w:hAnsiTheme="minorHAnsi"/>
          <w:sz w:val="22"/>
        </w:rPr>
      </w:pPr>
      <w:r w:rsidRPr="00E84532">
        <w:rPr>
          <w:rFonts w:asciiTheme="minorHAnsi" w:hAnsiTheme="minorHAnsi"/>
          <w:sz w:val="22"/>
        </w:rPr>
        <w:t xml:space="preserve">NQ Termokos ka paraqitur koston e personelit – “puna direkte”, në vlerë prej </w:t>
      </w:r>
      <w:r w:rsidR="00C73E1C">
        <w:rPr>
          <w:rFonts w:asciiTheme="minorHAnsi" w:hAnsiTheme="minorHAnsi"/>
          <w:sz w:val="22"/>
        </w:rPr>
        <w:t>9</w:t>
      </w:r>
      <w:r w:rsidR="005412A4">
        <w:rPr>
          <w:rFonts w:asciiTheme="minorHAnsi" w:hAnsiTheme="minorHAnsi"/>
          <w:sz w:val="22"/>
        </w:rPr>
        <w:t>7</w:t>
      </w:r>
      <w:r w:rsidR="00C73E1C">
        <w:rPr>
          <w:rFonts w:asciiTheme="minorHAnsi" w:hAnsiTheme="minorHAnsi"/>
          <w:sz w:val="22"/>
        </w:rPr>
        <w:t>8</w:t>
      </w:r>
      <w:r w:rsidRPr="00E84532">
        <w:rPr>
          <w:rFonts w:asciiTheme="minorHAnsi" w:hAnsiTheme="minorHAnsi"/>
          <w:sz w:val="22"/>
        </w:rPr>
        <w:t>,</w:t>
      </w:r>
      <w:r w:rsidR="005412A4">
        <w:rPr>
          <w:rFonts w:asciiTheme="minorHAnsi" w:hAnsiTheme="minorHAnsi"/>
          <w:sz w:val="22"/>
        </w:rPr>
        <w:t>03</w:t>
      </w:r>
      <w:r w:rsidR="00C73E1C">
        <w:rPr>
          <w:rFonts w:asciiTheme="minorHAnsi" w:hAnsiTheme="minorHAnsi"/>
          <w:sz w:val="22"/>
        </w:rPr>
        <w:t>8</w:t>
      </w:r>
      <w:r w:rsidRPr="00E84532">
        <w:rPr>
          <w:rFonts w:asciiTheme="minorHAnsi" w:hAnsiTheme="minorHAnsi"/>
          <w:sz w:val="22"/>
        </w:rPr>
        <w:t xml:space="preserve"> €, që paraqet një rritje prej </w:t>
      </w:r>
      <w:r w:rsidR="00C73E1C">
        <w:rPr>
          <w:rFonts w:asciiTheme="minorHAnsi" w:hAnsiTheme="minorHAnsi"/>
          <w:sz w:val="22"/>
        </w:rPr>
        <w:t>16.23</w:t>
      </w:r>
      <w:r w:rsidRPr="00E84532">
        <w:rPr>
          <w:rFonts w:asciiTheme="minorHAnsi" w:hAnsiTheme="minorHAnsi"/>
          <w:sz w:val="22"/>
        </w:rPr>
        <w:t xml:space="preserve">% në krahasim me vlerën e </w:t>
      </w:r>
      <w:r w:rsidR="00C73E1C">
        <w:rPr>
          <w:rFonts w:asciiTheme="minorHAnsi" w:hAnsiTheme="minorHAnsi"/>
          <w:sz w:val="22"/>
        </w:rPr>
        <w:t>lejuar</w:t>
      </w:r>
      <w:r w:rsidR="005412A4">
        <w:rPr>
          <w:rFonts w:asciiTheme="minorHAnsi" w:hAnsiTheme="minorHAnsi"/>
          <w:sz w:val="22"/>
        </w:rPr>
        <w:t xml:space="preserve"> </w:t>
      </w:r>
      <w:r w:rsidRPr="00E84532">
        <w:rPr>
          <w:rFonts w:asciiTheme="minorHAnsi" w:hAnsiTheme="minorHAnsi"/>
          <w:sz w:val="22"/>
        </w:rPr>
        <w:t xml:space="preserve">në </w:t>
      </w:r>
      <w:r w:rsidR="005412A4">
        <w:rPr>
          <w:rFonts w:asciiTheme="minorHAnsi" w:hAnsiTheme="minorHAnsi"/>
          <w:sz w:val="22"/>
        </w:rPr>
        <w:t xml:space="preserve">sezonin e </w:t>
      </w:r>
      <w:r w:rsidRPr="00E84532">
        <w:rPr>
          <w:rFonts w:asciiTheme="minorHAnsi" w:hAnsiTheme="minorHAnsi"/>
          <w:sz w:val="22"/>
        </w:rPr>
        <w:t>kaluar</w:t>
      </w:r>
      <w:r w:rsidR="00C73E1C">
        <w:rPr>
          <w:rFonts w:asciiTheme="minorHAnsi" w:hAnsiTheme="minorHAnsi"/>
          <w:sz w:val="22"/>
        </w:rPr>
        <w:t xml:space="preserve"> (841,454 €)</w:t>
      </w:r>
      <w:r w:rsidRPr="00E84532">
        <w:rPr>
          <w:rFonts w:asciiTheme="minorHAnsi" w:hAnsiTheme="minorHAnsi"/>
          <w:sz w:val="22"/>
        </w:rPr>
        <w:t xml:space="preserve">. Për këtë parashikim </w:t>
      </w:r>
      <w:r w:rsidR="00A43928">
        <w:rPr>
          <w:rFonts w:asciiTheme="minorHAnsi" w:hAnsiTheme="minorHAnsi"/>
          <w:sz w:val="22"/>
        </w:rPr>
        <w:t>j</w:t>
      </w:r>
      <w:r w:rsidRPr="00E84532">
        <w:rPr>
          <w:rFonts w:asciiTheme="minorHAnsi" w:hAnsiTheme="minorHAnsi"/>
          <w:sz w:val="22"/>
        </w:rPr>
        <w:t>anë ofruar detaje</w:t>
      </w:r>
      <w:r w:rsidR="00A43928">
        <w:rPr>
          <w:rFonts w:asciiTheme="minorHAnsi" w:hAnsiTheme="minorHAnsi"/>
          <w:sz w:val="22"/>
        </w:rPr>
        <w:t>, të cilat janë</w:t>
      </w:r>
      <w:r w:rsidRPr="00E84532">
        <w:rPr>
          <w:rFonts w:asciiTheme="minorHAnsi" w:hAnsiTheme="minorHAnsi"/>
          <w:sz w:val="22"/>
        </w:rPr>
        <w:t xml:space="preserve"> kërkuar në komentet me shkrim të ZRRE-së, </w:t>
      </w:r>
      <w:r w:rsidR="00A43928">
        <w:rPr>
          <w:rFonts w:asciiTheme="minorHAnsi" w:hAnsiTheme="minorHAnsi"/>
          <w:sz w:val="22"/>
        </w:rPr>
        <w:t xml:space="preserve">dhe </w:t>
      </w:r>
      <w:r w:rsidRPr="00E84532">
        <w:rPr>
          <w:rFonts w:asciiTheme="minorHAnsi" w:hAnsiTheme="minorHAnsi"/>
          <w:sz w:val="22"/>
        </w:rPr>
        <w:t xml:space="preserve">është arsyetuar me </w:t>
      </w:r>
      <w:r w:rsidR="00A43928">
        <w:rPr>
          <w:rFonts w:asciiTheme="minorHAnsi" w:hAnsiTheme="minorHAnsi"/>
          <w:sz w:val="22"/>
        </w:rPr>
        <w:t xml:space="preserve">rritjen e planifikuar të numrit të stafit sipas Rregullores për organizmin dhe sistematizimin e vendeve të punës nxjerrur nga Bordi i NP Termokos në fund të vitit 2019. </w:t>
      </w:r>
      <w:r w:rsidR="00C6394A">
        <w:rPr>
          <w:rFonts w:asciiTheme="minorHAnsi" w:hAnsiTheme="minorHAnsi"/>
          <w:sz w:val="22"/>
        </w:rPr>
        <w:t>S</w:t>
      </w:r>
      <w:r w:rsidR="00A43928">
        <w:rPr>
          <w:rFonts w:asciiTheme="minorHAnsi" w:hAnsiTheme="minorHAnsi"/>
          <w:sz w:val="22"/>
        </w:rPr>
        <w:t xml:space="preserve">ipas kësaj Rregullore, ndër tjera,  parashihet rritje e numrit të punësuarve </w:t>
      </w:r>
      <w:r w:rsidR="00C6394A">
        <w:rPr>
          <w:rFonts w:asciiTheme="minorHAnsi" w:hAnsiTheme="minorHAnsi"/>
          <w:sz w:val="22"/>
        </w:rPr>
        <w:t xml:space="preserve">(nga aktualisht 203 në 248), si </w:t>
      </w:r>
      <w:r w:rsidR="00A43928">
        <w:rPr>
          <w:rFonts w:asciiTheme="minorHAnsi" w:hAnsiTheme="minorHAnsi"/>
          <w:sz w:val="22"/>
        </w:rPr>
        <w:t>dhe shtimi i disa njësive të reja organizative, si p.sh. Departamenti Ligjor dhe Departamenti për Zhvillim dhe Investime Kapitale</w:t>
      </w:r>
      <w:r w:rsidR="00C6394A">
        <w:rPr>
          <w:rFonts w:asciiTheme="minorHAnsi" w:hAnsiTheme="minorHAnsi"/>
          <w:sz w:val="22"/>
        </w:rPr>
        <w:t>, që parashihet të kenë 24 të punësuar</w:t>
      </w:r>
      <w:r w:rsidR="00A43928">
        <w:rPr>
          <w:rFonts w:asciiTheme="minorHAnsi" w:hAnsiTheme="minorHAnsi"/>
          <w:sz w:val="22"/>
        </w:rPr>
        <w:t>.</w:t>
      </w:r>
      <w:r w:rsidR="00C6394A">
        <w:rPr>
          <w:rFonts w:asciiTheme="minorHAnsi" w:hAnsiTheme="minorHAnsi"/>
          <w:sz w:val="22"/>
        </w:rPr>
        <w:t xml:space="preserve"> Sipas organogramit të ri parashihet një shtim i numrit të punësuarve në Departamentin e shpërndarjes </w:t>
      </w:r>
      <w:r w:rsidR="00AA3833">
        <w:rPr>
          <w:rFonts w:asciiTheme="minorHAnsi" w:hAnsiTheme="minorHAnsi"/>
          <w:sz w:val="22"/>
        </w:rPr>
        <w:t>për shkak të zgjerimit të rrjetit në distriktet (lagjet) tjera të qytetit, në kuadër të projekteve që janë në vijim e sipër ose të planifikuara. Lidhur me rritjen e planifikuar të numrit të punëtorëve</w:t>
      </w:r>
      <w:r w:rsidR="00D81C7B">
        <w:rPr>
          <w:rFonts w:asciiTheme="minorHAnsi" w:hAnsiTheme="minorHAnsi"/>
          <w:sz w:val="22"/>
        </w:rPr>
        <w:t>,</w:t>
      </w:r>
      <w:r w:rsidR="00AA3833">
        <w:rPr>
          <w:rFonts w:asciiTheme="minorHAnsi" w:hAnsiTheme="minorHAnsi"/>
          <w:sz w:val="22"/>
        </w:rPr>
        <w:t xml:space="preserve"> duhet theksuar se, sipas informatave nga NP Termokos ende nuk janë plotësuar vendet e reja të punës si në departamentet ekzistese ashtu edhe në departamentet e reja. </w:t>
      </w:r>
      <w:r w:rsidR="00351D47">
        <w:rPr>
          <w:rFonts w:asciiTheme="minorHAnsi" w:hAnsiTheme="minorHAnsi"/>
          <w:sz w:val="22"/>
        </w:rPr>
        <w:t xml:space="preserve">Gjithashtu NP Termokos nuk ka ofruar ndonjë plan të rekrutimit të stafit të ri për plotësimin e vendeve të reja të punës. </w:t>
      </w:r>
      <w:r w:rsidR="00AA3833">
        <w:rPr>
          <w:rFonts w:asciiTheme="minorHAnsi" w:hAnsiTheme="minorHAnsi"/>
          <w:sz w:val="22"/>
        </w:rPr>
        <w:t xml:space="preserve">  </w:t>
      </w:r>
    </w:p>
    <w:p w:rsidR="00E807F8" w:rsidRPr="00F02724" w:rsidRDefault="00E807F8" w:rsidP="00E807F8">
      <w:pPr>
        <w:ind w:left="720"/>
        <w:jc w:val="both"/>
        <w:rPr>
          <w:rFonts w:asciiTheme="minorHAnsi" w:hAnsiTheme="minorHAnsi"/>
          <w:sz w:val="22"/>
        </w:rPr>
      </w:pPr>
    </w:p>
    <w:p w:rsidR="00351D47" w:rsidRDefault="00E807F8" w:rsidP="00F23C29">
      <w:pPr>
        <w:numPr>
          <w:ilvl w:val="5"/>
          <w:numId w:val="7"/>
        </w:numPr>
        <w:tabs>
          <w:tab w:val="clear" w:pos="4320"/>
          <w:tab w:val="num" w:pos="720"/>
        </w:tabs>
        <w:ind w:left="720"/>
        <w:jc w:val="both"/>
        <w:rPr>
          <w:rFonts w:asciiTheme="minorHAnsi" w:hAnsiTheme="minorHAnsi"/>
          <w:sz w:val="22"/>
        </w:rPr>
      </w:pPr>
      <w:r w:rsidRPr="00E84532">
        <w:rPr>
          <w:rFonts w:asciiTheme="minorHAnsi" w:hAnsiTheme="minorHAnsi"/>
          <w:sz w:val="22"/>
        </w:rPr>
        <w:t xml:space="preserve">Vlerësimi – </w:t>
      </w:r>
      <w:r w:rsidR="00002250">
        <w:rPr>
          <w:rFonts w:asciiTheme="minorHAnsi" w:hAnsiTheme="minorHAnsi"/>
          <w:sz w:val="22"/>
        </w:rPr>
        <w:t>P</w:t>
      </w:r>
      <w:r w:rsidR="00351D47">
        <w:rPr>
          <w:rFonts w:asciiTheme="minorHAnsi" w:hAnsiTheme="minorHAnsi"/>
          <w:sz w:val="22"/>
        </w:rPr>
        <w:t>a dashur të jap vlerësime për rritjen e konsiderueshme të numrit të punëtorëve të planifikuar me Rregulloren e re, që është kompetencë ekskluzive e Bordit të NP Termokos,</w:t>
      </w:r>
      <w:r w:rsidR="00BE51D4">
        <w:rPr>
          <w:rFonts w:asciiTheme="minorHAnsi" w:hAnsiTheme="minorHAnsi"/>
          <w:sz w:val="22"/>
        </w:rPr>
        <w:t xml:space="preserve"> ZRRE</w:t>
      </w:r>
      <w:r w:rsidR="00351D47">
        <w:rPr>
          <w:rFonts w:asciiTheme="minorHAnsi" w:hAnsiTheme="minorHAnsi"/>
          <w:sz w:val="22"/>
        </w:rPr>
        <w:t xml:space="preserve"> thekson se shtimi i vendeve të reja të punës duhet të jetë një proces që reflekton shtimin e dukshëm të operimeve të ndërmarrjes, si dhe që konsideron efikasitetin e kostos dhe benefitet përkatëse. </w:t>
      </w:r>
    </w:p>
    <w:p w:rsidR="00351D47" w:rsidRDefault="00351D47" w:rsidP="00351D47">
      <w:pPr>
        <w:pStyle w:val="ListParagraph"/>
        <w:rPr>
          <w:rFonts w:asciiTheme="minorHAnsi" w:hAnsiTheme="minorHAnsi"/>
          <w:sz w:val="22"/>
        </w:rPr>
      </w:pPr>
    </w:p>
    <w:p w:rsidR="00611DF2" w:rsidRDefault="005874A4" w:rsidP="005874A4">
      <w:pPr>
        <w:pStyle w:val="ListParagraph"/>
        <w:jc w:val="both"/>
        <w:rPr>
          <w:rFonts w:asciiTheme="minorHAnsi" w:hAnsiTheme="minorHAnsi"/>
          <w:sz w:val="22"/>
        </w:rPr>
      </w:pPr>
      <w:r>
        <w:rPr>
          <w:rFonts w:asciiTheme="minorHAnsi" w:hAnsiTheme="minorHAnsi"/>
          <w:sz w:val="22"/>
        </w:rPr>
        <w:t xml:space="preserve">Nga shqyrtimi i informatave të ofruara dhe Rregullores në fjalë vlerësohet se, sipas organizimit të ri, nuk parashihet rritje e konsiderueshme </w:t>
      </w:r>
      <w:r w:rsidR="002E35FD">
        <w:rPr>
          <w:rFonts w:asciiTheme="minorHAnsi" w:hAnsiTheme="minorHAnsi"/>
          <w:sz w:val="22"/>
        </w:rPr>
        <w:t xml:space="preserve">e </w:t>
      </w:r>
      <w:r>
        <w:rPr>
          <w:rFonts w:asciiTheme="minorHAnsi" w:hAnsiTheme="minorHAnsi"/>
          <w:sz w:val="22"/>
        </w:rPr>
        <w:t xml:space="preserve">numrit të punësuarve në Prodhim/kogjenerim dhe në Departamentin e shpërndarjes, si dhe potencon faktin që deri më tani nuk ka pasur ende plotësime të vendeve </w:t>
      </w:r>
      <w:r w:rsidR="00611DF2">
        <w:rPr>
          <w:rFonts w:asciiTheme="minorHAnsi" w:hAnsiTheme="minorHAnsi"/>
          <w:sz w:val="22"/>
        </w:rPr>
        <w:t xml:space="preserve">përkatëse </w:t>
      </w:r>
      <w:r>
        <w:rPr>
          <w:rFonts w:asciiTheme="minorHAnsi" w:hAnsiTheme="minorHAnsi"/>
          <w:sz w:val="22"/>
        </w:rPr>
        <w:t>të punës</w:t>
      </w:r>
      <w:r w:rsidR="00611DF2">
        <w:rPr>
          <w:rFonts w:asciiTheme="minorHAnsi" w:hAnsiTheme="minorHAnsi"/>
          <w:sz w:val="22"/>
        </w:rPr>
        <w:t xml:space="preserve">. Duke marr parasysh këto fakte dhe konsideruar se plotësimi i vendeve të reja të punës është një proces që kërkon kohë për rekrutim të stafit profesional dhe që duhet të ndërmerret në përputhje me zgjerimin gradual të operime të ndërmarrjes, vlerëson se rritja e propozuar nuk është reale dhe lejon një rritje prej 2.8 % të kësaj </w:t>
      </w:r>
      <w:r w:rsidR="00574271">
        <w:rPr>
          <w:rFonts w:asciiTheme="minorHAnsi" w:hAnsiTheme="minorHAnsi"/>
          <w:sz w:val="22"/>
        </w:rPr>
        <w:t xml:space="preserve">kostoje </w:t>
      </w:r>
      <w:r w:rsidR="00611DF2">
        <w:rPr>
          <w:rFonts w:asciiTheme="minorHAnsi" w:hAnsiTheme="minorHAnsi"/>
          <w:sz w:val="22"/>
        </w:rPr>
        <w:t>krahasuar me lejimet për sezonin e kaluar 2019/2020; rrj</w:t>
      </w:r>
      <w:r w:rsidR="00574271">
        <w:rPr>
          <w:rFonts w:asciiTheme="minorHAnsi" w:hAnsiTheme="minorHAnsi"/>
          <w:sz w:val="22"/>
        </w:rPr>
        <w:t>e</w:t>
      </w:r>
      <w:r w:rsidR="00611DF2">
        <w:rPr>
          <w:rFonts w:asciiTheme="minorHAnsi" w:hAnsiTheme="minorHAnsi"/>
          <w:sz w:val="22"/>
        </w:rPr>
        <w:t xml:space="preserve">dhimisht ZRRE lejon </w:t>
      </w:r>
      <w:r w:rsidR="001C16F5" w:rsidRPr="001C16F5">
        <w:rPr>
          <w:rFonts w:asciiTheme="minorHAnsi" w:hAnsiTheme="minorHAnsi"/>
          <w:b/>
          <w:sz w:val="22"/>
        </w:rPr>
        <w:t>K</w:t>
      </w:r>
      <w:r w:rsidR="00611DF2" w:rsidRPr="001C16F5">
        <w:rPr>
          <w:rFonts w:asciiTheme="minorHAnsi" w:hAnsiTheme="minorHAnsi"/>
          <w:b/>
          <w:sz w:val="22"/>
        </w:rPr>
        <w:t>oston e personelit – ‘Puna direkte’</w:t>
      </w:r>
      <w:r w:rsidR="00611DF2">
        <w:rPr>
          <w:rFonts w:asciiTheme="minorHAnsi" w:hAnsiTheme="minorHAnsi"/>
          <w:sz w:val="22"/>
        </w:rPr>
        <w:t xml:space="preserve"> në vlerë prej </w:t>
      </w:r>
      <w:r w:rsidR="00611DF2" w:rsidRPr="001C16F5">
        <w:rPr>
          <w:rFonts w:asciiTheme="minorHAnsi" w:hAnsiTheme="minorHAnsi"/>
          <w:b/>
          <w:sz w:val="22"/>
        </w:rPr>
        <w:t>865,015 €.</w:t>
      </w:r>
      <w:r w:rsidR="00611DF2">
        <w:rPr>
          <w:rFonts w:asciiTheme="minorHAnsi" w:hAnsiTheme="minorHAnsi"/>
          <w:sz w:val="22"/>
        </w:rPr>
        <w:t xml:space="preserve">  </w:t>
      </w:r>
    </w:p>
    <w:p w:rsidR="00611DF2" w:rsidRDefault="00611DF2" w:rsidP="005874A4">
      <w:pPr>
        <w:pStyle w:val="ListParagraph"/>
        <w:jc w:val="both"/>
        <w:rPr>
          <w:rFonts w:asciiTheme="minorHAnsi" w:hAnsiTheme="minorHAnsi"/>
          <w:sz w:val="22"/>
        </w:rPr>
      </w:pPr>
    </w:p>
    <w:p w:rsidR="005874A4" w:rsidRDefault="00611DF2" w:rsidP="005874A4">
      <w:pPr>
        <w:pStyle w:val="ListParagraph"/>
        <w:jc w:val="both"/>
        <w:rPr>
          <w:rFonts w:asciiTheme="minorHAnsi" w:hAnsiTheme="minorHAnsi"/>
          <w:sz w:val="22"/>
        </w:rPr>
      </w:pPr>
      <w:r w:rsidRPr="00024980">
        <w:rPr>
          <w:rFonts w:asciiTheme="minorHAnsi" w:hAnsiTheme="minorHAnsi"/>
          <w:sz w:val="22"/>
        </w:rPr>
        <w:t>Rritja prej 2.8%</w:t>
      </w:r>
      <w:r w:rsidR="001C16F5" w:rsidRPr="00024980">
        <w:rPr>
          <w:rFonts w:asciiTheme="minorHAnsi" w:hAnsiTheme="minorHAnsi"/>
          <w:sz w:val="22"/>
        </w:rPr>
        <w:t xml:space="preserve"> reflekton rritjen ekonomike në shkallë vendi për periudhën e shqyrtimit tarifor tetor 2020 – tetor 2021. Sipas vlerësimeve dhe projekcioneve të Bankës Botërore (</w:t>
      </w:r>
      <w:hyperlink r:id="rId15" w:history="1">
        <w:r w:rsidR="001C16F5" w:rsidRPr="00024980">
          <w:rPr>
            <w:rStyle w:val="Hyperlink"/>
            <w:rFonts w:asciiTheme="minorHAnsi" w:hAnsiTheme="minorHAnsi"/>
            <w:sz w:val="22"/>
          </w:rPr>
          <w:t>https://dataworldbank.org/country/kosovo</w:t>
        </w:r>
      </w:hyperlink>
      <w:r w:rsidR="001C16F5" w:rsidRPr="00024980">
        <w:rPr>
          <w:rStyle w:val="Hyperlink"/>
          <w:rFonts w:asciiTheme="minorHAnsi" w:hAnsiTheme="minorHAnsi"/>
          <w:color w:val="auto"/>
          <w:sz w:val="22"/>
        </w:rPr>
        <w:t xml:space="preserve">) </w:t>
      </w:r>
      <w:r w:rsidR="001C16F5" w:rsidRPr="00024980">
        <w:rPr>
          <w:rStyle w:val="Hyperlink"/>
          <w:rFonts w:asciiTheme="minorHAnsi" w:hAnsiTheme="minorHAnsi"/>
          <w:color w:val="auto"/>
          <w:sz w:val="22"/>
          <w:u w:val="none"/>
        </w:rPr>
        <w:t xml:space="preserve">për vitin 2020 vlerësohet se ka pasur recesion pra rritje negative të GDP prej -4/5 % (për shkak të pandemisë COVID19), ndëra projekcioni i rritjes së GDP </w:t>
      </w:r>
      <w:r w:rsidR="001C16F5" w:rsidRPr="00024980">
        <w:rPr>
          <w:rFonts w:asciiTheme="minorHAnsi" w:hAnsiTheme="minorHAnsi" w:cstheme="minorHAnsi"/>
          <w:sz w:val="22"/>
          <w:szCs w:val="22"/>
        </w:rPr>
        <w:t>për vitin 2021 është 5.2%. Mesatarja e ponderuar (që përfshin 3 muaj të viti 2020 dhe 9 muaj të 2021) rezulton në 2.8%.</w:t>
      </w:r>
      <w:r w:rsidR="001C16F5">
        <w:rPr>
          <w:rFonts w:asciiTheme="minorHAnsi" w:hAnsiTheme="minorHAnsi" w:cstheme="minorHAnsi"/>
          <w:sz w:val="22"/>
          <w:szCs w:val="22"/>
        </w:rPr>
        <w:t xml:space="preserve">  </w:t>
      </w:r>
      <w:r w:rsidR="001C16F5" w:rsidRPr="001C16F5">
        <w:t xml:space="preserve">   </w:t>
      </w:r>
      <w:r>
        <w:rPr>
          <w:rFonts w:asciiTheme="minorHAnsi" w:hAnsiTheme="minorHAnsi"/>
          <w:sz w:val="22"/>
        </w:rPr>
        <w:t xml:space="preserve">  </w:t>
      </w:r>
      <w:r w:rsidR="005874A4">
        <w:rPr>
          <w:rFonts w:asciiTheme="minorHAnsi" w:hAnsiTheme="minorHAnsi"/>
          <w:sz w:val="22"/>
        </w:rPr>
        <w:t xml:space="preserve"> </w:t>
      </w:r>
    </w:p>
    <w:p w:rsidR="00E807F8" w:rsidRPr="00E84532" w:rsidRDefault="00E807F8" w:rsidP="00E807F8">
      <w:pPr>
        <w:jc w:val="both"/>
        <w:rPr>
          <w:rFonts w:asciiTheme="minorHAnsi" w:hAnsiTheme="minorHAnsi"/>
          <w:sz w:val="22"/>
        </w:rPr>
      </w:pPr>
    </w:p>
    <w:p w:rsidR="00E807F8" w:rsidRPr="00E84532" w:rsidRDefault="00E807F8" w:rsidP="00F23C29">
      <w:pPr>
        <w:pStyle w:val="ListParagraph"/>
        <w:numPr>
          <w:ilvl w:val="4"/>
          <w:numId w:val="7"/>
        </w:numPr>
        <w:tabs>
          <w:tab w:val="clear" w:pos="3600"/>
          <w:tab w:val="num" w:pos="360"/>
        </w:tabs>
        <w:ind w:left="360"/>
        <w:contextualSpacing w:val="0"/>
        <w:jc w:val="both"/>
        <w:rPr>
          <w:rFonts w:asciiTheme="minorHAnsi" w:hAnsiTheme="minorHAnsi"/>
          <w:b/>
          <w:sz w:val="22"/>
        </w:rPr>
      </w:pPr>
      <w:r w:rsidRPr="00E84532">
        <w:rPr>
          <w:rFonts w:asciiTheme="minorHAnsi" w:hAnsiTheme="minorHAnsi"/>
          <w:b/>
          <w:sz w:val="22"/>
        </w:rPr>
        <w:t>Kostoja e Borxheve të këqija</w:t>
      </w:r>
      <w:r w:rsidR="00FA3F18">
        <w:rPr>
          <w:rFonts w:asciiTheme="minorHAnsi" w:hAnsiTheme="minorHAnsi"/>
          <w:b/>
          <w:sz w:val="22"/>
        </w:rPr>
        <w:t xml:space="preserve"> dhe taksa vjetore e licencimit</w:t>
      </w:r>
    </w:p>
    <w:p w:rsidR="00E807F8" w:rsidRPr="00E84532" w:rsidRDefault="00E807F8" w:rsidP="00E807F8">
      <w:pPr>
        <w:pStyle w:val="ListParagraph"/>
        <w:ind w:left="360"/>
        <w:jc w:val="both"/>
        <w:rPr>
          <w:rFonts w:asciiTheme="minorHAnsi" w:hAnsiTheme="minorHAnsi"/>
          <w:b/>
          <w:sz w:val="22"/>
        </w:rPr>
      </w:pPr>
    </w:p>
    <w:p w:rsidR="00CB0C52" w:rsidRDefault="00CB0C52" w:rsidP="00F23C29">
      <w:pPr>
        <w:pStyle w:val="ListParagraph"/>
        <w:numPr>
          <w:ilvl w:val="0"/>
          <w:numId w:val="16"/>
        </w:numPr>
        <w:ind w:left="720"/>
        <w:contextualSpacing w:val="0"/>
        <w:jc w:val="both"/>
        <w:rPr>
          <w:rFonts w:asciiTheme="minorHAnsi" w:hAnsiTheme="minorHAnsi"/>
          <w:sz w:val="22"/>
        </w:rPr>
      </w:pPr>
      <w:r>
        <w:rPr>
          <w:rFonts w:asciiTheme="minorHAnsi" w:hAnsiTheme="minorHAnsi"/>
          <w:sz w:val="22"/>
        </w:rPr>
        <w:t>NQ Termokos nuk e ka paraqitur koston e borxheve të kë</w:t>
      </w:r>
      <w:r w:rsidR="002E35FD">
        <w:rPr>
          <w:rFonts w:asciiTheme="minorHAnsi" w:hAnsiTheme="minorHAnsi"/>
          <w:sz w:val="22"/>
        </w:rPr>
        <w:t>q</w:t>
      </w:r>
      <w:r>
        <w:rPr>
          <w:rFonts w:asciiTheme="minorHAnsi" w:hAnsiTheme="minorHAnsi"/>
          <w:sz w:val="22"/>
        </w:rPr>
        <w:t>ija nën kostot variabile, por s</w:t>
      </w:r>
      <w:r w:rsidR="00F02724" w:rsidRPr="00E84532">
        <w:rPr>
          <w:rFonts w:asciiTheme="minorHAnsi" w:hAnsiTheme="minorHAnsi"/>
          <w:sz w:val="22"/>
        </w:rPr>
        <w:t>iç</w:t>
      </w:r>
      <w:r w:rsidR="00E807F8" w:rsidRPr="00E84532">
        <w:rPr>
          <w:rFonts w:asciiTheme="minorHAnsi" w:hAnsiTheme="minorHAnsi"/>
          <w:sz w:val="22"/>
        </w:rPr>
        <w:t xml:space="preserve"> theksohet më poshtë nën </w:t>
      </w:r>
      <w:r w:rsidR="00F02724" w:rsidRPr="00E84532">
        <w:rPr>
          <w:rFonts w:asciiTheme="minorHAnsi" w:hAnsiTheme="minorHAnsi"/>
          <w:sz w:val="22"/>
        </w:rPr>
        <w:t>seksionin</w:t>
      </w:r>
      <w:r w:rsidR="00E807F8" w:rsidRPr="00E84532">
        <w:rPr>
          <w:rFonts w:asciiTheme="minorHAnsi" w:hAnsiTheme="minorHAnsi"/>
          <w:sz w:val="22"/>
        </w:rPr>
        <w:t xml:space="preserve"> ‘kostot fikse’, NQ Termokos nën pozicionin ‘kostot e shitjes dhe tjera administrative’ </w:t>
      </w:r>
      <w:r>
        <w:rPr>
          <w:rFonts w:asciiTheme="minorHAnsi" w:hAnsiTheme="minorHAnsi"/>
          <w:sz w:val="22"/>
        </w:rPr>
        <w:t xml:space="preserve">ka paraqitur vlerën prej 682,888 € si “shpenzimet e provizioneve të </w:t>
      </w:r>
      <w:r>
        <w:rPr>
          <w:rFonts w:asciiTheme="minorHAnsi" w:hAnsiTheme="minorHAnsi"/>
          <w:sz w:val="22"/>
        </w:rPr>
        <w:lastRenderedPageBreak/>
        <w:t xml:space="preserve">llogarive të arkëtueshme” </w:t>
      </w:r>
      <w:r w:rsidR="00E807F8" w:rsidRPr="00E84532">
        <w:rPr>
          <w:rFonts w:asciiTheme="minorHAnsi" w:hAnsiTheme="minorHAnsi"/>
          <w:sz w:val="22"/>
        </w:rPr>
        <w:t xml:space="preserve">duke paraparë vlerën që korrespondon me </w:t>
      </w:r>
      <w:r w:rsidR="002E35FD">
        <w:rPr>
          <w:rFonts w:asciiTheme="minorHAnsi" w:hAnsiTheme="minorHAnsi"/>
          <w:sz w:val="22"/>
        </w:rPr>
        <w:t>mbi</w:t>
      </w:r>
      <w:r w:rsidR="00EE738A">
        <w:rPr>
          <w:rFonts w:asciiTheme="minorHAnsi" w:hAnsiTheme="minorHAnsi"/>
          <w:sz w:val="22"/>
        </w:rPr>
        <w:t xml:space="preserve"> </w:t>
      </w:r>
      <w:r w:rsidR="00E807F8" w:rsidRPr="00E84532">
        <w:rPr>
          <w:rFonts w:asciiTheme="minorHAnsi" w:hAnsiTheme="minorHAnsi"/>
          <w:sz w:val="22"/>
        </w:rPr>
        <w:t>10% të faturimit të planifikuar.</w:t>
      </w:r>
      <w:r w:rsidR="00FA3F18">
        <w:rPr>
          <w:rFonts w:asciiTheme="minorHAnsi" w:hAnsiTheme="minorHAnsi"/>
          <w:sz w:val="22"/>
        </w:rPr>
        <w:t xml:space="preserve"> </w:t>
      </w:r>
    </w:p>
    <w:p w:rsidR="00E807F8" w:rsidRPr="00E84532" w:rsidRDefault="00FA3F18" w:rsidP="00CB0C52">
      <w:pPr>
        <w:pStyle w:val="ListParagraph"/>
        <w:contextualSpacing w:val="0"/>
        <w:jc w:val="both"/>
        <w:rPr>
          <w:rFonts w:asciiTheme="minorHAnsi" w:hAnsiTheme="minorHAnsi"/>
          <w:sz w:val="22"/>
        </w:rPr>
      </w:pPr>
      <w:r>
        <w:rPr>
          <w:rFonts w:asciiTheme="minorHAnsi" w:hAnsiTheme="minorHAnsi"/>
          <w:sz w:val="22"/>
        </w:rPr>
        <w:t xml:space="preserve">Ndërsa për taksën e licencimit </w:t>
      </w:r>
      <w:r w:rsidR="00CB0C52">
        <w:rPr>
          <w:rFonts w:asciiTheme="minorHAnsi" w:hAnsiTheme="minorHAnsi"/>
          <w:sz w:val="22"/>
        </w:rPr>
        <w:t>për prodhimin e</w:t>
      </w:r>
      <w:r w:rsidR="002E35FD">
        <w:rPr>
          <w:rFonts w:asciiTheme="minorHAnsi" w:hAnsiTheme="minorHAnsi"/>
          <w:sz w:val="22"/>
        </w:rPr>
        <w:t xml:space="preserve"> energjisë termike nga stabilim</w:t>
      </w:r>
      <w:r w:rsidR="00CB0C52">
        <w:rPr>
          <w:rFonts w:asciiTheme="minorHAnsi" w:hAnsiTheme="minorHAnsi"/>
          <w:sz w:val="22"/>
        </w:rPr>
        <w:t xml:space="preserve">entet e prodhimit me mazut në ngrohtore </w:t>
      </w:r>
      <w:r>
        <w:rPr>
          <w:rFonts w:asciiTheme="minorHAnsi" w:hAnsiTheme="minorHAnsi"/>
          <w:sz w:val="22"/>
        </w:rPr>
        <w:t>ë</w:t>
      </w:r>
      <w:r w:rsidR="00CB0C52">
        <w:rPr>
          <w:rFonts w:asciiTheme="minorHAnsi" w:hAnsiTheme="minorHAnsi"/>
          <w:sz w:val="22"/>
        </w:rPr>
        <w:t>shtë</w:t>
      </w:r>
      <w:r>
        <w:rPr>
          <w:rFonts w:asciiTheme="minorHAnsi" w:hAnsiTheme="minorHAnsi"/>
          <w:sz w:val="22"/>
        </w:rPr>
        <w:t xml:space="preserve"> paraqitur </w:t>
      </w:r>
      <w:r w:rsidR="002E35FD">
        <w:rPr>
          <w:rFonts w:asciiTheme="minorHAnsi" w:hAnsiTheme="minorHAnsi"/>
          <w:sz w:val="22"/>
        </w:rPr>
        <w:t xml:space="preserve">në vlerë </w:t>
      </w:r>
      <w:r w:rsidR="00CB0C52">
        <w:rPr>
          <w:rFonts w:asciiTheme="minorHAnsi" w:hAnsiTheme="minorHAnsi"/>
          <w:sz w:val="22"/>
        </w:rPr>
        <w:t>prej 1,000 € e bashkuar me koston e mazutit.</w:t>
      </w:r>
      <w:r>
        <w:rPr>
          <w:rFonts w:asciiTheme="minorHAnsi" w:hAnsiTheme="minorHAnsi"/>
          <w:sz w:val="22"/>
        </w:rPr>
        <w:t xml:space="preserve"> </w:t>
      </w:r>
    </w:p>
    <w:p w:rsidR="00E807F8" w:rsidRPr="00E84532" w:rsidRDefault="00E807F8" w:rsidP="00E807F8">
      <w:pPr>
        <w:pStyle w:val="ListParagraph"/>
        <w:jc w:val="both"/>
        <w:rPr>
          <w:rFonts w:asciiTheme="minorHAnsi" w:hAnsiTheme="minorHAnsi"/>
          <w:sz w:val="22"/>
        </w:rPr>
      </w:pPr>
    </w:p>
    <w:p w:rsidR="00CB0C52" w:rsidRDefault="00E807F8" w:rsidP="00F23C29">
      <w:pPr>
        <w:pStyle w:val="ListParagraph"/>
        <w:numPr>
          <w:ilvl w:val="0"/>
          <w:numId w:val="16"/>
        </w:numPr>
        <w:ind w:left="720"/>
        <w:contextualSpacing w:val="0"/>
        <w:jc w:val="both"/>
        <w:rPr>
          <w:rFonts w:asciiTheme="minorHAnsi" w:hAnsiTheme="minorHAnsi"/>
          <w:sz w:val="22"/>
        </w:rPr>
      </w:pPr>
      <w:r w:rsidRPr="00E84532">
        <w:rPr>
          <w:rFonts w:asciiTheme="minorHAnsi" w:hAnsiTheme="minorHAnsi"/>
          <w:sz w:val="22"/>
        </w:rPr>
        <w:t>Vlerësimi - Në pajtim me dispozitat e Rregullës për Vendosjen e Çmimeve të Energjisë Termike, kostoja e borxhit të keq llogaritet si përqindje e arsyeshme në të hyrat e ndërmarrjes (d</w:t>
      </w:r>
      <w:r w:rsidR="00F02724">
        <w:rPr>
          <w:rFonts w:asciiTheme="minorHAnsi" w:hAnsiTheme="minorHAnsi"/>
          <w:sz w:val="22"/>
        </w:rPr>
        <w:t>.</w:t>
      </w:r>
      <w:r w:rsidRPr="00E84532">
        <w:rPr>
          <w:rFonts w:asciiTheme="minorHAnsi" w:hAnsiTheme="minorHAnsi"/>
          <w:sz w:val="22"/>
        </w:rPr>
        <w:t>m</w:t>
      </w:r>
      <w:r w:rsidR="00F02724">
        <w:rPr>
          <w:rFonts w:asciiTheme="minorHAnsi" w:hAnsiTheme="minorHAnsi"/>
          <w:sz w:val="22"/>
        </w:rPr>
        <w:t>.</w:t>
      </w:r>
      <w:r w:rsidRPr="00E84532">
        <w:rPr>
          <w:rFonts w:asciiTheme="minorHAnsi" w:hAnsiTheme="minorHAnsi"/>
          <w:sz w:val="22"/>
        </w:rPr>
        <w:t xml:space="preserve">th. vlerën e faturimit nga shitja e ngrohjes). Kjo ‘përqindje e arsyeshme’ duhet të caktohet në atë mënyrë që të nxis ndërmarrjen për të shtuar përpjekjet për rritjen e nivelit të arkëtimit të pagesave nga konsumatorët, por njëkohësisht merr parasysh se një shumë e konsiderueshme objektivisht nuk mund të arkëtohet, pra do të mbetet si borxh që faktikisht nuk do të realizohet. Nga sa u tha më lartë ZRRE mendon se niveli i borxhit të keq prej 5% është i arsyeshëm, dhe rrjedhimisht e lejon </w:t>
      </w:r>
      <w:r w:rsidRPr="00FA3F18">
        <w:rPr>
          <w:rFonts w:asciiTheme="minorHAnsi" w:hAnsiTheme="minorHAnsi"/>
          <w:b/>
          <w:sz w:val="22"/>
        </w:rPr>
        <w:t>koston e borxhit të keq</w:t>
      </w:r>
      <w:r w:rsidRPr="00E84532">
        <w:rPr>
          <w:rFonts w:asciiTheme="minorHAnsi" w:hAnsiTheme="minorHAnsi"/>
          <w:sz w:val="22"/>
        </w:rPr>
        <w:t xml:space="preserve"> në vlerën prej </w:t>
      </w:r>
      <w:r w:rsidR="00EE738A">
        <w:rPr>
          <w:rFonts w:asciiTheme="minorHAnsi" w:hAnsiTheme="minorHAnsi"/>
          <w:b/>
          <w:sz w:val="22"/>
        </w:rPr>
        <w:t>31</w:t>
      </w:r>
      <w:r w:rsidR="00CB0C52">
        <w:rPr>
          <w:rFonts w:asciiTheme="minorHAnsi" w:hAnsiTheme="minorHAnsi"/>
          <w:b/>
          <w:sz w:val="22"/>
        </w:rPr>
        <w:t>9</w:t>
      </w:r>
      <w:r w:rsidRPr="00E84532">
        <w:rPr>
          <w:rFonts w:asciiTheme="minorHAnsi" w:hAnsiTheme="minorHAnsi"/>
          <w:b/>
          <w:sz w:val="22"/>
        </w:rPr>
        <w:t>,0</w:t>
      </w:r>
      <w:r w:rsidR="00CB0C52">
        <w:rPr>
          <w:rFonts w:asciiTheme="minorHAnsi" w:hAnsiTheme="minorHAnsi"/>
          <w:b/>
          <w:sz w:val="22"/>
        </w:rPr>
        <w:t>90</w:t>
      </w:r>
      <w:r w:rsidRPr="00E84532">
        <w:rPr>
          <w:rFonts w:asciiTheme="minorHAnsi" w:hAnsiTheme="minorHAnsi"/>
          <w:b/>
          <w:sz w:val="22"/>
        </w:rPr>
        <w:t xml:space="preserve"> €</w:t>
      </w:r>
      <w:r w:rsidRPr="00E84532">
        <w:rPr>
          <w:rFonts w:asciiTheme="minorHAnsi" w:hAnsiTheme="minorHAnsi"/>
          <w:sz w:val="22"/>
        </w:rPr>
        <w:t xml:space="preserve">. </w:t>
      </w:r>
    </w:p>
    <w:p w:rsidR="00E807F8" w:rsidRPr="00E84532" w:rsidRDefault="00FA3F18" w:rsidP="00CB0C52">
      <w:pPr>
        <w:pStyle w:val="ListParagraph"/>
        <w:contextualSpacing w:val="0"/>
        <w:jc w:val="both"/>
        <w:rPr>
          <w:rFonts w:asciiTheme="minorHAnsi" w:hAnsiTheme="minorHAnsi"/>
          <w:sz w:val="22"/>
        </w:rPr>
      </w:pPr>
      <w:r>
        <w:rPr>
          <w:rFonts w:asciiTheme="minorHAnsi" w:hAnsiTheme="minorHAnsi"/>
          <w:sz w:val="22"/>
        </w:rPr>
        <w:t>Sa i përket taksës së licencimit ajo është llogaritur bazuar në sasinë e pl</w:t>
      </w:r>
      <w:r w:rsidR="00CD60AF">
        <w:rPr>
          <w:rFonts w:asciiTheme="minorHAnsi" w:hAnsiTheme="minorHAnsi"/>
          <w:sz w:val="22"/>
        </w:rPr>
        <w:t>a</w:t>
      </w:r>
      <w:r>
        <w:rPr>
          <w:rFonts w:asciiTheme="minorHAnsi" w:hAnsiTheme="minorHAnsi"/>
          <w:sz w:val="22"/>
        </w:rPr>
        <w:t>nifikuar të pro</w:t>
      </w:r>
      <w:r w:rsidR="00CD60AF">
        <w:rPr>
          <w:rFonts w:asciiTheme="minorHAnsi" w:hAnsiTheme="minorHAnsi"/>
          <w:sz w:val="22"/>
        </w:rPr>
        <w:t>d</w:t>
      </w:r>
      <w:r>
        <w:rPr>
          <w:rFonts w:asciiTheme="minorHAnsi" w:hAnsiTheme="minorHAnsi"/>
          <w:sz w:val="22"/>
        </w:rPr>
        <w:t>himit vetanak 6,820 MWh</w:t>
      </w:r>
      <w:r w:rsidRPr="00FA3F18">
        <w:rPr>
          <w:rFonts w:asciiTheme="minorHAnsi" w:hAnsiTheme="minorHAnsi"/>
          <w:sz w:val="22"/>
          <w:vertAlign w:val="subscript"/>
        </w:rPr>
        <w:t>TH</w:t>
      </w:r>
      <w:r>
        <w:rPr>
          <w:rFonts w:asciiTheme="minorHAnsi" w:hAnsiTheme="minorHAnsi"/>
          <w:sz w:val="22"/>
        </w:rPr>
        <w:t xml:space="preserve"> dhe taksës vjetore prej 0.20 €/MWh</w:t>
      </w:r>
      <w:r w:rsidRPr="00FA3F18">
        <w:rPr>
          <w:rFonts w:asciiTheme="minorHAnsi" w:hAnsiTheme="minorHAnsi"/>
          <w:sz w:val="22"/>
          <w:vertAlign w:val="subscript"/>
        </w:rPr>
        <w:t>TH</w:t>
      </w:r>
      <w:r w:rsidR="00CB0C52" w:rsidRPr="00CB0C52">
        <w:rPr>
          <w:rFonts w:asciiTheme="minorHAnsi" w:hAnsiTheme="minorHAnsi"/>
          <w:sz w:val="22"/>
        </w:rPr>
        <w:t xml:space="preserve"> </w:t>
      </w:r>
      <w:r w:rsidR="00CB0C52" w:rsidRPr="00E84532">
        <w:rPr>
          <w:rFonts w:asciiTheme="minorHAnsi" w:hAnsiTheme="minorHAnsi"/>
          <w:sz w:val="22"/>
        </w:rPr>
        <w:t>sipas Rregullës për Taksat të nxjerrë nga ZRRE</w:t>
      </w:r>
      <w:r>
        <w:rPr>
          <w:rFonts w:asciiTheme="minorHAnsi" w:hAnsiTheme="minorHAnsi"/>
          <w:sz w:val="22"/>
        </w:rPr>
        <w:t xml:space="preserve">, që rezulton në vlerën </w:t>
      </w:r>
      <w:r w:rsidRPr="00FA3F18">
        <w:rPr>
          <w:rFonts w:asciiTheme="minorHAnsi" w:hAnsiTheme="minorHAnsi"/>
          <w:b/>
          <w:sz w:val="22"/>
        </w:rPr>
        <w:t>1,364 €</w:t>
      </w:r>
      <w:r>
        <w:rPr>
          <w:rFonts w:asciiTheme="minorHAnsi" w:hAnsiTheme="minorHAnsi"/>
          <w:b/>
          <w:sz w:val="22"/>
        </w:rPr>
        <w:t>.</w:t>
      </w:r>
      <w:r w:rsidR="00E807F8" w:rsidRPr="00E84532">
        <w:rPr>
          <w:rFonts w:asciiTheme="minorHAnsi" w:hAnsiTheme="minorHAnsi"/>
          <w:sz w:val="22"/>
        </w:rPr>
        <w:t xml:space="preserve">  </w:t>
      </w:r>
    </w:p>
    <w:p w:rsidR="00E807F8" w:rsidRPr="00E84532" w:rsidRDefault="00E807F8" w:rsidP="00E807F8">
      <w:pPr>
        <w:pStyle w:val="ListParagraph"/>
        <w:jc w:val="both"/>
        <w:rPr>
          <w:rFonts w:asciiTheme="minorHAnsi" w:hAnsiTheme="minorHAnsi"/>
          <w:sz w:val="22"/>
        </w:rPr>
      </w:pPr>
    </w:p>
    <w:p w:rsidR="00E807F8" w:rsidRPr="00E84532" w:rsidRDefault="00E807F8" w:rsidP="00E807F8">
      <w:pPr>
        <w:jc w:val="both"/>
        <w:rPr>
          <w:rFonts w:asciiTheme="minorHAnsi" w:hAnsiTheme="minorHAnsi"/>
          <w:b/>
          <w:sz w:val="22"/>
        </w:rPr>
      </w:pPr>
      <w:r w:rsidRPr="00E84532">
        <w:rPr>
          <w:rFonts w:asciiTheme="minorHAnsi" w:hAnsiTheme="minorHAnsi"/>
          <w:sz w:val="22"/>
        </w:rPr>
        <w:t xml:space="preserve">Nga më lartë rezulton se </w:t>
      </w:r>
      <w:r w:rsidRPr="00E84532">
        <w:rPr>
          <w:rFonts w:asciiTheme="minorHAnsi" w:hAnsiTheme="minorHAnsi"/>
          <w:b/>
          <w:sz w:val="22"/>
        </w:rPr>
        <w:t>Kostot Variabile</w:t>
      </w:r>
      <w:r w:rsidRPr="00E84532">
        <w:rPr>
          <w:rFonts w:asciiTheme="minorHAnsi" w:hAnsiTheme="minorHAnsi"/>
          <w:sz w:val="22"/>
        </w:rPr>
        <w:t xml:space="preserve"> të pranuara nga ZRRE-ja janë përcaktuar në vlerën </w:t>
      </w:r>
      <w:r w:rsidRPr="002505F8">
        <w:rPr>
          <w:rFonts w:asciiTheme="minorHAnsi" w:hAnsiTheme="minorHAnsi" w:cs="Calibri"/>
          <w:b/>
          <w:sz w:val="22"/>
          <w:szCs w:val="22"/>
        </w:rPr>
        <w:t>2,5</w:t>
      </w:r>
      <w:r w:rsidR="006145D4">
        <w:rPr>
          <w:rFonts w:asciiTheme="minorHAnsi" w:hAnsiTheme="minorHAnsi" w:cs="Calibri"/>
          <w:b/>
          <w:sz w:val="22"/>
          <w:szCs w:val="22"/>
        </w:rPr>
        <w:t>99</w:t>
      </w:r>
      <w:r w:rsidRPr="002505F8">
        <w:rPr>
          <w:rFonts w:asciiTheme="minorHAnsi" w:hAnsiTheme="minorHAnsi" w:cs="Calibri"/>
          <w:b/>
          <w:sz w:val="22"/>
          <w:szCs w:val="22"/>
        </w:rPr>
        <w:t>,</w:t>
      </w:r>
      <w:r w:rsidR="006145D4">
        <w:rPr>
          <w:rFonts w:asciiTheme="minorHAnsi" w:hAnsiTheme="minorHAnsi" w:cs="Calibri"/>
          <w:b/>
          <w:sz w:val="22"/>
          <w:szCs w:val="22"/>
        </w:rPr>
        <w:t>468</w:t>
      </w:r>
      <w:r w:rsidRPr="002505F8">
        <w:rPr>
          <w:rFonts w:asciiTheme="minorHAnsi" w:hAnsiTheme="minorHAnsi" w:cs="Calibri"/>
          <w:b/>
          <w:sz w:val="22"/>
          <w:szCs w:val="22"/>
        </w:rPr>
        <w:t>€</w:t>
      </w:r>
      <w:r w:rsidRPr="002505F8">
        <w:rPr>
          <w:rFonts w:asciiTheme="minorHAnsi" w:hAnsiTheme="minorHAnsi"/>
          <w:b/>
          <w:sz w:val="22"/>
          <w:szCs w:val="22"/>
        </w:rPr>
        <w:t>.</w:t>
      </w:r>
    </w:p>
    <w:p w:rsidR="00E807F8" w:rsidRDefault="00E807F8" w:rsidP="00E807F8">
      <w:pPr>
        <w:jc w:val="both"/>
        <w:rPr>
          <w:rFonts w:asciiTheme="minorHAnsi" w:hAnsiTheme="minorHAnsi"/>
          <w:b/>
          <w:sz w:val="22"/>
        </w:rPr>
      </w:pPr>
    </w:p>
    <w:p w:rsidR="004D35CB" w:rsidRPr="00E84532" w:rsidRDefault="004D35CB" w:rsidP="00E807F8">
      <w:pPr>
        <w:jc w:val="both"/>
        <w:rPr>
          <w:rFonts w:asciiTheme="minorHAnsi" w:hAnsiTheme="minorHAnsi"/>
          <w:b/>
          <w:sz w:val="22"/>
        </w:rPr>
      </w:pPr>
    </w:p>
    <w:p w:rsidR="00E807F8" w:rsidRPr="00E84532" w:rsidRDefault="00E807F8" w:rsidP="00E807F8">
      <w:pPr>
        <w:pStyle w:val="Heading9"/>
        <w:rPr>
          <w:rFonts w:asciiTheme="minorHAnsi" w:hAnsiTheme="minorHAnsi" w:cs="Calibri"/>
          <w:b w:val="0"/>
          <w:sz w:val="22"/>
          <w:szCs w:val="22"/>
          <w:u w:val="single"/>
        </w:rPr>
      </w:pPr>
      <w:r w:rsidRPr="00E84532">
        <w:rPr>
          <w:rFonts w:asciiTheme="minorHAnsi" w:hAnsiTheme="minorHAnsi" w:cs="Calibri"/>
          <w:b w:val="0"/>
          <w:sz w:val="22"/>
          <w:szCs w:val="22"/>
          <w:u w:val="single"/>
        </w:rPr>
        <w:t>Kostot fikse</w:t>
      </w:r>
    </w:p>
    <w:p w:rsidR="00E807F8" w:rsidRPr="00E84532" w:rsidRDefault="00E807F8" w:rsidP="00E807F8">
      <w:pPr>
        <w:tabs>
          <w:tab w:val="left" w:pos="720"/>
        </w:tabs>
        <w:jc w:val="both"/>
        <w:rPr>
          <w:rFonts w:asciiTheme="minorHAnsi" w:hAnsiTheme="minorHAnsi"/>
          <w:sz w:val="22"/>
        </w:rPr>
      </w:pPr>
    </w:p>
    <w:p w:rsidR="00E807F8" w:rsidRPr="00E84532" w:rsidRDefault="00E807F8" w:rsidP="00F23C29">
      <w:pPr>
        <w:numPr>
          <w:ilvl w:val="0"/>
          <w:numId w:val="8"/>
        </w:numPr>
        <w:tabs>
          <w:tab w:val="clear" w:pos="720"/>
          <w:tab w:val="num" w:pos="360"/>
        </w:tabs>
        <w:ind w:left="360"/>
        <w:jc w:val="both"/>
        <w:rPr>
          <w:rFonts w:asciiTheme="minorHAnsi" w:hAnsiTheme="minorHAnsi"/>
          <w:b/>
          <w:sz w:val="22"/>
        </w:rPr>
      </w:pPr>
      <w:r w:rsidRPr="00E84532">
        <w:rPr>
          <w:rFonts w:asciiTheme="minorHAnsi" w:hAnsiTheme="minorHAnsi"/>
          <w:b/>
          <w:sz w:val="22"/>
        </w:rPr>
        <w:t xml:space="preserve">Kostoja: Riparimet dhe Mirëmbajtja; </w:t>
      </w:r>
    </w:p>
    <w:p w:rsidR="00E807F8" w:rsidRPr="00E84532" w:rsidRDefault="00E807F8" w:rsidP="00E807F8">
      <w:pPr>
        <w:ind w:left="360"/>
        <w:jc w:val="both"/>
        <w:rPr>
          <w:rFonts w:asciiTheme="minorHAnsi" w:hAnsiTheme="minorHAnsi"/>
          <w:b/>
          <w:sz w:val="22"/>
        </w:rPr>
      </w:pPr>
    </w:p>
    <w:p w:rsidR="00E807F8" w:rsidRPr="00E84532" w:rsidRDefault="00E807F8" w:rsidP="00F23C29">
      <w:pPr>
        <w:numPr>
          <w:ilvl w:val="0"/>
          <w:numId w:val="11"/>
        </w:numPr>
        <w:ind w:left="720"/>
        <w:jc w:val="both"/>
        <w:rPr>
          <w:rFonts w:asciiTheme="minorHAnsi" w:hAnsiTheme="minorHAnsi"/>
          <w:sz w:val="22"/>
        </w:rPr>
      </w:pPr>
      <w:r w:rsidRPr="00E84532">
        <w:rPr>
          <w:rFonts w:asciiTheme="minorHAnsi" w:hAnsiTheme="minorHAnsi"/>
          <w:sz w:val="22"/>
        </w:rPr>
        <w:t>NQ Termokos për koston e riparimeve dhe mirëmbajt</w:t>
      </w:r>
      <w:r w:rsidR="00FE69F4">
        <w:rPr>
          <w:rFonts w:asciiTheme="minorHAnsi" w:hAnsiTheme="minorHAnsi"/>
          <w:sz w:val="22"/>
        </w:rPr>
        <w:t xml:space="preserve">jes ka planifikuar vlerën prej </w:t>
      </w:r>
      <w:r w:rsidR="006145D4">
        <w:rPr>
          <w:rFonts w:asciiTheme="minorHAnsi" w:hAnsiTheme="minorHAnsi"/>
          <w:sz w:val="22"/>
        </w:rPr>
        <w:t>167</w:t>
      </w:r>
      <w:r w:rsidRPr="00E84532">
        <w:rPr>
          <w:rFonts w:asciiTheme="minorHAnsi" w:hAnsiTheme="minorHAnsi"/>
          <w:sz w:val="22"/>
        </w:rPr>
        <w:t>,</w:t>
      </w:r>
      <w:r w:rsidR="006145D4">
        <w:rPr>
          <w:rFonts w:asciiTheme="minorHAnsi" w:hAnsiTheme="minorHAnsi"/>
          <w:sz w:val="22"/>
        </w:rPr>
        <w:t>6</w:t>
      </w:r>
      <w:r w:rsidRPr="00E84532">
        <w:rPr>
          <w:rFonts w:asciiTheme="minorHAnsi" w:hAnsiTheme="minorHAnsi"/>
          <w:sz w:val="22"/>
        </w:rPr>
        <w:t xml:space="preserve">00€ - një rritje </w:t>
      </w:r>
      <w:r w:rsidR="00FE69F4">
        <w:rPr>
          <w:rFonts w:asciiTheme="minorHAnsi" w:hAnsiTheme="minorHAnsi"/>
          <w:sz w:val="22"/>
        </w:rPr>
        <w:t xml:space="preserve">shumëfish më e madhe </w:t>
      </w:r>
      <w:r w:rsidRPr="00E84532">
        <w:rPr>
          <w:rFonts w:asciiTheme="minorHAnsi" w:hAnsiTheme="minorHAnsi"/>
          <w:sz w:val="22"/>
        </w:rPr>
        <w:t>krahasuar me realizimin e kësaj kostoje në periudhën e kaluar / sezonin 201</w:t>
      </w:r>
      <w:r w:rsidR="006145D4">
        <w:rPr>
          <w:rFonts w:asciiTheme="minorHAnsi" w:hAnsiTheme="minorHAnsi"/>
          <w:sz w:val="22"/>
        </w:rPr>
        <w:t>9</w:t>
      </w:r>
      <w:r w:rsidRPr="00E84532">
        <w:rPr>
          <w:rFonts w:asciiTheme="minorHAnsi" w:hAnsiTheme="minorHAnsi"/>
          <w:sz w:val="22"/>
        </w:rPr>
        <w:t>/20</w:t>
      </w:r>
      <w:r w:rsidR="006145D4">
        <w:rPr>
          <w:rFonts w:asciiTheme="minorHAnsi" w:hAnsiTheme="minorHAnsi"/>
          <w:sz w:val="22"/>
        </w:rPr>
        <w:t>20</w:t>
      </w:r>
      <w:r w:rsidRPr="00E84532">
        <w:rPr>
          <w:rFonts w:asciiTheme="minorHAnsi" w:hAnsiTheme="minorHAnsi"/>
          <w:sz w:val="22"/>
        </w:rPr>
        <w:t xml:space="preserve"> (</w:t>
      </w:r>
      <w:r w:rsidR="006145D4">
        <w:rPr>
          <w:rFonts w:asciiTheme="minorHAnsi" w:hAnsiTheme="minorHAnsi"/>
          <w:sz w:val="22"/>
        </w:rPr>
        <w:t>45</w:t>
      </w:r>
      <w:r w:rsidRPr="00E84532">
        <w:rPr>
          <w:rFonts w:asciiTheme="minorHAnsi" w:hAnsiTheme="minorHAnsi"/>
          <w:sz w:val="22"/>
        </w:rPr>
        <w:t>,</w:t>
      </w:r>
      <w:r w:rsidR="006145D4">
        <w:rPr>
          <w:rFonts w:asciiTheme="minorHAnsi" w:hAnsiTheme="minorHAnsi"/>
          <w:sz w:val="22"/>
        </w:rPr>
        <w:t>644</w:t>
      </w:r>
      <w:r w:rsidRPr="00E84532">
        <w:rPr>
          <w:rFonts w:asciiTheme="minorHAnsi" w:hAnsiTheme="minorHAnsi"/>
          <w:sz w:val="22"/>
        </w:rPr>
        <w:t xml:space="preserve"> €).</w:t>
      </w:r>
      <w:r w:rsidR="00FE69F4">
        <w:rPr>
          <w:rFonts w:asciiTheme="minorHAnsi" w:hAnsiTheme="minorHAnsi"/>
          <w:sz w:val="22"/>
        </w:rPr>
        <w:t xml:space="preserve"> Gjithashtu kjo vlerë e propozuar është </w:t>
      </w:r>
      <w:r w:rsidR="006145D4">
        <w:rPr>
          <w:rFonts w:asciiTheme="minorHAnsi" w:hAnsiTheme="minorHAnsi"/>
          <w:sz w:val="22"/>
        </w:rPr>
        <w:t xml:space="preserve">afërsisht </w:t>
      </w:r>
      <w:r w:rsidR="00FE69F4">
        <w:rPr>
          <w:rFonts w:asciiTheme="minorHAnsi" w:hAnsiTheme="minorHAnsi"/>
          <w:sz w:val="22"/>
        </w:rPr>
        <w:t xml:space="preserve">100% më e madhe se vlera </w:t>
      </w:r>
      <w:r w:rsidR="006145D4">
        <w:rPr>
          <w:rFonts w:asciiTheme="minorHAnsi" w:hAnsiTheme="minorHAnsi"/>
          <w:sz w:val="22"/>
        </w:rPr>
        <w:t xml:space="preserve">lejuar në shqyrtimin e kaluar 2019/2020 </w:t>
      </w:r>
      <w:r w:rsidR="00FE69F4">
        <w:rPr>
          <w:rFonts w:asciiTheme="minorHAnsi" w:hAnsiTheme="minorHAnsi"/>
          <w:sz w:val="22"/>
        </w:rPr>
        <w:t>(8</w:t>
      </w:r>
      <w:r w:rsidR="006145D4">
        <w:rPr>
          <w:rFonts w:asciiTheme="minorHAnsi" w:hAnsiTheme="minorHAnsi"/>
          <w:sz w:val="22"/>
        </w:rPr>
        <w:t>5</w:t>
      </w:r>
      <w:r w:rsidR="00FE69F4">
        <w:rPr>
          <w:rFonts w:asciiTheme="minorHAnsi" w:hAnsiTheme="minorHAnsi"/>
          <w:sz w:val="22"/>
        </w:rPr>
        <w:t>,</w:t>
      </w:r>
      <w:r w:rsidR="006145D4">
        <w:rPr>
          <w:rFonts w:asciiTheme="minorHAnsi" w:hAnsiTheme="minorHAnsi"/>
          <w:sz w:val="22"/>
        </w:rPr>
        <w:t>000</w:t>
      </w:r>
      <w:r w:rsidR="00FE69F4">
        <w:rPr>
          <w:rFonts w:asciiTheme="minorHAnsi" w:hAnsiTheme="minorHAnsi"/>
          <w:sz w:val="22"/>
        </w:rPr>
        <w:t xml:space="preserve">€). Për këtë rritje NQ Termokos ka dhënë një arsyetim të shkurtër ku </w:t>
      </w:r>
      <w:r w:rsidR="00724F02">
        <w:rPr>
          <w:rFonts w:asciiTheme="minorHAnsi" w:hAnsiTheme="minorHAnsi"/>
          <w:sz w:val="22"/>
        </w:rPr>
        <w:t>kryesisht rritja e planifikuar e kësaj kostoje arsyetohet me rritjen e punëve të mirëmba</w:t>
      </w:r>
      <w:r w:rsidR="00BE51D4">
        <w:rPr>
          <w:rFonts w:asciiTheme="minorHAnsi" w:hAnsiTheme="minorHAnsi"/>
          <w:sz w:val="22"/>
        </w:rPr>
        <w:t>j</w:t>
      </w:r>
      <w:r w:rsidR="00724F02">
        <w:rPr>
          <w:rFonts w:asciiTheme="minorHAnsi" w:hAnsiTheme="minorHAnsi"/>
          <w:sz w:val="22"/>
        </w:rPr>
        <w:t>tjes dhe riparimeve si pasoj e zgjerimit të rrejtit.</w:t>
      </w:r>
    </w:p>
    <w:p w:rsidR="00E807F8" w:rsidRPr="00E84532" w:rsidRDefault="00E807F8" w:rsidP="00E807F8">
      <w:pPr>
        <w:ind w:left="720"/>
        <w:jc w:val="both"/>
        <w:rPr>
          <w:rFonts w:asciiTheme="minorHAnsi" w:hAnsiTheme="minorHAnsi"/>
          <w:sz w:val="22"/>
        </w:rPr>
      </w:pPr>
    </w:p>
    <w:p w:rsidR="00E807F8" w:rsidRPr="00E84532" w:rsidRDefault="00E807F8" w:rsidP="00F23C29">
      <w:pPr>
        <w:numPr>
          <w:ilvl w:val="0"/>
          <w:numId w:val="11"/>
        </w:numPr>
        <w:ind w:left="720"/>
        <w:jc w:val="both"/>
        <w:rPr>
          <w:rFonts w:asciiTheme="minorHAnsi" w:hAnsiTheme="minorHAnsi"/>
          <w:sz w:val="22"/>
        </w:rPr>
      </w:pPr>
      <w:r w:rsidRPr="00E84532">
        <w:rPr>
          <w:rFonts w:asciiTheme="minorHAnsi" w:hAnsiTheme="minorHAnsi"/>
          <w:sz w:val="22"/>
        </w:rPr>
        <w:t xml:space="preserve">Vlerësimi </w:t>
      </w:r>
      <w:r w:rsidR="00FE69F4">
        <w:rPr>
          <w:rFonts w:asciiTheme="minorHAnsi" w:hAnsiTheme="minorHAnsi"/>
          <w:sz w:val="22"/>
        </w:rPr>
        <w:t>–</w:t>
      </w:r>
      <w:r w:rsidRPr="00E84532">
        <w:rPr>
          <w:rFonts w:asciiTheme="minorHAnsi" w:hAnsiTheme="minorHAnsi"/>
          <w:sz w:val="22"/>
        </w:rPr>
        <w:t xml:space="preserve"> </w:t>
      </w:r>
      <w:r w:rsidR="00FE69F4">
        <w:rPr>
          <w:rFonts w:asciiTheme="minorHAnsi" w:hAnsiTheme="minorHAnsi"/>
          <w:sz w:val="22"/>
        </w:rPr>
        <w:t xml:space="preserve">Duke qenë se realizimet në sezonet e kaluara kanë qenë konsiderueshëm më të vogla për pozicionin ‘mirëmbajtja dhe riparimet’, dhe gjithashtu </w:t>
      </w:r>
      <w:r w:rsidR="00DF251D">
        <w:rPr>
          <w:rFonts w:asciiTheme="minorHAnsi" w:hAnsiTheme="minorHAnsi"/>
          <w:sz w:val="22"/>
        </w:rPr>
        <w:t>rritja e kostos së mirëmbajtjes është disporporcionale me rritjen e punëve të pritshme të ndërlidhura me zgjerimint e rrjetit</w:t>
      </w:r>
      <w:r w:rsidR="00FE69F4">
        <w:rPr>
          <w:rFonts w:asciiTheme="minorHAnsi" w:hAnsiTheme="minorHAnsi"/>
          <w:sz w:val="22"/>
        </w:rPr>
        <w:t xml:space="preserve">, </w:t>
      </w:r>
      <w:r w:rsidRPr="00E84532">
        <w:rPr>
          <w:rFonts w:asciiTheme="minorHAnsi" w:hAnsiTheme="minorHAnsi"/>
          <w:sz w:val="22"/>
        </w:rPr>
        <w:t xml:space="preserve">ZRRE vlerëson se vlera e propozuar </w:t>
      </w:r>
      <w:r w:rsidR="00EC65DA">
        <w:rPr>
          <w:rFonts w:asciiTheme="minorHAnsi" w:hAnsiTheme="minorHAnsi"/>
          <w:sz w:val="22"/>
        </w:rPr>
        <w:t xml:space="preserve">nuk </w:t>
      </w:r>
      <w:r w:rsidRPr="00E84532">
        <w:rPr>
          <w:rFonts w:asciiTheme="minorHAnsi" w:hAnsiTheme="minorHAnsi"/>
          <w:sz w:val="22"/>
        </w:rPr>
        <w:t xml:space="preserve">është e arsyeshme dhe </w:t>
      </w:r>
      <w:r w:rsidR="00EC65DA">
        <w:rPr>
          <w:rFonts w:asciiTheme="minorHAnsi" w:hAnsiTheme="minorHAnsi"/>
          <w:sz w:val="22"/>
        </w:rPr>
        <w:t xml:space="preserve">nuk </w:t>
      </w:r>
      <w:r w:rsidRPr="00E84532">
        <w:rPr>
          <w:rFonts w:asciiTheme="minorHAnsi" w:hAnsiTheme="minorHAnsi"/>
          <w:sz w:val="22"/>
        </w:rPr>
        <w:t xml:space="preserve">reflekton shpenzimet e zakonshme për riparimet dhe mirëmbajtjen që i shkaktohen ndërmarrjes. </w:t>
      </w:r>
      <w:r w:rsidR="00EC65DA">
        <w:rPr>
          <w:rFonts w:asciiTheme="minorHAnsi" w:hAnsiTheme="minorHAnsi"/>
          <w:sz w:val="22"/>
        </w:rPr>
        <w:t xml:space="preserve">Megjithatë, </w:t>
      </w:r>
      <w:r w:rsidRPr="00E84532">
        <w:rPr>
          <w:rFonts w:asciiTheme="minorHAnsi" w:hAnsiTheme="minorHAnsi"/>
          <w:sz w:val="22"/>
        </w:rPr>
        <w:t xml:space="preserve">duke marrë parasysh </w:t>
      </w:r>
      <w:r w:rsidR="00EC65DA">
        <w:rPr>
          <w:rFonts w:asciiTheme="minorHAnsi" w:hAnsiTheme="minorHAnsi"/>
          <w:sz w:val="22"/>
        </w:rPr>
        <w:t xml:space="preserve">pjesërisht arsyetimin e cekur më lartë, si dhe nevojën për të siguruar </w:t>
      </w:r>
      <w:r w:rsidRPr="00E84532">
        <w:rPr>
          <w:rFonts w:asciiTheme="minorHAnsi" w:hAnsiTheme="minorHAnsi"/>
          <w:sz w:val="22"/>
        </w:rPr>
        <w:t>operim të qëndrueshëm të stabilimenteve, pajisjeve dhe rrjetit</w:t>
      </w:r>
      <w:r w:rsidR="00EC65DA" w:rsidRPr="00EC65DA">
        <w:rPr>
          <w:rFonts w:asciiTheme="minorHAnsi" w:hAnsiTheme="minorHAnsi"/>
          <w:sz w:val="22"/>
        </w:rPr>
        <w:t xml:space="preserve"> </w:t>
      </w:r>
      <w:r w:rsidR="00EC65DA">
        <w:rPr>
          <w:rFonts w:asciiTheme="minorHAnsi" w:hAnsiTheme="minorHAnsi"/>
          <w:sz w:val="22"/>
        </w:rPr>
        <w:t xml:space="preserve">që mundëson </w:t>
      </w:r>
      <w:r w:rsidR="00EC65DA" w:rsidRPr="00E84532">
        <w:rPr>
          <w:rFonts w:asciiTheme="minorHAnsi" w:hAnsiTheme="minorHAnsi"/>
          <w:sz w:val="22"/>
        </w:rPr>
        <w:t>një furnizim cilësor</w:t>
      </w:r>
      <w:r w:rsidRPr="00E84532">
        <w:rPr>
          <w:rFonts w:asciiTheme="minorHAnsi" w:hAnsiTheme="minorHAnsi"/>
          <w:sz w:val="22"/>
        </w:rPr>
        <w:t xml:space="preserve">, ZRRE lejon </w:t>
      </w:r>
      <w:r w:rsidR="00EC65DA">
        <w:rPr>
          <w:rFonts w:asciiTheme="minorHAnsi" w:hAnsiTheme="minorHAnsi"/>
          <w:sz w:val="22"/>
        </w:rPr>
        <w:t xml:space="preserve">një rritje të konsiderueshme për </w:t>
      </w:r>
      <w:r w:rsidRPr="00EC65DA">
        <w:rPr>
          <w:rFonts w:asciiTheme="minorHAnsi" w:hAnsiTheme="minorHAnsi"/>
          <w:b/>
          <w:sz w:val="22"/>
        </w:rPr>
        <w:t>koston e riparimeve dhe mirëmbajtjes</w:t>
      </w:r>
      <w:r w:rsidRPr="00E84532">
        <w:rPr>
          <w:rFonts w:asciiTheme="minorHAnsi" w:hAnsiTheme="minorHAnsi"/>
          <w:sz w:val="22"/>
        </w:rPr>
        <w:t xml:space="preserve"> në vlerën prej </w:t>
      </w:r>
      <w:r w:rsidR="00EC65DA">
        <w:rPr>
          <w:rFonts w:asciiTheme="minorHAnsi" w:hAnsiTheme="minorHAnsi"/>
          <w:b/>
          <w:sz w:val="22"/>
        </w:rPr>
        <w:t>85</w:t>
      </w:r>
      <w:r w:rsidRPr="00E84532">
        <w:rPr>
          <w:rFonts w:asciiTheme="minorHAnsi" w:hAnsiTheme="minorHAnsi"/>
          <w:b/>
          <w:sz w:val="22"/>
        </w:rPr>
        <w:t>,000 €.</w:t>
      </w:r>
      <w:r w:rsidRPr="00E84532">
        <w:rPr>
          <w:rFonts w:asciiTheme="minorHAnsi" w:hAnsiTheme="minorHAnsi"/>
          <w:sz w:val="22"/>
        </w:rPr>
        <w:t xml:space="preserve"> </w:t>
      </w:r>
    </w:p>
    <w:p w:rsidR="00E807F8" w:rsidRPr="00E84532" w:rsidRDefault="00E807F8" w:rsidP="00E807F8">
      <w:pPr>
        <w:jc w:val="both"/>
        <w:rPr>
          <w:rFonts w:asciiTheme="minorHAnsi" w:hAnsiTheme="minorHAnsi"/>
          <w:sz w:val="22"/>
        </w:rPr>
      </w:pPr>
    </w:p>
    <w:p w:rsidR="00E807F8" w:rsidRPr="00E84532" w:rsidRDefault="00E807F8" w:rsidP="00F23C29">
      <w:pPr>
        <w:numPr>
          <w:ilvl w:val="0"/>
          <w:numId w:val="8"/>
        </w:numPr>
        <w:tabs>
          <w:tab w:val="clear" w:pos="720"/>
          <w:tab w:val="num" w:pos="360"/>
        </w:tabs>
        <w:ind w:left="360"/>
        <w:jc w:val="both"/>
        <w:rPr>
          <w:rFonts w:asciiTheme="minorHAnsi" w:hAnsiTheme="minorHAnsi"/>
          <w:b/>
          <w:sz w:val="22"/>
        </w:rPr>
      </w:pPr>
      <w:r w:rsidRPr="00E84532">
        <w:rPr>
          <w:rFonts w:asciiTheme="minorHAnsi" w:hAnsiTheme="minorHAnsi"/>
          <w:b/>
          <w:sz w:val="22"/>
        </w:rPr>
        <w:t>Kostoja: Materialet dhe Shërbimet:</w:t>
      </w:r>
    </w:p>
    <w:p w:rsidR="00E807F8" w:rsidRPr="00E84532" w:rsidRDefault="00E807F8" w:rsidP="00E807F8">
      <w:pPr>
        <w:tabs>
          <w:tab w:val="left" w:pos="720"/>
        </w:tabs>
        <w:ind w:left="720"/>
        <w:jc w:val="both"/>
        <w:rPr>
          <w:rFonts w:asciiTheme="minorHAnsi" w:hAnsiTheme="minorHAnsi"/>
          <w:sz w:val="22"/>
        </w:rPr>
      </w:pPr>
    </w:p>
    <w:p w:rsidR="00E807F8" w:rsidRPr="00E84532" w:rsidRDefault="00E807F8" w:rsidP="00F23C29">
      <w:pPr>
        <w:numPr>
          <w:ilvl w:val="0"/>
          <w:numId w:val="10"/>
        </w:numPr>
        <w:tabs>
          <w:tab w:val="left" w:pos="720"/>
        </w:tabs>
        <w:ind w:left="720"/>
        <w:jc w:val="both"/>
        <w:rPr>
          <w:rFonts w:asciiTheme="minorHAnsi" w:hAnsiTheme="minorHAnsi"/>
          <w:sz w:val="22"/>
        </w:rPr>
      </w:pPr>
      <w:r w:rsidRPr="00E84532">
        <w:rPr>
          <w:rFonts w:asciiTheme="minorHAnsi" w:hAnsiTheme="minorHAnsi"/>
          <w:sz w:val="22"/>
        </w:rPr>
        <w:t>Për këtë pozicion nga NQ Termok</w:t>
      </w:r>
      <w:r w:rsidR="00EC65DA">
        <w:rPr>
          <w:rFonts w:asciiTheme="minorHAnsi" w:hAnsiTheme="minorHAnsi"/>
          <w:sz w:val="22"/>
        </w:rPr>
        <w:t>os është propozuar vlera prej 11</w:t>
      </w:r>
      <w:r w:rsidR="00DF251D">
        <w:rPr>
          <w:rFonts w:asciiTheme="minorHAnsi" w:hAnsiTheme="minorHAnsi"/>
          <w:sz w:val="22"/>
        </w:rPr>
        <w:t>6</w:t>
      </w:r>
      <w:r w:rsidRPr="00E84532">
        <w:rPr>
          <w:rFonts w:asciiTheme="minorHAnsi" w:hAnsiTheme="minorHAnsi"/>
          <w:sz w:val="22"/>
        </w:rPr>
        <w:t>,</w:t>
      </w:r>
      <w:r w:rsidR="00DF251D">
        <w:rPr>
          <w:rFonts w:asciiTheme="minorHAnsi" w:hAnsiTheme="minorHAnsi"/>
          <w:sz w:val="22"/>
        </w:rPr>
        <w:t>000</w:t>
      </w:r>
      <w:r w:rsidRPr="00E84532">
        <w:rPr>
          <w:rFonts w:asciiTheme="minorHAnsi" w:hAnsiTheme="minorHAnsi"/>
          <w:sz w:val="22"/>
        </w:rPr>
        <w:t xml:space="preserve"> €,; kjo vlerë paraqet rritje prej </w:t>
      </w:r>
      <w:r w:rsidR="00EC65DA">
        <w:rPr>
          <w:rFonts w:asciiTheme="minorHAnsi" w:hAnsiTheme="minorHAnsi"/>
          <w:sz w:val="22"/>
        </w:rPr>
        <w:t xml:space="preserve">rreth </w:t>
      </w:r>
      <w:r w:rsidR="002D3B8D">
        <w:rPr>
          <w:rFonts w:asciiTheme="minorHAnsi" w:hAnsiTheme="minorHAnsi"/>
          <w:sz w:val="22"/>
        </w:rPr>
        <w:t>34</w:t>
      </w:r>
      <w:r w:rsidRPr="00E84532">
        <w:rPr>
          <w:rFonts w:asciiTheme="minorHAnsi" w:hAnsiTheme="minorHAnsi"/>
          <w:sz w:val="22"/>
        </w:rPr>
        <w:t xml:space="preserve">% nga </w:t>
      </w:r>
      <w:r w:rsidR="00EC65DA">
        <w:rPr>
          <w:rFonts w:asciiTheme="minorHAnsi" w:hAnsiTheme="minorHAnsi"/>
          <w:sz w:val="22"/>
        </w:rPr>
        <w:t xml:space="preserve">vlera e lejuar në shqyrtimin tarifor të sezonit të kaluar (86,500 €) respektivisht </w:t>
      </w:r>
      <w:r w:rsidR="00CD60AF">
        <w:rPr>
          <w:rFonts w:asciiTheme="minorHAnsi" w:hAnsiTheme="minorHAnsi"/>
          <w:sz w:val="22"/>
        </w:rPr>
        <w:t xml:space="preserve">rreth </w:t>
      </w:r>
      <w:r w:rsidR="00DF251D">
        <w:rPr>
          <w:rFonts w:asciiTheme="minorHAnsi" w:hAnsiTheme="minorHAnsi"/>
          <w:sz w:val="22"/>
        </w:rPr>
        <w:t>44</w:t>
      </w:r>
      <w:r w:rsidR="00EC65DA">
        <w:rPr>
          <w:rFonts w:asciiTheme="minorHAnsi" w:hAnsiTheme="minorHAnsi"/>
          <w:sz w:val="22"/>
        </w:rPr>
        <w:t>% më e madhe krah</w:t>
      </w:r>
      <w:r w:rsidR="00CD60AF">
        <w:rPr>
          <w:rFonts w:asciiTheme="minorHAnsi" w:hAnsiTheme="minorHAnsi"/>
          <w:sz w:val="22"/>
        </w:rPr>
        <w:t>a</w:t>
      </w:r>
      <w:r w:rsidR="00EC65DA">
        <w:rPr>
          <w:rFonts w:asciiTheme="minorHAnsi" w:hAnsiTheme="minorHAnsi"/>
          <w:sz w:val="22"/>
        </w:rPr>
        <w:t>suar me rea</w:t>
      </w:r>
      <w:r w:rsidR="00CD60AF">
        <w:rPr>
          <w:rFonts w:asciiTheme="minorHAnsi" w:hAnsiTheme="minorHAnsi"/>
          <w:sz w:val="22"/>
        </w:rPr>
        <w:t>l</w:t>
      </w:r>
      <w:r w:rsidR="00EC65DA">
        <w:rPr>
          <w:rFonts w:asciiTheme="minorHAnsi" w:hAnsiTheme="minorHAnsi"/>
          <w:sz w:val="22"/>
        </w:rPr>
        <w:t>izimin e kësaj kostoje në periudhën e kaluar - sezoni 201</w:t>
      </w:r>
      <w:r w:rsidR="00DF251D">
        <w:rPr>
          <w:rFonts w:asciiTheme="minorHAnsi" w:hAnsiTheme="minorHAnsi"/>
          <w:sz w:val="22"/>
        </w:rPr>
        <w:t>9</w:t>
      </w:r>
      <w:r w:rsidRPr="00E84532">
        <w:rPr>
          <w:rFonts w:asciiTheme="minorHAnsi" w:hAnsiTheme="minorHAnsi"/>
          <w:sz w:val="22"/>
        </w:rPr>
        <w:t>/20</w:t>
      </w:r>
      <w:r w:rsidR="00DF251D">
        <w:rPr>
          <w:rFonts w:asciiTheme="minorHAnsi" w:hAnsiTheme="minorHAnsi"/>
          <w:sz w:val="22"/>
        </w:rPr>
        <w:t>20</w:t>
      </w:r>
      <w:r w:rsidRPr="00E84532">
        <w:rPr>
          <w:rFonts w:asciiTheme="minorHAnsi" w:hAnsiTheme="minorHAnsi"/>
          <w:sz w:val="22"/>
        </w:rPr>
        <w:t xml:space="preserve"> (</w:t>
      </w:r>
      <w:r w:rsidR="00DF251D">
        <w:rPr>
          <w:rFonts w:asciiTheme="minorHAnsi" w:hAnsiTheme="minorHAnsi"/>
          <w:sz w:val="22"/>
        </w:rPr>
        <w:t>8</w:t>
      </w:r>
      <w:r w:rsidR="00EC65DA">
        <w:rPr>
          <w:rFonts w:asciiTheme="minorHAnsi" w:hAnsiTheme="minorHAnsi"/>
          <w:sz w:val="22"/>
        </w:rPr>
        <w:t>0</w:t>
      </w:r>
      <w:r w:rsidRPr="00E84532">
        <w:rPr>
          <w:rFonts w:asciiTheme="minorHAnsi" w:hAnsiTheme="minorHAnsi"/>
          <w:sz w:val="22"/>
        </w:rPr>
        <w:t>,</w:t>
      </w:r>
      <w:r w:rsidR="00DF251D">
        <w:rPr>
          <w:rFonts w:asciiTheme="minorHAnsi" w:hAnsiTheme="minorHAnsi"/>
          <w:sz w:val="22"/>
        </w:rPr>
        <w:t>5</w:t>
      </w:r>
      <w:r w:rsidR="00EC65DA">
        <w:rPr>
          <w:rFonts w:asciiTheme="minorHAnsi" w:hAnsiTheme="minorHAnsi"/>
          <w:sz w:val="22"/>
        </w:rPr>
        <w:t>7</w:t>
      </w:r>
      <w:r w:rsidR="00DF251D">
        <w:rPr>
          <w:rFonts w:asciiTheme="minorHAnsi" w:hAnsiTheme="minorHAnsi"/>
          <w:sz w:val="22"/>
        </w:rPr>
        <w:t>2</w:t>
      </w:r>
      <w:r w:rsidRPr="00E84532">
        <w:rPr>
          <w:rFonts w:asciiTheme="minorHAnsi" w:hAnsiTheme="minorHAnsi"/>
          <w:sz w:val="22"/>
        </w:rPr>
        <w:t xml:space="preserve">€). </w:t>
      </w:r>
    </w:p>
    <w:p w:rsidR="00E807F8" w:rsidRPr="00E84532" w:rsidRDefault="00E807F8" w:rsidP="00E807F8">
      <w:pPr>
        <w:tabs>
          <w:tab w:val="left" w:pos="720"/>
        </w:tabs>
        <w:ind w:left="720"/>
        <w:jc w:val="both"/>
        <w:rPr>
          <w:rFonts w:asciiTheme="minorHAnsi" w:hAnsiTheme="minorHAnsi"/>
          <w:sz w:val="22"/>
        </w:rPr>
      </w:pPr>
    </w:p>
    <w:p w:rsidR="00E807F8" w:rsidRPr="00E84532" w:rsidRDefault="00E807F8" w:rsidP="00EF1A8F">
      <w:pPr>
        <w:numPr>
          <w:ilvl w:val="0"/>
          <w:numId w:val="10"/>
        </w:numPr>
        <w:tabs>
          <w:tab w:val="left" w:pos="720"/>
        </w:tabs>
        <w:spacing w:after="120"/>
        <w:ind w:left="720"/>
        <w:jc w:val="both"/>
        <w:rPr>
          <w:rFonts w:asciiTheme="minorHAnsi" w:hAnsiTheme="minorHAnsi"/>
          <w:sz w:val="22"/>
        </w:rPr>
      </w:pPr>
      <w:r w:rsidRPr="00E84532">
        <w:rPr>
          <w:rFonts w:asciiTheme="minorHAnsi" w:hAnsiTheme="minorHAnsi"/>
          <w:sz w:val="22"/>
        </w:rPr>
        <w:lastRenderedPageBreak/>
        <w:t xml:space="preserve">Vlerësimi – Duke marrë parasysh se kjo kosto është </w:t>
      </w:r>
      <w:r w:rsidR="00EF1A8F" w:rsidRPr="00E84532">
        <w:rPr>
          <w:rFonts w:asciiTheme="minorHAnsi" w:hAnsiTheme="minorHAnsi"/>
          <w:sz w:val="22"/>
        </w:rPr>
        <w:t>ngushtë</w:t>
      </w:r>
      <w:r w:rsidRPr="00E84532">
        <w:rPr>
          <w:rFonts w:asciiTheme="minorHAnsi" w:hAnsiTheme="minorHAnsi"/>
          <w:sz w:val="22"/>
        </w:rPr>
        <w:t xml:space="preserve"> e ndërlidhur me koston e riparimeve dhe mirëmbajtjes, </w:t>
      </w:r>
      <w:r w:rsidR="00EC65DA">
        <w:rPr>
          <w:rFonts w:asciiTheme="minorHAnsi" w:hAnsiTheme="minorHAnsi"/>
          <w:sz w:val="22"/>
        </w:rPr>
        <w:t xml:space="preserve">si dhe bazuar në krahasimet më lartë </w:t>
      </w:r>
      <w:r w:rsidRPr="00E84532">
        <w:rPr>
          <w:rFonts w:asciiTheme="minorHAnsi" w:hAnsiTheme="minorHAnsi"/>
          <w:sz w:val="22"/>
        </w:rPr>
        <w:t xml:space="preserve">vlerësohet se </w:t>
      </w:r>
      <w:r w:rsidR="00A7135F">
        <w:rPr>
          <w:rFonts w:asciiTheme="minorHAnsi" w:hAnsiTheme="minorHAnsi"/>
          <w:sz w:val="22"/>
        </w:rPr>
        <w:t xml:space="preserve">rritja e propozuar nga NQ Termokos </w:t>
      </w:r>
      <w:r w:rsidR="002D3B8D">
        <w:rPr>
          <w:rFonts w:asciiTheme="minorHAnsi" w:hAnsiTheme="minorHAnsi"/>
          <w:sz w:val="22"/>
        </w:rPr>
        <w:t>i tejkalon dukshëm kostot</w:t>
      </w:r>
      <w:r w:rsidR="00A7135F">
        <w:rPr>
          <w:rFonts w:asciiTheme="minorHAnsi" w:hAnsiTheme="minorHAnsi"/>
          <w:sz w:val="22"/>
        </w:rPr>
        <w:t xml:space="preserve"> e realizuar</w:t>
      </w:r>
      <w:r w:rsidR="002505F8">
        <w:rPr>
          <w:rFonts w:asciiTheme="minorHAnsi" w:hAnsiTheme="minorHAnsi"/>
          <w:sz w:val="22"/>
        </w:rPr>
        <w:t>a</w:t>
      </w:r>
      <w:r w:rsidR="00A7135F">
        <w:rPr>
          <w:rFonts w:asciiTheme="minorHAnsi" w:hAnsiTheme="minorHAnsi"/>
          <w:sz w:val="22"/>
        </w:rPr>
        <w:t xml:space="preserve"> në sezonet e kaluara</w:t>
      </w:r>
      <w:r w:rsidR="002D3B8D">
        <w:rPr>
          <w:rFonts w:asciiTheme="minorHAnsi" w:hAnsiTheme="minorHAnsi"/>
          <w:sz w:val="22"/>
        </w:rPr>
        <w:t xml:space="preserve">, dhe po ashtu nuk reflekton proporcionalisht shtimin e </w:t>
      </w:r>
      <w:r w:rsidR="002E35FD">
        <w:rPr>
          <w:rFonts w:asciiTheme="minorHAnsi" w:hAnsiTheme="minorHAnsi"/>
          <w:sz w:val="22"/>
        </w:rPr>
        <w:t>mater</w:t>
      </w:r>
      <w:r w:rsidR="002D3B8D">
        <w:rPr>
          <w:rFonts w:asciiTheme="minorHAnsi" w:hAnsiTheme="minorHAnsi"/>
          <w:sz w:val="22"/>
        </w:rPr>
        <w:t>i</w:t>
      </w:r>
      <w:r w:rsidR="002E35FD">
        <w:rPr>
          <w:rFonts w:asciiTheme="minorHAnsi" w:hAnsiTheme="minorHAnsi"/>
          <w:sz w:val="22"/>
        </w:rPr>
        <w:t>a</w:t>
      </w:r>
      <w:r w:rsidR="002D3B8D">
        <w:rPr>
          <w:rFonts w:asciiTheme="minorHAnsi" w:hAnsiTheme="minorHAnsi"/>
          <w:sz w:val="22"/>
        </w:rPr>
        <w:t xml:space="preserve">leve </w:t>
      </w:r>
      <w:r w:rsidR="002E35FD">
        <w:rPr>
          <w:rFonts w:asciiTheme="minorHAnsi" w:hAnsiTheme="minorHAnsi"/>
          <w:sz w:val="22"/>
        </w:rPr>
        <w:t>dh</w:t>
      </w:r>
      <w:r w:rsidR="002D3B8D">
        <w:rPr>
          <w:rFonts w:asciiTheme="minorHAnsi" w:hAnsiTheme="minorHAnsi"/>
          <w:sz w:val="22"/>
        </w:rPr>
        <w:t>e shërbimeve si rrjedhoj e zgjerimit të planifikuar të rrjetit</w:t>
      </w:r>
      <w:r w:rsidR="00A7135F">
        <w:rPr>
          <w:rFonts w:asciiTheme="minorHAnsi" w:hAnsiTheme="minorHAnsi"/>
          <w:sz w:val="22"/>
        </w:rPr>
        <w:t xml:space="preserve">. </w:t>
      </w:r>
      <w:r w:rsidRPr="00E84532">
        <w:rPr>
          <w:rFonts w:asciiTheme="minorHAnsi" w:hAnsiTheme="minorHAnsi"/>
          <w:sz w:val="22"/>
        </w:rPr>
        <w:t xml:space="preserve">Rrjedhimisht ZRRE lejon koston </w:t>
      </w:r>
      <w:r w:rsidRPr="00A7135F">
        <w:rPr>
          <w:rFonts w:asciiTheme="minorHAnsi" w:hAnsiTheme="minorHAnsi"/>
          <w:b/>
          <w:sz w:val="22"/>
        </w:rPr>
        <w:t>‘Materialet dhe Shërbimet’</w:t>
      </w:r>
      <w:r w:rsidRPr="00E84532">
        <w:rPr>
          <w:rFonts w:asciiTheme="minorHAnsi" w:hAnsiTheme="minorHAnsi"/>
          <w:sz w:val="22"/>
        </w:rPr>
        <w:t xml:space="preserve"> në vlerë prej </w:t>
      </w:r>
      <w:r w:rsidRPr="00E84532">
        <w:rPr>
          <w:rFonts w:asciiTheme="minorHAnsi" w:hAnsiTheme="minorHAnsi"/>
          <w:b/>
          <w:sz w:val="22"/>
        </w:rPr>
        <w:t>86,500 €.</w:t>
      </w:r>
      <w:r w:rsidRPr="00E84532">
        <w:rPr>
          <w:rFonts w:asciiTheme="minorHAnsi" w:hAnsiTheme="minorHAnsi"/>
          <w:sz w:val="22"/>
        </w:rPr>
        <w:t xml:space="preserve">  </w:t>
      </w:r>
    </w:p>
    <w:p w:rsidR="00E807F8" w:rsidRPr="00E84532" w:rsidRDefault="00E807F8" w:rsidP="00F23C29">
      <w:pPr>
        <w:pStyle w:val="ListParagraph"/>
        <w:numPr>
          <w:ilvl w:val="0"/>
          <w:numId w:val="8"/>
        </w:numPr>
        <w:tabs>
          <w:tab w:val="clear" w:pos="720"/>
          <w:tab w:val="num" w:pos="360"/>
        </w:tabs>
        <w:ind w:left="360"/>
        <w:contextualSpacing w:val="0"/>
        <w:jc w:val="both"/>
        <w:rPr>
          <w:rFonts w:asciiTheme="minorHAnsi" w:hAnsiTheme="minorHAnsi" w:cs="Calibri"/>
          <w:b/>
          <w:color w:val="FF0000"/>
        </w:rPr>
      </w:pPr>
      <w:r w:rsidRPr="00E84532">
        <w:rPr>
          <w:rFonts w:asciiTheme="minorHAnsi" w:hAnsiTheme="minorHAnsi"/>
          <w:b/>
          <w:sz w:val="22"/>
        </w:rPr>
        <w:t>Kostoja e blerjes së energjisë termike nga kogjenerimi në TC Kosova B – komponent</w:t>
      </w:r>
      <w:r w:rsidR="00EF1A8F">
        <w:rPr>
          <w:rFonts w:asciiTheme="minorHAnsi" w:hAnsiTheme="minorHAnsi"/>
          <w:b/>
          <w:sz w:val="22"/>
        </w:rPr>
        <w:t>i</w:t>
      </w:r>
      <w:r w:rsidRPr="00E84532">
        <w:rPr>
          <w:rFonts w:asciiTheme="minorHAnsi" w:hAnsiTheme="minorHAnsi"/>
          <w:b/>
          <w:sz w:val="22"/>
        </w:rPr>
        <w:t xml:space="preserve"> fiks </w:t>
      </w:r>
      <w:r w:rsidR="00EF1A8F">
        <w:rPr>
          <w:rFonts w:asciiTheme="minorHAnsi" w:hAnsiTheme="minorHAnsi"/>
          <w:b/>
          <w:sz w:val="22"/>
        </w:rPr>
        <w:t>i</w:t>
      </w:r>
      <w:r w:rsidRPr="00E84532">
        <w:rPr>
          <w:rFonts w:asciiTheme="minorHAnsi" w:hAnsiTheme="minorHAnsi"/>
          <w:b/>
          <w:sz w:val="22"/>
        </w:rPr>
        <w:t xml:space="preserve"> pagesës për kapacitetin e rezervuar </w:t>
      </w:r>
    </w:p>
    <w:p w:rsidR="00E807F8" w:rsidRPr="00E84532" w:rsidRDefault="00E807F8" w:rsidP="00E807F8">
      <w:pPr>
        <w:pStyle w:val="ListParagraph"/>
        <w:ind w:left="360"/>
        <w:jc w:val="both"/>
        <w:rPr>
          <w:rFonts w:asciiTheme="minorHAnsi" w:hAnsiTheme="minorHAnsi" w:cs="Calibri"/>
          <w:b/>
          <w:color w:val="FF0000"/>
        </w:rPr>
      </w:pPr>
    </w:p>
    <w:p w:rsidR="00E807F8" w:rsidRPr="00E84532" w:rsidRDefault="00E807F8" w:rsidP="00F23C29">
      <w:pPr>
        <w:pStyle w:val="ListParagraph"/>
        <w:numPr>
          <w:ilvl w:val="0"/>
          <w:numId w:val="19"/>
        </w:numPr>
        <w:ind w:left="720"/>
        <w:contextualSpacing w:val="0"/>
        <w:jc w:val="both"/>
        <w:rPr>
          <w:rFonts w:asciiTheme="minorHAnsi" w:hAnsiTheme="minorHAnsi" w:cs="Calibri"/>
          <w:b/>
          <w:color w:val="FF0000"/>
        </w:rPr>
      </w:pPr>
      <w:r w:rsidRPr="00E84532">
        <w:rPr>
          <w:rFonts w:asciiTheme="minorHAnsi" w:hAnsiTheme="minorHAnsi"/>
          <w:sz w:val="22"/>
        </w:rPr>
        <w:t>Komponent</w:t>
      </w:r>
      <w:r w:rsidR="00EF1A8F">
        <w:rPr>
          <w:rFonts w:asciiTheme="minorHAnsi" w:hAnsiTheme="minorHAnsi"/>
          <w:sz w:val="22"/>
        </w:rPr>
        <w:t>i i</w:t>
      </w:r>
      <w:r w:rsidRPr="00E84532">
        <w:rPr>
          <w:rFonts w:asciiTheme="minorHAnsi" w:hAnsiTheme="minorHAnsi"/>
          <w:sz w:val="22"/>
        </w:rPr>
        <w:t xml:space="preserve"> pagesës për kapacitet të rezervuar e propozuar nga NQ Termokos ka është bazuar në kapacitetin e rezervu</w:t>
      </w:r>
      <w:r w:rsidR="00A7135F">
        <w:rPr>
          <w:rFonts w:asciiTheme="minorHAnsi" w:hAnsiTheme="minorHAnsi"/>
          <w:sz w:val="22"/>
        </w:rPr>
        <w:t xml:space="preserve">ar elektrik: </w:t>
      </w:r>
      <w:r w:rsidR="002D3B8D">
        <w:rPr>
          <w:rFonts w:asciiTheme="minorHAnsi" w:hAnsiTheme="minorHAnsi"/>
          <w:sz w:val="22"/>
        </w:rPr>
        <w:t>40</w:t>
      </w:r>
      <w:r w:rsidRPr="00E84532">
        <w:rPr>
          <w:rFonts w:asciiTheme="minorHAnsi" w:hAnsiTheme="minorHAnsi"/>
          <w:sz w:val="22"/>
        </w:rPr>
        <w:t>,</w:t>
      </w:r>
      <w:r w:rsidR="002D3B8D">
        <w:rPr>
          <w:rFonts w:asciiTheme="minorHAnsi" w:hAnsiTheme="minorHAnsi"/>
          <w:sz w:val="22"/>
        </w:rPr>
        <w:t>8</w:t>
      </w:r>
      <w:r w:rsidR="00A7135F">
        <w:rPr>
          <w:rFonts w:asciiTheme="minorHAnsi" w:hAnsiTheme="minorHAnsi"/>
          <w:sz w:val="22"/>
        </w:rPr>
        <w:t>0</w:t>
      </w:r>
      <w:r w:rsidRPr="00E84532">
        <w:rPr>
          <w:rFonts w:asciiTheme="minorHAnsi" w:hAnsiTheme="minorHAnsi"/>
          <w:sz w:val="22"/>
        </w:rPr>
        <w:t>0 MWh</w:t>
      </w:r>
      <w:r w:rsidRPr="00E84532">
        <w:rPr>
          <w:rFonts w:asciiTheme="minorHAnsi" w:hAnsiTheme="minorHAnsi"/>
          <w:sz w:val="22"/>
          <w:vertAlign w:val="subscript"/>
        </w:rPr>
        <w:t>EL</w:t>
      </w:r>
      <w:r w:rsidRPr="00E84532">
        <w:rPr>
          <w:rFonts w:asciiTheme="minorHAnsi" w:hAnsiTheme="minorHAnsi"/>
          <w:sz w:val="22"/>
        </w:rPr>
        <w:t xml:space="preserve">/h dhe ngarkesën </w:t>
      </w:r>
      <w:r w:rsidR="002D3B8D">
        <w:rPr>
          <w:rFonts w:asciiTheme="minorHAnsi" w:hAnsiTheme="minorHAnsi"/>
          <w:sz w:val="22"/>
        </w:rPr>
        <w:t xml:space="preserve">(çmimin) </w:t>
      </w:r>
      <w:r w:rsidRPr="00E84532">
        <w:rPr>
          <w:rFonts w:asciiTheme="minorHAnsi" w:hAnsiTheme="minorHAnsi"/>
          <w:sz w:val="22"/>
        </w:rPr>
        <w:t>respektive: 2</w:t>
      </w:r>
      <w:r w:rsidR="002D3B8D">
        <w:rPr>
          <w:rFonts w:asciiTheme="minorHAnsi" w:hAnsiTheme="minorHAnsi"/>
          <w:sz w:val="22"/>
        </w:rPr>
        <w:t>0</w:t>
      </w:r>
      <w:r w:rsidRPr="00E84532">
        <w:rPr>
          <w:rFonts w:asciiTheme="minorHAnsi" w:hAnsiTheme="minorHAnsi"/>
          <w:sz w:val="22"/>
        </w:rPr>
        <w:t>.</w:t>
      </w:r>
      <w:r w:rsidR="002D3B8D">
        <w:rPr>
          <w:rFonts w:asciiTheme="minorHAnsi" w:hAnsiTheme="minorHAnsi"/>
          <w:sz w:val="22"/>
        </w:rPr>
        <w:t>65</w:t>
      </w:r>
      <w:r w:rsidRPr="00E84532">
        <w:rPr>
          <w:rFonts w:asciiTheme="minorHAnsi" w:hAnsiTheme="minorHAnsi"/>
          <w:sz w:val="22"/>
        </w:rPr>
        <w:t xml:space="preserve"> €/MWh</w:t>
      </w:r>
      <w:r w:rsidRPr="00E84532">
        <w:rPr>
          <w:rFonts w:asciiTheme="minorHAnsi" w:hAnsiTheme="minorHAnsi"/>
          <w:sz w:val="22"/>
          <w:vertAlign w:val="subscript"/>
        </w:rPr>
        <w:t>EL</w:t>
      </w:r>
      <w:r w:rsidRPr="00E84532">
        <w:rPr>
          <w:rFonts w:asciiTheme="minorHAnsi" w:hAnsiTheme="minorHAnsi"/>
          <w:sz w:val="22"/>
        </w:rPr>
        <w:t>/h;</w:t>
      </w:r>
    </w:p>
    <w:p w:rsidR="00E807F8" w:rsidRPr="00E84532" w:rsidRDefault="00E807F8" w:rsidP="00F23C29">
      <w:pPr>
        <w:pStyle w:val="ListParagraph"/>
        <w:numPr>
          <w:ilvl w:val="0"/>
          <w:numId w:val="13"/>
        </w:numPr>
        <w:ind w:left="720"/>
        <w:contextualSpacing w:val="0"/>
        <w:jc w:val="both"/>
        <w:rPr>
          <w:rFonts w:asciiTheme="minorHAnsi" w:hAnsiTheme="minorHAnsi"/>
          <w:sz w:val="22"/>
        </w:rPr>
      </w:pPr>
      <w:r w:rsidRPr="00E84532">
        <w:rPr>
          <w:rFonts w:asciiTheme="minorHAnsi" w:hAnsiTheme="minorHAnsi"/>
          <w:sz w:val="22"/>
        </w:rPr>
        <w:t>Vlerësimi – Propozimi i NQ Termokos për kapacitetin e rezervuar vlerësohet është kryesisht real dhe i bazuar në Bilancet e energjis</w:t>
      </w:r>
      <w:r w:rsidR="00A7135F">
        <w:rPr>
          <w:rFonts w:asciiTheme="minorHAnsi" w:hAnsiTheme="minorHAnsi"/>
          <w:sz w:val="22"/>
        </w:rPr>
        <w:t>ë; nga llogaritjet rezulton se k</w:t>
      </w:r>
      <w:r w:rsidRPr="00E84532">
        <w:rPr>
          <w:rFonts w:asciiTheme="minorHAnsi" w:hAnsiTheme="minorHAnsi"/>
          <w:sz w:val="22"/>
        </w:rPr>
        <w:t>omponent</w:t>
      </w:r>
      <w:r w:rsidR="00EF1A8F">
        <w:rPr>
          <w:rFonts w:asciiTheme="minorHAnsi" w:hAnsiTheme="minorHAnsi"/>
          <w:sz w:val="22"/>
        </w:rPr>
        <w:t>i</w:t>
      </w:r>
      <w:r w:rsidRPr="00E84532">
        <w:rPr>
          <w:rFonts w:asciiTheme="minorHAnsi" w:hAnsiTheme="minorHAnsi"/>
          <w:sz w:val="22"/>
        </w:rPr>
        <w:t xml:space="preserve"> </w:t>
      </w:r>
      <w:r w:rsidR="00EF1A8F">
        <w:rPr>
          <w:rFonts w:asciiTheme="minorHAnsi" w:hAnsiTheme="minorHAnsi"/>
          <w:sz w:val="22"/>
        </w:rPr>
        <w:t>i</w:t>
      </w:r>
      <w:r w:rsidRPr="00E84532">
        <w:rPr>
          <w:rFonts w:asciiTheme="minorHAnsi" w:hAnsiTheme="minorHAnsi"/>
          <w:sz w:val="22"/>
        </w:rPr>
        <w:t xml:space="preserve"> </w:t>
      </w:r>
      <w:r w:rsidRPr="00A7135F">
        <w:rPr>
          <w:rFonts w:asciiTheme="minorHAnsi" w:hAnsiTheme="minorHAnsi"/>
          <w:b/>
          <w:sz w:val="22"/>
        </w:rPr>
        <w:t>pagesës për kapacitetin e rezervuar</w:t>
      </w:r>
      <w:r w:rsidRPr="00E84532">
        <w:rPr>
          <w:rFonts w:asciiTheme="minorHAnsi" w:hAnsiTheme="minorHAnsi"/>
          <w:sz w:val="22"/>
        </w:rPr>
        <w:t xml:space="preserve"> është </w:t>
      </w:r>
      <w:r w:rsidR="007942DC">
        <w:rPr>
          <w:rFonts w:asciiTheme="minorHAnsi" w:hAnsiTheme="minorHAnsi"/>
          <w:b/>
          <w:sz w:val="22"/>
        </w:rPr>
        <w:t>8</w:t>
      </w:r>
      <w:r w:rsidR="002D3B8D">
        <w:rPr>
          <w:rFonts w:asciiTheme="minorHAnsi" w:hAnsiTheme="minorHAnsi"/>
          <w:b/>
          <w:sz w:val="22"/>
        </w:rPr>
        <w:t>42</w:t>
      </w:r>
      <w:r w:rsidR="00A7135F">
        <w:rPr>
          <w:rFonts w:asciiTheme="minorHAnsi" w:hAnsiTheme="minorHAnsi"/>
          <w:b/>
          <w:sz w:val="22"/>
        </w:rPr>
        <w:t>,</w:t>
      </w:r>
      <w:r w:rsidR="002D3B8D">
        <w:rPr>
          <w:rFonts w:asciiTheme="minorHAnsi" w:hAnsiTheme="minorHAnsi"/>
          <w:b/>
          <w:sz w:val="22"/>
        </w:rPr>
        <w:t>5</w:t>
      </w:r>
      <w:r w:rsidR="002505F8">
        <w:rPr>
          <w:rFonts w:asciiTheme="minorHAnsi" w:hAnsiTheme="minorHAnsi"/>
          <w:b/>
          <w:sz w:val="22"/>
        </w:rPr>
        <w:t>2</w:t>
      </w:r>
      <w:r w:rsidR="002D3B8D">
        <w:rPr>
          <w:rFonts w:asciiTheme="minorHAnsi" w:hAnsiTheme="minorHAnsi"/>
          <w:b/>
          <w:sz w:val="22"/>
        </w:rPr>
        <w:t>0</w:t>
      </w:r>
      <w:r w:rsidRPr="00E84532">
        <w:rPr>
          <w:rFonts w:asciiTheme="minorHAnsi" w:hAnsiTheme="minorHAnsi"/>
          <w:b/>
          <w:sz w:val="22"/>
        </w:rPr>
        <w:t>€;</w:t>
      </w:r>
    </w:p>
    <w:p w:rsidR="00E807F8" w:rsidRPr="00E84532" w:rsidRDefault="00E807F8" w:rsidP="00E807F8">
      <w:pPr>
        <w:pStyle w:val="ListParagraph"/>
        <w:jc w:val="both"/>
        <w:rPr>
          <w:rFonts w:asciiTheme="minorHAnsi" w:hAnsiTheme="minorHAnsi" w:cs="Calibri"/>
          <w:b/>
          <w:color w:val="FF0000"/>
        </w:rPr>
      </w:pPr>
    </w:p>
    <w:p w:rsidR="00E807F8" w:rsidRPr="00E84532" w:rsidRDefault="00E807F8" w:rsidP="00F23C29">
      <w:pPr>
        <w:numPr>
          <w:ilvl w:val="2"/>
          <w:numId w:val="8"/>
        </w:numPr>
        <w:tabs>
          <w:tab w:val="clear" w:pos="2160"/>
          <w:tab w:val="num" w:pos="360"/>
        </w:tabs>
        <w:ind w:left="360"/>
        <w:jc w:val="both"/>
        <w:rPr>
          <w:rFonts w:asciiTheme="minorHAnsi" w:hAnsiTheme="minorHAnsi"/>
          <w:b/>
          <w:sz w:val="22"/>
        </w:rPr>
      </w:pPr>
      <w:r w:rsidRPr="00E84532">
        <w:rPr>
          <w:rFonts w:asciiTheme="minorHAnsi" w:hAnsiTheme="minorHAnsi"/>
          <w:b/>
          <w:sz w:val="22"/>
        </w:rPr>
        <w:t>Kostot Administrative:</w:t>
      </w:r>
    </w:p>
    <w:p w:rsidR="00E807F8" w:rsidRPr="00E84532" w:rsidRDefault="00E807F8" w:rsidP="00E807F8">
      <w:pPr>
        <w:tabs>
          <w:tab w:val="left" w:pos="720"/>
        </w:tabs>
        <w:ind w:left="720"/>
        <w:jc w:val="both"/>
        <w:rPr>
          <w:rFonts w:asciiTheme="minorHAnsi" w:hAnsiTheme="minorHAnsi"/>
          <w:sz w:val="22"/>
        </w:rPr>
      </w:pPr>
      <w:r w:rsidRPr="00E84532">
        <w:rPr>
          <w:rFonts w:asciiTheme="minorHAnsi" w:hAnsiTheme="minorHAnsi"/>
          <w:sz w:val="22"/>
        </w:rPr>
        <w:t xml:space="preserve"> </w:t>
      </w:r>
    </w:p>
    <w:p w:rsidR="00E807F8" w:rsidRPr="00E84532" w:rsidRDefault="00E807F8" w:rsidP="00F23C29">
      <w:pPr>
        <w:numPr>
          <w:ilvl w:val="0"/>
          <w:numId w:val="12"/>
        </w:numPr>
        <w:tabs>
          <w:tab w:val="left" w:pos="720"/>
        </w:tabs>
        <w:jc w:val="both"/>
        <w:rPr>
          <w:rFonts w:asciiTheme="minorHAnsi" w:hAnsiTheme="minorHAnsi"/>
          <w:sz w:val="22"/>
        </w:rPr>
      </w:pPr>
      <w:r w:rsidRPr="00E84532">
        <w:rPr>
          <w:rFonts w:asciiTheme="minorHAnsi" w:hAnsiTheme="minorHAnsi"/>
          <w:sz w:val="22"/>
        </w:rPr>
        <w:t>NQ Termokos ka propozuar koston p</w:t>
      </w:r>
      <w:r w:rsidR="00A7135F">
        <w:rPr>
          <w:rFonts w:asciiTheme="minorHAnsi" w:hAnsiTheme="minorHAnsi"/>
          <w:sz w:val="22"/>
        </w:rPr>
        <w:t>ër administratë në vlerë prej 11</w:t>
      </w:r>
      <w:r w:rsidR="002D3B8D">
        <w:rPr>
          <w:rFonts w:asciiTheme="minorHAnsi" w:hAnsiTheme="minorHAnsi"/>
          <w:sz w:val="22"/>
        </w:rPr>
        <w:t>1</w:t>
      </w:r>
      <w:r w:rsidRPr="00E84532">
        <w:rPr>
          <w:rFonts w:asciiTheme="minorHAnsi" w:hAnsiTheme="minorHAnsi"/>
          <w:sz w:val="22"/>
        </w:rPr>
        <w:t>,0</w:t>
      </w:r>
      <w:r w:rsidR="002D3B8D">
        <w:rPr>
          <w:rFonts w:asciiTheme="minorHAnsi" w:hAnsiTheme="minorHAnsi"/>
          <w:sz w:val="22"/>
        </w:rPr>
        <w:t>9</w:t>
      </w:r>
      <w:r w:rsidRPr="00E84532">
        <w:rPr>
          <w:rFonts w:asciiTheme="minorHAnsi" w:hAnsiTheme="minorHAnsi"/>
          <w:sz w:val="22"/>
        </w:rPr>
        <w:t xml:space="preserve">0 € duke ofruar detajimet përkatëse. Vlera e propozuar tregon rritje prej </w:t>
      </w:r>
      <w:r w:rsidR="00A7135F">
        <w:rPr>
          <w:rFonts w:asciiTheme="minorHAnsi" w:hAnsiTheme="minorHAnsi"/>
          <w:sz w:val="22"/>
        </w:rPr>
        <w:t>5</w:t>
      </w:r>
      <w:r w:rsidR="00077F47">
        <w:rPr>
          <w:rFonts w:asciiTheme="minorHAnsi" w:hAnsiTheme="minorHAnsi"/>
          <w:sz w:val="22"/>
        </w:rPr>
        <w:t>6</w:t>
      </w:r>
      <w:r w:rsidRPr="00E84532">
        <w:rPr>
          <w:rFonts w:asciiTheme="minorHAnsi" w:hAnsiTheme="minorHAnsi"/>
          <w:sz w:val="22"/>
        </w:rPr>
        <w:t>% krahasuar me vlerën e realizuar në periud</w:t>
      </w:r>
      <w:r w:rsidR="00A7135F">
        <w:rPr>
          <w:rFonts w:asciiTheme="minorHAnsi" w:hAnsiTheme="minorHAnsi"/>
          <w:sz w:val="22"/>
        </w:rPr>
        <w:t>hën e kaluar (</w:t>
      </w:r>
      <w:r w:rsidRPr="00E84532">
        <w:rPr>
          <w:rFonts w:asciiTheme="minorHAnsi" w:hAnsiTheme="minorHAnsi"/>
          <w:sz w:val="22"/>
        </w:rPr>
        <w:t>7</w:t>
      </w:r>
      <w:r w:rsidR="00077F47">
        <w:rPr>
          <w:rFonts w:asciiTheme="minorHAnsi" w:hAnsiTheme="minorHAnsi"/>
          <w:sz w:val="22"/>
        </w:rPr>
        <w:t>1</w:t>
      </w:r>
      <w:r w:rsidRPr="00E84532">
        <w:rPr>
          <w:rFonts w:asciiTheme="minorHAnsi" w:hAnsiTheme="minorHAnsi"/>
          <w:sz w:val="22"/>
        </w:rPr>
        <w:t>,</w:t>
      </w:r>
      <w:r w:rsidR="00077F47">
        <w:rPr>
          <w:rFonts w:asciiTheme="minorHAnsi" w:hAnsiTheme="minorHAnsi"/>
          <w:sz w:val="22"/>
        </w:rPr>
        <w:t>257</w:t>
      </w:r>
      <w:r w:rsidR="004B4AC6">
        <w:rPr>
          <w:rFonts w:asciiTheme="minorHAnsi" w:hAnsiTheme="minorHAnsi"/>
          <w:sz w:val="22"/>
        </w:rPr>
        <w:t xml:space="preserve"> €)</w:t>
      </w:r>
      <w:r w:rsidRPr="00E84532">
        <w:rPr>
          <w:rFonts w:asciiTheme="minorHAnsi" w:hAnsiTheme="minorHAnsi"/>
          <w:sz w:val="22"/>
        </w:rPr>
        <w:t xml:space="preserve">.  </w:t>
      </w:r>
    </w:p>
    <w:p w:rsidR="00E807F8" w:rsidRPr="00E84532" w:rsidRDefault="00E807F8" w:rsidP="00F23C29">
      <w:pPr>
        <w:numPr>
          <w:ilvl w:val="0"/>
          <w:numId w:val="12"/>
        </w:numPr>
        <w:tabs>
          <w:tab w:val="left" w:pos="720"/>
        </w:tabs>
        <w:jc w:val="both"/>
        <w:rPr>
          <w:rFonts w:asciiTheme="minorHAnsi" w:hAnsiTheme="minorHAnsi"/>
          <w:sz w:val="22"/>
        </w:rPr>
      </w:pPr>
      <w:r w:rsidRPr="00E84532">
        <w:rPr>
          <w:rFonts w:asciiTheme="minorHAnsi" w:hAnsiTheme="minorHAnsi"/>
          <w:sz w:val="22"/>
        </w:rPr>
        <w:t xml:space="preserve">Vlerësimi – Bazuar në sa u përmend më lartë dhe për të lejuar përmirësimin e shërbimeve të ndërmarrjes e veçanërisht shërbimin për konsumatorë, ZRRE vendos të lejoj një rritje të vogël </w:t>
      </w:r>
      <w:r w:rsidR="004B4AC6">
        <w:rPr>
          <w:rFonts w:asciiTheme="minorHAnsi" w:hAnsiTheme="minorHAnsi"/>
          <w:sz w:val="22"/>
        </w:rPr>
        <w:t xml:space="preserve">(rreth 8%) </w:t>
      </w:r>
      <w:r w:rsidRPr="00E84532">
        <w:rPr>
          <w:rFonts w:asciiTheme="minorHAnsi" w:hAnsiTheme="minorHAnsi"/>
          <w:sz w:val="22"/>
        </w:rPr>
        <w:t xml:space="preserve">nga realizimi në periudhën e kaluar dhe e </w:t>
      </w:r>
      <w:r w:rsidR="00B63F1E">
        <w:rPr>
          <w:rFonts w:asciiTheme="minorHAnsi" w:hAnsiTheme="minorHAnsi"/>
          <w:sz w:val="22"/>
        </w:rPr>
        <w:t xml:space="preserve">fikson </w:t>
      </w:r>
      <w:r w:rsidRPr="00E84532">
        <w:rPr>
          <w:rFonts w:asciiTheme="minorHAnsi" w:hAnsiTheme="minorHAnsi"/>
          <w:sz w:val="22"/>
        </w:rPr>
        <w:t xml:space="preserve">këtë  kosto në vlerën </w:t>
      </w:r>
      <w:r w:rsidR="00B63F1E">
        <w:rPr>
          <w:rFonts w:asciiTheme="minorHAnsi" w:hAnsiTheme="minorHAnsi"/>
          <w:b/>
          <w:sz w:val="22"/>
        </w:rPr>
        <w:t>82</w:t>
      </w:r>
      <w:r w:rsidRPr="00E84532">
        <w:rPr>
          <w:rFonts w:asciiTheme="minorHAnsi" w:hAnsiTheme="minorHAnsi"/>
          <w:b/>
          <w:sz w:val="22"/>
        </w:rPr>
        <w:t>,000€.</w:t>
      </w:r>
      <w:r w:rsidRPr="00E84532">
        <w:rPr>
          <w:rFonts w:asciiTheme="minorHAnsi" w:hAnsiTheme="minorHAnsi"/>
          <w:sz w:val="22"/>
        </w:rPr>
        <w:t xml:space="preserve"> </w:t>
      </w:r>
    </w:p>
    <w:p w:rsidR="00923408" w:rsidRPr="00E84532" w:rsidRDefault="00923408" w:rsidP="00E807F8">
      <w:pPr>
        <w:tabs>
          <w:tab w:val="left" w:pos="720"/>
        </w:tabs>
        <w:ind w:left="720"/>
        <w:jc w:val="both"/>
        <w:rPr>
          <w:rFonts w:asciiTheme="minorHAnsi" w:hAnsiTheme="minorHAnsi"/>
          <w:sz w:val="22"/>
        </w:rPr>
      </w:pPr>
    </w:p>
    <w:p w:rsidR="00E807F8" w:rsidRPr="00E84532" w:rsidRDefault="00E807F8" w:rsidP="00F23C29">
      <w:pPr>
        <w:numPr>
          <w:ilvl w:val="2"/>
          <w:numId w:val="8"/>
        </w:numPr>
        <w:tabs>
          <w:tab w:val="clear" w:pos="2160"/>
          <w:tab w:val="num" w:pos="360"/>
        </w:tabs>
        <w:ind w:left="360"/>
        <w:jc w:val="both"/>
        <w:rPr>
          <w:rFonts w:asciiTheme="minorHAnsi" w:hAnsiTheme="minorHAnsi"/>
          <w:b/>
          <w:sz w:val="22"/>
        </w:rPr>
      </w:pPr>
      <w:r w:rsidRPr="00E84532">
        <w:rPr>
          <w:rFonts w:asciiTheme="minorHAnsi" w:hAnsiTheme="minorHAnsi"/>
          <w:b/>
          <w:sz w:val="22"/>
        </w:rPr>
        <w:t>Kostoja e Personelit (‘e ndryshme prej punës direkte’)</w:t>
      </w:r>
    </w:p>
    <w:p w:rsidR="00E807F8" w:rsidRPr="00E84532" w:rsidRDefault="00E807F8" w:rsidP="00E807F8">
      <w:pPr>
        <w:ind w:left="720"/>
        <w:jc w:val="both"/>
        <w:rPr>
          <w:rFonts w:asciiTheme="minorHAnsi" w:hAnsiTheme="minorHAnsi"/>
          <w:sz w:val="22"/>
        </w:rPr>
      </w:pPr>
    </w:p>
    <w:p w:rsidR="00E807F8" w:rsidRPr="00F2300E" w:rsidRDefault="00E807F8" w:rsidP="00F23C29">
      <w:pPr>
        <w:numPr>
          <w:ilvl w:val="3"/>
          <w:numId w:val="8"/>
        </w:numPr>
        <w:tabs>
          <w:tab w:val="clear" w:pos="2880"/>
          <w:tab w:val="num" w:pos="720"/>
        </w:tabs>
        <w:ind w:left="720"/>
        <w:jc w:val="both"/>
        <w:rPr>
          <w:rFonts w:asciiTheme="minorHAnsi" w:hAnsiTheme="minorHAnsi"/>
          <w:sz w:val="22"/>
        </w:rPr>
      </w:pPr>
      <w:r w:rsidRPr="00E84532">
        <w:rPr>
          <w:rFonts w:asciiTheme="minorHAnsi" w:hAnsiTheme="minorHAnsi"/>
          <w:sz w:val="22"/>
        </w:rPr>
        <w:t>Për koston e personelit në administratë dhe shërbimet tjera mbështetëse NQ Termo</w:t>
      </w:r>
      <w:r w:rsidR="00B63F1E">
        <w:rPr>
          <w:rFonts w:asciiTheme="minorHAnsi" w:hAnsiTheme="minorHAnsi"/>
          <w:sz w:val="22"/>
        </w:rPr>
        <w:t xml:space="preserve">kos ka propozuar vlerën prej </w:t>
      </w:r>
      <w:r w:rsidR="00077F47">
        <w:rPr>
          <w:rFonts w:asciiTheme="minorHAnsi" w:hAnsiTheme="minorHAnsi"/>
          <w:sz w:val="22"/>
        </w:rPr>
        <w:t>1,174</w:t>
      </w:r>
      <w:r w:rsidR="00B63F1E">
        <w:rPr>
          <w:rFonts w:asciiTheme="minorHAnsi" w:hAnsiTheme="minorHAnsi"/>
          <w:sz w:val="22"/>
        </w:rPr>
        <w:t>,</w:t>
      </w:r>
      <w:r w:rsidR="00077F47">
        <w:rPr>
          <w:rFonts w:asciiTheme="minorHAnsi" w:hAnsiTheme="minorHAnsi"/>
          <w:sz w:val="22"/>
        </w:rPr>
        <w:t>450</w:t>
      </w:r>
      <w:r w:rsidR="00B63F1E">
        <w:rPr>
          <w:rFonts w:asciiTheme="minorHAnsi" w:hAnsiTheme="minorHAnsi"/>
          <w:sz w:val="22"/>
        </w:rPr>
        <w:t xml:space="preserve"> € - propozim i rritur </w:t>
      </w:r>
      <w:r w:rsidR="00077F47">
        <w:rPr>
          <w:rFonts w:asciiTheme="minorHAnsi" w:hAnsiTheme="minorHAnsi"/>
          <w:sz w:val="22"/>
        </w:rPr>
        <w:t>34</w:t>
      </w:r>
      <w:r w:rsidRPr="00E84532">
        <w:rPr>
          <w:rFonts w:asciiTheme="minorHAnsi" w:hAnsiTheme="minorHAnsi"/>
          <w:sz w:val="22"/>
        </w:rPr>
        <w:t xml:space="preserve">% në krahasim me </w:t>
      </w:r>
      <w:r w:rsidR="00B63F1E">
        <w:rPr>
          <w:rFonts w:asciiTheme="minorHAnsi" w:hAnsiTheme="minorHAnsi"/>
          <w:sz w:val="22"/>
        </w:rPr>
        <w:t>realizimin e kësaj kostoje në sezonin e kaluar (8</w:t>
      </w:r>
      <w:r w:rsidR="00077F47">
        <w:rPr>
          <w:rFonts w:asciiTheme="minorHAnsi" w:hAnsiTheme="minorHAnsi"/>
          <w:sz w:val="22"/>
        </w:rPr>
        <w:t>71</w:t>
      </w:r>
      <w:r w:rsidRPr="00E84532">
        <w:rPr>
          <w:rFonts w:asciiTheme="minorHAnsi" w:hAnsiTheme="minorHAnsi"/>
          <w:sz w:val="22"/>
        </w:rPr>
        <w:t>,</w:t>
      </w:r>
      <w:r w:rsidR="00077F47">
        <w:rPr>
          <w:rFonts w:asciiTheme="minorHAnsi" w:hAnsiTheme="minorHAnsi"/>
          <w:sz w:val="22"/>
        </w:rPr>
        <w:t>930</w:t>
      </w:r>
      <w:r w:rsidRPr="00E84532">
        <w:rPr>
          <w:rFonts w:asciiTheme="minorHAnsi" w:hAnsiTheme="minorHAnsi"/>
          <w:sz w:val="22"/>
        </w:rPr>
        <w:t xml:space="preserve"> €)</w:t>
      </w:r>
      <w:r w:rsidR="00077F47">
        <w:rPr>
          <w:rFonts w:asciiTheme="minorHAnsi" w:hAnsiTheme="minorHAnsi"/>
          <w:sz w:val="22"/>
        </w:rPr>
        <w:t xml:space="preserve">, ndërsa po ashtu është rritje prej rreth 56% krahasuar me vlerën e lejuar për këtë kosto në shqyrtimin e sezonit të kaluar (749,608€) </w:t>
      </w:r>
      <w:r w:rsidRPr="00E84532">
        <w:rPr>
          <w:rFonts w:asciiTheme="minorHAnsi" w:hAnsiTheme="minorHAnsi"/>
          <w:sz w:val="22"/>
        </w:rPr>
        <w:t xml:space="preserve">. Njëjtë si për koston e personelit ‘puna direkte’, </w:t>
      </w:r>
      <w:r w:rsidR="00077F47">
        <w:rPr>
          <w:rFonts w:asciiTheme="minorHAnsi" w:hAnsiTheme="minorHAnsi"/>
          <w:sz w:val="22"/>
        </w:rPr>
        <w:t xml:space="preserve">kjo rritje </w:t>
      </w:r>
      <w:r w:rsidR="00077F47" w:rsidRPr="00E84532">
        <w:rPr>
          <w:rFonts w:asciiTheme="minorHAnsi" w:hAnsiTheme="minorHAnsi"/>
          <w:sz w:val="22"/>
        </w:rPr>
        <w:t xml:space="preserve">është arsyetuar me </w:t>
      </w:r>
      <w:r w:rsidR="00077F47">
        <w:rPr>
          <w:rFonts w:asciiTheme="minorHAnsi" w:hAnsiTheme="minorHAnsi"/>
          <w:sz w:val="22"/>
        </w:rPr>
        <w:t xml:space="preserve">rritjen e planifikuar të numrit të stafit sipas Rregullores për organizmin dhe sistematizimin e vendeve të punës nxjerrur nga Bordi i NP Termokos në fund të vitit 2019. Sipas kësaj Rregullore, ndër tjera,  parashihet rritje e numrit të punësuarve (nga aktualisht 203 në 248), si dhe shtimi i disa njësive të reja organizative, si p.sh. Departamenti Ligjor dhe Departamenti për Zhvillim dhe Investime Kapitale, që parashihet të kenë 24 të punësuar. Sipas organogramit të ri parashihet një shtim i numrit të punësuarve në Departamentin e shpërndarjes për shkak të zgjerimit të rrjetit edhe në distriktet (lagjet) tjera të qytetit, në kuadër të projekteve që janë në vijim e sipër ose të planifikuara. Lidhur me rritjen e planifikuar të numrit të punëtorëve, duhet theksuar se, sipas informatave nga NP Termokos ende nuk janë plotësuar vendet e reja të punës si në departamentet ekzistese ashtu edhe në departamentet e reja. Gjithashtu NP Termokos nuk ka ofruar ndonjë plan të rekrutimit të stafit të ri për plotësimin e vendeve të reja të punës.   </w:t>
      </w:r>
    </w:p>
    <w:p w:rsidR="00E807F8" w:rsidRPr="00E84532" w:rsidRDefault="00E807F8" w:rsidP="00E807F8">
      <w:pPr>
        <w:ind w:left="720"/>
        <w:jc w:val="both"/>
        <w:rPr>
          <w:rFonts w:asciiTheme="minorHAnsi" w:hAnsiTheme="minorHAnsi"/>
          <w:sz w:val="22"/>
        </w:rPr>
      </w:pPr>
      <w:r w:rsidRPr="00E84532">
        <w:rPr>
          <w:rFonts w:asciiTheme="minorHAnsi" w:hAnsiTheme="minorHAnsi"/>
          <w:sz w:val="22"/>
        </w:rPr>
        <w:t xml:space="preserve"> </w:t>
      </w:r>
    </w:p>
    <w:p w:rsidR="00077F47" w:rsidRDefault="00077F47" w:rsidP="00077F47">
      <w:pPr>
        <w:numPr>
          <w:ilvl w:val="5"/>
          <w:numId w:val="7"/>
        </w:numPr>
        <w:tabs>
          <w:tab w:val="clear" w:pos="4320"/>
          <w:tab w:val="num" w:pos="720"/>
        </w:tabs>
        <w:ind w:left="720"/>
        <w:jc w:val="both"/>
        <w:rPr>
          <w:rFonts w:asciiTheme="minorHAnsi" w:hAnsiTheme="minorHAnsi"/>
          <w:sz w:val="22"/>
        </w:rPr>
      </w:pPr>
      <w:r w:rsidRPr="00E84532">
        <w:rPr>
          <w:rFonts w:asciiTheme="minorHAnsi" w:hAnsiTheme="minorHAnsi"/>
          <w:sz w:val="22"/>
        </w:rPr>
        <w:t xml:space="preserve">Vlerësimi – </w:t>
      </w:r>
      <w:r>
        <w:rPr>
          <w:rFonts w:asciiTheme="minorHAnsi" w:hAnsiTheme="minorHAnsi"/>
          <w:sz w:val="22"/>
        </w:rPr>
        <w:t xml:space="preserve">ZRRE, pa dashur të jap vlerësime për rritjen e konsiderueshme të numrit të punëtorëve të planifikuar me Rregulloren e re, që është kompetencë ekskluzive e Bordit të NP Termokos, thekson se shtimi i vendeve të reja të punës duhet të jetë një proces që reflekton shtimin e dukshëm të operimeve të ndërmarrjes, si dhe që konsideron efikasitetin e kostos dhe benefitet përkatëse. </w:t>
      </w:r>
    </w:p>
    <w:p w:rsidR="00077F47" w:rsidRDefault="00077F47" w:rsidP="00077F47">
      <w:pPr>
        <w:pStyle w:val="ListParagraph"/>
        <w:rPr>
          <w:rFonts w:asciiTheme="minorHAnsi" w:hAnsiTheme="minorHAnsi"/>
          <w:sz w:val="22"/>
        </w:rPr>
      </w:pPr>
    </w:p>
    <w:p w:rsidR="00F43BE6" w:rsidRDefault="00077F47" w:rsidP="00077F47">
      <w:pPr>
        <w:pStyle w:val="ListParagraph"/>
        <w:jc w:val="both"/>
        <w:rPr>
          <w:rFonts w:asciiTheme="minorHAnsi" w:hAnsiTheme="minorHAnsi"/>
          <w:sz w:val="22"/>
        </w:rPr>
      </w:pPr>
      <w:r>
        <w:rPr>
          <w:rFonts w:asciiTheme="minorHAnsi" w:hAnsiTheme="minorHAnsi"/>
          <w:sz w:val="22"/>
        </w:rPr>
        <w:t xml:space="preserve">Nga shqyrtimi i informatave të ofruara dhe Rregullores në fjalë vlerësohet se, sipas organizimit të ri, parashihet themelimi i 2 departamenteve të reja </w:t>
      </w:r>
      <w:r w:rsidR="00F43BE6">
        <w:rPr>
          <w:rFonts w:asciiTheme="minorHAnsi" w:hAnsiTheme="minorHAnsi"/>
          <w:sz w:val="22"/>
        </w:rPr>
        <w:t>(secili me nga 12 pozita) të cilat ende nuk janë plotësuar – pra nuk është rekrutuar stafi përkatës, ashtu siç nuk janë plotësuar edhe pozitat tjera të planifikuara me organogramin e ri.</w:t>
      </w:r>
      <w:r>
        <w:rPr>
          <w:rFonts w:asciiTheme="minorHAnsi" w:hAnsiTheme="minorHAnsi"/>
          <w:sz w:val="22"/>
        </w:rPr>
        <w:t xml:space="preserve"> Duke marr parasysh këto fakte dhe konsideruar se plotësimi i vendeve të reja të punës është një proces që kërkon kohë për rekrutim të stafit profesional dhe që duhet të ndërmerret në përputhje me zgjerimin gradual të operime</w:t>
      </w:r>
      <w:r w:rsidR="002E35FD">
        <w:rPr>
          <w:rFonts w:asciiTheme="minorHAnsi" w:hAnsiTheme="minorHAnsi"/>
          <w:sz w:val="22"/>
        </w:rPr>
        <w:t>ve</w:t>
      </w:r>
      <w:r>
        <w:rPr>
          <w:rFonts w:asciiTheme="minorHAnsi" w:hAnsiTheme="minorHAnsi"/>
          <w:sz w:val="22"/>
        </w:rPr>
        <w:t xml:space="preserve"> të ndërmarrjes, vlerëson se rritja e propozuar nuk është reale dhe lejon një rritje prej 2.8 % të kësaj kostoje krahasuar me lejimet për sezonin e kaluar 2019/2020; rrjedhimisht ZRRE lejon </w:t>
      </w:r>
      <w:r w:rsidRPr="001C16F5">
        <w:rPr>
          <w:rFonts w:asciiTheme="minorHAnsi" w:hAnsiTheme="minorHAnsi"/>
          <w:b/>
          <w:sz w:val="22"/>
        </w:rPr>
        <w:t>Koston e personelit – ‘Puna direkte’</w:t>
      </w:r>
      <w:r>
        <w:rPr>
          <w:rFonts w:asciiTheme="minorHAnsi" w:hAnsiTheme="minorHAnsi"/>
          <w:sz w:val="22"/>
        </w:rPr>
        <w:t xml:space="preserve"> në vlerë prej </w:t>
      </w:r>
      <w:r w:rsidR="00F43BE6" w:rsidRPr="00F43BE6">
        <w:rPr>
          <w:rFonts w:asciiTheme="minorHAnsi" w:hAnsiTheme="minorHAnsi"/>
          <w:b/>
          <w:sz w:val="22"/>
        </w:rPr>
        <w:t>767</w:t>
      </w:r>
      <w:r w:rsidRPr="001C16F5">
        <w:rPr>
          <w:rFonts w:asciiTheme="minorHAnsi" w:hAnsiTheme="minorHAnsi"/>
          <w:b/>
          <w:sz w:val="22"/>
        </w:rPr>
        <w:t>,</w:t>
      </w:r>
      <w:r w:rsidR="00F43BE6">
        <w:rPr>
          <w:rFonts w:asciiTheme="minorHAnsi" w:hAnsiTheme="minorHAnsi"/>
          <w:b/>
          <w:sz w:val="22"/>
        </w:rPr>
        <w:t>5</w:t>
      </w:r>
      <w:r w:rsidRPr="001C16F5">
        <w:rPr>
          <w:rFonts w:asciiTheme="minorHAnsi" w:hAnsiTheme="minorHAnsi"/>
          <w:b/>
          <w:sz w:val="22"/>
        </w:rPr>
        <w:t>1</w:t>
      </w:r>
      <w:r w:rsidR="00F43BE6">
        <w:rPr>
          <w:rFonts w:asciiTheme="minorHAnsi" w:hAnsiTheme="minorHAnsi"/>
          <w:b/>
          <w:sz w:val="22"/>
        </w:rPr>
        <w:t>3</w:t>
      </w:r>
      <w:r w:rsidRPr="001C16F5">
        <w:rPr>
          <w:rFonts w:asciiTheme="minorHAnsi" w:hAnsiTheme="minorHAnsi"/>
          <w:b/>
          <w:sz w:val="22"/>
        </w:rPr>
        <w:t xml:space="preserve"> €.</w:t>
      </w:r>
      <w:r>
        <w:rPr>
          <w:rFonts w:asciiTheme="minorHAnsi" w:hAnsiTheme="minorHAnsi"/>
          <w:sz w:val="22"/>
        </w:rPr>
        <w:t xml:space="preserve"> </w:t>
      </w:r>
    </w:p>
    <w:p w:rsidR="00F43BE6" w:rsidRDefault="00F43BE6" w:rsidP="00077F47">
      <w:pPr>
        <w:pStyle w:val="ListParagraph"/>
        <w:jc w:val="both"/>
        <w:rPr>
          <w:rFonts w:asciiTheme="minorHAnsi" w:hAnsiTheme="minorHAnsi"/>
          <w:sz w:val="22"/>
        </w:rPr>
      </w:pPr>
    </w:p>
    <w:p w:rsidR="00F43BE6" w:rsidRDefault="00F43BE6" w:rsidP="00F43BE6">
      <w:pPr>
        <w:pStyle w:val="ListParagraph"/>
        <w:jc w:val="both"/>
        <w:rPr>
          <w:rFonts w:asciiTheme="minorHAnsi" w:hAnsiTheme="minorHAnsi"/>
          <w:sz w:val="22"/>
        </w:rPr>
      </w:pPr>
      <w:r w:rsidRPr="00024980">
        <w:rPr>
          <w:rFonts w:asciiTheme="minorHAnsi" w:hAnsiTheme="minorHAnsi"/>
          <w:sz w:val="22"/>
        </w:rPr>
        <w:t>Rritja prej 2.8% reflekton rritjen ekonomike në shkallë vendi për periudhën e shqyrtimit tarifor tetor 2020 – tetor 2021. Sipas vlerësimeve dhe projekcioneve të Bankës Botërore (</w:t>
      </w:r>
      <w:hyperlink r:id="rId16" w:history="1">
        <w:r w:rsidRPr="00024980">
          <w:rPr>
            <w:rStyle w:val="Hyperlink"/>
            <w:rFonts w:asciiTheme="minorHAnsi" w:hAnsiTheme="minorHAnsi"/>
            <w:sz w:val="22"/>
          </w:rPr>
          <w:t>https://dataworldbank.org/country/kosovo</w:t>
        </w:r>
      </w:hyperlink>
      <w:r w:rsidRPr="00024980">
        <w:rPr>
          <w:rStyle w:val="Hyperlink"/>
          <w:rFonts w:asciiTheme="minorHAnsi" w:hAnsiTheme="minorHAnsi"/>
          <w:color w:val="auto"/>
          <w:sz w:val="22"/>
        </w:rPr>
        <w:t xml:space="preserve">) </w:t>
      </w:r>
      <w:r w:rsidRPr="00024980">
        <w:rPr>
          <w:rStyle w:val="Hyperlink"/>
          <w:rFonts w:asciiTheme="minorHAnsi" w:hAnsiTheme="minorHAnsi"/>
          <w:color w:val="auto"/>
          <w:sz w:val="22"/>
          <w:u w:val="none"/>
        </w:rPr>
        <w:t xml:space="preserve">për vitin 2020 vlerësohet se ka pasur recesion pra rritje negative të GDP prej -4/5 % (për shkak të pandemisë COVID19), ndëra projekcioni i rritjes së GDP </w:t>
      </w:r>
      <w:r w:rsidRPr="00024980">
        <w:rPr>
          <w:rFonts w:asciiTheme="minorHAnsi" w:hAnsiTheme="minorHAnsi" w:cstheme="minorHAnsi"/>
          <w:sz w:val="22"/>
          <w:szCs w:val="22"/>
        </w:rPr>
        <w:t>për vitin 2021 është 5.2%. Mesatarja e ponderuar (që përfshin 3 muaj të viti 2020 dhe 9 muaj të 2021) rezulton në 2.8%.</w:t>
      </w:r>
      <w:r>
        <w:rPr>
          <w:rFonts w:asciiTheme="minorHAnsi" w:hAnsiTheme="minorHAnsi" w:cstheme="minorHAnsi"/>
          <w:sz w:val="22"/>
          <w:szCs w:val="22"/>
        </w:rPr>
        <w:t xml:space="preserve">  </w:t>
      </w:r>
      <w:r w:rsidRPr="001C16F5">
        <w:t xml:space="preserve">   </w:t>
      </w:r>
      <w:r>
        <w:rPr>
          <w:rFonts w:asciiTheme="minorHAnsi" w:hAnsiTheme="minorHAnsi"/>
          <w:sz w:val="22"/>
        </w:rPr>
        <w:t xml:space="preserve">   </w:t>
      </w:r>
    </w:p>
    <w:p w:rsidR="00077F47" w:rsidRDefault="00077F47" w:rsidP="00077F47">
      <w:pPr>
        <w:pStyle w:val="ListParagraph"/>
        <w:jc w:val="both"/>
        <w:rPr>
          <w:rFonts w:asciiTheme="minorHAnsi" w:hAnsiTheme="minorHAnsi"/>
          <w:sz w:val="22"/>
        </w:rPr>
      </w:pPr>
      <w:r>
        <w:rPr>
          <w:rFonts w:asciiTheme="minorHAnsi" w:hAnsiTheme="minorHAnsi"/>
          <w:sz w:val="22"/>
        </w:rPr>
        <w:t xml:space="preserve"> </w:t>
      </w:r>
    </w:p>
    <w:p w:rsidR="00E807F8" w:rsidRPr="00E84532" w:rsidRDefault="00E807F8" w:rsidP="007B1C78">
      <w:pPr>
        <w:jc w:val="both"/>
        <w:rPr>
          <w:rFonts w:asciiTheme="minorHAnsi" w:hAnsiTheme="minorHAnsi"/>
          <w:sz w:val="22"/>
        </w:rPr>
      </w:pPr>
      <w:r w:rsidRPr="00E84532">
        <w:rPr>
          <w:rFonts w:asciiTheme="minorHAnsi" w:hAnsiTheme="minorHAnsi"/>
          <w:sz w:val="22"/>
        </w:rPr>
        <w:t xml:space="preserve">   </w:t>
      </w:r>
    </w:p>
    <w:p w:rsidR="00E807F8" w:rsidRPr="00E84532" w:rsidRDefault="00E807F8" w:rsidP="00F23C29">
      <w:pPr>
        <w:numPr>
          <w:ilvl w:val="0"/>
          <w:numId w:val="9"/>
        </w:numPr>
        <w:tabs>
          <w:tab w:val="clear" w:pos="720"/>
          <w:tab w:val="num" w:pos="360"/>
        </w:tabs>
        <w:ind w:left="360"/>
        <w:jc w:val="both"/>
        <w:rPr>
          <w:rFonts w:asciiTheme="minorHAnsi" w:hAnsiTheme="minorHAnsi"/>
          <w:b/>
          <w:sz w:val="22"/>
          <w:szCs w:val="22"/>
        </w:rPr>
      </w:pPr>
      <w:r w:rsidRPr="00E84532">
        <w:rPr>
          <w:rFonts w:asciiTheme="minorHAnsi" w:hAnsiTheme="minorHAnsi"/>
          <w:b/>
          <w:sz w:val="22"/>
          <w:szCs w:val="22"/>
        </w:rPr>
        <w:t>Kostot e shitjes dhe tjera administrative</w:t>
      </w:r>
    </w:p>
    <w:p w:rsidR="00E807F8" w:rsidRPr="00E84532" w:rsidRDefault="00E807F8" w:rsidP="00E807F8">
      <w:pPr>
        <w:ind w:left="720"/>
        <w:jc w:val="both"/>
        <w:rPr>
          <w:rFonts w:asciiTheme="minorHAnsi" w:hAnsiTheme="minorHAnsi"/>
          <w:sz w:val="22"/>
          <w:szCs w:val="22"/>
        </w:rPr>
      </w:pPr>
    </w:p>
    <w:p w:rsidR="00E807F8" w:rsidRDefault="00E807F8" w:rsidP="00F23C29">
      <w:pPr>
        <w:numPr>
          <w:ilvl w:val="1"/>
          <w:numId w:val="9"/>
        </w:numPr>
        <w:tabs>
          <w:tab w:val="clear" w:pos="1440"/>
          <w:tab w:val="num" w:pos="720"/>
        </w:tabs>
        <w:ind w:left="720"/>
        <w:jc w:val="both"/>
        <w:rPr>
          <w:rFonts w:asciiTheme="minorHAnsi" w:hAnsiTheme="minorHAnsi"/>
          <w:sz w:val="22"/>
          <w:szCs w:val="22"/>
        </w:rPr>
      </w:pPr>
      <w:r w:rsidRPr="00F2300E">
        <w:rPr>
          <w:rFonts w:asciiTheme="minorHAnsi" w:hAnsiTheme="minorHAnsi"/>
          <w:sz w:val="22"/>
          <w:szCs w:val="22"/>
        </w:rPr>
        <w:t>Kjo kosto është propozuar nga NQ Ter</w:t>
      </w:r>
      <w:r w:rsidR="00BC2F2A">
        <w:rPr>
          <w:rFonts w:asciiTheme="minorHAnsi" w:hAnsiTheme="minorHAnsi"/>
          <w:sz w:val="22"/>
          <w:szCs w:val="22"/>
        </w:rPr>
        <w:t xml:space="preserve">mokos në vlerë tejet të madhe </w:t>
      </w:r>
      <w:r w:rsidR="008B60DE">
        <w:rPr>
          <w:rFonts w:asciiTheme="minorHAnsi" w:hAnsiTheme="minorHAnsi"/>
          <w:sz w:val="22"/>
          <w:szCs w:val="22"/>
        </w:rPr>
        <w:t>1,02</w:t>
      </w:r>
      <w:r w:rsidR="00BE46F0">
        <w:rPr>
          <w:rFonts w:asciiTheme="minorHAnsi" w:hAnsiTheme="minorHAnsi"/>
          <w:sz w:val="22"/>
          <w:szCs w:val="22"/>
        </w:rPr>
        <w:t>2</w:t>
      </w:r>
      <w:r w:rsidR="008B60DE">
        <w:rPr>
          <w:rFonts w:asciiTheme="minorHAnsi" w:hAnsiTheme="minorHAnsi"/>
          <w:sz w:val="22"/>
          <w:szCs w:val="22"/>
        </w:rPr>
        <w:t>,</w:t>
      </w:r>
      <w:r w:rsidR="00BE46F0">
        <w:rPr>
          <w:rFonts w:asciiTheme="minorHAnsi" w:hAnsiTheme="minorHAnsi"/>
          <w:sz w:val="22"/>
          <w:szCs w:val="22"/>
        </w:rPr>
        <w:t>156</w:t>
      </w:r>
      <w:r w:rsidRPr="00F2300E">
        <w:rPr>
          <w:rFonts w:asciiTheme="minorHAnsi" w:hAnsiTheme="minorHAnsi"/>
          <w:sz w:val="22"/>
          <w:szCs w:val="22"/>
        </w:rPr>
        <w:t xml:space="preserve"> €; nga detajime</w:t>
      </w:r>
      <w:r w:rsidR="004B4AC6">
        <w:rPr>
          <w:rFonts w:asciiTheme="minorHAnsi" w:hAnsiTheme="minorHAnsi"/>
          <w:sz w:val="22"/>
          <w:szCs w:val="22"/>
        </w:rPr>
        <w:t>t</w:t>
      </w:r>
      <w:r w:rsidRPr="00F2300E">
        <w:rPr>
          <w:rFonts w:asciiTheme="minorHAnsi" w:hAnsiTheme="minorHAnsi"/>
          <w:sz w:val="22"/>
          <w:szCs w:val="22"/>
        </w:rPr>
        <w:t xml:space="preserve"> e ofruara </w:t>
      </w:r>
      <w:r w:rsidRPr="00F2300E">
        <w:rPr>
          <w:rStyle w:val="HeaderChar"/>
          <w:rFonts w:asciiTheme="minorHAnsi" w:hAnsiTheme="minorHAnsi"/>
          <w:szCs w:val="22"/>
          <w:lang w:val="sq-AL"/>
        </w:rPr>
        <w:t>vërehet se pjesa kryesore i takon nën-komponentës “shpenzimet e provizioneve të llogarive të arkëtueshme</w:t>
      </w:r>
      <w:r w:rsidR="00BC2F2A">
        <w:rPr>
          <w:rFonts w:asciiTheme="minorHAnsi" w:hAnsiTheme="minorHAnsi"/>
          <w:sz w:val="22"/>
          <w:szCs w:val="22"/>
        </w:rPr>
        <w:t>” në vlerë prej 6</w:t>
      </w:r>
      <w:r w:rsidR="008B60DE">
        <w:rPr>
          <w:rFonts w:asciiTheme="minorHAnsi" w:hAnsiTheme="minorHAnsi"/>
          <w:sz w:val="22"/>
          <w:szCs w:val="22"/>
        </w:rPr>
        <w:t>82</w:t>
      </w:r>
      <w:r w:rsidRPr="00F2300E">
        <w:rPr>
          <w:rFonts w:asciiTheme="minorHAnsi" w:hAnsiTheme="minorHAnsi"/>
          <w:sz w:val="22"/>
          <w:szCs w:val="22"/>
        </w:rPr>
        <w:t>,</w:t>
      </w:r>
      <w:r w:rsidR="008B60DE">
        <w:rPr>
          <w:rFonts w:asciiTheme="minorHAnsi" w:hAnsiTheme="minorHAnsi"/>
          <w:sz w:val="22"/>
          <w:szCs w:val="22"/>
        </w:rPr>
        <w:t>888</w:t>
      </w:r>
      <w:r w:rsidRPr="00F2300E">
        <w:rPr>
          <w:rFonts w:asciiTheme="minorHAnsi" w:hAnsiTheme="minorHAnsi"/>
          <w:sz w:val="22"/>
          <w:szCs w:val="22"/>
        </w:rPr>
        <w:t xml:space="preserve"> €. Po ashtu nga det</w:t>
      </w:r>
      <w:r w:rsidR="00EF1A8F">
        <w:rPr>
          <w:rFonts w:asciiTheme="minorHAnsi" w:hAnsiTheme="minorHAnsi"/>
          <w:sz w:val="22"/>
          <w:szCs w:val="22"/>
        </w:rPr>
        <w:t>a</w:t>
      </w:r>
      <w:r w:rsidRPr="00F2300E">
        <w:rPr>
          <w:rFonts w:asciiTheme="minorHAnsi" w:hAnsiTheme="minorHAnsi"/>
          <w:sz w:val="22"/>
          <w:szCs w:val="22"/>
        </w:rPr>
        <w:t>jimet vërehet nën-komponent</w:t>
      </w:r>
      <w:r w:rsidR="00EF1A8F">
        <w:rPr>
          <w:rFonts w:asciiTheme="minorHAnsi" w:hAnsiTheme="minorHAnsi"/>
          <w:sz w:val="22"/>
          <w:szCs w:val="22"/>
        </w:rPr>
        <w:t>i</w:t>
      </w:r>
      <w:r w:rsidRPr="00F2300E">
        <w:rPr>
          <w:rFonts w:asciiTheme="minorHAnsi" w:hAnsiTheme="minorHAnsi"/>
          <w:sz w:val="22"/>
          <w:szCs w:val="22"/>
        </w:rPr>
        <w:t xml:space="preserve"> “</w:t>
      </w:r>
      <w:r w:rsidR="00BC2F2A">
        <w:rPr>
          <w:rFonts w:asciiTheme="minorHAnsi" w:hAnsiTheme="minorHAnsi"/>
          <w:sz w:val="22"/>
          <w:szCs w:val="22"/>
        </w:rPr>
        <w:t>kontributet për sigurim pensional</w:t>
      </w:r>
      <w:r w:rsidRPr="00F2300E">
        <w:rPr>
          <w:rFonts w:asciiTheme="minorHAnsi" w:hAnsiTheme="minorHAnsi"/>
          <w:sz w:val="22"/>
          <w:szCs w:val="22"/>
        </w:rPr>
        <w:t xml:space="preserve">” ku është paraqitur </w:t>
      </w:r>
      <w:r w:rsidR="008B60DE">
        <w:rPr>
          <w:rFonts w:asciiTheme="minorHAnsi" w:hAnsiTheme="minorHAnsi"/>
          <w:sz w:val="22"/>
          <w:szCs w:val="22"/>
        </w:rPr>
        <w:t>një vlerë mjaft e madhe prej 107</w:t>
      </w:r>
      <w:r w:rsidRPr="00F2300E">
        <w:rPr>
          <w:rFonts w:asciiTheme="minorHAnsi" w:hAnsiTheme="minorHAnsi"/>
          <w:sz w:val="22"/>
          <w:szCs w:val="22"/>
        </w:rPr>
        <w:t>,</w:t>
      </w:r>
      <w:r w:rsidR="008B60DE">
        <w:rPr>
          <w:rFonts w:asciiTheme="minorHAnsi" w:hAnsiTheme="minorHAnsi"/>
          <w:sz w:val="22"/>
          <w:szCs w:val="22"/>
        </w:rPr>
        <w:t>624</w:t>
      </w:r>
      <w:r w:rsidR="004B4AC6">
        <w:rPr>
          <w:rFonts w:asciiTheme="minorHAnsi" w:hAnsiTheme="minorHAnsi"/>
          <w:sz w:val="22"/>
          <w:szCs w:val="22"/>
        </w:rPr>
        <w:t xml:space="preserve"> €</w:t>
      </w:r>
      <w:r w:rsidR="00BC2F2A">
        <w:rPr>
          <w:rFonts w:asciiTheme="minorHAnsi" w:hAnsiTheme="minorHAnsi"/>
          <w:sz w:val="22"/>
          <w:szCs w:val="22"/>
        </w:rPr>
        <w:t>, si</w:t>
      </w:r>
      <w:r w:rsidRPr="00F2300E">
        <w:rPr>
          <w:rFonts w:asciiTheme="minorHAnsi" w:hAnsiTheme="minorHAnsi"/>
          <w:sz w:val="22"/>
          <w:szCs w:val="22"/>
        </w:rPr>
        <w:t xml:space="preserve"> dhe </w:t>
      </w:r>
      <w:r w:rsidR="00BC2F2A">
        <w:rPr>
          <w:rFonts w:asciiTheme="minorHAnsi" w:hAnsiTheme="minorHAnsi"/>
          <w:sz w:val="22"/>
          <w:szCs w:val="22"/>
        </w:rPr>
        <w:t xml:space="preserve">“ shpenzimet për </w:t>
      </w:r>
      <w:r w:rsidR="006A2001">
        <w:rPr>
          <w:rFonts w:asciiTheme="minorHAnsi" w:hAnsiTheme="minorHAnsi"/>
          <w:sz w:val="22"/>
          <w:szCs w:val="22"/>
        </w:rPr>
        <w:t xml:space="preserve">taksën vjetore për </w:t>
      </w:r>
      <w:r w:rsidR="00BC2F2A">
        <w:rPr>
          <w:rFonts w:asciiTheme="minorHAnsi" w:hAnsiTheme="minorHAnsi"/>
          <w:sz w:val="22"/>
          <w:szCs w:val="22"/>
        </w:rPr>
        <w:t>licencë</w:t>
      </w:r>
      <w:r w:rsidR="006A2001">
        <w:rPr>
          <w:rFonts w:asciiTheme="minorHAnsi" w:hAnsiTheme="minorHAnsi"/>
          <w:sz w:val="22"/>
          <w:szCs w:val="22"/>
        </w:rPr>
        <w:t xml:space="preserve"> (kogjenerimi dhe prodhimi vetanak)</w:t>
      </w:r>
      <w:r w:rsidR="00BC2F2A">
        <w:rPr>
          <w:rFonts w:asciiTheme="minorHAnsi" w:hAnsiTheme="minorHAnsi"/>
          <w:sz w:val="22"/>
          <w:szCs w:val="22"/>
        </w:rPr>
        <w:t>” në vlerë 2</w:t>
      </w:r>
      <w:r w:rsidR="006A2001">
        <w:rPr>
          <w:rFonts w:asciiTheme="minorHAnsi" w:hAnsiTheme="minorHAnsi"/>
          <w:sz w:val="22"/>
          <w:szCs w:val="22"/>
        </w:rPr>
        <w:t>8</w:t>
      </w:r>
      <w:r w:rsidR="00BC2F2A">
        <w:rPr>
          <w:rFonts w:asciiTheme="minorHAnsi" w:hAnsiTheme="minorHAnsi"/>
          <w:sz w:val="22"/>
          <w:szCs w:val="22"/>
        </w:rPr>
        <w:t>,1</w:t>
      </w:r>
      <w:r w:rsidR="006A2001">
        <w:rPr>
          <w:rFonts w:asciiTheme="minorHAnsi" w:hAnsiTheme="minorHAnsi"/>
          <w:sz w:val="22"/>
          <w:szCs w:val="22"/>
        </w:rPr>
        <w:t>29</w:t>
      </w:r>
      <w:r w:rsidR="00BC2F2A">
        <w:rPr>
          <w:rFonts w:asciiTheme="minorHAnsi" w:hAnsiTheme="minorHAnsi"/>
          <w:sz w:val="22"/>
          <w:szCs w:val="22"/>
        </w:rPr>
        <w:t xml:space="preserve"> €.</w:t>
      </w:r>
    </w:p>
    <w:p w:rsidR="001E38F4" w:rsidRPr="00F2300E" w:rsidRDefault="001E38F4" w:rsidP="001E38F4">
      <w:pPr>
        <w:ind w:left="720"/>
        <w:jc w:val="both"/>
        <w:rPr>
          <w:rFonts w:asciiTheme="minorHAnsi" w:hAnsiTheme="minorHAnsi"/>
          <w:sz w:val="22"/>
          <w:szCs w:val="22"/>
        </w:rPr>
      </w:pPr>
    </w:p>
    <w:p w:rsidR="002050CB" w:rsidRDefault="00E807F8" w:rsidP="00F23C29">
      <w:pPr>
        <w:numPr>
          <w:ilvl w:val="1"/>
          <w:numId w:val="9"/>
        </w:numPr>
        <w:tabs>
          <w:tab w:val="clear" w:pos="1440"/>
          <w:tab w:val="num" w:pos="720"/>
        </w:tabs>
        <w:ind w:left="720"/>
        <w:jc w:val="both"/>
        <w:rPr>
          <w:rFonts w:asciiTheme="minorHAnsi" w:hAnsiTheme="minorHAnsi"/>
          <w:sz w:val="22"/>
          <w:szCs w:val="22"/>
        </w:rPr>
      </w:pPr>
      <w:r w:rsidRPr="00F2300E">
        <w:rPr>
          <w:rFonts w:asciiTheme="minorHAnsi" w:hAnsiTheme="minorHAnsi"/>
          <w:sz w:val="22"/>
          <w:szCs w:val="22"/>
        </w:rPr>
        <w:t>Vlerësimi –</w:t>
      </w:r>
      <w:r w:rsidR="002050CB">
        <w:rPr>
          <w:rFonts w:asciiTheme="minorHAnsi" w:hAnsiTheme="minorHAnsi"/>
          <w:sz w:val="22"/>
          <w:szCs w:val="22"/>
        </w:rPr>
        <w:t xml:space="preserve"> Duke qenë se pozicioni </w:t>
      </w:r>
      <w:r w:rsidR="002050CB" w:rsidRPr="00F2300E">
        <w:rPr>
          <w:rStyle w:val="HeaderChar"/>
          <w:rFonts w:asciiTheme="minorHAnsi" w:hAnsiTheme="minorHAnsi"/>
          <w:szCs w:val="22"/>
          <w:lang w:val="sq-AL"/>
        </w:rPr>
        <w:t>“shpenzimet e provizioneve të llogarive të arkëtueshme</w:t>
      </w:r>
      <w:r w:rsidR="002050CB">
        <w:rPr>
          <w:rFonts w:asciiTheme="minorHAnsi" w:hAnsiTheme="minorHAnsi"/>
          <w:sz w:val="22"/>
          <w:szCs w:val="22"/>
        </w:rPr>
        <w:t xml:space="preserve">” është i ndërlidhur me llogaritë e arkëtueshme gjejgjësisht borxhet e konsumatorëve, ky paraqet </w:t>
      </w:r>
      <w:r w:rsidR="002050CB" w:rsidRPr="00F2300E">
        <w:rPr>
          <w:rFonts w:asciiTheme="minorHAnsi" w:hAnsiTheme="minorHAnsi" w:cstheme="minorHAnsi"/>
          <w:bCs/>
          <w:sz w:val="22"/>
          <w:szCs w:val="22"/>
        </w:rPr>
        <w:t xml:space="preserve">një operacion kontabël i domosdoshëm për të reflektuar </w:t>
      </w:r>
      <w:r w:rsidR="002050CB">
        <w:rPr>
          <w:rFonts w:asciiTheme="minorHAnsi" w:hAnsiTheme="minorHAnsi" w:cstheme="minorHAnsi"/>
          <w:bCs/>
          <w:sz w:val="22"/>
          <w:szCs w:val="22"/>
        </w:rPr>
        <w:t xml:space="preserve">raportin me mos-arkëtimin aktual dhe arkëtimin e borxheve të vjetra. Lidhur me këtë duhet theksuar se, ZRRE </w:t>
      </w:r>
      <w:r w:rsidR="002050CB" w:rsidRPr="00F2300E">
        <w:rPr>
          <w:rFonts w:asciiTheme="minorHAnsi" w:hAnsiTheme="minorHAnsi" w:cstheme="minorHAnsi"/>
          <w:bCs/>
          <w:sz w:val="22"/>
          <w:szCs w:val="22"/>
        </w:rPr>
        <w:t>këto kosto nuk i konsideron si subjekt të</w:t>
      </w:r>
      <w:r w:rsidR="002050CB" w:rsidRPr="00F2300E">
        <w:rPr>
          <w:rFonts w:asciiTheme="minorHAnsi" w:hAnsiTheme="minorHAnsi"/>
          <w:sz w:val="22"/>
          <w:szCs w:val="22"/>
        </w:rPr>
        <w:t xml:space="preserve"> </w:t>
      </w:r>
      <w:r w:rsidR="002050CB" w:rsidRPr="00F2300E">
        <w:rPr>
          <w:rFonts w:asciiTheme="minorHAnsi" w:hAnsiTheme="minorHAnsi" w:cstheme="minorHAnsi"/>
          <w:bCs/>
          <w:sz w:val="22"/>
          <w:szCs w:val="22"/>
        </w:rPr>
        <w:t>shqyrtimit tarifor</w:t>
      </w:r>
      <w:r w:rsidR="001E38F4">
        <w:rPr>
          <w:rFonts w:asciiTheme="minorHAnsi" w:hAnsiTheme="minorHAnsi" w:cstheme="minorHAnsi"/>
          <w:bCs/>
          <w:sz w:val="22"/>
          <w:szCs w:val="22"/>
        </w:rPr>
        <w:t xml:space="preserve">, për faktin se </w:t>
      </w:r>
      <w:r w:rsidR="002050CB" w:rsidRPr="00F2300E">
        <w:rPr>
          <w:rFonts w:asciiTheme="minorHAnsi" w:hAnsiTheme="minorHAnsi"/>
          <w:sz w:val="22"/>
          <w:szCs w:val="22"/>
        </w:rPr>
        <w:t>në përputhje me dispozitat e Rregullës për vendosjen e çmimeve të energjisë termike, ZRRE e përcakton / lejon një përqindje të arsyeshme të nivelit të borxheve të këqija, e cila është kategorizuar nën kostot variabile si kostoja e borxheve të këqija</w:t>
      </w:r>
      <w:r w:rsidR="002050CB">
        <w:rPr>
          <w:rFonts w:asciiTheme="minorHAnsi" w:hAnsiTheme="minorHAnsi"/>
          <w:sz w:val="22"/>
          <w:szCs w:val="22"/>
        </w:rPr>
        <w:t>.</w:t>
      </w:r>
    </w:p>
    <w:p w:rsidR="001E38F4" w:rsidRDefault="00BC2F2A" w:rsidP="002050CB">
      <w:pPr>
        <w:ind w:left="720"/>
        <w:jc w:val="both"/>
        <w:rPr>
          <w:rFonts w:asciiTheme="minorHAnsi" w:hAnsiTheme="minorHAnsi"/>
          <w:sz w:val="22"/>
          <w:szCs w:val="22"/>
        </w:rPr>
      </w:pPr>
      <w:r>
        <w:rPr>
          <w:rFonts w:asciiTheme="minorHAnsi" w:hAnsiTheme="minorHAnsi"/>
          <w:sz w:val="22"/>
          <w:szCs w:val="22"/>
        </w:rPr>
        <w:t xml:space="preserve">Ndërsa për komponentën </w:t>
      </w:r>
      <w:r w:rsidRPr="00F2300E">
        <w:rPr>
          <w:rFonts w:asciiTheme="minorHAnsi" w:hAnsiTheme="minorHAnsi"/>
          <w:sz w:val="22"/>
          <w:szCs w:val="22"/>
        </w:rPr>
        <w:t>“</w:t>
      </w:r>
      <w:r>
        <w:rPr>
          <w:rFonts w:asciiTheme="minorHAnsi" w:hAnsiTheme="minorHAnsi"/>
          <w:sz w:val="22"/>
          <w:szCs w:val="22"/>
        </w:rPr>
        <w:t>kontributet për sigurim pensional</w:t>
      </w:r>
      <w:r w:rsidRPr="00F2300E">
        <w:rPr>
          <w:rFonts w:asciiTheme="minorHAnsi" w:hAnsiTheme="minorHAnsi"/>
          <w:sz w:val="22"/>
          <w:szCs w:val="22"/>
        </w:rPr>
        <w:t>”</w:t>
      </w:r>
      <w:r>
        <w:rPr>
          <w:rFonts w:asciiTheme="minorHAnsi" w:hAnsiTheme="minorHAnsi"/>
          <w:sz w:val="22"/>
          <w:szCs w:val="22"/>
        </w:rPr>
        <w:t xml:space="preserve"> ZRRE konsideron se kjo vlerë</w:t>
      </w:r>
      <w:r w:rsidR="004B4AC6">
        <w:rPr>
          <w:rFonts w:asciiTheme="minorHAnsi" w:hAnsiTheme="minorHAnsi"/>
          <w:sz w:val="22"/>
          <w:szCs w:val="22"/>
        </w:rPr>
        <w:t xml:space="preserve"> i përket dhe alokohet tek ‘kos</w:t>
      </w:r>
      <w:r>
        <w:rPr>
          <w:rFonts w:asciiTheme="minorHAnsi" w:hAnsiTheme="minorHAnsi"/>
          <w:sz w:val="22"/>
          <w:szCs w:val="22"/>
        </w:rPr>
        <w:t xml:space="preserve">toja e personelit’. </w:t>
      </w:r>
    </w:p>
    <w:p w:rsidR="00BC2F2A" w:rsidRDefault="001E38F4" w:rsidP="002050CB">
      <w:pPr>
        <w:ind w:left="720"/>
        <w:jc w:val="both"/>
        <w:rPr>
          <w:rFonts w:asciiTheme="minorHAnsi" w:hAnsiTheme="minorHAnsi"/>
          <w:sz w:val="22"/>
          <w:szCs w:val="22"/>
        </w:rPr>
      </w:pPr>
      <w:r>
        <w:rPr>
          <w:rFonts w:asciiTheme="minorHAnsi" w:hAnsiTheme="minorHAnsi"/>
          <w:sz w:val="22"/>
          <w:szCs w:val="22"/>
        </w:rPr>
        <w:t xml:space="preserve">Për </w:t>
      </w:r>
      <w:r w:rsidR="00BC2F2A">
        <w:rPr>
          <w:rFonts w:asciiTheme="minorHAnsi" w:hAnsiTheme="minorHAnsi"/>
          <w:sz w:val="22"/>
          <w:szCs w:val="22"/>
        </w:rPr>
        <w:t>komponent</w:t>
      </w:r>
      <w:r>
        <w:rPr>
          <w:rFonts w:asciiTheme="minorHAnsi" w:hAnsiTheme="minorHAnsi"/>
          <w:sz w:val="22"/>
          <w:szCs w:val="22"/>
        </w:rPr>
        <w:t xml:space="preserve">ën </w:t>
      </w:r>
      <w:r w:rsidR="00BC2F2A">
        <w:rPr>
          <w:rFonts w:asciiTheme="minorHAnsi" w:hAnsiTheme="minorHAnsi"/>
          <w:sz w:val="22"/>
          <w:szCs w:val="22"/>
        </w:rPr>
        <w:t xml:space="preserve">e taksës së licencimit </w:t>
      </w:r>
      <w:r>
        <w:rPr>
          <w:rFonts w:asciiTheme="minorHAnsi" w:hAnsiTheme="minorHAnsi"/>
          <w:sz w:val="22"/>
          <w:szCs w:val="22"/>
        </w:rPr>
        <w:t xml:space="preserve">duhet theksuar se, pagesa e taskesës së licencimin për energjinë termike nga kogjenerimi është llogaritur në komponnetën variablie të kostos së energjisë termike nga kogjenerimi (shiko fq.9), si dhe po ashtu taksa vjetore e licencimit për </w:t>
      </w:r>
      <w:r w:rsidR="00BC2F2A">
        <w:rPr>
          <w:rFonts w:asciiTheme="minorHAnsi" w:hAnsiTheme="minorHAnsi"/>
          <w:sz w:val="22"/>
          <w:szCs w:val="22"/>
        </w:rPr>
        <w:t>prodhimi</w:t>
      </w:r>
      <w:r>
        <w:rPr>
          <w:rFonts w:asciiTheme="minorHAnsi" w:hAnsiTheme="minorHAnsi"/>
          <w:sz w:val="22"/>
          <w:szCs w:val="22"/>
        </w:rPr>
        <w:t>n e</w:t>
      </w:r>
      <w:r w:rsidR="00BC2F2A">
        <w:rPr>
          <w:rFonts w:asciiTheme="minorHAnsi" w:hAnsiTheme="minorHAnsi"/>
          <w:sz w:val="22"/>
          <w:szCs w:val="22"/>
        </w:rPr>
        <w:t xml:space="preserve"> energjisë </w:t>
      </w:r>
      <w:r>
        <w:rPr>
          <w:rFonts w:asciiTheme="minorHAnsi" w:hAnsiTheme="minorHAnsi"/>
          <w:sz w:val="22"/>
          <w:szCs w:val="22"/>
        </w:rPr>
        <w:t xml:space="preserve">termike </w:t>
      </w:r>
      <w:r w:rsidR="00BC2F2A">
        <w:rPr>
          <w:rFonts w:asciiTheme="minorHAnsi" w:hAnsiTheme="minorHAnsi"/>
          <w:sz w:val="22"/>
          <w:szCs w:val="22"/>
        </w:rPr>
        <w:t>në stabilimentet e ngrohtores është alokuar nën ‘kostot variabile’</w:t>
      </w:r>
      <w:r>
        <w:rPr>
          <w:rFonts w:asciiTheme="minorHAnsi" w:hAnsiTheme="minorHAnsi"/>
          <w:sz w:val="22"/>
          <w:szCs w:val="22"/>
        </w:rPr>
        <w:t xml:space="preserve"> (shiko fq.10)</w:t>
      </w:r>
      <w:r w:rsidR="00BC2F2A">
        <w:rPr>
          <w:rFonts w:asciiTheme="minorHAnsi" w:hAnsiTheme="minorHAnsi"/>
          <w:sz w:val="22"/>
          <w:szCs w:val="22"/>
        </w:rPr>
        <w:t>.</w:t>
      </w:r>
    </w:p>
    <w:p w:rsidR="00E807F8" w:rsidRPr="00F2300E" w:rsidRDefault="00E807F8" w:rsidP="00F23C29">
      <w:pPr>
        <w:numPr>
          <w:ilvl w:val="1"/>
          <w:numId w:val="9"/>
        </w:numPr>
        <w:tabs>
          <w:tab w:val="clear" w:pos="1440"/>
          <w:tab w:val="num" w:pos="720"/>
        </w:tabs>
        <w:ind w:left="720"/>
        <w:jc w:val="both"/>
        <w:rPr>
          <w:rFonts w:asciiTheme="minorHAnsi" w:hAnsiTheme="minorHAnsi"/>
          <w:sz w:val="22"/>
          <w:szCs w:val="22"/>
        </w:rPr>
      </w:pPr>
      <w:r w:rsidRPr="00F2300E">
        <w:rPr>
          <w:rFonts w:asciiTheme="minorHAnsi" w:hAnsiTheme="minorHAnsi"/>
          <w:sz w:val="22"/>
          <w:szCs w:val="22"/>
        </w:rPr>
        <w:t xml:space="preserve">Nga sa u tha më lartë, ZRRE ka fiksuar vlerën </w:t>
      </w:r>
      <w:r w:rsidR="00BC2F2A">
        <w:rPr>
          <w:rFonts w:asciiTheme="minorHAnsi" w:hAnsiTheme="minorHAnsi"/>
          <w:b/>
          <w:sz w:val="22"/>
          <w:szCs w:val="22"/>
        </w:rPr>
        <w:t>2</w:t>
      </w:r>
      <w:r w:rsidR="00BE449A">
        <w:rPr>
          <w:rFonts w:asciiTheme="minorHAnsi" w:hAnsiTheme="minorHAnsi"/>
          <w:b/>
          <w:sz w:val="22"/>
          <w:szCs w:val="22"/>
        </w:rPr>
        <w:t>03</w:t>
      </w:r>
      <w:r w:rsidR="00BC2F2A">
        <w:rPr>
          <w:rFonts w:asciiTheme="minorHAnsi" w:hAnsiTheme="minorHAnsi"/>
          <w:b/>
          <w:sz w:val="22"/>
          <w:szCs w:val="22"/>
        </w:rPr>
        <w:t>,</w:t>
      </w:r>
      <w:r w:rsidR="00BE449A">
        <w:rPr>
          <w:rFonts w:asciiTheme="minorHAnsi" w:hAnsiTheme="minorHAnsi"/>
          <w:b/>
          <w:sz w:val="22"/>
          <w:szCs w:val="22"/>
        </w:rPr>
        <w:t>5</w:t>
      </w:r>
      <w:r w:rsidR="00BC2F2A">
        <w:rPr>
          <w:rFonts w:asciiTheme="minorHAnsi" w:hAnsiTheme="minorHAnsi"/>
          <w:b/>
          <w:sz w:val="22"/>
          <w:szCs w:val="22"/>
        </w:rPr>
        <w:t>15</w:t>
      </w:r>
      <w:r w:rsidRPr="00F2300E">
        <w:rPr>
          <w:rFonts w:asciiTheme="minorHAnsi" w:hAnsiTheme="minorHAnsi"/>
          <w:b/>
          <w:sz w:val="22"/>
          <w:szCs w:val="22"/>
        </w:rPr>
        <w:t xml:space="preserve"> €,</w:t>
      </w:r>
      <w:r w:rsidRPr="00F2300E">
        <w:rPr>
          <w:rFonts w:asciiTheme="minorHAnsi" w:hAnsiTheme="minorHAnsi"/>
          <w:sz w:val="22"/>
          <w:szCs w:val="22"/>
        </w:rPr>
        <w:t xml:space="preserve"> e cila nuk i përfshin </w:t>
      </w:r>
      <w:r w:rsidR="00F2300E" w:rsidRPr="00F2300E">
        <w:rPr>
          <w:rFonts w:asciiTheme="minorHAnsi" w:hAnsiTheme="minorHAnsi"/>
          <w:sz w:val="22"/>
          <w:szCs w:val="22"/>
        </w:rPr>
        <w:t>komponentët</w:t>
      </w:r>
      <w:r w:rsidR="00F2300E">
        <w:rPr>
          <w:rFonts w:asciiTheme="minorHAnsi" w:hAnsiTheme="minorHAnsi"/>
          <w:sz w:val="22"/>
          <w:szCs w:val="22"/>
        </w:rPr>
        <w:t xml:space="preserve"> e lart</w:t>
      </w:r>
      <w:r w:rsidRPr="00F2300E">
        <w:rPr>
          <w:rFonts w:asciiTheme="minorHAnsi" w:hAnsiTheme="minorHAnsi"/>
          <w:sz w:val="22"/>
          <w:szCs w:val="22"/>
        </w:rPr>
        <w:t xml:space="preserve">përmendur, si vlerë e lejuar për Kostot e shitjes dhe tjera administrative. </w:t>
      </w:r>
    </w:p>
    <w:p w:rsidR="00E807F8" w:rsidRPr="00E84532" w:rsidRDefault="00E807F8" w:rsidP="00E807F8">
      <w:pPr>
        <w:ind w:left="720"/>
        <w:jc w:val="both"/>
        <w:rPr>
          <w:rFonts w:asciiTheme="minorHAnsi" w:hAnsiTheme="minorHAnsi"/>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 xml:space="preserve">Nga më lartë rezulton se </w:t>
      </w:r>
      <w:r w:rsidRPr="00E84532">
        <w:rPr>
          <w:rFonts w:asciiTheme="minorHAnsi" w:hAnsiTheme="minorHAnsi"/>
          <w:b/>
          <w:sz w:val="22"/>
          <w:szCs w:val="22"/>
        </w:rPr>
        <w:t>Kostot Fikse</w:t>
      </w:r>
      <w:r w:rsidRPr="00E84532">
        <w:rPr>
          <w:rFonts w:asciiTheme="minorHAnsi" w:hAnsiTheme="minorHAnsi"/>
          <w:sz w:val="22"/>
          <w:szCs w:val="22"/>
        </w:rPr>
        <w:t xml:space="preserve"> të pranuara nga ZRRE-ja, janë përcaktuar në vlerën </w:t>
      </w:r>
      <w:r w:rsidR="007F0A6B" w:rsidRPr="007918F7">
        <w:rPr>
          <w:rFonts w:asciiTheme="minorHAnsi" w:hAnsiTheme="minorHAnsi"/>
          <w:b/>
          <w:sz w:val="22"/>
          <w:szCs w:val="22"/>
        </w:rPr>
        <w:t>2</w:t>
      </w:r>
      <w:r w:rsidRPr="007918F7">
        <w:rPr>
          <w:rFonts w:asciiTheme="minorHAnsi" w:hAnsiTheme="minorHAnsi"/>
          <w:b/>
          <w:sz w:val="22"/>
          <w:szCs w:val="22"/>
        </w:rPr>
        <w:t>,</w:t>
      </w:r>
      <w:r w:rsidR="007F0A6B" w:rsidRPr="007918F7">
        <w:rPr>
          <w:rFonts w:asciiTheme="minorHAnsi" w:hAnsiTheme="minorHAnsi"/>
          <w:b/>
          <w:sz w:val="22"/>
          <w:szCs w:val="22"/>
        </w:rPr>
        <w:t>0</w:t>
      </w:r>
      <w:r w:rsidR="00BE46F0" w:rsidRPr="007918F7">
        <w:rPr>
          <w:rFonts w:asciiTheme="minorHAnsi" w:hAnsiTheme="minorHAnsi"/>
          <w:b/>
          <w:sz w:val="22"/>
          <w:szCs w:val="22"/>
        </w:rPr>
        <w:t>67</w:t>
      </w:r>
      <w:r w:rsidRPr="007918F7">
        <w:rPr>
          <w:rFonts w:asciiTheme="minorHAnsi" w:hAnsiTheme="minorHAnsi"/>
          <w:b/>
          <w:sz w:val="22"/>
          <w:szCs w:val="22"/>
        </w:rPr>
        <w:t>,</w:t>
      </w:r>
      <w:r w:rsidR="00BE46F0" w:rsidRPr="007918F7">
        <w:rPr>
          <w:rFonts w:asciiTheme="minorHAnsi" w:hAnsiTheme="minorHAnsi"/>
          <w:b/>
          <w:sz w:val="22"/>
          <w:szCs w:val="22"/>
        </w:rPr>
        <w:t>048</w:t>
      </w:r>
      <w:r w:rsidRPr="007918F7">
        <w:rPr>
          <w:rFonts w:asciiTheme="minorHAnsi" w:hAnsiTheme="minorHAnsi"/>
          <w:b/>
          <w:sz w:val="22"/>
          <w:szCs w:val="22"/>
        </w:rPr>
        <w:t>€.</w:t>
      </w:r>
    </w:p>
    <w:p w:rsidR="00E807F8" w:rsidRDefault="00E807F8" w:rsidP="00E807F8">
      <w:pPr>
        <w:jc w:val="both"/>
        <w:rPr>
          <w:rFonts w:asciiTheme="minorHAnsi" w:hAnsiTheme="minorHAnsi"/>
          <w:b/>
          <w:color w:val="FF0000"/>
          <w:sz w:val="22"/>
          <w:szCs w:val="22"/>
          <w:highlight w:val="yellow"/>
        </w:rPr>
      </w:pPr>
    </w:p>
    <w:p w:rsidR="004D35CB" w:rsidRDefault="004D35CB" w:rsidP="00E807F8">
      <w:pPr>
        <w:jc w:val="both"/>
        <w:rPr>
          <w:rFonts w:asciiTheme="minorHAnsi" w:hAnsiTheme="minorHAnsi"/>
          <w:b/>
          <w:color w:val="FF0000"/>
          <w:sz w:val="22"/>
          <w:szCs w:val="22"/>
          <w:highlight w:val="yellow"/>
        </w:rPr>
      </w:pPr>
    </w:p>
    <w:p w:rsidR="00B553B1" w:rsidRDefault="00B553B1" w:rsidP="00E807F8">
      <w:pPr>
        <w:jc w:val="both"/>
        <w:rPr>
          <w:rFonts w:asciiTheme="minorHAnsi" w:hAnsiTheme="minorHAnsi"/>
          <w:b/>
          <w:color w:val="FF0000"/>
          <w:sz w:val="22"/>
          <w:szCs w:val="22"/>
          <w:highlight w:val="yellow"/>
        </w:rPr>
      </w:pPr>
    </w:p>
    <w:p w:rsidR="00E807F8" w:rsidRPr="00E84532" w:rsidRDefault="00E807F8" w:rsidP="00E807F8">
      <w:pPr>
        <w:jc w:val="both"/>
        <w:rPr>
          <w:rFonts w:asciiTheme="minorHAnsi" w:hAnsiTheme="minorHAnsi"/>
          <w:sz w:val="22"/>
          <w:szCs w:val="22"/>
          <w:u w:val="single"/>
        </w:rPr>
      </w:pPr>
      <w:r w:rsidRPr="00E84532">
        <w:rPr>
          <w:rFonts w:asciiTheme="minorHAnsi" w:hAnsiTheme="minorHAnsi"/>
          <w:sz w:val="22"/>
          <w:szCs w:val="22"/>
        </w:rPr>
        <w:lastRenderedPageBreak/>
        <w:t xml:space="preserve">- </w:t>
      </w:r>
      <w:r w:rsidRPr="00E84532">
        <w:rPr>
          <w:rFonts w:asciiTheme="minorHAnsi" w:hAnsiTheme="minorHAnsi"/>
          <w:sz w:val="22"/>
          <w:szCs w:val="22"/>
          <w:u w:val="single"/>
        </w:rPr>
        <w:t>Total Kostot operative të lejuara</w:t>
      </w:r>
      <w:r w:rsidR="00B42597">
        <w:rPr>
          <w:rFonts w:asciiTheme="minorHAnsi" w:hAnsiTheme="minorHAnsi"/>
          <w:sz w:val="22"/>
          <w:szCs w:val="22"/>
          <w:u w:val="single"/>
        </w:rPr>
        <w:t xml:space="preserve"> për sezonin 2020</w:t>
      </w:r>
      <w:r w:rsidR="00416842">
        <w:rPr>
          <w:rFonts w:asciiTheme="minorHAnsi" w:hAnsiTheme="minorHAnsi"/>
          <w:sz w:val="22"/>
          <w:szCs w:val="22"/>
          <w:u w:val="single"/>
        </w:rPr>
        <w:t>/202</w:t>
      </w:r>
      <w:r w:rsidR="00B42597">
        <w:rPr>
          <w:rFonts w:asciiTheme="minorHAnsi" w:hAnsiTheme="minorHAnsi"/>
          <w:sz w:val="22"/>
          <w:szCs w:val="22"/>
          <w:u w:val="single"/>
        </w:rPr>
        <w:t>1</w:t>
      </w:r>
    </w:p>
    <w:p w:rsidR="00E807F8" w:rsidRPr="00E84532" w:rsidRDefault="00E807F8" w:rsidP="00E807F8">
      <w:pPr>
        <w:jc w:val="both"/>
        <w:rPr>
          <w:rFonts w:asciiTheme="minorHAnsi" w:hAnsiTheme="minorHAnsi"/>
          <w:sz w:val="22"/>
          <w:szCs w:val="22"/>
          <w:highlight w:val="yellow"/>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 xml:space="preserve">Kostot operacionale të lejuara përbëhen nga shuma e kostove fikse dhe atyre variabël, dhe janë llogaritur sipas formulës së shënuar më poshtë:  </w:t>
      </w:r>
    </w:p>
    <w:p w:rsidR="00E807F8" w:rsidRPr="00E84532" w:rsidRDefault="00E807F8" w:rsidP="00E807F8">
      <w:pPr>
        <w:jc w:val="both"/>
        <w:rPr>
          <w:rFonts w:asciiTheme="minorHAnsi" w:hAnsiTheme="minorHAnsi"/>
          <w:sz w:val="22"/>
          <w:szCs w:val="22"/>
        </w:rPr>
      </w:pPr>
    </w:p>
    <w:p w:rsidR="00E807F8" w:rsidRPr="00E84532" w:rsidRDefault="00E807F8" w:rsidP="00E807F8">
      <w:pPr>
        <w:jc w:val="both"/>
        <w:rPr>
          <w:rFonts w:asciiTheme="minorHAnsi" w:hAnsiTheme="minorHAnsi"/>
          <w:b/>
        </w:rPr>
      </w:pPr>
      <w:r w:rsidRPr="00E84532">
        <w:rPr>
          <w:rFonts w:asciiTheme="minorHAnsi" w:hAnsiTheme="minorHAnsi"/>
          <w:b/>
        </w:rPr>
        <w:t xml:space="preserve">OC = Kostot Variabile + Kostot Fikse </w:t>
      </w:r>
    </w:p>
    <w:p w:rsidR="00E807F8" w:rsidRPr="00E84532" w:rsidRDefault="00E807F8" w:rsidP="00E807F8">
      <w:pPr>
        <w:jc w:val="both"/>
        <w:rPr>
          <w:rFonts w:asciiTheme="minorHAnsi" w:hAnsiTheme="minorHAnsi"/>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Nga formula llogariten:</w:t>
      </w:r>
    </w:p>
    <w:p w:rsidR="00E807F8" w:rsidRPr="00E84532" w:rsidRDefault="00E807F8" w:rsidP="00E807F8">
      <w:pPr>
        <w:jc w:val="both"/>
        <w:rPr>
          <w:rFonts w:asciiTheme="minorHAnsi" w:hAnsiTheme="minorHAnsi"/>
          <w:b/>
          <w:sz w:val="22"/>
          <w:szCs w:val="22"/>
        </w:rPr>
      </w:pPr>
    </w:p>
    <w:p w:rsidR="00E807F8" w:rsidRPr="00E84532" w:rsidRDefault="00E807F8" w:rsidP="00E807F8">
      <w:pPr>
        <w:jc w:val="both"/>
        <w:rPr>
          <w:rFonts w:asciiTheme="minorHAnsi" w:hAnsiTheme="minorHAnsi"/>
          <w:b/>
        </w:rPr>
      </w:pPr>
      <w:r w:rsidRPr="00E84532">
        <w:rPr>
          <w:rFonts w:asciiTheme="minorHAnsi" w:hAnsiTheme="minorHAnsi"/>
          <w:b/>
        </w:rPr>
        <w:t>Kostot opera</w:t>
      </w:r>
      <w:r w:rsidR="00EF1A8F">
        <w:rPr>
          <w:rFonts w:asciiTheme="minorHAnsi" w:hAnsiTheme="minorHAnsi"/>
          <w:b/>
        </w:rPr>
        <w:t>tive</w:t>
      </w:r>
      <w:r w:rsidRPr="00E84532">
        <w:rPr>
          <w:rFonts w:asciiTheme="minorHAnsi" w:hAnsiTheme="minorHAnsi"/>
          <w:b/>
        </w:rPr>
        <w:t xml:space="preserve"> të lejuara </w:t>
      </w:r>
      <w:r w:rsidRPr="00E84532">
        <w:rPr>
          <w:rFonts w:asciiTheme="minorHAnsi" w:hAnsiTheme="minorHAnsi"/>
        </w:rPr>
        <w:t>në vlerë prej</w:t>
      </w:r>
      <w:r w:rsidRPr="00E84532">
        <w:rPr>
          <w:rFonts w:asciiTheme="minorHAnsi" w:hAnsiTheme="minorHAnsi"/>
          <w:b/>
        </w:rPr>
        <w:t xml:space="preserve"> </w:t>
      </w:r>
      <w:r w:rsidRPr="007918F7">
        <w:rPr>
          <w:rFonts w:asciiTheme="minorHAnsi" w:hAnsiTheme="minorHAnsi"/>
          <w:b/>
        </w:rPr>
        <w:t>4,</w:t>
      </w:r>
      <w:r w:rsidR="00C86D6C">
        <w:rPr>
          <w:rFonts w:asciiTheme="minorHAnsi" w:hAnsiTheme="minorHAnsi"/>
          <w:b/>
        </w:rPr>
        <w:t>6</w:t>
      </w:r>
      <w:r w:rsidR="007918F7" w:rsidRPr="007918F7">
        <w:rPr>
          <w:rFonts w:asciiTheme="minorHAnsi" w:hAnsiTheme="minorHAnsi"/>
          <w:b/>
        </w:rPr>
        <w:t>66</w:t>
      </w:r>
      <w:r w:rsidRPr="007918F7">
        <w:rPr>
          <w:rFonts w:asciiTheme="minorHAnsi" w:hAnsiTheme="minorHAnsi"/>
          <w:b/>
        </w:rPr>
        <w:t>,</w:t>
      </w:r>
      <w:r w:rsidR="007918F7" w:rsidRPr="007918F7">
        <w:rPr>
          <w:rFonts w:asciiTheme="minorHAnsi" w:hAnsiTheme="minorHAnsi"/>
          <w:b/>
        </w:rPr>
        <w:t>51</w:t>
      </w:r>
      <w:r w:rsidR="00726E0F" w:rsidRPr="007918F7">
        <w:rPr>
          <w:rFonts w:asciiTheme="minorHAnsi" w:hAnsiTheme="minorHAnsi"/>
          <w:b/>
        </w:rPr>
        <w:t>6</w:t>
      </w:r>
      <w:r w:rsidRPr="007918F7">
        <w:rPr>
          <w:rFonts w:asciiTheme="minorHAnsi" w:hAnsiTheme="minorHAnsi"/>
          <w:b/>
        </w:rPr>
        <w:t xml:space="preserve"> €</w:t>
      </w:r>
    </w:p>
    <w:p w:rsidR="00E807F8" w:rsidRPr="00E84532" w:rsidRDefault="00E807F8" w:rsidP="00382204">
      <w:pPr>
        <w:spacing w:after="120"/>
        <w:rPr>
          <w:rFonts w:asciiTheme="minorHAnsi" w:hAnsiTheme="minorHAnsi"/>
        </w:rPr>
      </w:pPr>
    </w:p>
    <w:p w:rsidR="00E807F8" w:rsidRPr="00080A99" w:rsidRDefault="00954DC8" w:rsidP="00080A99">
      <w:pPr>
        <w:pStyle w:val="Heading2"/>
        <w:rPr>
          <w:color w:val="000000" w:themeColor="text1"/>
        </w:rPr>
      </w:pPr>
      <w:bookmarkStart w:id="50" w:name="_Toc339538668"/>
      <w:bookmarkStart w:id="51" w:name="_Toc339539122"/>
      <w:r w:rsidRPr="00080A99">
        <w:rPr>
          <w:color w:val="000000" w:themeColor="text1"/>
        </w:rPr>
        <w:t xml:space="preserve">  </w:t>
      </w:r>
      <w:bookmarkStart w:id="52" w:name="_Toc21513546"/>
      <w:bookmarkStart w:id="53" w:name="_Toc21514372"/>
      <w:bookmarkStart w:id="54" w:name="_Toc21514856"/>
      <w:bookmarkStart w:id="55" w:name="_Toc21515556"/>
      <w:bookmarkStart w:id="56" w:name="_Toc21521379"/>
      <w:r w:rsidR="00E807F8" w:rsidRPr="00080A99">
        <w:rPr>
          <w:color w:val="000000" w:themeColor="text1"/>
        </w:rPr>
        <w:t>Përcaktimi i Bazës së Rregulluar të Aseteve (RAB)</w:t>
      </w:r>
      <w:bookmarkEnd w:id="52"/>
      <w:bookmarkEnd w:id="53"/>
      <w:bookmarkEnd w:id="54"/>
      <w:bookmarkEnd w:id="55"/>
      <w:bookmarkEnd w:id="56"/>
    </w:p>
    <w:p w:rsidR="00E807F8" w:rsidRPr="00E84532" w:rsidRDefault="00E807F8" w:rsidP="00E807F8">
      <w:pPr>
        <w:rPr>
          <w:rFonts w:asciiTheme="minorHAnsi" w:hAnsiTheme="minorHAnsi"/>
          <w:sz w:val="22"/>
          <w:szCs w:val="22"/>
          <w:lang w:val="en-GB"/>
        </w:rPr>
      </w:pPr>
    </w:p>
    <w:p w:rsidR="00E807F8" w:rsidRPr="00E84532" w:rsidRDefault="00E807F8" w:rsidP="00E807F8">
      <w:pPr>
        <w:rPr>
          <w:rFonts w:asciiTheme="minorHAnsi" w:hAnsiTheme="minorHAnsi" w:cs="Calibri"/>
          <w:sz w:val="22"/>
          <w:szCs w:val="22"/>
        </w:rPr>
      </w:pPr>
      <w:r w:rsidRPr="00E84532">
        <w:rPr>
          <w:rFonts w:asciiTheme="minorHAnsi" w:hAnsiTheme="minorHAnsi" w:cs="Calibri"/>
          <w:sz w:val="22"/>
          <w:szCs w:val="22"/>
        </w:rPr>
        <w:t xml:space="preserve">Përcaktimi i RAB-it është faktori kryesor për llogaritjen e Zhvlerësimit vjetor dhe Kthimit të lejuar në asete, që në fakt paraqet fitimin e lejuar nga aktiviteti afarist i rregulluar. </w:t>
      </w:r>
    </w:p>
    <w:p w:rsidR="00E807F8" w:rsidRPr="00E84532" w:rsidRDefault="00E807F8"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Baza e Rregulluar e Aseteve - RAB, në pajtim me shtojcën 2 të Rregullës për vendosjen e Çmimeve të Energjisë Termike llogaritet sipas formulës:</w:t>
      </w:r>
    </w:p>
    <w:p w:rsidR="00E807F8" w:rsidRPr="00E84532" w:rsidRDefault="00E807F8" w:rsidP="00E807F8">
      <w:pPr>
        <w:jc w:val="both"/>
        <w:rPr>
          <w:rFonts w:asciiTheme="minorHAnsi" w:hAnsiTheme="minorHAnsi"/>
          <w:sz w:val="22"/>
        </w:rPr>
      </w:pPr>
    </w:p>
    <w:p w:rsidR="00E807F8" w:rsidRPr="00E84532" w:rsidRDefault="00E807F8" w:rsidP="00E807F8">
      <w:pPr>
        <w:rPr>
          <w:rFonts w:asciiTheme="minorHAnsi" w:hAnsiTheme="minorHAnsi" w:cs="Calibri"/>
          <w:b/>
          <w:noProof/>
          <w:color w:val="000000"/>
          <w:sz w:val="26"/>
          <w:szCs w:val="26"/>
          <w:vertAlign w:val="subscript"/>
        </w:rPr>
      </w:pPr>
      <w:r w:rsidRPr="00E84532">
        <w:rPr>
          <w:rFonts w:asciiTheme="minorHAnsi" w:hAnsiTheme="minorHAnsi" w:cs="Calibri"/>
          <w:b/>
          <w:noProof/>
          <w:color w:val="000000"/>
          <w:sz w:val="26"/>
          <w:szCs w:val="26"/>
        </w:rPr>
        <w:t>RAB</w:t>
      </w:r>
      <w:r w:rsidRPr="00E84532">
        <w:rPr>
          <w:rFonts w:asciiTheme="minorHAnsi" w:hAnsiTheme="minorHAnsi" w:cs="Calibri"/>
          <w:b/>
          <w:noProof/>
          <w:color w:val="000000"/>
          <w:sz w:val="26"/>
          <w:szCs w:val="26"/>
          <w:vertAlign w:val="subscript"/>
        </w:rPr>
        <w:t xml:space="preserve">n </w:t>
      </w:r>
      <w:r w:rsidRPr="00E84532">
        <w:rPr>
          <w:rFonts w:asciiTheme="minorHAnsi" w:hAnsiTheme="minorHAnsi" w:cs="Calibri"/>
          <w:b/>
          <w:noProof/>
          <w:color w:val="000000"/>
          <w:sz w:val="26"/>
          <w:szCs w:val="26"/>
          <w:vertAlign w:val="superscript"/>
        </w:rPr>
        <w:t xml:space="preserve">përf. </w:t>
      </w:r>
      <w:r w:rsidRPr="00E84532">
        <w:rPr>
          <w:rFonts w:asciiTheme="minorHAnsi" w:hAnsiTheme="minorHAnsi" w:cs="Calibri"/>
          <w:b/>
          <w:noProof/>
          <w:color w:val="000000"/>
          <w:sz w:val="26"/>
          <w:szCs w:val="26"/>
        </w:rPr>
        <w:t>= RAB</w:t>
      </w:r>
      <w:r w:rsidRPr="00E84532">
        <w:rPr>
          <w:rFonts w:asciiTheme="minorHAnsi" w:hAnsiTheme="minorHAnsi" w:cs="Calibri"/>
          <w:b/>
          <w:noProof/>
          <w:color w:val="000000"/>
          <w:sz w:val="26"/>
          <w:szCs w:val="26"/>
          <w:vertAlign w:val="subscript"/>
        </w:rPr>
        <w:t>n</w:t>
      </w:r>
      <w:r w:rsidRPr="00E84532">
        <w:rPr>
          <w:rFonts w:asciiTheme="minorHAnsi" w:hAnsiTheme="minorHAnsi" w:cs="Calibri"/>
          <w:b/>
          <w:noProof/>
          <w:color w:val="000000"/>
          <w:sz w:val="26"/>
          <w:szCs w:val="26"/>
          <w:vertAlign w:val="superscript"/>
        </w:rPr>
        <w:t>fill.</w:t>
      </w:r>
      <w:r w:rsidRPr="00E84532">
        <w:rPr>
          <w:rFonts w:asciiTheme="minorHAnsi" w:hAnsiTheme="minorHAnsi" w:cs="Calibri"/>
          <w:b/>
          <w:noProof/>
          <w:color w:val="000000"/>
          <w:sz w:val="26"/>
          <w:szCs w:val="26"/>
        </w:rPr>
        <w:t xml:space="preserve"> + INV</w:t>
      </w:r>
      <w:r w:rsidRPr="00E84532">
        <w:rPr>
          <w:rFonts w:asciiTheme="minorHAnsi" w:hAnsiTheme="minorHAnsi" w:cs="Calibri"/>
          <w:b/>
          <w:noProof/>
          <w:color w:val="000000"/>
          <w:sz w:val="26"/>
          <w:szCs w:val="26"/>
          <w:vertAlign w:val="subscript"/>
        </w:rPr>
        <w:t xml:space="preserve">n </w:t>
      </w:r>
      <w:r w:rsidRPr="00E84532">
        <w:rPr>
          <w:rFonts w:asciiTheme="minorHAnsi" w:hAnsiTheme="minorHAnsi" w:cs="Calibri"/>
          <w:b/>
          <w:noProof/>
          <w:color w:val="000000"/>
          <w:sz w:val="26"/>
          <w:szCs w:val="26"/>
        </w:rPr>
        <w:t>+ WC</w:t>
      </w:r>
      <w:r w:rsidRPr="00E84532">
        <w:rPr>
          <w:rFonts w:asciiTheme="minorHAnsi" w:hAnsiTheme="minorHAnsi" w:cs="Calibri"/>
          <w:b/>
          <w:noProof/>
          <w:color w:val="000000"/>
          <w:sz w:val="26"/>
          <w:szCs w:val="26"/>
          <w:vertAlign w:val="subscript"/>
        </w:rPr>
        <w:t>n</w:t>
      </w:r>
      <w:r w:rsidRPr="00E84532">
        <w:rPr>
          <w:rFonts w:asciiTheme="minorHAnsi" w:hAnsiTheme="minorHAnsi" w:cs="Calibri"/>
          <w:b/>
          <w:noProof/>
          <w:color w:val="000000"/>
          <w:sz w:val="26"/>
          <w:szCs w:val="26"/>
        </w:rPr>
        <w:t>– DEP</w:t>
      </w:r>
      <w:r w:rsidRPr="00E84532">
        <w:rPr>
          <w:rFonts w:asciiTheme="minorHAnsi" w:hAnsiTheme="minorHAnsi" w:cs="Calibri"/>
          <w:b/>
          <w:noProof/>
          <w:color w:val="000000"/>
          <w:sz w:val="26"/>
          <w:szCs w:val="26"/>
          <w:vertAlign w:val="subscript"/>
        </w:rPr>
        <w:t>n-1</w:t>
      </w:r>
      <w:r w:rsidRPr="00E84532">
        <w:rPr>
          <w:rFonts w:asciiTheme="minorHAnsi" w:hAnsiTheme="minorHAnsi" w:cs="Calibri"/>
          <w:b/>
          <w:noProof/>
          <w:color w:val="000000"/>
          <w:sz w:val="26"/>
          <w:szCs w:val="26"/>
        </w:rPr>
        <w:t xml:space="preserve"> – DIS</w:t>
      </w:r>
      <w:r w:rsidRPr="00E84532">
        <w:rPr>
          <w:rFonts w:asciiTheme="minorHAnsi" w:hAnsiTheme="minorHAnsi" w:cs="Calibri"/>
          <w:b/>
          <w:noProof/>
          <w:color w:val="000000"/>
          <w:sz w:val="26"/>
          <w:szCs w:val="26"/>
          <w:vertAlign w:val="subscript"/>
        </w:rPr>
        <w:t>n-1</w:t>
      </w:r>
    </w:p>
    <w:p w:rsidR="00E807F8" w:rsidRPr="00E84532" w:rsidRDefault="00E807F8" w:rsidP="00E807F8">
      <w:pPr>
        <w:rPr>
          <w:rFonts w:asciiTheme="minorHAnsi" w:hAnsiTheme="minorHAnsi" w:cs="Calibri"/>
          <w:noProof/>
          <w:sz w:val="22"/>
          <w:szCs w:val="22"/>
        </w:rPr>
      </w:pPr>
    </w:p>
    <w:p w:rsidR="00E807F8" w:rsidRPr="00E84532" w:rsidRDefault="00E807F8" w:rsidP="00E807F8">
      <w:pPr>
        <w:rPr>
          <w:rFonts w:asciiTheme="minorHAnsi" w:hAnsiTheme="minorHAnsi" w:cs="Calibri"/>
          <w:noProof/>
          <w:sz w:val="22"/>
          <w:szCs w:val="22"/>
        </w:rPr>
      </w:pPr>
      <w:r w:rsidRPr="00E84532">
        <w:rPr>
          <w:rFonts w:asciiTheme="minorHAnsi" w:hAnsiTheme="minorHAnsi" w:cs="Calibri"/>
          <w:noProof/>
          <w:sz w:val="22"/>
          <w:szCs w:val="22"/>
        </w:rPr>
        <w:t xml:space="preserve">ku:   </w:t>
      </w:r>
    </w:p>
    <w:p w:rsidR="00E807F8" w:rsidRPr="00E84532" w:rsidRDefault="00E807F8" w:rsidP="00E807F8">
      <w:pPr>
        <w:pStyle w:val="BodyText"/>
        <w:jc w:val="both"/>
        <w:rPr>
          <w:rFonts w:asciiTheme="minorHAnsi" w:hAnsiTheme="minorHAnsi"/>
          <w:noProof/>
        </w:rPr>
      </w:pPr>
    </w:p>
    <w:p w:rsidR="00E807F8" w:rsidRPr="00E84532" w:rsidRDefault="00E807F8" w:rsidP="00E807F8">
      <w:pPr>
        <w:pStyle w:val="BodyText"/>
        <w:jc w:val="both"/>
        <w:rPr>
          <w:rFonts w:asciiTheme="minorHAnsi" w:hAnsiTheme="minorHAnsi"/>
          <w:b/>
          <w:noProof/>
          <w:sz w:val="22"/>
        </w:rPr>
      </w:pPr>
      <w:r w:rsidRPr="00E84532">
        <w:rPr>
          <w:rFonts w:asciiTheme="minorHAnsi" w:hAnsiTheme="minorHAnsi" w:cs="Calibri"/>
          <w:noProof/>
          <w:color w:val="000000"/>
          <w:sz w:val="22"/>
          <w:szCs w:val="22"/>
        </w:rPr>
        <w:t>RAB</w:t>
      </w:r>
      <w:r w:rsidRPr="00E84532">
        <w:rPr>
          <w:rFonts w:asciiTheme="minorHAnsi" w:hAnsiTheme="minorHAnsi" w:cs="Calibri"/>
          <w:noProof/>
          <w:color w:val="000000"/>
          <w:sz w:val="22"/>
          <w:szCs w:val="22"/>
          <w:vertAlign w:val="subscript"/>
        </w:rPr>
        <w:t xml:space="preserve">n </w:t>
      </w:r>
      <w:r w:rsidRPr="00E84532">
        <w:rPr>
          <w:rFonts w:asciiTheme="minorHAnsi" w:hAnsiTheme="minorHAnsi" w:cs="Calibri"/>
          <w:noProof/>
          <w:color w:val="000000"/>
          <w:sz w:val="22"/>
          <w:szCs w:val="22"/>
          <w:vertAlign w:val="superscript"/>
        </w:rPr>
        <w:t>përf.</w:t>
      </w:r>
      <w:r w:rsidRPr="00E84532">
        <w:rPr>
          <w:rFonts w:asciiTheme="minorHAnsi" w:hAnsiTheme="minorHAnsi" w:cs="Calibri"/>
          <w:noProof/>
          <w:color w:val="000000"/>
          <w:sz w:val="22"/>
          <w:szCs w:val="22"/>
        </w:rPr>
        <w:t xml:space="preserve"> – paraqet asetet </w:t>
      </w:r>
      <w:r w:rsidRPr="00E84532">
        <w:rPr>
          <w:rFonts w:asciiTheme="minorHAnsi" w:hAnsiTheme="minorHAnsi"/>
          <w:noProof/>
          <w:sz w:val="22"/>
        </w:rPr>
        <w:t>e planifikuara për sezonin 20</w:t>
      </w:r>
      <w:r w:rsidR="00B42597">
        <w:rPr>
          <w:rFonts w:asciiTheme="minorHAnsi" w:hAnsiTheme="minorHAnsi"/>
          <w:noProof/>
          <w:sz w:val="22"/>
        </w:rPr>
        <w:t>20</w:t>
      </w:r>
      <w:r w:rsidRPr="00E84532">
        <w:rPr>
          <w:rFonts w:asciiTheme="minorHAnsi" w:hAnsiTheme="minorHAnsi"/>
          <w:noProof/>
          <w:sz w:val="22"/>
        </w:rPr>
        <w:t>/</w:t>
      </w:r>
      <w:r w:rsidR="00724CAA">
        <w:rPr>
          <w:rFonts w:asciiTheme="minorHAnsi" w:hAnsiTheme="minorHAnsi"/>
          <w:noProof/>
          <w:sz w:val="22"/>
        </w:rPr>
        <w:t>2</w:t>
      </w:r>
      <w:r w:rsidR="00B42597">
        <w:rPr>
          <w:rFonts w:asciiTheme="minorHAnsi" w:hAnsiTheme="minorHAnsi"/>
          <w:noProof/>
          <w:sz w:val="22"/>
        </w:rPr>
        <w:t>1</w:t>
      </w:r>
      <w:r w:rsidRPr="00E84532">
        <w:rPr>
          <w:rFonts w:asciiTheme="minorHAnsi" w:hAnsiTheme="minorHAnsi"/>
          <w:noProof/>
          <w:sz w:val="22"/>
        </w:rPr>
        <w:t xml:space="preserve"> (‘n</w:t>
      </w:r>
      <w:r w:rsidR="00B42597">
        <w:rPr>
          <w:rFonts w:asciiTheme="minorHAnsi" w:hAnsiTheme="minorHAnsi"/>
          <w:noProof/>
          <w:sz w:val="22"/>
        </w:rPr>
        <w:t>’</w:t>
      </w:r>
      <w:r w:rsidRPr="00E84532">
        <w:rPr>
          <w:rFonts w:asciiTheme="minorHAnsi" w:hAnsiTheme="minorHAnsi"/>
          <w:noProof/>
          <w:sz w:val="22"/>
        </w:rPr>
        <w:t>);</w:t>
      </w:r>
    </w:p>
    <w:p w:rsidR="00E807F8" w:rsidRPr="00E84532" w:rsidRDefault="00E807F8" w:rsidP="00E807F8">
      <w:pPr>
        <w:pStyle w:val="BodyText"/>
        <w:jc w:val="both"/>
        <w:rPr>
          <w:rFonts w:asciiTheme="minorHAnsi" w:hAnsiTheme="minorHAnsi"/>
          <w:noProof/>
          <w:sz w:val="22"/>
        </w:rPr>
      </w:pPr>
      <w:r w:rsidRPr="00E84532">
        <w:rPr>
          <w:rFonts w:asciiTheme="minorHAnsi" w:hAnsiTheme="minorHAnsi"/>
          <w:noProof/>
          <w:sz w:val="22"/>
        </w:rPr>
        <w:t>RAB</w:t>
      </w:r>
      <w:r w:rsidRPr="00E84532">
        <w:rPr>
          <w:rFonts w:asciiTheme="minorHAnsi" w:hAnsiTheme="minorHAnsi"/>
          <w:noProof/>
          <w:sz w:val="22"/>
          <w:vertAlign w:val="subscript"/>
        </w:rPr>
        <w:t>n</w:t>
      </w:r>
      <w:r w:rsidRPr="00E84532">
        <w:rPr>
          <w:rFonts w:asciiTheme="minorHAnsi" w:hAnsiTheme="minorHAnsi"/>
          <w:noProof/>
          <w:sz w:val="22"/>
          <w:vertAlign w:val="superscript"/>
        </w:rPr>
        <w:t>fill.</w:t>
      </w:r>
      <w:r w:rsidRPr="00E84532">
        <w:rPr>
          <w:rFonts w:asciiTheme="minorHAnsi" w:hAnsiTheme="minorHAnsi"/>
          <w:noProof/>
          <w:sz w:val="22"/>
        </w:rPr>
        <w:t xml:space="preserve"> – Bazën e Rregulluar të Aseteve fillestarë, që faktikisht paraqet RAB-in përfundimtarë të re</w:t>
      </w:r>
      <w:r w:rsidR="00B42597">
        <w:rPr>
          <w:rFonts w:asciiTheme="minorHAnsi" w:hAnsiTheme="minorHAnsi"/>
          <w:noProof/>
          <w:sz w:val="22"/>
        </w:rPr>
        <w:t>alizuar në sezonin paraprak 2019</w:t>
      </w:r>
      <w:r w:rsidRPr="00E84532">
        <w:rPr>
          <w:rFonts w:asciiTheme="minorHAnsi" w:hAnsiTheme="minorHAnsi"/>
          <w:noProof/>
          <w:sz w:val="22"/>
        </w:rPr>
        <w:t>/</w:t>
      </w:r>
      <w:r w:rsidR="00B42597">
        <w:rPr>
          <w:rFonts w:asciiTheme="minorHAnsi" w:hAnsiTheme="minorHAnsi"/>
          <w:noProof/>
          <w:sz w:val="22"/>
        </w:rPr>
        <w:t>20</w:t>
      </w:r>
      <w:r w:rsidRPr="00E84532">
        <w:rPr>
          <w:rFonts w:asciiTheme="minorHAnsi" w:hAnsiTheme="minorHAnsi"/>
          <w:noProof/>
          <w:sz w:val="22"/>
        </w:rPr>
        <w:t xml:space="preserve"> (</w:t>
      </w:r>
      <w:r w:rsidR="00B42597">
        <w:rPr>
          <w:rFonts w:asciiTheme="minorHAnsi" w:hAnsiTheme="minorHAnsi"/>
          <w:noProof/>
          <w:sz w:val="22"/>
        </w:rPr>
        <w:t>‘</w:t>
      </w:r>
      <w:r w:rsidRPr="00E84532">
        <w:rPr>
          <w:rFonts w:asciiTheme="minorHAnsi" w:hAnsiTheme="minorHAnsi"/>
          <w:noProof/>
          <w:sz w:val="22"/>
        </w:rPr>
        <w:t>n-1</w:t>
      </w:r>
      <w:r w:rsidR="00B42597">
        <w:rPr>
          <w:rFonts w:asciiTheme="minorHAnsi" w:hAnsiTheme="minorHAnsi"/>
          <w:noProof/>
          <w:sz w:val="22"/>
        </w:rPr>
        <w:t>’</w:t>
      </w:r>
      <w:r w:rsidRPr="00E84532">
        <w:rPr>
          <w:rFonts w:asciiTheme="minorHAnsi" w:hAnsiTheme="minorHAnsi"/>
          <w:noProof/>
          <w:sz w:val="22"/>
        </w:rPr>
        <w:t xml:space="preserve">); </w:t>
      </w:r>
    </w:p>
    <w:p w:rsidR="00E807F8" w:rsidRPr="00E84532" w:rsidRDefault="00E807F8" w:rsidP="00E807F8">
      <w:pPr>
        <w:pStyle w:val="BodyText"/>
        <w:jc w:val="both"/>
        <w:rPr>
          <w:rFonts w:asciiTheme="minorHAnsi" w:hAnsiTheme="minorHAnsi"/>
          <w:b/>
          <w:noProof/>
          <w:sz w:val="22"/>
        </w:rPr>
      </w:pPr>
      <w:r w:rsidRPr="00E84532">
        <w:rPr>
          <w:rFonts w:asciiTheme="minorHAnsi" w:hAnsiTheme="minorHAnsi" w:cs="Calibri"/>
          <w:noProof/>
          <w:color w:val="000000"/>
          <w:sz w:val="22"/>
          <w:szCs w:val="22"/>
        </w:rPr>
        <w:t>INV</w:t>
      </w:r>
      <w:r w:rsidRPr="00E84532">
        <w:rPr>
          <w:rFonts w:asciiTheme="minorHAnsi" w:hAnsiTheme="minorHAnsi" w:cs="Calibri"/>
          <w:noProof/>
          <w:color w:val="000000"/>
          <w:sz w:val="22"/>
          <w:szCs w:val="22"/>
          <w:vertAlign w:val="subscript"/>
        </w:rPr>
        <w:t>n</w:t>
      </w:r>
      <w:r w:rsidRPr="00E84532">
        <w:rPr>
          <w:rFonts w:asciiTheme="minorHAnsi" w:hAnsiTheme="minorHAnsi" w:cs="Calibri"/>
          <w:noProof/>
          <w:color w:val="000000"/>
          <w:sz w:val="22"/>
          <w:szCs w:val="22"/>
        </w:rPr>
        <w:t xml:space="preserve"> – </w:t>
      </w:r>
      <w:r w:rsidRPr="00E84532">
        <w:rPr>
          <w:rFonts w:asciiTheme="minorHAnsi" w:hAnsiTheme="minorHAnsi"/>
          <w:noProof/>
          <w:sz w:val="22"/>
        </w:rPr>
        <w:t>Investimet e reja të planifikuara dhe të aprovuara nga rregullatori</w:t>
      </w:r>
      <w:r w:rsidR="00724CAA">
        <w:rPr>
          <w:rFonts w:asciiTheme="minorHAnsi" w:hAnsiTheme="minorHAnsi"/>
          <w:noProof/>
          <w:sz w:val="22"/>
        </w:rPr>
        <w:t xml:space="preserve"> për periudhën njëvjeçare që përfshinë sezonin e ngrohjes 20</w:t>
      </w:r>
      <w:r w:rsidR="00B42597">
        <w:rPr>
          <w:rFonts w:asciiTheme="minorHAnsi" w:hAnsiTheme="minorHAnsi"/>
          <w:noProof/>
          <w:sz w:val="22"/>
        </w:rPr>
        <w:t>20</w:t>
      </w:r>
      <w:r w:rsidR="00724CAA">
        <w:rPr>
          <w:rFonts w:asciiTheme="minorHAnsi" w:hAnsiTheme="minorHAnsi"/>
          <w:noProof/>
          <w:sz w:val="22"/>
        </w:rPr>
        <w:t>/202</w:t>
      </w:r>
      <w:r w:rsidR="00B42597">
        <w:rPr>
          <w:rFonts w:asciiTheme="minorHAnsi" w:hAnsiTheme="minorHAnsi"/>
          <w:noProof/>
          <w:sz w:val="22"/>
        </w:rPr>
        <w:t>1</w:t>
      </w:r>
      <w:r w:rsidRPr="00E84532">
        <w:rPr>
          <w:rFonts w:asciiTheme="minorHAnsi" w:hAnsiTheme="minorHAnsi"/>
          <w:noProof/>
          <w:sz w:val="22"/>
        </w:rPr>
        <w:t>;</w:t>
      </w:r>
    </w:p>
    <w:p w:rsidR="00E807F8" w:rsidRPr="00E84532" w:rsidRDefault="00E807F8" w:rsidP="00E807F8">
      <w:pPr>
        <w:pStyle w:val="BodyText"/>
        <w:jc w:val="both"/>
        <w:rPr>
          <w:rFonts w:asciiTheme="minorHAnsi" w:hAnsiTheme="minorHAnsi"/>
          <w:b/>
          <w:noProof/>
          <w:sz w:val="22"/>
        </w:rPr>
      </w:pPr>
      <w:r w:rsidRPr="00E84532">
        <w:rPr>
          <w:rFonts w:asciiTheme="minorHAnsi" w:hAnsiTheme="minorHAnsi" w:cs="Calibri"/>
          <w:noProof/>
          <w:color w:val="000000"/>
          <w:sz w:val="22"/>
          <w:szCs w:val="22"/>
        </w:rPr>
        <w:t>WC</w:t>
      </w:r>
      <w:r w:rsidRPr="00E84532">
        <w:rPr>
          <w:rFonts w:asciiTheme="minorHAnsi" w:hAnsiTheme="minorHAnsi" w:cs="Calibri"/>
          <w:noProof/>
          <w:color w:val="000000"/>
          <w:sz w:val="22"/>
          <w:szCs w:val="22"/>
          <w:vertAlign w:val="subscript"/>
        </w:rPr>
        <w:t>n</w:t>
      </w:r>
      <w:r w:rsidRPr="00E84532">
        <w:rPr>
          <w:rFonts w:asciiTheme="minorHAnsi" w:hAnsiTheme="minorHAnsi"/>
          <w:noProof/>
          <w:sz w:val="22"/>
        </w:rPr>
        <w:t xml:space="preserve"> – Kapitali i mjaftueshëm punues për kompaninë që të kryejë aktivitetet e saj; </w:t>
      </w:r>
    </w:p>
    <w:p w:rsidR="00E807F8" w:rsidRPr="00E84532" w:rsidRDefault="00E807F8" w:rsidP="00E807F8">
      <w:pPr>
        <w:pStyle w:val="BodyText"/>
        <w:jc w:val="both"/>
        <w:rPr>
          <w:rFonts w:asciiTheme="minorHAnsi" w:hAnsiTheme="minorHAnsi"/>
          <w:b/>
          <w:noProof/>
          <w:sz w:val="22"/>
        </w:rPr>
      </w:pPr>
      <w:r w:rsidRPr="00E84532">
        <w:rPr>
          <w:rFonts w:asciiTheme="minorHAnsi" w:hAnsiTheme="minorHAnsi" w:cs="Calibri"/>
          <w:noProof/>
          <w:color w:val="000000"/>
          <w:sz w:val="22"/>
          <w:szCs w:val="22"/>
        </w:rPr>
        <w:t>DEP</w:t>
      </w:r>
      <w:r w:rsidRPr="00E84532">
        <w:rPr>
          <w:rFonts w:asciiTheme="minorHAnsi" w:hAnsiTheme="minorHAnsi" w:cs="Calibri"/>
          <w:noProof/>
          <w:color w:val="000000"/>
          <w:sz w:val="22"/>
          <w:szCs w:val="22"/>
          <w:vertAlign w:val="subscript"/>
        </w:rPr>
        <w:t xml:space="preserve">n-1 </w:t>
      </w:r>
      <w:r w:rsidRPr="00E84532">
        <w:rPr>
          <w:rFonts w:asciiTheme="minorHAnsi" w:hAnsiTheme="minorHAnsi" w:cs="Calibri"/>
          <w:noProof/>
          <w:color w:val="000000"/>
          <w:sz w:val="22"/>
          <w:szCs w:val="22"/>
        </w:rPr>
        <w:t xml:space="preserve">– </w:t>
      </w:r>
      <w:r w:rsidRPr="00E84532">
        <w:rPr>
          <w:rFonts w:asciiTheme="minorHAnsi" w:hAnsiTheme="minorHAnsi"/>
          <w:noProof/>
          <w:sz w:val="22"/>
        </w:rPr>
        <w:t>Zhvlerësimin e aseteve të realizuar në sezonin paraprak 201</w:t>
      </w:r>
      <w:r w:rsidR="00B42597">
        <w:rPr>
          <w:rFonts w:asciiTheme="minorHAnsi" w:hAnsiTheme="minorHAnsi"/>
          <w:noProof/>
          <w:sz w:val="22"/>
        </w:rPr>
        <w:t>9</w:t>
      </w:r>
      <w:r w:rsidRPr="00E84532">
        <w:rPr>
          <w:rFonts w:asciiTheme="minorHAnsi" w:hAnsiTheme="minorHAnsi"/>
          <w:noProof/>
          <w:sz w:val="22"/>
        </w:rPr>
        <w:t>/</w:t>
      </w:r>
      <w:r w:rsidR="00B42597">
        <w:rPr>
          <w:rFonts w:asciiTheme="minorHAnsi" w:hAnsiTheme="minorHAnsi"/>
          <w:noProof/>
          <w:sz w:val="22"/>
        </w:rPr>
        <w:t>20</w:t>
      </w:r>
      <w:r w:rsidRPr="00E84532">
        <w:rPr>
          <w:rFonts w:asciiTheme="minorHAnsi" w:hAnsiTheme="minorHAnsi"/>
          <w:noProof/>
          <w:sz w:val="22"/>
        </w:rPr>
        <w:t xml:space="preserve"> (</w:t>
      </w:r>
      <w:r w:rsidR="00B42597">
        <w:rPr>
          <w:rFonts w:asciiTheme="minorHAnsi" w:hAnsiTheme="minorHAnsi"/>
          <w:noProof/>
          <w:sz w:val="22"/>
        </w:rPr>
        <w:t>‘</w:t>
      </w:r>
      <w:r w:rsidRPr="00E84532">
        <w:rPr>
          <w:rFonts w:asciiTheme="minorHAnsi" w:hAnsiTheme="minorHAnsi"/>
          <w:noProof/>
          <w:sz w:val="22"/>
        </w:rPr>
        <w:t>n-1</w:t>
      </w:r>
      <w:r w:rsidR="00B42597">
        <w:rPr>
          <w:rFonts w:asciiTheme="minorHAnsi" w:hAnsiTheme="minorHAnsi"/>
          <w:noProof/>
          <w:sz w:val="22"/>
        </w:rPr>
        <w:t>’</w:t>
      </w:r>
      <w:r w:rsidRPr="00E84532">
        <w:rPr>
          <w:rFonts w:asciiTheme="minorHAnsi" w:hAnsiTheme="minorHAnsi"/>
          <w:noProof/>
          <w:sz w:val="22"/>
        </w:rPr>
        <w:t>);</w:t>
      </w:r>
      <w:r w:rsidRPr="00E84532">
        <w:rPr>
          <w:rFonts w:asciiTheme="minorHAnsi" w:hAnsiTheme="minorHAnsi" w:cs="Calibri"/>
          <w:noProof/>
          <w:color w:val="000000"/>
          <w:sz w:val="26"/>
          <w:szCs w:val="26"/>
          <w:vertAlign w:val="subscript"/>
        </w:rPr>
        <w:t xml:space="preserve"> </w:t>
      </w:r>
      <w:r w:rsidRPr="00E84532">
        <w:rPr>
          <w:rFonts w:asciiTheme="minorHAnsi" w:hAnsiTheme="minorHAnsi"/>
          <w:noProof/>
          <w:sz w:val="22"/>
        </w:rPr>
        <w:t xml:space="preserve">dhe </w:t>
      </w:r>
    </w:p>
    <w:p w:rsidR="00E807F8" w:rsidRPr="00E84532" w:rsidRDefault="00E807F8" w:rsidP="00E807F8">
      <w:pPr>
        <w:pStyle w:val="BodyText"/>
        <w:jc w:val="both"/>
        <w:rPr>
          <w:rFonts w:asciiTheme="minorHAnsi" w:hAnsiTheme="minorHAnsi"/>
          <w:b/>
          <w:noProof/>
          <w:sz w:val="22"/>
        </w:rPr>
      </w:pPr>
      <w:r w:rsidRPr="00E84532">
        <w:rPr>
          <w:rFonts w:asciiTheme="minorHAnsi" w:hAnsiTheme="minorHAnsi" w:cs="Calibri"/>
          <w:noProof/>
          <w:color w:val="000000"/>
          <w:sz w:val="22"/>
          <w:szCs w:val="22"/>
        </w:rPr>
        <w:t>DIS</w:t>
      </w:r>
      <w:r w:rsidRPr="00E84532">
        <w:rPr>
          <w:rFonts w:asciiTheme="minorHAnsi" w:hAnsiTheme="minorHAnsi" w:cs="Calibri"/>
          <w:noProof/>
          <w:color w:val="000000"/>
          <w:sz w:val="22"/>
          <w:szCs w:val="22"/>
          <w:vertAlign w:val="subscript"/>
        </w:rPr>
        <w:t xml:space="preserve">n-1 </w:t>
      </w:r>
      <w:r w:rsidRPr="00E84532">
        <w:rPr>
          <w:rFonts w:asciiTheme="minorHAnsi" w:hAnsiTheme="minorHAnsi" w:cs="Calibri"/>
          <w:noProof/>
          <w:color w:val="000000"/>
          <w:sz w:val="22"/>
          <w:szCs w:val="22"/>
        </w:rPr>
        <w:t xml:space="preserve">– </w:t>
      </w:r>
      <w:r w:rsidRPr="00E84532">
        <w:rPr>
          <w:rFonts w:asciiTheme="minorHAnsi" w:hAnsiTheme="minorHAnsi"/>
          <w:noProof/>
          <w:sz w:val="22"/>
        </w:rPr>
        <w:t xml:space="preserve">Asetet e tjetërsuara në sezonin paraprak </w:t>
      </w:r>
      <w:r w:rsidR="00B42597">
        <w:rPr>
          <w:rFonts w:asciiTheme="minorHAnsi" w:hAnsiTheme="minorHAnsi"/>
          <w:noProof/>
          <w:sz w:val="22"/>
        </w:rPr>
        <w:t>2019</w:t>
      </w:r>
      <w:r w:rsidR="00724CAA">
        <w:rPr>
          <w:rFonts w:asciiTheme="minorHAnsi" w:hAnsiTheme="minorHAnsi"/>
          <w:noProof/>
          <w:sz w:val="22"/>
        </w:rPr>
        <w:t>/20</w:t>
      </w:r>
      <w:r w:rsidR="00B42597">
        <w:rPr>
          <w:rFonts w:asciiTheme="minorHAnsi" w:hAnsiTheme="minorHAnsi"/>
          <w:noProof/>
          <w:sz w:val="22"/>
        </w:rPr>
        <w:t>20</w:t>
      </w:r>
      <w:r w:rsidR="00724CAA">
        <w:rPr>
          <w:rFonts w:asciiTheme="minorHAnsi" w:hAnsiTheme="minorHAnsi"/>
          <w:noProof/>
          <w:sz w:val="22"/>
        </w:rPr>
        <w:t xml:space="preserve"> </w:t>
      </w:r>
      <w:r w:rsidRPr="00E84532">
        <w:rPr>
          <w:rFonts w:asciiTheme="minorHAnsi" w:hAnsiTheme="minorHAnsi"/>
          <w:noProof/>
          <w:sz w:val="22"/>
        </w:rPr>
        <w:t>(</w:t>
      </w:r>
      <w:r w:rsidR="00B42597">
        <w:rPr>
          <w:rFonts w:asciiTheme="minorHAnsi" w:hAnsiTheme="minorHAnsi"/>
          <w:noProof/>
          <w:sz w:val="22"/>
        </w:rPr>
        <w:t>‘</w:t>
      </w:r>
      <w:r w:rsidRPr="00E84532">
        <w:rPr>
          <w:rFonts w:asciiTheme="minorHAnsi" w:hAnsiTheme="minorHAnsi"/>
          <w:noProof/>
          <w:sz w:val="22"/>
        </w:rPr>
        <w:t>n-1</w:t>
      </w:r>
      <w:r w:rsidR="00B42597">
        <w:rPr>
          <w:rFonts w:asciiTheme="minorHAnsi" w:hAnsiTheme="minorHAnsi"/>
          <w:noProof/>
          <w:sz w:val="22"/>
        </w:rPr>
        <w:t>’</w:t>
      </w:r>
      <w:r w:rsidRPr="00E84532">
        <w:rPr>
          <w:rFonts w:asciiTheme="minorHAnsi" w:hAnsiTheme="minorHAnsi"/>
          <w:noProof/>
          <w:sz w:val="22"/>
        </w:rPr>
        <w:t xml:space="preserve">). </w:t>
      </w:r>
    </w:p>
    <w:p w:rsidR="00E807F8" w:rsidRPr="006F0801" w:rsidRDefault="00E807F8" w:rsidP="006122E6">
      <w:pPr>
        <w:pStyle w:val="Heading3"/>
      </w:pPr>
    </w:p>
    <w:p w:rsidR="00E807F8" w:rsidRPr="00F90B33" w:rsidRDefault="006F0801" w:rsidP="006122E6">
      <w:pPr>
        <w:pStyle w:val="Heading3"/>
      </w:pPr>
      <w:bookmarkStart w:id="57" w:name="_Toc526514485"/>
      <w:r w:rsidRPr="00F90B33">
        <w:t xml:space="preserve"> </w:t>
      </w:r>
      <w:bookmarkStart w:id="58" w:name="_Toc21513547"/>
      <w:bookmarkStart w:id="59" w:name="_Toc21514373"/>
      <w:bookmarkStart w:id="60" w:name="_Toc21514857"/>
      <w:bookmarkStart w:id="61" w:name="_Toc21515557"/>
      <w:bookmarkStart w:id="62" w:name="_Toc21521380"/>
      <w:r w:rsidRPr="00F90B33">
        <w:t xml:space="preserve">3.2.1 </w:t>
      </w:r>
      <w:r w:rsidR="00E807F8" w:rsidRPr="00F90B33">
        <w:t>Përcaktimi i Bazës së Rregulluar të Aseteve Fillestarë (RABnfill.)</w:t>
      </w:r>
      <w:bookmarkEnd w:id="57"/>
      <w:bookmarkEnd w:id="58"/>
      <w:bookmarkEnd w:id="59"/>
      <w:bookmarkEnd w:id="60"/>
      <w:bookmarkEnd w:id="61"/>
      <w:bookmarkEnd w:id="62"/>
    </w:p>
    <w:p w:rsidR="00B42597" w:rsidRDefault="00B42597" w:rsidP="00E807F8">
      <w:pPr>
        <w:pStyle w:val="BodyText"/>
        <w:jc w:val="both"/>
        <w:rPr>
          <w:rFonts w:asciiTheme="minorHAnsi" w:hAnsiTheme="minorHAnsi"/>
          <w:sz w:val="22"/>
        </w:rPr>
      </w:pPr>
    </w:p>
    <w:p w:rsidR="00E807F8" w:rsidRPr="00E84532" w:rsidRDefault="00E807F8" w:rsidP="00E807F8">
      <w:pPr>
        <w:pStyle w:val="BodyText"/>
        <w:jc w:val="both"/>
        <w:rPr>
          <w:rFonts w:asciiTheme="minorHAnsi" w:hAnsiTheme="minorHAnsi"/>
          <w:b/>
          <w:sz w:val="22"/>
        </w:rPr>
      </w:pPr>
      <w:r w:rsidRPr="00E84532">
        <w:rPr>
          <w:rFonts w:asciiTheme="minorHAnsi" w:hAnsiTheme="minorHAnsi"/>
          <w:sz w:val="22"/>
        </w:rPr>
        <w:t>RAB</w:t>
      </w:r>
      <w:r w:rsidRPr="00E84532">
        <w:rPr>
          <w:rFonts w:asciiTheme="minorHAnsi" w:hAnsiTheme="minorHAnsi"/>
          <w:sz w:val="22"/>
          <w:vertAlign w:val="subscript"/>
        </w:rPr>
        <w:t>n</w:t>
      </w:r>
      <w:r w:rsidRPr="00E84532">
        <w:rPr>
          <w:rFonts w:asciiTheme="minorHAnsi" w:hAnsiTheme="minorHAnsi"/>
          <w:sz w:val="22"/>
          <w:vertAlign w:val="superscript"/>
        </w:rPr>
        <w:t>fill.</w:t>
      </w:r>
      <w:r w:rsidRPr="00E84532">
        <w:rPr>
          <w:rFonts w:asciiTheme="minorHAnsi" w:hAnsiTheme="minorHAnsi"/>
          <w:sz w:val="22"/>
        </w:rPr>
        <w:t xml:space="preserve"> paraqet bazën fillestare për përcaktimin e RAB-it të planifikuar për sezonin ‘n’ – 20</w:t>
      </w:r>
      <w:r w:rsidR="00AC1FFA">
        <w:rPr>
          <w:rFonts w:asciiTheme="minorHAnsi" w:hAnsiTheme="minorHAnsi"/>
          <w:sz w:val="22"/>
        </w:rPr>
        <w:t>20</w:t>
      </w:r>
      <w:r w:rsidRPr="00E84532">
        <w:rPr>
          <w:rFonts w:asciiTheme="minorHAnsi" w:hAnsiTheme="minorHAnsi"/>
          <w:sz w:val="22"/>
        </w:rPr>
        <w:t>/</w:t>
      </w:r>
      <w:r w:rsidR="00724CAA">
        <w:rPr>
          <w:rFonts w:asciiTheme="minorHAnsi" w:hAnsiTheme="minorHAnsi"/>
          <w:sz w:val="22"/>
        </w:rPr>
        <w:t>2</w:t>
      </w:r>
      <w:r w:rsidR="00AC1FFA">
        <w:rPr>
          <w:rFonts w:asciiTheme="minorHAnsi" w:hAnsiTheme="minorHAnsi"/>
          <w:sz w:val="22"/>
        </w:rPr>
        <w:t>1</w:t>
      </w:r>
      <w:r w:rsidRPr="00E84532">
        <w:rPr>
          <w:rFonts w:asciiTheme="minorHAnsi" w:hAnsiTheme="minorHAnsi"/>
          <w:sz w:val="22"/>
        </w:rPr>
        <w:t xml:space="preserve">, e që, </w:t>
      </w:r>
      <w:r w:rsidRPr="00E84532">
        <w:rPr>
          <w:rFonts w:asciiTheme="minorHAnsi" w:hAnsiTheme="minorHAnsi"/>
          <w:sz w:val="22"/>
          <w:szCs w:val="22"/>
        </w:rPr>
        <w:t>siç u theksua më lartë,</w:t>
      </w:r>
      <w:r w:rsidRPr="00E84532">
        <w:rPr>
          <w:rFonts w:asciiTheme="minorHAnsi" w:hAnsiTheme="minorHAnsi"/>
          <w:sz w:val="22"/>
        </w:rPr>
        <w:t xml:space="preserve"> faktikisht është RAB-i përfundimtarë i realizuar në sezonin paraprak ‘n-1’ – 201</w:t>
      </w:r>
      <w:r w:rsidR="00AC1FFA">
        <w:rPr>
          <w:rFonts w:asciiTheme="minorHAnsi" w:hAnsiTheme="minorHAnsi"/>
          <w:sz w:val="22"/>
        </w:rPr>
        <w:t>9/20</w:t>
      </w:r>
      <w:r w:rsidRPr="00E84532">
        <w:rPr>
          <w:rFonts w:asciiTheme="minorHAnsi" w:hAnsiTheme="minorHAnsi"/>
          <w:sz w:val="22"/>
        </w:rPr>
        <w:t>.</w:t>
      </w:r>
    </w:p>
    <w:p w:rsidR="00E807F8" w:rsidRPr="00E84532" w:rsidRDefault="00E807F8" w:rsidP="00E807F8">
      <w:pPr>
        <w:pStyle w:val="BodyText"/>
        <w:jc w:val="both"/>
        <w:rPr>
          <w:rFonts w:asciiTheme="minorHAnsi" w:hAnsiTheme="minorHAnsi"/>
          <w:b/>
          <w:sz w:val="22"/>
        </w:rPr>
      </w:pPr>
    </w:p>
    <w:p w:rsidR="00E807F8" w:rsidRPr="00E84532" w:rsidRDefault="00E807F8" w:rsidP="00E807F8">
      <w:pPr>
        <w:pStyle w:val="BodyText"/>
        <w:jc w:val="both"/>
        <w:rPr>
          <w:rFonts w:asciiTheme="minorHAnsi" w:hAnsiTheme="minorHAnsi"/>
          <w:b/>
          <w:sz w:val="22"/>
          <w:szCs w:val="22"/>
        </w:rPr>
      </w:pPr>
      <w:r w:rsidRPr="00E84532">
        <w:rPr>
          <w:rFonts w:asciiTheme="minorHAnsi" w:hAnsiTheme="minorHAnsi"/>
          <w:sz w:val="22"/>
        </w:rPr>
        <w:t>Nga monitorimi i rregullt i realizimeve, ku kryesisht fokusi është në monitorimin e realizimit të investimeve në raport me ato të planifikuara</w:t>
      </w:r>
      <w:r w:rsidR="00724CAA">
        <w:rPr>
          <w:rFonts w:asciiTheme="minorHAnsi" w:hAnsiTheme="minorHAnsi"/>
          <w:sz w:val="22"/>
        </w:rPr>
        <w:t xml:space="preserve"> (Raporti i Monitorimit të realizimeve për sezonin 201</w:t>
      </w:r>
      <w:r w:rsidR="00AC1FFA">
        <w:rPr>
          <w:rFonts w:asciiTheme="minorHAnsi" w:hAnsiTheme="minorHAnsi"/>
          <w:sz w:val="22"/>
        </w:rPr>
        <w:t>9</w:t>
      </w:r>
      <w:r w:rsidR="00724CAA">
        <w:rPr>
          <w:rFonts w:asciiTheme="minorHAnsi" w:hAnsiTheme="minorHAnsi"/>
          <w:sz w:val="22"/>
        </w:rPr>
        <w:t>/20</w:t>
      </w:r>
      <w:r w:rsidR="00AC1FFA">
        <w:rPr>
          <w:rFonts w:asciiTheme="minorHAnsi" w:hAnsiTheme="minorHAnsi"/>
          <w:sz w:val="22"/>
        </w:rPr>
        <w:t>20</w:t>
      </w:r>
      <w:r w:rsidR="00724CAA">
        <w:rPr>
          <w:rFonts w:asciiTheme="minorHAnsi" w:hAnsiTheme="minorHAnsi"/>
          <w:sz w:val="22"/>
        </w:rPr>
        <w:t>)</w:t>
      </w:r>
      <w:r w:rsidRPr="00E84532">
        <w:rPr>
          <w:rFonts w:asciiTheme="minorHAnsi" w:hAnsiTheme="minorHAnsi"/>
          <w:sz w:val="22"/>
        </w:rPr>
        <w:t>, janë konstatuar vlerat e realizuara prej nga llogaritet RAB përfundimtarë i realizuar në sezonin ‘n-1’ – 201</w:t>
      </w:r>
      <w:r w:rsidR="00AC1FFA">
        <w:rPr>
          <w:rFonts w:asciiTheme="minorHAnsi" w:hAnsiTheme="minorHAnsi"/>
          <w:sz w:val="22"/>
        </w:rPr>
        <w:t>9/20</w:t>
      </w:r>
      <w:r w:rsidRPr="00E84532">
        <w:rPr>
          <w:rFonts w:asciiTheme="minorHAnsi" w:hAnsiTheme="minorHAnsi"/>
          <w:sz w:val="22"/>
        </w:rPr>
        <w:t xml:space="preserve"> në vlerë </w:t>
      </w:r>
      <w:r w:rsidRPr="009851EF">
        <w:rPr>
          <w:rFonts w:asciiTheme="minorHAnsi" w:hAnsiTheme="minorHAnsi"/>
          <w:b/>
          <w:sz w:val="22"/>
        </w:rPr>
        <w:t>4</w:t>
      </w:r>
      <w:r w:rsidR="00AC1FFA">
        <w:rPr>
          <w:rFonts w:asciiTheme="minorHAnsi" w:hAnsiTheme="minorHAnsi"/>
          <w:b/>
          <w:sz w:val="22"/>
        </w:rPr>
        <w:t>5</w:t>
      </w:r>
      <w:r w:rsidRPr="009851EF">
        <w:rPr>
          <w:rFonts w:asciiTheme="minorHAnsi" w:hAnsiTheme="minorHAnsi"/>
          <w:b/>
          <w:sz w:val="22"/>
        </w:rPr>
        <w:t>,</w:t>
      </w:r>
      <w:r w:rsidR="00AC1FFA">
        <w:rPr>
          <w:rFonts w:asciiTheme="minorHAnsi" w:hAnsiTheme="minorHAnsi"/>
          <w:b/>
          <w:sz w:val="22"/>
        </w:rPr>
        <w:t>4</w:t>
      </w:r>
      <w:r w:rsidRPr="009851EF">
        <w:rPr>
          <w:rFonts w:asciiTheme="minorHAnsi" w:hAnsiTheme="minorHAnsi"/>
          <w:b/>
          <w:sz w:val="22"/>
        </w:rPr>
        <w:t>8</w:t>
      </w:r>
      <w:r w:rsidR="00AC1FFA">
        <w:rPr>
          <w:rFonts w:asciiTheme="minorHAnsi" w:hAnsiTheme="minorHAnsi"/>
          <w:b/>
          <w:sz w:val="22"/>
        </w:rPr>
        <w:t>7</w:t>
      </w:r>
      <w:r w:rsidRPr="009851EF">
        <w:rPr>
          <w:rFonts w:asciiTheme="minorHAnsi" w:hAnsiTheme="minorHAnsi"/>
          <w:b/>
          <w:sz w:val="22"/>
        </w:rPr>
        <w:t>,</w:t>
      </w:r>
      <w:r w:rsidR="00AC1FFA">
        <w:rPr>
          <w:rFonts w:asciiTheme="minorHAnsi" w:hAnsiTheme="minorHAnsi"/>
          <w:b/>
          <w:sz w:val="22"/>
        </w:rPr>
        <w:t>794</w:t>
      </w:r>
      <w:r w:rsidRPr="009851EF">
        <w:rPr>
          <w:rFonts w:asciiTheme="minorHAnsi" w:hAnsiTheme="minorHAnsi"/>
          <w:b/>
          <w:sz w:val="22"/>
        </w:rPr>
        <w:t xml:space="preserve"> €</w:t>
      </w:r>
      <w:r w:rsidRPr="00E84532">
        <w:rPr>
          <w:rFonts w:asciiTheme="minorHAnsi" w:hAnsiTheme="minorHAnsi"/>
          <w:sz w:val="22"/>
        </w:rPr>
        <w:t xml:space="preserve">, që njëkohësisht paraqet RAB-in </w:t>
      </w:r>
      <w:r w:rsidR="00724CAA">
        <w:rPr>
          <w:rFonts w:asciiTheme="minorHAnsi" w:hAnsiTheme="minorHAnsi"/>
          <w:sz w:val="22"/>
        </w:rPr>
        <w:t>fillestarë për sezonin ‘n’ -20</w:t>
      </w:r>
      <w:r w:rsidR="007B437F">
        <w:rPr>
          <w:rFonts w:asciiTheme="minorHAnsi" w:hAnsiTheme="minorHAnsi"/>
          <w:sz w:val="22"/>
        </w:rPr>
        <w:t>20</w:t>
      </w:r>
      <w:r w:rsidRPr="00E84532">
        <w:rPr>
          <w:rFonts w:asciiTheme="minorHAnsi" w:hAnsiTheme="minorHAnsi"/>
          <w:sz w:val="22"/>
        </w:rPr>
        <w:t>/</w:t>
      </w:r>
      <w:r w:rsidR="00724CAA">
        <w:rPr>
          <w:rFonts w:asciiTheme="minorHAnsi" w:hAnsiTheme="minorHAnsi"/>
          <w:sz w:val="22"/>
        </w:rPr>
        <w:t>2</w:t>
      </w:r>
      <w:r w:rsidR="007B437F">
        <w:rPr>
          <w:rFonts w:asciiTheme="minorHAnsi" w:hAnsiTheme="minorHAnsi"/>
          <w:sz w:val="22"/>
        </w:rPr>
        <w:t>1</w:t>
      </w:r>
      <w:r w:rsidRPr="00E84532">
        <w:rPr>
          <w:rFonts w:asciiTheme="minorHAnsi" w:hAnsiTheme="minorHAnsi"/>
          <w:sz w:val="22"/>
        </w:rPr>
        <w:t xml:space="preserve">.      </w:t>
      </w:r>
    </w:p>
    <w:p w:rsidR="00B553B1" w:rsidRPr="00E84532" w:rsidRDefault="00B553B1" w:rsidP="00E807F8">
      <w:pPr>
        <w:jc w:val="both"/>
        <w:rPr>
          <w:rFonts w:asciiTheme="minorHAnsi" w:hAnsiTheme="minorHAnsi" w:cs="Calibri"/>
          <w:sz w:val="22"/>
          <w:szCs w:val="22"/>
        </w:rPr>
      </w:pPr>
    </w:p>
    <w:p w:rsidR="00E807F8" w:rsidRPr="00382204" w:rsidRDefault="00382204" w:rsidP="006122E6">
      <w:pPr>
        <w:pStyle w:val="Style5"/>
      </w:pPr>
      <w:bookmarkStart w:id="63" w:name="_Toc526514486"/>
      <w:bookmarkStart w:id="64" w:name="_Toc21513548"/>
      <w:bookmarkStart w:id="65" w:name="_Toc21514374"/>
      <w:bookmarkStart w:id="66" w:name="_Toc21521381"/>
      <w:r>
        <w:t>3.2.2</w:t>
      </w:r>
      <w:r>
        <w:tab/>
      </w:r>
      <w:r w:rsidR="00E807F8" w:rsidRPr="00382204">
        <w:t>Përcaktimi i Investimeve të reja të lejuara</w:t>
      </w:r>
      <w:bookmarkEnd w:id="63"/>
      <w:bookmarkEnd w:id="64"/>
      <w:bookmarkEnd w:id="65"/>
      <w:bookmarkEnd w:id="66"/>
    </w:p>
    <w:p w:rsidR="007B437F" w:rsidRDefault="007B437F" w:rsidP="00E807F8">
      <w:pPr>
        <w:jc w:val="both"/>
        <w:rPr>
          <w:rFonts w:asciiTheme="minorHAnsi" w:hAnsiTheme="minorHAnsi" w:cs="Calibri"/>
          <w:sz w:val="22"/>
          <w:szCs w:val="22"/>
        </w:rPr>
      </w:pPr>
    </w:p>
    <w:p w:rsidR="00DD31C6" w:rsidRDefault="00E807F8" w:rsidP="00E807F8">
      <w:pPr>
        <w:jc w:val="both"/>
        <w:rPr>
          <w:rFonts w:asciiTheme="minorHAnsi" w:hAnsiTheme="minorHAnsi" w:cs="Calibri"/>
          <w:sz w:val="22"/>
          <w:szCs w:val="22"/>
        </w:rPr>
      </w:pPr>
      <w:r w:rsidRPr="00E84532">
        <w:rPr>
          <w:rFonts w:asciiTheme="minorHAnsi" w:hAnsiTheme="minorHAnsi" w:cs="Calibri"/>
          <w:sz w:val="22"/>
          <w:szCs w:val="22"/>
        </w:rPr>
        <w:t xml:space="preserve">Lidhur me Investimet e reja të planifikuara për periudhën </w:t>
      </w:r>
      <w:r w:rsidR="000F1941">
        <w:rPr>
          <w:rFonts w:asciiTheme="minorHAnsi" w:hAnsiTheme="minorHAnsi" w:cs="Calibri"/>
          <w:sz w:val="22"/>
          <w:szCs w:val="22"/>
        </w:rPr>
        <w:t xml:space="preserve">e shqyrtimit tarifor: </w:t>
      </w:r>
      <w:r w:rsidR="00724CAA">
        <w:rPr>
          <w:rFonts w:asciiTheme="minorHAnsi" w:hAnsiTheme="minorHAnsi" w:cs="Calibri"/>
          <w:sz w:val="22"/>
          <w:szCs w:val="22"/>
        </w:rPr>
        <w:t xml:space="preserve">tetor </w:t>
      </w:r>
      <w:r w:rsidRPr="00E84532">
        <w:rPr>
          <w:rFonts w:asciiTheme="minorHAnsi" w:hAnsiTheme="minorHAnsi" w:cs="Calibri"/>
          <w:sz w:val="22"/>
          <w:szCs w:val="22"/>
        </w:rPr>
        <w:t>20</w:t>
      </w:r>
      <w:r w:rsidR="00AC1FFA">
        <w:rPr>
          <w:rFonts w:asciiTheme="minorHAnsi" w:hAnsiTheme="minorHAnsi" w:cs="Calibri"/>
          <w:sz w:val="22"/>
          <w:szCs w:val="22"/>
        </w:rPr>
        <w:t>20</w:t>
      </w:r>
      <w:r w:rsidR="00724CAA">
        <w:rPr>
          <w:rFonts w:asciiTheme="minorHAnsi" w:hAnsiTheme="minorHAnsi" w:cs="Calibri"/>
          <w:sz w:val="22"/>
          <w:szCs w:val="22"/>
        </w:rPr>
        <w:t xml:space="preserve"> – tetor </w:t>
      </w:r>
      <w:r w:rsidRPr="00E84532">
        <w:rPr>
          <w:rFonts w:asciiTheme="minorHAnsi" w:hAnsiTheme="minorHAnsi" w:cs="Calibri"/>
          <w:sz w:val="22"/>
          <w:szCs w:val="22"/>
        </w:rPr>
        <w:t>20</w:t>
      </w:r>
      <w:r w:rsidR="00724CAA">
        <w:rPr>
          <w:rFonts w:asciiTheme="minorHAnsi" w:hAnsiTheme="minorHAnsi" w:cs="Calibri"/>
          <w:sz w:val="22"/>
          <w:szCs w:val="22"/>
        </w:rPr>
        <w:t>2</w:t>
      </w:r>
      <w:r w:rsidR="00AC1FFA">
        <w:rPr>
          <w:rFonts w:asciiTheme="minorHAnsi" w:hAnsiTheme="minorHAnsi" w:cs="Calibri"/>
          <w:sz w:val="22"/>
          <w:szCs w:val="22"/>
        </w:rPr>
        <w:t>1</w:t>
      </w:r>
      <w:r w:rsidRPr="00E84532">
        <w:rPr>
          <w:rFonts w:asciiTheme="minorHAnsi" w:hAnsiTheme="minorHAnsi" w:cs="Calibri"/>
          <w:sz w:val="22"/>
          <w:szCs w:val="22"/>
        </w:rPr>
        <w:t>, fillimisht duhet theksuar  se këto inve</w:t>
      </w:r>
      <w:r w:rsidR="00F2300E">
        <w:rPr>
          <w:rFonts w:asciiTheme="minorHAnsi" w:hAnsiTheme="minorHAnsi" w:cs="Calibri"/>
          <w:sz w:val="22"/>
          <w:szCs w:val="22"/>
        </w:rPr>
        <w:t>s</w:t>
      </w:r>
      <w:r w:rsidRPr="00E84532">
        <w:rPr>
          <w:rFonts w:asciiTheme="minorHAnsi" w:hAnsiTheme="minorHAnsi" w:cs="Calibri"/>
          <w:sz w:val="22"/>
          <w:szCs w:val="22"/>
        </w:rPr>
        <w:t xml:space="preserve">time kryesisht i përkasin rehabilitimit të rrjetit </w:t>
      </w:r>
      <w:r w:rsidR="004A64EF">
        <w:rPr>
          <w:rFonts w:asciiTheme="minorHAnsi" w:hAnsiTheme="minorHAnsi" w:cs="Calibri"/>
          <w:sz w:val="22"/>
          <w:szCs w:val="22"/>
        </w:rPr>
        <w:t>dhe</w:t>
      </w:r>
      <w:r w:rsidRPr="00E84532">
        <w:rPr>
          <w:rFonts w:asciiTheme="minorHAnsi" w:hAnsiTheme="minorHAnsi" w:cs="Calibri"/>
          <w:sz w:val="22"/>
          <w:szCs w:val="22"/>
        </w:rPr>
        <w:t xml:space="preserve"> nënstacioneve</w:t>
      </w:r>
      <w:r w:rsidR="00D33BA9">
        <w:rPr>
          <w:rFonts w:asciiTheme="minorHAnsi" w:hAnsiTheme="minorHAnsi" w:cs="Calibri"/>
          <w:sz w:val="22"/>
          <w:szCs w:val="22"/>
        </w:rPr>
        <w:t>, si</w:t>
      </w:r>
      <w:r w:rsidRPr="00E84532">
        <w:rPr>
          <w:rFonts w:asciiTheme="minorHAnsi" w:hAnsiTheme="minorHAnsi" w:cs="Calibri"/>
          <w:sz w:val="22"/>
          <w:szCs w:val="22"/>
        </w:rPr>
        <w:t xml:space="preserve"> dhe zgjerimit të rrjetit</w:t>
      </w:r>
      <w:r w:rsidR="00D33BA9">
        <w:rPr>
          <w:rFonts w:asciiTheme="minorHAnsi" w:hAnsiTheme="minorHAnsi" w:cs="Calibri"/>
          <w:sz w:val="22"/>
          <w:szCs w:val="22"/>
        </w:rPr>
        <w:t xml:space="preserve"> dhe nëstacione të reja</w:t>
      </w:r>
      <w:r w:rsidRPr="00E84532">
        <w:rPr>
          <w:rFonts w:asciiTheme="minorHAnsi" w:hAnsiTheme="minorHAnsi" w:cs="Calibri"/>
          <w:sz w:val="22"/>
          <w:szCs w:val="22"/>
        </w:rPr>
        <w:t xml:space="preserve">; </w:t>
      </w:r>
      <w:r w:rsidR="00AC1FFA">
        <w:rPr>
          <w:rFonts w:asciiTheme="minorHAnsi" w:hAnsiTheme="minorHAnsi" w:cs="Calibri"/>
          <w:sz w:val="22"/>
          <w:szCs w:val="22"/>
        </w:rPr>
        <w:t>NQ Termokos ka paraqitur v</w:t>
      </w:r>
      <w:r w:rsidR="00DD31C6">
        <w:rPr>
          <w:rFonts w:asciiTheme="minorHAnsi" w:hAnsiTheme="minorHAnsi" w:cs="Calibri"/>
          <w:sz w:val="22"/>
          <w:szCs w:val="22"/>
        </w:rPr>
        <w:t>ler</w:t>
      </w:r>
      <w:r w:rsidR="00AC1FFA">
        <w:rPr>
          <w:rFonts w:asciiTheme="minorHAnsi" w:hAnsiTheme="minorHAnsi" w:cs="Calibri"/>
          <w:sz w:val="22"/>
          <w:szCs w:val="22"/>
        </w:rPr>
        <w:t>ën</w:t>
      </w:r>
      <w:r w:rsidR="00DD31C6">
        <w:rPr>
          <w:rFonts w:asciiTheme="minorHAnsi" w:hAnsiTheme="minorHAnsi" w:cs="Calibri"/>
          <w:sz w:val="22"/>
          <w:szCs w:val="22"/>
        </w:rPr>
        <w:t xml:space="preserve"> </w:t>
      </w:r>
      <w:r w:rsidR="00DD31C6">
        <w:rPr>
          <w:rFonts w:asciiTheme="minorHAnsi" w:hAnsiTheme="minorHAnsi" w:cs="Calibri"/>
          <w:sz w:val="22"/>
          <w:szCs w:val="22"/>
        </w:rPr>
        <w:lastRenderedPageBreak/>
        <w:t xml:space="preserve">totale </w:t>
      </w:r>
      <w:r w:rsidR="00AC1FFA">
        <w:rPr>
          <w:rFonts w:asciiTheme="minorHAnsi" w:hAnsiTheme="minorHAnsi" w:cs="Calibri"/>
          <w:sz w:val="22"/>
          <w:szCs w:val="22"/>
        </w:rPr>
        <w:t>të</w:t>
      </w:r>
      <w:r w:rsidR="00DD31C6">
        <w:rPr>
          <w:rFonts w:asciiTheme="minorHAnsi" w:hAnsiTheme="minorHAnsi" w:cs="Calibri"/>
          <w:sz w:val="22"/>
          <w:szCs w:val="22"/>
        </w:rPr>
        <w:t xml:space="preserve"> </w:t>
      </w:r>
      <w:r w:rsidR="00DD31C6" w:rsidRPr="00E04DA8">
        <w:rPr>
          <w:rFonts w:asciiTheme="minorHAnsi" w:hAnsiTheme="minorHAnsi" w:cs="Calibri"/>
          <w:b/>
          <w:sz w:val="22"/>
          <w:szCs w:val="22"/>
        </w:rPr>
        <w:t>investimeve të reja të planifikuara</w:t>
      </w:r>
      <w:r w:rsidR="00DD31C6">
        <w:rPr>
          <w:rFonts w:asciiTheme="minorHAnsi" w:hAnsiTheme="minorHAnsi" w:cs="Calibri"/>
          <w:sz w:val="22"/>
          <w:szCs w:val="22"/>
        </w:rPr>
        <w:t xml:space="preserve"> </w:t>
      </w:r>
      <w:r w:rsidR="00AC1FFA">
        <w:rPr>
          <w:rFonts w:asciiTheme="minorHAnsi" w:hAnsiTheme="minorHAnsi" w:cs="Calibri"/>
          <w:b/>
          <w:sz w:val="22"/>
          <w:szCs w:val="22"/>
        </w:rPr>
        <w:t>9</w:t>
      </w:r>
      <w:r w:rsidR="00DD31C6" w:rsidRPr="00E04DA8">
        <w:rPr>
          <w:rFonts w:asciiTheme="minorHAnsi" w:hAnsiTheme="minorHAnsi" w:cs="Calibri"/>
          <w:b/>
          <w:sz w:val="22"/>
          <w:szCs w:val="22"/>
        </w:rPr>
        <w:t>,</w:t>
      </w:r>
      <w:r w:rsidR="007B437F">
        <w:rPr>
          <w:rFonts w:asciiTheme="minorHAnsi" w:hAnsiTheme="minorHAnsi" w:cs="Calibri"/>
          <w:b/>
          <w:sz w:val="22"/>
          <w:szCs w:val="22"/>
        </w:rPr>
        <w:t>2</w:t>
      </w:r>
      <w:r w:rsidR="00AC1FFA">
        <w:rPr>
          <w:rFonts w:asciiTheme="minorHAnsi" w:hAnsiTheme="minorHAnsi" w:cs="Calibri"/>
          <w:b/>
          <w:sz w:val="22"/>
          <w:szCs w:val="22"/>
        </w:rPr>
        <w:t>8</w:t>
      </w:r>
      <w:r w:rsidR="00DD31C6" w:rsidRPr="00E04DA8">
        <w:rPr>
          <w:rFonts w:asciiTheme="minorHAnsi" w:hAnsiTheme="minorHAnsi" w:cs="Calibri"/>
          <w:b/>
          <w:sz w:val="22"/>
          <w:szCs w:val="22"/>
        </w:rPr>
        <w:t>2,000 €</w:t>
      </w:r>
      <w:r w:rsidR="00DD31C6">
        <w:rPr>
          <w:rFonts w:asciiTheme="minorHAnsi" w:hAnsiTheme="minorHAnsi" w:cs="Calibri"/>
          <w:sz w:val="22"/>
          <w:szCs w:val="22"/>
        </w:rPr>
        <w:t>; në këtë shumë janë përfshirë investimet nga donacionet dhe investimet me vet</w:t>
      </w:r>
      <w:r w:rsidR="007B437F">
        <w:rPr>
          <w:rFonts w:asciiTheme="minorHAnsi" w:hAnsiTheme="minorHAnsi" w:cs="Calibri"/>
          <w:sz w:val="22"/>
          <w:szCs w:val="22"/>
        </w:rPr>
        <w:t>ë</w:t>
      </w:r>
      <w:r w:rsidR="00DD31C6">
        <w:rPr>
          <w:rFonts w:asciiTheme="minorHAnsi" w:hAnsiTheme="minorHAnsi" w:cs="Calibri"/>
          <w:sz w:val="22"/>
          <w:szCs w:val="22"/>
        </w:rPr>
        <w:t>-financim.</w:t>
      </w:r>
    </w:p>
    <w:p w:rsidR="002021F3" w:rsidRDefault="002021F3" w:rsidP="002021F3">
      <w:pPr>
        <w:jc w:val="both"/>
        <w:rPr>
          <w:rFonts w:asciiTheme="minorHAnsi" w:hAnsiTheme="minorHAnsi" w:cs="Calibri"/>
          <w:sz w:val="22"/>
          <w:szCs w:val="22"/>
          <w:u w:val="single"/>
        </w:rPr>
      </w:pPr>
    </w:p>
    <w:p w:rsidR="00DD31C6" w:rsidRPr="00F5721A" w:rsidRDefault="00DD31C6" w:rsidP="00F5721A">
      <w:pPr>
        <w:spacing w:after="200"/>
        <w:jc w:val="both"/>
        <w:rPr>
          <w:rFonts w:asciiTheme="minorHAnsi" w:hAnsiTheme="minorHAnsi" w:cs="Calibri"/>
          <w:sz w:val="22"/>
          <w:szCs w:val="22"/>
          <w:u w:val="single"/>
        </w:rPr>
      </w:pPr>
      <w:r w:rsidRPr="00F5721A">
        <w:rPr>
          <w:rFonts w:asciiTheme="minorHAnsi" w:hAnsiTheme="minorHAnsi" w:cs="Calibri"/>
          <w:sz w:val="22"/>
          <w:szCs w:val="22"/>
          <w:u w:val="single"/>
        </w:rPr>
        <w:t>Investimet nga donacionet</w:t>
      </w:r>
    </w:p>
    <w:p w:rsidR="00E807F8" w:rsidRPr="00E84532" w:rsidRDefault="00E04DA8" w:rsidP="00E807F8">
      <w:pPr>
        <w:jc w:val="both"/>
        <w:rPr>
          <w:rFonts w:asciiTheme="minorHAnsi" w:hAnsiTheme="minorHAnsi" w:cs="Calibri"/>
          <w:sz w:val="22"/>
          <w:szCs w:val="22"/>
        </w:rPr>
      </w:pPr>
      <w:r>
        <w:rPr>
          <w:rFonts w:asciiTheme="minorHAnsi" w:hAnsiTheme="minorHAnsi" w:cs="Calibri"/>
          <w:sz w:val="22"/>
          <w:szCs w:val="22"/>
        </w:rPr>
        <w:t>I</w:t>
      </w:r>
      <w:r w:rsidR="00E807F8" w:rsidRPr="00E84532">
        <w:rPr>
          <w:rFonts w:asciiTheme="minorHAnsi" w:hAnsiTheme="minorHAnsi" w:cs="Calibri"/>
          <w:sz w:val="22"/>
          <w:szCs w:val="22"/>
        </w:rPr>
        <w:t>nvestime</w:t>
      </w:r>
      <w:r>
        <w:rPr>
          <w:rFonts w:asciiTheme="minorHAnsi" w:hAnsiTheme="minorHAnsi" w:cs="Calibri"/>
          <w:sz w:val="22"/>
          <w:szCs w:val="22"/>
        </w:rPr>
        <w:t>t</w:t>
      </w:r>
      <w:r w:rsidR="00E807F8" w:rsidRPr="00E84532">
        <w:rPr>
          <w:rFonts w:asciiTheme="minorHAnsi" w:hAnsiTheme="minorHAnsi" w:cs="Calibri"/>
          <w:sz w:val="22"/>
          <w:szCs w:val="22"/>
        </w:rPr>
        <w:t xml:space="preserve"> në kuadër të projekteve të donatorëve ndërkombëtarë si </w:t>
      </w:r>
      <w:r w:rsidR="00724CAA" w:rsidRPr="00E84532">
        <w:rPr>
          <w:rFonts w:asciiTheme="minorHAnsi" w:hAnsiTheme="minorHAnsi" w:cs="Calibri"/>
          <w:sz w:val="22"/>
          <w:szCs w:val="22"/>
        </w:rPr>
        <w:t>KfW</w:t>
      </w:r>
      <w:r w:rsidR="007B437F">
        <w:rPr>
          <w:rFonts w:asciiTheme="minorHAnsi" w:hAnsiTheme="minorHAnsi" w:cs="Calibri"/>
          <w:sz w:val="22"/>
          <w:szCs w:val="22"/>
        </w:rPr>
        <w:t xml:space="preserve"> dhe</w:t>
      </w:r>
      <w:r w:rsidR="00AC1FFA">
        <w:rPr>
          <w:rFonts w:asciiTheme="minorHAnsi" w:hAnsiTheme="minorHAnsi" w:cs="Calibri"/>
          <w:sz w:val="22"/>
          <w:szCs w:val="22"/>
        </w:rPr>
        <w:t xml:space="preserve"> </w:t>
      </w:r>
      <w:r w:rsidR="00724CAA">
        <w:rPr>
          <w:rFonts w:asciiTheme="minorHAnsi" w:hAnsiTheme="minorHAnsi" w:cs="Calibri"/>
          <w:sz w:val="22"/>
          <w:szCs w:val="22"/>
        </w:rPr>
        <w:t>MCC</w:t>
      </w:r>
      <w:r w:rsidR="00AC1FFA">
        <w:rPr>
          <w:rFonts w:asciiTheme="minorHAnsi" w:hAnsiTheme="minorHAnsi" w:cs="Calibri"/>
          <w:sz w:val="22"/>
          <w:szCs w:val="22"/>
        </w:rPr>
        <w:t xml:space="preserve"> </w:t>
      </w:r>
      <w:r>
        <w:rPr>
          <w:rFonts w:asciiTheme="minorHAnsi" w:hAnsiTheme="minorHAnsi" w:cs="Calibri"/>
          <w:sz w:val="22"/>
          <w:szCs w:val="22"/>
        </w:rPr>
        <w:t xml:space="preserve">janë paraqitur në vlerë totale prej </w:t>
      </w:r>
      <w:r w:rsidR="00AC1FFA">
        <w:rPr>
          <w:rFonts w:asciiTheme="minorHAnsi" w:hAnsiTheme="minorHAnsi" w:cs="Calibri"/>
          <w:b/>
          <w:sz w:val="22"/>
          <w:szCs w:val="22"/>
        </w:rPr>
        <w:t>7</w:t>
      </w:r>
      <w:r w:rsidRPr="00E04DA8">
        <w:rPr>
          <w:rFonts w:asciiTheme="minorHAnsi" w:hAnsiTheme="minorHAnsi" w:cs="Calibri"/>
          <w:b/>
          <w:sz w:val="22"/>
          <w:szCs w:val="22"/>
        </w:rPr>
        <w:t>,</w:t>
      </w:r>
      <w:r w:rsidR="007B437F">
        <w:rPr>
          <w:rFonts w:asciiTheme="minorHAnsi" w:hAnsiTheme="minorHAnsi" w:cs="Calibri"/>
          <w:b/>
          <w:sz w:val="22"/>
          <w:szCs w:val="22"/>
        </w:rPr>
        <w:t>0</w:t>
      </w:r>
      <w:r w:rsidR="00AC1FFA">
        <w:rPr>
          <w:rFonts w:asciiTheme="minorHAnsi" w:hAnsiTheme="minorHAnsi" w:cs="Calibri"/>
          <w:b/>
          <w:sz w:val="22"/>
          <w:szCs w:val="22"/>
        </w:rPr>
        <w:t>00</w:t>
      </w:r>
      <w:r w:rsidRPr="00E04DA8">
        <w:rPr>
          <w:rFonts w:asciiTheme="minorHAnsi" w:hAnsiTheme="minorHAnsi" w:cs="Calibri"/>
          <w:b/>
          <w:sz w:val="22"/>
          <w:szCs w:val="22"/>
        </w:rPr>
        <w:t>,000 €</w:t>
      </w:r>
      <w:r w:rsidR="00724CAA">
        <w:rPr>
          <w:rFonts w:asciiTheme="minorHAnsi" w:hAnsiTheme="minorHAnsi" w:cs="Calibri"/>
          <w:sz w:val="22"/>
          <w:szCs w:val="22"/>
        </w:rPr>
        <w:t xml:space="preserve"> </w:t>
      </w:r>
      <w:r w:rsidR="00E807F8" w:rsidRPr="00E84532">
        <w:rPr>
          <w:rFonts w:asciiTheme="minorHAnsi" w:hAnsiTheme="minorHAnsi" w:cs="Calibri"/>
          <w:sz w:val="22"/>
          <w:szCs w:val="22"/>
        </w:rPr>
        <w:t>– pra këto projekte planifikohen në pjesën më të madhe të financohen nga donacionet</w:t>
      </w:r>
      <w:r w:rsidR="00724CAA">
        <w:rPr>
          <w:rFonts w:asciiTheme="minorHAnsi" w:hAnsiTheme="minorHAnsi" w:cs="Calibri"/>
          <w:sz w:val="22"/>
          <w:szCs w:val="22"/>
        </w:rPr>
        <w:t>,</w:t>
      </w:r>
      <w:r w:rsidR="00E807F8" w:rsidRPr="00E84532">
        <w:rPr>
          <w:rFonts w:asciiTheme="minorHAnsi" w:hAnsiTheme="minorHAnsi" w:cs="Calibri"/>
          <w:sz w:val="22"/>
          <w:szCs w:val="22"/>
        </w:rPr>
        <w:t xml:space="preserve"> ndërsa një shumë e vogël me vetëfinancim – detajet në vijim:</w:t>
      </w:r>
    </w:p>
    <w:p w:rsidR="001F2843" w:rsidRPr="007E6998" w:rsidRDefault="001F2843" w:rsidP="007E6998">
      <w:pPr>
        <w:jc w:val="both"/>
        <w:rPr>
          <w:rFonts w:asciiTheme="minorHAnsi" w:hAnsiTheme="minorHAnsi" w:cs="Calibri"/>
          <w:sz w:val="22"/>
          <w:szCs w:val="22"/>
        </w:rPr>
      </w:pPr>
    </w:p>
    <w:p w:rsidR="003E56E4" w:rsidRDefault="003E56E4" w:rsidP="00667D9B">
      <w:pPr>
        <w:pStyle w:val="ListParagraph"/>
        <w:numPr>
          <w:ilvl w:val="0"/>
          <w:numId w:val="6"/>
        </w:numPr>
        <w:tabs>
          <w:tab w:val="clear" w:pos="720"/>
          <w:tab w:val="num" w:pos="360"/>
        </w:tabs>
        <w:spacing w:after="120"/>
        <w:ind w:left="360"/>
        <w:contextualSpacing w:val="0"/>
        <w:jc w:val="both"/>
        <w:rPr>
          <w:rFonts w:asciiTheme="minorHAnsi" w:hAnsiTheme="minorHAnsi" w:cs="Calibri"/>
          <w:sz w:val="22"/>
          <w:szCs w:val="22"/>
        </w:rPr>
      </w:pPr>
      <w:r>
        <w:rPr>
          <w:rFonts w:asciiTheme="minorHAnsi" w:hAnsiTheme="minorHAnsi" w:cs="Calibri"/>
          <w:sz w:val="22"/>
          <w:szCs w:val="22"/>
        </w:rPr>
        <w:t>P</w:t>
      </w:r>
      <w:r w:rsidR="00E807F8" w:rsidRPr="00E84532">
        <w:rPr>
          <w:rFonts w:asciiTheme="minorHAnsi" w:hAnsiTheme="minorHAnsi" w:cs="Calibri"/>
          <w:sz w:val="22"/>
          <w:szCs w:val="22"/>
        </w:rPr>
        <w:t xml:space="preserve">rojekti </w:t>
      </w:r>
      <w:r>
        <w:rPr>
          <w:rFonts w:asciiTheme="minorHAnsi" w:hAnsiTheme="minorHAnsi" w:cs="Calibri"/>
          <w:sz w:val="22"/>
          <w:szCs w:val="22"/>
        </w:rPr>
        <w:t>i</w:t>
      </w:r>
      <w:r w:rsidR="00E807F8" w:rsidRPr="00E84532">
        <w:rPr>
          <w:rFonts w:asciiTheme="minorHAnsi" w:hAnsiTheme="minorHAnsi" w:cs="Calibri"/>
          <w:sz w:val="22"/>
          <w:szCs w:val="22"/>
        </w:rPr>
        <w:t xml:space="preserve"> KfW</w:t>
      </w:r>
      <w:r w:rsidR="00DD31C6">
        <w:rPr>
          <w:rFonts w:asciiTheme="minorHAnsi" w:hAnsiTheme="minorHAnsi" w:cs="Calibri"/>
          <w:sz w:val="22"/>
          <w:szCs w:val="22"/>
        </w:rPr>
        <w:t>:</w:t>
      </w:r>
      <w:r w:rsidR="00E807F8" w:rsidRPr="00E84532">
        <w:rPr>
          <w:rFonts w:asciiTheme="minorHAnsi" w:hAnsiTheme="minorHAnsi" w:cs="Calibri"/>
          <w:sz w:val="22"/>
          <w:szCs w:val="22"/>
        </w:rPr>
        <w:t xml:space="preserve"> Rehabilitim</w:t>
      </w:r>
      <w:r w:rsidR="00DD31C6">
        <w:rPr>
          <w:rFonts w:asciiTheme="minorHAnsi" w:hAnsiTheme="minorHAnsi" w:cs="Calibri"/>
          <w:sz w:val="22"/>
          <w:szCs w:val="22"/>
        </w:rPr>
        <w:t>i i</w:t>
      </w:r>
      <w:r>
        <w:rPr>
          <w:rFonts w:asciiTheme="minorHAnsi" w:hAnsiTheme="minorHAnsi" w:cs="Calibri"/>
          <w:sz w:val="22"/>
          <w:szCs w:val="22"/>
        </w:rPr>
        <w:t xml:space="preserve"> rrjetit dhe nënstacioneve, si dhe zgjerim të rrjetit dhe nënstacione termike të reja është planifikuar në vlerë tot</w:t>
      </w:r>
      <w:r w:rsidR="00667D9B">
        <w:rPr>
          <w:rFonts w:asciiTheme="minorHAnsi" w:hAnsiTheme="minorHAnsi" w:cs="Calibri"/>
          <w:sz w:val="22"/>
          <w:szCs w:val="22"/>
        </w:rPr>
        <w:t>a</w:t>
      </w:r>
      <w:r>
        <w:rPr>
          <w:rFonts w:asciiTheme="minorHAnsi" w:hAnsiTheme="minorHAnsi" w:cs="Calibri"/>
          <w:sz w:val="22"/>
          <w:szCs w:val="22"/>
        </w:rPr>
        <w:t>l</w:t>
      </w:r>
      <w:r w:rsidR="00667D9B">
        <w:rPr>
          <w:rFonts w:asciiTheme="minorHAnsi" w:hAnsiTheme="minorHAnsi" w:cs="Calibri"/>
          <w:sz w:val="22"/>
          <w:szCs w:val="22"/>
        </w:rPr>
        <w:t xml:space="preserve">e </w:t>
      </w:r>
      <w:r>
        <w:rPr>
          <w:rFonts w:asciiTheme="minorHAnsi" w:hAnsiTheme="minorHAnsi" w:cs="Calibri"/>
          <w:sz w:val="22"/>
          <w:szCs w:val="22"/>
        </w:rPr>
        <w:t>rreth 14 mil €</w:t>
      </w:r>
      <w:r w:rsidR="00667D9B">
        <w:rPr>
          <w:rFonts w:asciiTheme="minorHAnsi" w:hAnsiTheme="minorHAnsi" w:cs="Calibri"/>
          <w:sz w:val="22"/>
          <w:szCs w:val="22"/>
        </w:rPr>
        <w:t xml:space="preserve">, nga cila shumë gjatë periudhës 2018/19 janë realizuar </w:t>
      </w:r>
      <w:r w:rsidR="007B437F">
        <w:rPr>
          <w:rFonts w:asciiTheme="minorHAnsi" w:hAnsiTheme="minorHAnsi" w:cs="Calibri"/>
          <w:sz w:val="22"/>
          <w:szCs w:val="22"/>
        </w:rPr>
        <w:t xml:space="preserve">për </w:t>
      </w:r>
      <w:r w:rsidR="00667D9B">
        <w:rPr>
          <w:rFonts w:asciiTheme="minorHAnsi" w:hAnsiTheme="minorHAnsi" w:cs="Calibri"/>
          <w:sz w:val="22"/>
          <w:szCs w:val="22"/>
        </w:rPr>
        <w:t>rehabilitim</w:t>
      </w:r>
      <w:r w:rsidR="007B437F">
        <w:rPr>
          <w:rFonts w:asciiTheme="minorHAnsi" w:hAnsiTheme="minorHAnsi" w:cs="Calibri"/>
          <w:sz w:val="22"/>
          <w:szCs w:val="22"/>
        </w:rPr>
        <w:t>in</w:t>
      </w:r>
      <w:r w:rsidR="00667D9B">
        <w:rPr>
          <w:rFonts w:asciiTheme="minorHAnsi" w:hAnsiTheme="minorHAnsi" w:cs="Calibri"/>
          <w:sz w:val="22"/>
          <w:szCs w:val="22"/>
        </w:rPr>
        <w:t xml:space="preserve"> </w:t>
      </w:r>
      <w:r w:rsidR="007B437F">
        <w:rPr>
          <w:rFonts w:asciiTheme="minorHAnsi" w:hAnsiTheme="minorHAnsi" w:cs="Calibri"/>
          <w:sz w:val="22"/>
          <w:szCs w:val="22"/>
        </w:rPr>
        <w:t>e</w:t>
      </w:r>
      <w:r w:rsidR="00667D9B">
        <w:rPr>
          <w:rFonts w:asciiTheme="minorHAnsi" w:hAnsiTheme="minorHAnsi" w:cs="Calibri"/>
          <w:sz w:val="22"/>
          <w:szCs w:val="22"/>
        </w:rPr>
        <w:t xml:space="preserve"> disa segementeve të rrjetit në vlerë 1.5 mil €</w:t>
      </w:r>
      <w:r>
        <w:rPr>
          <w:rFonts w:asciiTheme="minorHAnsi" w:hAnsiTheme="minorHAnsi" w:cs="Calibri"/>
          <w:sz w:val="22"/>
          <w:szCs w:val="22"/>
        </w:rPr>
        <w:t>. K</w:t>
      </w:r>
      <w:r w:rsidR="00667D9B">
        <w:rPr>
          <w:rFonts w:asciiTheme="minorHAnsi" w:hAnsiTheme="minorHAnsi" w:cs="Calibri"/>
          <w:sz w:val="22"/>
          <w:szCs w:val="22"/>
        </w:rPr>
        <w:t>y</w:t>
      </w:r>
      <w:r>
        <w:rPr>
          <w:rFonts w:asciiTheme="minorHAnsi" w:hAnsiTheme="minorHAnsi" w:cs="Calibri"/>
          <w:sz w:val="22"/>
          <w:szCs w:val="22"/>
        </w:rPr>
        <w:t xml:space="preserve"> projekt përfshinë komponentet:</w:t>
      </w:r>
    </w:p>
    <w:p w:rsidR="003E56E4" w:rsidRDefault="003E56E4" w:rsidP="003E56E4">
      <w:pPr>
        <w:pStyle w:val="ListParagraph"/>
        <w:numPr>
          <w:ilvl w:val="0"/>
          <w:numId w:val="26"/>
        </w:numPr>
        <w:ind w:left="720"/>
        <w:contextualSpacing w:val="0"/>
        <w:jc w:val="both"/>
        <w:rPr>
          <w:rFonts w:asciiTheme="minorHAnsi" w:hAnsiTheme="minorHAnsi" w:cs="Calibri"/>
          <w:sz w:val="22"/>
          <w:szCs w:val="22"/>
        </w:rPr>
      </w:pPr>
      <w:r>
        <w:rPr>
          <w:rFonts w:asciiTheme="minorHAnsi" w:hAnsiTheme="minorHAnsi" w:cs="Calibri"/>
          <w:sz w:val="22"/>
          <w:szCs w:val="22"/>
        </w:rPr>
        <w:t xml:space="preserve">Rehabilitim i rrjetit dhe nënstacioneve termike; </w:t>
      </w:r>
    </w:p>
    <w:p w:rsidR="00667D9B" w:rsidRDefault="003E56E4" w:rsidP="003E56E4">
      <w:pPr>
        <w:pStyle w:val="ListParagraph"/>
        <w:numPr>
          <w:ilvl w:val="0"/>
          <w:numId w:val="26"/>
        </w:numPr>
        <w:ind w:left="720"/>
        <w:contextualSpacing w:val="0"/>
        <w:jc w:val="both"/>
        <w:rPr>
          <w:rFonts w:asciiTheme="minorHAnsi" w:hAnsiTheme="minorHAnsi" w:cs="Calibri"/>
          <w:sz w:val="22"/>
          <w:szCs w:val="22"/>
        </w:rPr>
      </w:pPr>
      <w:r>
        <w:rPr>
          <w:rFonts w:asciiTheme="minorHAnsi" w:hAnsiTheme="minorHAnsi" w:cs="Calibri"/>
          <w:sz w:val="22"/>
          <w:szCs w:val="22"/>
        </w:rPr>
        <w:t>Zgjerim i rrejtit dhe nënstacione të reja termike</w:t>
      </w:r>
      <w:r w:rsidR="00667D9B">
        <w:rPr>
          <w:rFonts w:asciiTheme="minorHAnsi" w:hAnsiTheme="minorHAnsi" w:cs="Calibri"/>
          <w:sz w:val="22"/>
          <w:szCs w:val="22"/>
        </w:rPr>
        <w:t>;</w:t>
      </w:r>
    </w:p>
    <w:p w:rsidR="00667D9B" w:rsidRDefault="00667D9B" w:rsidP="00667D9B">
      <w:pPr>
        <w:pStyle w:val="ListParagraph"/>
        <w:numPr>
          <w:ilvl w:val="0"/>
          <w:numId w:val="26"/>
        </w:numPr>
        <w:spacing w:after="120"/>
        <w:ind w:left="720"/>
        <w:contextualSpacing w:val="0"/>
        <w:jc w:val="both"/>
        <w:rPr>
          <w:rFonts w:asciiTheme="minorHAnsi" w:hAnsiTheme="minorHAnsi" w:cs="Calibri"/>
          <w:sz w:val="22"/>
          <w:szCs w:val="22"/>
        </w:rPr>
      </w:pPr>
      <w:r>
        <w:rPr>
          <w:rFonts w:asciiTheme="minorHAnsi" w:hAnsiTheme="minorHAnsi" w:cs="Calibri"/>
          <w:sz w:val="22"/>
          <w:szCs w:val="22"/>
        </w:rPr>
        <w:t>Ndërtimi i</w:t>
      </w:r>
      <w:r w:rsidR="003E56E4">
        <w:rPr>
          <w:rFonts w:asciiTheme="minorHAnsi" w:hAnsiTheme="minorHAnsi" w:cs="Calibri"/>
          <w:sz w:val="22"/>
          <w:szCs w:val="22"/>
        </w:rPr>
        <w:t xml:space="preserve"> </w:t>
      </w:r>
      <w:r>
        <w:rPr>
          <w:rFonts w:asciiTheme="minorHAnsi" w:hAnsiTheme="minorHAnsi" w:cs="Calibri"/>
          <w:sz w:val="22"/>
          <w:szCs w:val="22"/>
        </w:rPr>
        <w:t>Rezervuarëve të ngrohjes</w:t>
      </w:r>
      <w:r w:rsidR="00ED2628">
        <w:rPr>
          <w:rFonts w:asciiTheme="minorHAnsi" w:hAnsiTheme="minorHAnsi" w:cs="Calibri"/>
          <w:sz w:val="22"/>
          <w:szCs w:val="22"/>
        </w:rPr>
        <w:t>, si dhe pajisjeve të trajtimit kimik të ujit</w:t>
      </w:r>
      <w:r>
        <w:rPr>
          <w:rFonts w:asciiTheme="minorHAnsi" w:hAnsiTheme="minorHAnsi" w:cs="Calibri"/>
          <w:sz w:val="22"/>
          <w:szCs w:val="22"/>
        </w:rPr>
        <w:t xml:space="preserve">. </w:t>
      </w:r>
    </w:p>
    <w:p w:rsidR="00667D9B" w:rsidRDefault="00ED2628" w:rsidP="00ED2628">
      <w:pPr>
        <w:jc w:val="both"/>
        <w:rPr>
          <w:rFonts w:asciiTheme="minorHAnsi" w:hAnsiTheme="minorHAnsi" w:cs="Calibri"/>
          <w:sz w:val="22"/>
          <w:szCs w:val="22"/>
        </w:rPr>
      </w:pPr>
      <w:r>
        <w:rPr>
          <w:rFonts w:asciiTheme="minorHAnsi" w:hAnsiTheme="minorHAnsi" w:cs="Calibri"/>
          <w:sz w:val="22"/>
          <w:szCs w:val="22"/>
        </w:rPr>
        <w:t xml:space="preserve">Për </w:t>
      </w:r>
      <w:r w:rsidR="00667D9B">
        <w:rPr>
          <w:rFonts w:asciiTheme="minorHAnsi" w:hAnsiTheme="minorHAnsi" w:cs="Calibri"/>
          <w:sz w:val="22"/>
          <w:szCs w:val="22"/>
        </w:rPr>
        <w:t xml:space="preserve">komponentet e latë-përshkruara </w:t>
      </w:r>
      <w:r>
        <w:rPr>
          <w:rFonts w:asciiTheme="minorHAnsi" w:hAnsiTheme="minorHAnsi" w:cs="Calibri"/>
          <w:sz w:val="22"/>
          <w:szCs w:val="22"/>
        </w:rPr>
        <w:t xml:space="preserve">janë dhënë disa detaje paraprake, ku </w:t>
      </w:r>
      <w:r w:rsidR="00667D9B">
        <w:rPr>
          <w:rFonts w:asciiTheme="minorHAnsi" w:hAnsiTheme="minorHAnsi" w:cs="Calibri"/>
          <w:sz w:val="22"/>
          <w:szCs w:val="22"/>
        </w:rPr>
        <w:t xml:space="preserve">duhet theksuar </w:t>
      </w:r>
      <w:r>
        <w:rPr>
          <w:rFonts w:asciiTheme="minorHAnsi" w:hAnsiTheme="minorHAnsi" w:cs="Calibri"/>
          <w:sz w:val="22"/>
          <w:szCs w:val="22"/>
        </w:rPr>
        <w:t>se</w:t>
      </w:r>
      <w:r w:rsidR="00667D9B">
        <w:rPr>
          <w:rFonts w:asciiTheme="minorHAnsi" w:hAnsiTheme="minorHAnsi" w:cs="Calibri"/>
          <w:sz w:val="22"/>
          <w:szCs w:val="22"/>
        </w:rPr>
        <w:t xml:space="preserve"> aktualisht</w:t>
      </w:r>
      <w:r>
        <w:rPr>
          <w:rFonts w:asciiTheme="minorHAnsi" w:hAnsiTheme="minorHAnsi" w:cs="Calibri"/>
          <w:sz w:val="22"/>
          <w:szCs w:val="22"/>
        </w:rPr>
        <w:t xml:space="preserve"> projekti është në fazën e tenderimit për përzgjedhjen e kontraktorëve për ekzekutim të punimeve dhe mbikqyrje.  Pritet që përzgjedhja gjegjësisht </w:t>
      </w:r>
      <w:r w:rsidR="001576C0">
        <w:rPr>
          <w:rFonts w:asciiTheme="minorHAnsi" w:hAnsiTheme="minorHAnsi" w:cs="Calibri"/>
          <w:sz w:val="22"/>
          <w:szCs w:val="22"/>
        </w:rPr>
        <w:t>dhënja e kontratës të përfundoj gjer në dhjetor 2020 ku pastaj fillohet me fazën e dizajnimit (projektimit) detal dhe furnizimi (blerje të materialeve), ndërsa punimet ndërtimore dhe instaluese të fillojnë në prill 2021. Përndryshe, sipas planit implementues të projektit planifikohet që punimet të përfundojnë tërësisht në tetor 2022.</w:t>
      </w:r>
      <w:r w:rsidR="00667D9B">
        <w:rPr>
          <w:rFonts w:asciiTheme="minorHAnsi" w:hAnsiTheme="minorHAnsi" w:cs="Calibri"/>
          <w:sz w:val="22"/>
          <w:szCs w:val="22"/>
        </w:rPr>
        <w:t xml:space="preserve"> </w:t>
      </w:r>
    </w:p>
    <w:p w:rsidR="00667D9B" w:rsidRDefault="00667D9B" w:rsidP="00667D9B">
      <w:pPr>
        <w:ind w:left="360"/>
        <w:jc w:val="both"/>
        <w:rPr>
          <w:rFonts w:asciiTheme="minorHAnsi" w:hAnsiTheme="minorHAnsi" w:cs="Calibri"/>
          <w:sz w:val="22"/>
          <w:szCs w:val="22"/>
        </w:rPr>
      </w:pPr>
      <w:r>
        <w:rPr>
          <w:rFonts w:asciiTheme="minorHAnsi" w:hAnsiTheme="minorHAnsi" w:cs="Calibri"/>
          <w:sz w:val="22"/>
          <w:szCs w:val="22"/>
        </w:rPr>
        <w:t xml:space="preserve"> </w:t>
      </w:r>
    </w:p>
    <w:p w:rsidR="00E807F8" w:rsidRDefault="001576C0" w:rsidP="007E6998">
      <w:pPr>
        <w:jc w:val="both"/>
        <w:rPr>
          <w:rFonts w:asciiTheme="minorHAnsi" w:hAnsiTheme="minorHAnsi" w:cs="Calibri"/>
          <w:b/>
          <w:sz w:val="22"/>
          <w:szCs w:val="22"/>
        </w:rPr>
      </w:pPr>
      <w:r>
        <w:rPr>
          <w:rFonts w:asciiTheme="minorHAnsi" w:hAnsiTheme="minorHAnsi" w:cs="Calibri"/>
          <w:sz w:val="22"/>
          <w:szCs w:val="22"/>
        </w:rPr>
        <w:t>Në përputhje me planinin implementimit, g</w:t>
      </w:r>
      <w:r w:rsidR="00667D9B">
        <w:rPr>
          <w:rFonts w:asciiTheme="minorHAnsi" w:hAnsiTheme="minorHAnsi" w:cs="Calibri"/>
          <w:sz w:val="22"/>
          <w:szCs w:val="22"/>
        </w:rPr>
        <w:t xml:space="preserve">jatë periudhës së shqyrtimit tarifor planifikohet realizimi i punimeve në vlerë prej </w:t>
      </w:r>
      <w:r w:rsidRPr="001576C0">
        <w:rPr>
          <w:rFonts w:asciiTheme="minorHAnsi" w:hAnsiTheme="minorHAnsi" w:cs="Calibri"/>
          <w:b/>
          <w:sz w:val="22"/>
          <w:szCs w:val="22"/>
        </w:rPr>
        <w:t>5</w:t>
      </w:r>
      <w:r w:rsidR="00667D9B" w:rsidRPr="00F5721A">
        <w:rPr>
          <w:rFonts w:asciiTheme="minorHAnsi" w:hAnsiTheme="minorHAnsi" w:cs="Calibri"/>
          <w:b/>
          <w:sz w:val="22"/>
          <w:szCs w:val="22"/>
        </w:rPr>
        <w:t>.5 mil. €.</w:t>
      </w:r>
    </w:p>
    <w:p w:rsidR="007E6998" w:rsidRPr="00667D9B" w:rsidRDefault="007E6998" w:rsidP="007E6998">
      <w:pPr>
        <w:jc w:val="both"/>
        <w:rPr>
          <w:rFonts w:asciiTheme="minorHAnsi" w:hAnsiTheme="minorHAnsi" w:cs="Calibri"/>
          <w:sz w:val="22"/>
          <w:szCs w:val="22"/>
        </w:rPr>
      </w:pPr>
    </w:p>
    <w:p w:rsidR="001823C2" w:rsidRPr="001823C2" w:rsidRDefault="00667D9B" w:rsidP="007E6998">
      <w:pPr>
        <w:pStyle w:val="ListParagraph"/>
        <w:numPr>
          <w:ilvl w:val="0"/>
          <w:numId w:val="27"/>
        </w:numPr>
        <w:spacing w:after="120"/>
        <w:ind w:left="270" w:hanging="270"/>
        <w:jc w:val="both"/>
        <w:rPr>
          <w:rFonts w:asciiTheme="minorHAnsi" w:hAnsiTheme="minorHAnsi" w:cstheme="minorHAnsi"/>
          <w:sz w:val="22"/>
          <w:szCs w:val="22"/>
        </w:rPr>
      </w:pPr>
      <w:r w:rsidRPr="001823C2">
        <w:rPr>
          <w:rFonts w:asciiTheme="minorHAnsi" w:hAnsiTheme="minorHAnsi" w:cs="Calibri"/>
          <w:sz w:val="22"/>
          <w:szCs w:val="22"/>
        </w:rPr>
        <w:t>Projekti i MCC</w:t>
      </w:r>
      <w:r w:rsidR="00DD31C6">
        <w:rPr>
          <w:rFonts w:asciiTheme="minorHAnsi" w:hAnsiTheme="minorHAnsi" w:cs="Calibri"/>
          <w:sz w:val="22"/>
          <w:szCs w:val="22"/>
        </w:rPr>
        <w:t>:</w:t>
      </w:r>
      <w:r w:rsidRPr="001823C2">
        <w:rPr>
          <w:rFonts w:asciiTheme="minorHAnsi" w:hAnsiTheme="minorHAnsi" w:cs="Calibri"/>
          <w:sz w:val="22"/>
          <w:szCs w:val="22"/>
        </w:rPr>
        <w:t xml:space="preserve"> </w:t>
      </w:r>
      <w:r w:rsidR="00DD31C6">
        <w:rPr>
          <w:rFonts w:asciiTheme="minorHAnsi" w:hAnsiTheme="minorHAnsi" w:cs="Calibri"/>
          <w:sz w:val="22"/>
          <w:szCs w:val="22"/>
        </w:rPr>
        <w:t>Instalimi</w:t>
      </w:r>
      <w:r w:rsidRPr="001823C2">
        <w:rPr>
          <w:rFonts w:asciiTheme="minorHAnsi" w:hAnsiTheme="minorHAnsi" w:cs="Calibri"/>
          <w:sz w:val="22"/>
          <w:szCs w:val="22"/>
        </w:rPr>
        <w:t xml:space="preserve"> </w:t>
      </w:r>
      <w:r w:rsidR="00DD31C6">
        <w:rPr>
          <w:rFonts w:asciiTheme="minorHAnsi" w:hAnsiTheme="minorHAnsi" w:cs="Calibri"/>
          <w:sz w:val="22"/>
          <w:szCs w:val="22"/>
        </w:rPr>
        <w:t>i</w:t>
      </w:r>
      <w:r w:rsidRPr="001823C2">
        <w:rPr>
          <w:rFonts w:asciiTheme="minorHAnsi" w:hAnsiTheme="minorHAnsi" w:cs="Calibri"/>
          <w:sz w:val="22"/>
          <w:szCs w:val="22"/>
        </w:rPr>
        <w:t xml:space="preserve"> matësve të energjisë termike</w:t>
      </w:r>
      <w:r w:rsidR="001823C2" w:rsidRPr="001823C2">
        <w:rPr>
          <w:rFonts w:asciiTheme="minorHAnsi" w:hAnsiTheme="minorHAnsi" w:cs="Calibri"/>
          <w:sz w:val="22"/>
          <w:szCs w:val="22"/>
        </w:rPr>
        <w:t xml:space="preserve"> - </w:t>
      </w:r>
      <w:r w:rsidR="001823C2" w:rsidRPr="001823C2">
        <w:rPr>
          <w:rFonts w:asciiTheme="minorHAnsi" w:hAnsiTheme="minorHAnsi" w:cstheme="minorHAnsi"/>
          <w:sz w:val="22"/>
          <w:szCs w:val="22"/>
        </w:rPr>
        <w:t>Ky projekt në vlerë të paraparë prej 10.9 mil $, si donancion nga MCC – SHBA, përmban:</w:t>
      </w:r>
    </w:p>
    <w:p w:rsidR="001823C2" w:rsidRPr="001823C2" w:rsidRDefault="001823C2" w:rsidP="001823C2">
      <w:pPr>
        <w:pStyle w:val="ListParagraph"/>
        <w:numPr>
          <w:ilvl w:val="0"/>
          <w:numId w:val="29"/>
        </w:numPr>
        <w:spacing w:after="200" w:line="276" w:lineRule="auto"/>
        <w:jc w:val="both"/>
        <w:rPr>
          <w:rFonts w:asciiTheme="minorHAnsi" w:hAnsiTheme="minorHAnsi" w:cstheme="minorHAnsi"/>
          <w:sz w:val="22"/>
          <w:szCs w:val="22"/>
        </w:rPr>
      </w:pPr>
      <w:r w:rsidRPr="001823C2">
        <w:rPr>
          <w:rFonts w:asciiTheme="minorHAnsi" w:hAnsiTheme="minorHAnsi" w:cstheme="minorHAnsi"/>
          <w:sz w:val="22"/>
          <w:szCs w:val="22"/>
        </w:rPr>
        <w:t>Instalimin e matësve individual të energjisë termike respektivisht alokatorëve të nxehtësisë;</w:t>
      </w:r>
    </w:p>
    <w:p w:rsidR="001823C2" w:rsidRPr="001823C2" w:rsidRDefault="001823C2" w:rsidP="001823C2">
      <w:pPr>
        <w:pStyle w:val="ListParagraph"/>
        <w:numPr>
          <w:ilvl w:val="0"/>
          <w:numId w:val="29"/>
        </w:numPr>
        <w:spacing w:after="200" w:line="276" w:lineRule="auto"/>
        <w:jc w:val="both"/>
        <w:rPr>
          <w:rFonts w:asciiTheme="minorHAnsi" w:hAnsiTheme="minorHAnsi" w:cstheme="minorHAnsi"/>
          <w:sz w:val="22"/>
          <w:szCs w:val="22"/>
        </w:rPr>
      </w:pPr>
      <w:r w:rsidRPr="001823C2">
        <w:rPr>
          <w:rFonts w:asciiTheme="minorHAnsi" w:hAnsiTheme="minorHAnsi" w:cstheme="minorHAnsi"/>
          <w:sz w:val="22"/>
          <w:szCs w:val="22"/>
        </w:rPr>
        <w:t>Instalimin e valvulave termostatike dhe pompave qarkulluese;</w:t>
      </w:r>
    </w:p>
    <w:p w:rsidR="001823C2" w:rsidRPr="001823C2" w:rsidRDefault="001823C2" w:rsidP="001823C2">
      <w:pPr>
        <w:pStyle w:val="ListParagraph"/>
        <w:numPr>
          <w:ilvl w:val="0"/>
          <w:numId w:val="29"/>
        </w:numPr>
        <w:spacing w:after="200" w:line="276" w:lineRule="auto"/>
        <w:jc w:val="both"/>
        <w:rPr>
          <w:rFonts w:asciiTheme="minorHAnsi" w:hAnsiTheme="minorHAnsi" w:cstheme="minorHAnsi"/>
          <w:sz w:val="22"/>
          <w:szCs w:val="22"/>
        </w:rPr>
      </w:pPr>
      <w:r w:rsidRPr="001823C2">
        <w:rPr>
          <w:rFonts w:asciiTheme="minorHAnsi" w:hAnsiTheme="minorHAnsi" w:cstheme="minorHAnsi"/>
          <w:sz w:val="22"/>
          <w:szCs w:val="22"/>
        </w:rPr>
        <w:t>Zhvillimin e softverit për faturim dhe lexim të konsumit të energjisë termike;</w:t>
      </w:r>
    </w:p>
    <w:p w:rsidR="001823C2" w:rsidRDefault="001823C2" w:rsidP="001823C2">
      <w:pPr>
        <w:pStyle w:val="ListParagraph"/>
        <w:numPr>
          <w:ilvl w:val="0"/>
          <w:numId w:val="29"/>
        </w:numPr>
        <w:spacing w:after="200" w:line="276" w:lineRule="auto"/>
        <w:jc w:val="both"/>
        <w:rPr>
          <w:rFonts w:asciiTheme="minorHAnsi" w:hAnsiTheme="minorHAnsi" w:cstheme="minorHAnsi"/>
          <w:sz w:val="22"/>
          <w:szCs w:val="22"/>
        </w:rPr>
      </w:pPr>
      <w:r w:rsidRPr="001823C2">
        <w:rPr>
          <w:rFonts w:asciiTheme="minorHAnsi" w:hAnsiTheme="minorHAnsi" w:cstheme="minorHAnsi"/>
          <w:sz w:val="22"/>
          <w:szCs w:val="22"/>
        </w:rPr>
        <w:t>Asistencë në përmirësimin e shërbimeve të faturimit bazuar në konsumin e matur.</w:t>
      </w:r>
    </w:p>
    <w:p w:rsidR="001823C2" w:rsidRPr="00E02821" w:rsidRDefault="00277C1B" w:rsidP="00277C1B">
      <w:pPr>
        <w:spacing w:after="200" w:line="276" w:lineRule="auto"/>
        <w:jc w:val="both"/>
        <w:rPr>
          <w:rFonts w:asciiTheme="minorHAnsi" w:hAnsiTheme="minorHAnsi" w:cstheme="minorHAnsi"/>
          <w:sz w:val="22"/>
          <w:szCs w:val="22"/>
        </w:rPr>
      </w:pPr>
      <w:r>
        <w:rPr>
          <w:rFonts w:asciiTheme="minorHAnsi" w:hAnsiTheme="minorHAnsi" w:cstheme="minorHAnsi"/>
          <w:sz w:val="22"/>
          <w:szCs w:val="22"/>
        </w:rPr>
        <w:t>Duke u bazuar në planin e zbatimit të projektit,  p</w:t>
      </w:r>
      <w:r w:rsidR="00E02821">
        <w:rPr>
          <w:rFonts w:asciiTheme="minorHAnsi" w:hAnsiTheme="minorHAnsi" w:cstheme="minorHAnsi"/>
          <w:sz w:val="22"/>
          <w:szCs w:val="22"/>
        </w:rPr>
        <w:t xml:space="preserve">lanifikohet që gjatë periudhës së shqyrtimit tariforë punimet të realizohet në vlerën </w:t>
      </w:r>
      <w:r w:rsidR="00E02821" w:rsidRPr="00F5721A">
        <w:rPr>
          <w:rFonts w:asciiTheme="minorHAnsi" w:hAnsiTheme="minorHAnsi" w:cstheme="minorHAnsi"/>
          <w:b/>
          <w:sz w:val="22"/>
          <w:szCs w:val="22"/>
        </w:rPr>
        <w:t>1.5 mil.€.</w:t>
      </w:r>
      <w:r w:rsidR="00E02821">
        <w:rPr>
          <w:rFonts w:asciiTheme="minorHAnsi" w:hAnsiTheme="minorHAnsi" w:cstheme="minorHAnsi"/>
          <w:sz w:val="22"/>
          <w:szCs w:val="22"/>
        </w:rPr>
        <w:t xml:space="preserve"> </w:t>
      </w:r>
      <w:r w:rsidR="001823C2" w:rsidRPr="00E02821">
        <w:rPr>
          <w:rFonts w:asciiTheme="minorHAnsi" w:hAnsiTheme="minorHAnsi" w:cstheme="minorHAnsi"/>
          <w:sz w:val="22"/>
          <w:szCs w:val="22"/>
        </w:rPr>
        <w:t xml:space="preserve"> </w:t>
      </w:r>
    </w:p>
    <w:p w:rsidR="00F5721A" w:rsidRPr="00F5721A" w:rsidRDefault="00F5721A" w:rsidP="00E807F8">
      <w:pPr>
        <w:jc w:val="both"/>
        <w:rPr>
          <w:rFonts w:asciiTheme="minorHAnsi" w:hAnsiTheme="minorHAnsi" w:cs="Calibri"/>
          <w:sz w:val="22"/>
          <w:szCs w:val="22"/>
          <w:u w:val="single"/>
        </w:rPr>
      </w:pPr>
      <w:r w:rsidRPr="00F5721A">
        <w:rPr>
          <w:rFonts w:asciiTheme="minorHAnsi" w:hAnsiTheme="minorHAnsi" w:cs="Calibri"/>
          <w:sz w:val="22"/>
          <w:szCs w:val="22"/>
          <w:u w:val="single"/>
        </w:rPr>
        <w:t>Investimet me vet-financim</w:t>
      </w:r>
    </w:p>
    <w:p w:rsidR="00F5721A" w:rsidRDefault="00F5721A" w:rsidP="00E807F8">
      <w:pPr>
        <w:jc w:val="both"/>
        <w:rPr>
          <w:rFonts w:asciiTheme="minorHAnsi" w:hAnsiTheme="minorHAnsi" w:cs="Calibri"/>
          <w:sz w:val="22"/>
          <w:szCs w:val="22"/>
        </w:rPr>
      </w:pPr>
    </w:p>
    <w:p w:rsidR="00E807F8" w:rsidRPr="00E84532" w:rsidRDefault="00E807F8" w:rsidP="00E807F8">
      <w:pPr>
        <w:jc w:val="both"/>
        <w:rPr>
          <w:rFonts w:asciiTheme="minorHAnsi" w:hAnsiTheme="minorHAnsi" w:cs="Calibri"/>
          <w:sz w:val="22"/>
          <w:szCs w:val="22"/>
        </w:rPr>
      </w:pPr>
      <w:r w:rsidRPr="00E84532">
        <w:rPr>
          <w:rFonts w:asciiTheme="minorHAnsi" w:hAnsiTheme="minorHAnsi" w:cs="Calibri"/>
          <w:sz w:val="22"/>
          <w:szCs w:val="22"/>
        </w:rPr>
        <w:t>Siç u përmend më lartë, NQ Termokos planifikon edhe investime me financim vetanak</w:t>
      </w:r>
      <w:r w:rsidR="009E6CB6">
        <w:rPr>
          <w:rFonts w:asciiTheme="minorHAnsi" w:hAnsiTheme="minorHAnsi" w:cs="Calibri"/>
          <w:sz w:val="22"/>
          <w:szCs w:val="22"/>
        </w:rPr>
        <w:t xml:space="preserve">, ku ka paraqitur investime me vetëfinancim </w:t>
      </w:r>
      <w:r w:rsidRPr="00E84532">
        <w:rPr>
          <w:rFonts w:asciiTheme="minorHAnsi" w:hAnsiTheme="minorHAnsi" w:cs="Calibri"/>
          <w:sz w:val="22"/>
          <w:szCs w:val="22"/>
        </w:rPr>
        <w:t xml:space="preserve"> në vlerë totale prej </w:t>
      </w:r>
      <w:r w:rsidR="009E6CB6">
        <w:rPr>
          <w:rFonts w:asciiTheme="minorHAnsi" w:hAnsiTheme="minorHAnsi" w:cs="Calibri"/>
          <w:b/>
          <w:sz w:val="22"/>
          <w:szCs w:val="22"/>
        </w:rPr>
        <w:t>2</w:t>
      </w:r>
      <w:r w:rsidR="00DD31C6">
        <w:rPr>
          <w:rFonts w:asciiTheme="minorHAnsi" w:hAnsiTheme="minorHAnsi" w:cs="Calibri"/>
          <w:b/>
          <w:sz w:val="22"/>
          <w:szCs w:val="22"/>
        </w:rPr>
        <w:t>,</w:t>
      </w:r>
      <w:r w:rsidR="009E6CB6">
        <w:rPr>
          <w:rFonts w:asciiTheme="minorHAnsi" w:hAnsiTheme="minorHAnsi" w:cs="Calibri"/>
          <w:b/>
          <w:sz w:val="22"/>
          <w:szCs w:val="22"/>
        </w:rPr>
        <w:t>2</w:t>
      </w:r>
      <w:r w:rsidR="00DD31C6">
        <w:rPr>
          <w:rFonts w:asciiTheme="minorHAnsi" w:hAnsiTheme="minorHAnsi" w:cs="Calibri"/>
          <w:b/>
          <w:sz w:val="22"/>
          <w:szCs w:val="22"/>
        </w:rPr>
        <w:t>8</w:t>
      </w:r>
      <w:r w:rsidR="009E6CB6">
        <w:rPr>
          <w:rFonts w:asciiTheme="minorHAnsi" w:hAnsiTheme="minorHAnsi" w:cs="Calibri"/>
          <w:b/>
          <w:sz w:val="22"/>
          <w:szCs w:val="22"/>
        </w:rPr>
        <w:t>2</w:t>
      </w:r>
      <w:r w:rsidRPr="00E84532">
        <w:rPr>
          <w:rFonts w:asciiTheme="minorHAnsi" w:hAnsiTheme="minorHAnsi" w:cs="Calibri"/>
          <w:b/>
          <w:sz w:val="22"/>
          <w:szCs w:val="22"/>
        </w:rPr>
        <w:t>,000 €</w:t>
      </w:r>
      <w:r w:rsidRPr="00E84532">
        <w:rPr>
          <w:rFonts w:asciiTheme="minorHAnsi" w:hAnsiTheme="minorHAnsi" w:cs="Calibri"/>
          <w:sz w:val="22"/>
          <w:szCs w:val="22"/>
        </w:rPr>
        <w:t xml:space="preserve">; nga këto investime vetanake një pjesë janë në kuadër të projekteve rehabilituese të </w:t>
      </w:r>
      <w:r w:rsidR="00F2300E" w:rsidRPr="00E84532">
        <w:rPr>
          <w:rFonts w:asciiTheme="minorHAnsi" w:hAnsiTheme="minorHAnsi" w:cs="Calibri"/>
          <w:sz w:val="22"/>
          <w:szCs w:val="22"/>
        </w:rPr>
        <w:t>lartpërmendura</w:t>
      </w:r>
      <w:r w:rsidRPr="00E84532">
        <w:rPr>
          <w:rFonts w:asciiTheme="minorHAnsi" w:hAnsiTheme="minorHAnsi" w:cs="Calibri"/>
          <w:sz w:val="22"/>
          <w:szCs w:val="22"/>
        </w:rPr>
        <w:t xml:space="preserve"> ndërsa pjesa </w:t>
      </w:r>
      <w:r w:rsidR="00F2300E" w:rsidRPr="00E84532">
        <w:rPr>
          <w:rFonts w:asciiTheme="minorHAnsi" w:hAnsiTheme="minorHAnsi" w:cs="Calibri"/>
          <w:sz w:val="22"/>
          <w:szCs w:val="22"/>
        </w:rPr>
        <w:t>tjetër</w:t>
      </w:r>
      <w:r w:rsidRPr="00E84532">
        <w:rPr>
          <w:rFonts w:asciiTheme="minorHAnsi" w:hAnsiTheme="minorHAnsi" w:cs="Calibri"/>
          <w:sz w:val="22"/>
          <w:szCs w:val="22"/>
        </w:rPr>
        <w:t xml:space="preserve"> janë investime individuale – detajet në vijim:</w:t>
      </w:r>
    </w:p>
    <w:p w:rsidR="00E807F8" w:rsidRPr="00E84532" w:rsidRDefault="00E807F8" w:rsidP="00E807F8">
      <w:pPr>
        <w:jc w:val="both"/>
        <w:rPr>
          <w:rFonts w:asciiTheme="minorHAnsi" w:hAnsiTheme="minorHAnsi" w:cs="Calibri"/>
          <w:sz w:val="22"/>
          <w:szCs w:val="22"/>
        </w:rPr>
      </w:pPr>
    </w:p>
    <w:p w:rsidR="00E807F8" w:rsidRPr="00E84532" w:rsidRDefault="00E807F8" w:rsidP="00F23C29">
      <w:pPr>
        <w:pStyle w:val="ListParagraph"/>
        <w:numPr>
          <w:ilvl w:val="0"/>
          <w:numId w:val="6"/>
        </w:numPr>
        <w:tabs>
          <w:tab w:val="clear" w:pos="720"/>
          <w:tab w:val="num" w:pos="360"/>
        </w:tabs>
        <w:ind w:left="360"/>
        <w:contextualSpacing w:val="0"/>
        <w:jc w:val="both"/>
        <w:rPr>
          <w:rFonts w:asciiTheme="minorHAnsi" w:hAnsiTheme="minorHAnsi" w:cs="Calibri"/>
          <w:sz w:val="22"/>
          <w:szCs w:val="22"/>
        </w:rPr>
      </w:pPr>
      <w:r w:rsidRPr="00E84532">
        <w:rPr>
          <w:rFonts w:asciiTheme="minorHAnsi" w:hAnsiTheme="minorHAnsi" w:cs="Calibri"/>
          <w:sz w:val="22"/>
          <w:szCs w:val="22"/>
        </w:rPr>
        <w:t>Rehabilitim të rrjetit dhe paj</w:t>
      </w:r>
      <w:r w:rsidR="009E6CB6">
        <w:rPr>
          <w:rFonts w:asciiTheme="minorHAnsi" w:hAnsiTheme="minorHAnsi" w:cs="Calibri"/>
          <w:sz w:val="22"/>
          <w:szCs w:val="22"/>
        </w:rPr>
        <w:t>isjeve përkatëse në vlerë prej 630</w:t>
      </w:r>
      <w:r w:rsidRPr="00E84532">
        <w:rPr>
          <w:rFonts w:asciiTheme="minorHAnsi" w:hAnsiTheme="minorHAnsi" w:cs="Calibri"/>
          <w:sz w:val="22"/>
          <w:szCs w:val="22"/>
        </w:rPr>
        <w:t xml:space="preserve">,000 €; </w:t>
      </w:r>
    </w:p>
    <w:p w:rsidR="00E807F8" w:rsidRPr="00E84532" w:rsidRDefault="00E807F8" w:rsidP="00F23C29">
      <w:pPr>
        <w:pStyle w:val="ListParagraph"/>
        <w:numPr>
          <w:ilvl w:val="0"/>
          <w:numId w:val="6"/>
        </w:numPr>
        <w:tabs>
          <w:tab w:val="clear" w:pos="720"/>
          <w:tab w:val="num" w:pos="360"/>
        </w:tabs>
        <w:ind w:left="360"/>
        <w:contextualSpacing w:val="0"/>
        <w:jc w:val="both"/>
        <w:rPr>
          <w:rFonts w:asciiTheme="minorHAnsi" w:hAnsiTheme="minorHAnsi" w:cs="Calibri"/>
          <w:sz w:val="22"/>
          <w:szCs w:val="22"/>
        </w:rPr>
      </w:pPr>
      <w:r w:rsidRPr="00E84532">
        <w:rPr>
          <w:rFonts w:asciiTheme="minorHAnsi" w:hAnsiTheme="minorHAnsi" w:cs="Calibri"/>
          <w:sz w:val="22"/>
          <w:szCs w:val="22"/>
        </w:rPr>
        <w:t xml:space="preserve">Pajisje të impianteve </w:t>
      </w:r>
      <w:r w:rsidR="009E6CB6">
        <w:rPr>
          <w:rFonts w:asciiTheme="minorHAnsi" w:hAnsiTheme="minorHAnsi" w:cs="Calibri"/>
          <w:sz w:val="22"/>
          <w:szCs w:val="22"/>
        </w:rPr>
        <w:t xml:space="preserve">të prodhimit respektivisht Stacioneve të ekstraktimit dhe pranimit të energjisë termike </w:t>
      </w:r>
      <w:r w:rsidR="006F3EC4">
        <w:rPr>
          <w:rFonts w:asciiTheme="minorHAnsi" w:hAnsiTheme="minorHAnsi" w:cs="Calibri"/>
          <w:sz w:val="22"/>
          <w:szCs w:val="22"/>
        </w:rPr>
        <w:t xml:space="preserve">(HES dhe HRS) </w:t>
      </w:r>
      <w:r w:rsidRPr="00E84532">
        <w:rPr>
          <w:rFonts w:asciiTheme="minorHAnsi" w:hAnsiTheme="minorHAnsi" w:cs="Calibri"/>
          <w:sz w:val="22"/>
          <w:szCs w:val="22"/>
        </w:rPr>
        <w:t xml:space="preserve">në vlerë </w:t>
      </w:r>
      <w:r w:rsidR="00E04DA8">
        <w:rPr>
          <w:rFonts w:asciiTheme="minorHAnsi" w:hAnsiTheme="minorHAnsi" w:cs="Calibri"/>
          <w:sz w:val="22"/>
          <w:szCs w:val="22"/>
        </w:rPr>
        <w:t>2</w:t>
      </w:r>
      <w:r w:rsidR="001A3657">
        <w:rPr>
          <w:rFonts w:asciiTheme="minorHAnsi" w:hAnsiTheme="minorHAnsi" w:cs="Calibri"/>
          <w:sz w:val="22"/>
          <w:szCs w:val="22"/>
        </w:rPr>
        <w:t>57</w:t>
      </w:r>
      <w:r w:rsidRPr="00E84532">
        <w:rPr>
          <w:rFonts w:asciiTheme="minorHAnsi" w:hAnsiTheme="minorHAnsi" w:cs="Calibri"/>
          <w:sz w:val="22"/>
          <w:szCs w:val="22"/>
        </w:rPr>
        <w:t xml:space="preserve">,000 €; </w:t>
      </w:r>
    </w:p>
    <w:p w:rsidR="00E807F8" w:rsidRPr="00E84532" w:rsidRDefault="00E807F8" w:rsidP="00F23C29">
      <w:pPr>
        <w:pStyle w:val="ListParagraph"/>
        <w:numPr>
          <w:ilvl w:val="0"/>
          <w:numId w:val="6"/>
        </w:numPr>
        <w:tabs>
          <w:tab w:val="clear" w:pos="720"/>
          <w:tab w:val="num" w:pos="360"/>
        </w:tabs>
        <w:ind w:left="360"/>
        <w:contextualSpacing w:val="0"/>
        <w:jc w:val="both"/>
        <w:rPr>
          <w:rFonts w:asciiTheme="minorHAnsi" w:hAnsiTheme="minorHAnsi" w:cs="Calibri"/>
          <w:sz w:val="22"/>
          <w:szCs w:val="22"/>
        </w:rPr>
      </w:pPr>
      <w:r w:rsidRPr="00E84532">
        <w:rPr>
          <w:rFonts w:asciiTheme="minorHAnsi" w:hAnsiTheme="minorHAnsi" w:cs="Calibri"/>
          <w:sz w:val="22"/>
          <w:szCs w:val="22"/>
        </w:rPr>
        <w:t xml:space="preserve">Ndërtimi i Ndërtesës së Drejtorisë dhe Administratës në vlerë prej </w:t>
      </w:r>
      <w:r w:rsidR="009E6CB6">
        <w:rPr>
          <w:rFonts w:asciiTheme="minorHAnsi" w:hAnsiTheme="minorHAnsi" w:cs="Calibri"/>
          <w:sz w:val="22"/>
          <w:szCs w:val="22"/>
        </w:rPr>
        <w:t>1,350,</w:t>
      </w:r>
      <w:r w:rsidRPr="00E84532">
        <w:rPr>
          <w:rFonts w:asciiTheme="minorHAnsi" w:hAnsiTheme="minorHAnsi" w:cs="Calibri"/>
          <w:sz w:val="22"/>
          <w:szCs w:val="22"/>
        </w:rPr>
        <w:t>000 €; dhe</w:t>
      </w:r>
    </w:p>
    <w:p w:rsidR="00E807F8" w:rsidRPr="00277C1B" w:rsidRDefault="00E04DA8" w:rsidP="00277C1B">
      <w:pPr>
        <w:pStyle w:val="ListParagraph"/>
        <w:numPr>
          <w:ilvl w:val="0"/>
          <w:numId w:val="6"/>
        </w:numPr>
        <w:tabs>
          <w:tab w:val="clear" w:pos="720"/>
          <w:tab w:val="num" w:pos="360"/>
        </w:tabs>
        <w:ind w:left="360"/>
        <w:contextualSpacing w:val="0"/>
        <w:jc w:val="both"/>
        <w:rPr>
          <w:rFonts w:asciiTheme="minorHAnsi" w:hAnsiTheme="minorHAnsi" w:cs="Calibri"/>
          <w:sz w:val="22"/>
          <w:szCs w:val="22"/>
        </w:rPr>
      </w:pPr>
      <w:r>
        <w:rPr>
          <w:rFonts w:asciiTheme="minorHAnsi" w:hAnsiTheme="minorHAnsi" w:cs="Calibri"/>
          <w:sz w:val="22"/>
          <w:szCs w:val="22"/>
        </w:rPr>
        <w:t xml:space="preserve">Pajisje kompjuterike dhe </w:t>
      </w:r>
      <w:r w:rsidR="00E807F8" w:rsidRPr="00E84532">
        <w:rPr>
          <w:rFonts w:asciiTheme="minorHAnsi" w:hAnsiTheme="minorHAnsi" w:cs="Calibri"/>
          <w:sz w:val="22"/>
          <w:szCs w:val="22"/>
        </w:rPr>
        <w:t xml:space="preserve">program kompjuterike në vlerë </w:t>
      </w:r>
      <w:r w:rsidR="009E6CB6">
        <w:rPr>
          <w:rFonts w:asciiTheme="minorHAnsi" w:hAnsiTheme="minorHAnsi" w:cs="Calibri"/>
          <w:sz w:val="22"/>
          <w:szCs w:val="22"/>
        </w:rPr>
        <w:t>45</w:t>
      </w:r>
      <w:r w:rsidR="00E807F8" w:rsidRPr="00E84532">
        <w:rPr>
          <w:rFonts w:asciiTheme="minorHAnsi" w:hAnsiTheme="minorHAnsi" w:cs="Calibri"/>
          <w:sz w:val="22"/>
          <w:szCs w:val="22"/>
        </w:rPr>
        <w:t xml:space="preserve">,000 €.    </w:t>
      </w:r>
    </w:p>
    <w:p w:rsidR="002021F3" w:rsidRDefault="002021F3" w:rsidP="00E807F8">
      <w:pPr>
        <w:jc w:val="both"/>
        <w:rPr>
          <w:rFonts w:asciiTheme="minorHAnsi" w:hAnsiTheme="minorHAnsi" w:cs="Calibri"/>
          <w:sz w:val="22"/>
          <w:szCs w:val="22"/>
          <w:u w:val="single"/>
        </w:rPr>
      </w:pPr>
    </w:p>
    <w:p w:rsidR="00E807F8" w:rsidRPr="00E84532" w:rsidRDefault="00E807F8" w:rsidP="00E807F8">
      <w:pPr>
        <w:jc w:val="both"/>
        <w:rPr>
          <w:rFonts w:asciiTheme="minorHAnsi" w:hAnsiTheme="minorHAnsi" w:cs="Calibri"/>
          <w:sz w:val="22"/>
          <w:szCs w:val="22"/>
          <w:u w:val="single"/>
        </w:rPr>
      </w:pPr>
      <w:r w:rsidRPr="00E84532">
        <w:rPr>
          <w:rFonts w:asciiTheme="minorHAnsi" w:hAnsiTheme="minorHAnsi" w:cs="Calibri"/>
          <w:sz w:val="22"/>
          <w:szCs w:val="22"/>
          <w:u w:val="single"/>
        </w:rPr>
        <w:lastRenderedPageBreak/>
        <w:t xml:space="preserve">Përmbledhje e Investimeve të reja të lejuara </w:t>
      </w:r>
    </w:p>
    <w:p w:rsidR="00E807F8" w:rsidRPr="00E84532" w:rsidRDefault="00E807F8" w:rsidP="00E807F8">
      <w:pPr>
        <w:jc w:val="both"/>
        <w:rPr>
          <w:rFonts w:asciiTheme="minorHAnsi" w:hAnsiTheme="minorHAnsi" w:cs="Calibri"/>
          <w:sz w:val="22"/>
          <w:szCs w:val="22"/>
        </w:rPr>
      </w:pPr>
    </w:p>
    <w:p w:rsidR="001A3657" w:rsidRPr="001A3657" w:rsidRDefault="001A3657" w:rsidP="00E807F8">
      <w:pPr>
        <w:jc w:val="both"/>
        <w:rPr>
          <w:rFonts w:asciiTheme="minorHAnsi" w:hAnsiTheme="minorHAnsi" w:cs="Calibri"/>
          <w:b/>
          <w:sz w:val="22"/>
          <w:szCs w:val="22"/>
        </w:rPr>
      </w:pPr>
      <w:r w:rsidRPr="001A3657">
        <w:rPr>
          <w:rFonts w:asciiTheme="minorHAnsi" w:hAnsiTheme="minorHAnsi" w:cs="Calibri"/>
          <w:b/>
          <w:sz w:val="22"/>
          <w:szCs w:val="22"/>
        </w:rPr>
        <w:t>Investimet nga donacionet</w:t>
      </w:r>
    </w:p>
    <w:p w:rsidR="001A3657" w:rsidRDefault="001A3657" w:rsidP="00E807F8">
      <w:pPr>
        <w:jc w:val="both"/>
        <w:rPr>
          <w:rFonts w:asciiTheme="minorHAnsi" w:hAnsiTheme="minorHAnsi" w:cs="Calibri"/>
          <w:sz w:val="22"/>
          <w:szCs w:val="22"/>
        </w:rPr>
      </w:pPr>
    </w:p>
    <w:p w:rsidR="00011B9A" w:rsidRDefault="00E807F8" w:rsidP="00E807F8">
      <w:pPr>
        <w:jc w:val="both"/>
        <w:rPr>
          <w:rFonts w:asciiTheme="minorHAnsi" w:hAnsiTheme="minorHAnsi" w:cs="Calibri"/>
          <w:sz w:val="22"/>
          <w:szCs w:val="22"/>
        </w:rPr>
      </w:pPr>
      <w:r w:rsidRPr="00E84532">
        <w:rPr>
          <w:rFonts w:asciiTheme="minorHAnsi" w:hAnsiTheme="minorHAnsi" w:cs="Calibri"/>
          <w:sz w:val="22"/>
          <w:szCs w:val="22"/>
        </w:rPr>
        <w:t xml:space="preserve">ZRRE ka përcjellur në vazhdimësi zhvillimin e këtyre projekteve investive dhe në kuadër të bashkëpunimit me palët e </w:t>
      </w:r>
      <w:r w:rsidR="00F2300E" w:rsidRPr="00E84532">
        <w:rPr>
          <w:rFonts w:asciiTheme="minorHAnsi" w:hAnsiTheme="minorHAnsi" w:cs="Calibri"/>
          <w:sz w:val="22"/>
          <w:szCs w:val="22"/>
        </w:rPr>
        <w:t>kyçura</w:t>
      </w:r>
      <w:r w:rsidRPr="00E84532">
        <w:rPr>
          <w:rFonts w:asciiTheme="minorHAnsi" w:hAnsiTheme="minorHAnsi" w:cs="Calibri"/>
          <w:sz w:val="22"/>
          <w:szCs w:val="22"/>
        </w:rPr>
        <w:t xml:space="preserve"> në këto projekte është informuar saktësisht për detajet e këtyre projekteve</w:t>
      </w:r>
      <w:r w:rsidR="00011B9A">
        <w:rPr>
          <w:rFonts w:asciiTheme="minorHAnsi" w:hAnsiTheme="minorHAnsi" w:cs="Calibri"/>
          <w:sz w:val="22"/>
          <w:szCs w:val="22"/>
        </w:rPr>
        <w:t>. Duhet theksuar se të gjitha projektet e paraqitura janë të përshira gjithashtu në Planin Zhvillimorë 2019 – 2029 të NQ Termokos, i cili është aprovua</w:t>
      </w:r>
      <w:r w:rsidR="00991172">
        <w:rPr>
          <w:rFonts w:asciiTheme="minorHAnsi" w:hAnsiTheme="minorHAnsi" w:cs="Calibri"/>
          <w:sz w:val="22"/>
          <w:szCs w:val="22"/>
        </w:rPr>
        <w:t>r</w:t>
      </w:r>
      <w:r w:rsidR="00011B9A">
        <w:rPr>
          <w:rFonts w:asciiTheme="minorHAnsi" w:hAnsiTheme="minorHAnsi" w:cs="Calibri"/>
          <w:sz w:val="22"/>
          <w:szCs w:val="22"/>
        </w:rPr>
        <w:t xml:space="preserve"> nga ZRRE. </w:t>
      </w:r>
    </w:p>
    <w:p w:rsidR="00011B9A" w:rsidRDefault="00011B9A" w:rsidP="00E807F8">
      <w:pPr>
        <w:jc w:val="both"/>
        <w:rPr>
          <w:rFonts w:asciiTheme="minorHAnsi" w:hAnsiTheme="minorHAnsi" w:cs="Calibri"/>
          <w:sz w:val="22"/>
          <w:szCs w:val="22"/>
        </w:rPr>
      </w:pPr>
    </w:p>
    <w:p w:rsidR="00011B9A" w:rsidRDefault="00011B9A" w:rsidP="00E807F8">
      <w:pPr>
        <w:jc w:val="both"/>
        <w:rPr>
          <w:rFonts w:asciiTheme="minorHAnsi" w:hAnsiTheme="minorHAnsi" w:cs="Calibri"/>
          <w:sz w:val="22"/>
          <w:szCs w:val="22"/>
        </w:rPr>
      </w:pPr>
      <w:r>
        <w:rPr>
          <w:rFonts w:asciiTheme="minorHAnsi" w:hAnsiTheme="minorHAnsi" w:cs="Calibri"/>
          <w:sz w:val="22"/>
          <w:szCs w:val="22"/>
        </w:rPr>
        <w:t>Një numër i këtyre projekteve posaqërisht të projekt</w:t>
      </w:r>
      <w:r w:rsidR="007F0A6B">
        <w:rPr>
          <w:rFonts w:asciiTheme="minorHAnsi" w:hAnsiTheme="minorHAnsi" w:cs="Calibri"/>
          <w:sz w:val="22"/>
          <w:szCs w:val="22"/>
        </w:rPr>
        <w:t>e</w:t>
      </w:r>
      <w:r>
        <w:rPr>
          <w:rFonts w:asciiTheme="minorHAnsi" w:hAnsiTheme="minorHAnsi" w:cs="Calibri"/>
          <w:sz w:val="22"/>
          <w:szCs w:val="22"/>
        </w:rPr>
        <w:t>ve nga donatorët ka kohëzgjatjen mbi një vit, kështu që ka qenë e nevojshme vlerësimi i punimeve që planifikohen të realizohen bre</w:t>
      </w:r>
      <w:r w:rsidR="00D33BA9">
        <w:rPr>
          <w:rFonts w:asciiTheme="minorHAnsi" w:hAnsiTheme="minorHAnsi" w:cs="Calibri"/>
          <w:sz w:val="22"/>
          <w:szCs w:val="22"/>
        </w:rPr>
        <w:t>n</w:t>
      </w:r>
      <w:r>
        <w:rPr>
          <w:rFonts w:asciiTheme="minorHAnsi" w:hAnsiTheme="minorHAnsi" w:cs="Calibri"/>
          <w:sz w:val="22"/>
          <w:szCs w:val="22"/>
        </w:rPr>
        <w:t xml:space="preserve">da periudhës së shqyrtimit tarifor, që vlerësohet se kryesisht ka qenë i bazuar në planet dinamike të realizimit të këtyre projekteve. Prandaj ZRRE </w:t>
      </w:r>
      <w:r w:rsidR="00277C1B">
        <w:rPr>
          <w:rFonts w:asciiTheme="minorHAnsi" w:hAnsiTheme="minorHAnsi" w:cs="Calibri"/>
          <w:sz w:val="22"/>
          <w:szCs w:val="22"/>
        </w:rPr>
        <w:t>për periudhën e shqyrtimit tarifor (tetor 2020 – tetor 2021) vlerëson si në vijim:</w:t>
      </w:r>
    </w:p>
    <w:p w:rsidR="00277C1B" w:rsidRDefault="00277C1B" w:rsidP="00E807F8">
      <w:pPr>
        <w:jc w:val="both"/>
        <w:rPr>
          <w:rFonts w:asciiTheme="minorHAnsi" w:hAnsiTheme="minorHAnsi" w:cs="Calibri"/>
          <w:sz w:val="22"/>
          <w:szCs w:val="22"/>
        </w:rPr>
      </w:pPr>
    </w:p>
    <w:p w:rsidR="00277C1B" w:rsidRDefault="00277C1B" w:rsidP="00277C1B">
      <w:pPr>
        <w:pStyle w:val="ListParagraph"/>
        <w:numPr>
          <w:ilvl w:val="0"/>
          <w:numId w:val="6"/>
        </w:numPr>
        <w:tabs>
          <w:tab w:val="clear" w:pos="720"/>
          <w:tab w:val="num" w:pos="360"/>
        </w:tabs>
        <w:ind w:left="360"/>
        <w:jc w:val="both"/>
        <w:rPr>
          <w:rFonts w:asciiTheme="minorHAnsi" w:hAnsiTheme="minorHAnsi" w:cs="Calibri"/>
          <w:sz w:val="22"/>
          <w:szCs w:val="22"/>
        </w:rPr>
      </w:pPr>
      <w:r>
        <w:rPr>
          <w:rFonts w:asciiTheme="minorHAnsi" w:hAnsiTheme="minorHAnsi" w:cs="Calibri"/>
          <w:sz w:val="22"/>
          <w:szCs w:val="22"/>
        </w:rPr>
        <w:t xml:space="preserve">Pranon shumën prej </w:t>
      </w:r>
      <w:r w:rsidRPr="00277C1B">
        <w:rPr>
          <w:rFonts w:asciiTheme="minorHAnsi" w:hAnsiTheme="minorHAnsi" w:cs="Calibri"/>
          <w:b/>
          <w:sz w:val="22"/>
          <w:szCs w:val="22"/>
        </w:rPr>
        <w:t>5,500,000 €</w:t>
      </w:r>
      <w:r>
        <w:rPr>
          <w:rFonts w:asciiTheme="minorHAnsi" w:hAnsiTheme="minorHAnsi" w:cs="Calibri"/>
          <w:sz w:val="22"/>
          <w:szCs w:val="22"/>
        </w:rPr>
        <w:t xml:space="preserve"> për projektin e KfW duke u bazuar në planin e azhurnuar të implementimit dhe në statusin aktual të projektit të përshkruar më lartë. </w:t>
      </w:r>
    </w:p>
    <w:p w:rsidR="00277C1B" w:rsidRDefault="00277C1B" w:rsidP="00277C1B">
      <w:pPr>
        <w:pStyle w:val="ListParagraph"/>
        <w:ind w:left="360"/>
        <w:jc w:val="both"/>
        <w:rPr>
          <w:rFonts w:asciiTheme="minorHAnsi" w:hAnsiTheme="minorHAnsi" w:cs="Calibri"/>
          <w:sz w:val="22"/>
          <w:szCs w:val="22"/>
        </w:rPr>
      </w:pPr>
    </w:p>
    <w:p w:rsidR="00277C1B" w:rsidRPr="00277C1B" w:rsidRDefault="00277C1B" w:rsidP="00277C1B">
      <w:pPr>
        <w:pStyle w:val="ListParagraph"/>
        <w:numPr>
          <w:ilvl w:val="0"/>
          <w:numId w:val="6"/>
        </w:numPr>
        <w:tabs>
          <w:tab w:val="clear" w:pos="720"/>
          <w:tab w:val="num" w:pos="360"/>
        </w:tabs>
        <w:ind w:left="360"/>
        <w:jc w:val="both"/>
        <w:rPr>
          <w:rFonts w:asciiTheme="minorHAnsi" w:hAnsiTheme="minorHAnsi" w:cs="Calibri"/>
          <w:sz w:val="22"/>
          <w:szCs w:val="22"/>
        </w:rPr>
      </w:pPr>
      <w:r>
        <w:rPr>
          <w:rFonts w:asciiTheme="minorHAnsi" w:hAnsiTheme="minorHAnsi" w:cs="Calibri"/>
          <w:sz w:val="22"/>
          <w:szCs w:val="22"/>
        </w:rPr>
        <w:t xml:space="preserve">Pranon shumën prej </w:t>
      </w:r>
      <w:r w:rsidRPr="001A3657">
        <w:rPr>
          <w:rFonts w:asciiTheme="minorHAnsi" w:hAnsiTheme="minorHAnsi" w:cs="Calibri"/>
          <w:b/>
          <w:sz w:val="22"/>
          <w:szCs w:val="22"/>
        </w:rPr>
        <w:t>1,5000,000 €</w:t>
      </w:r>
      <w:r>
        <w:rPr>
          <w:rFonts w:asciiTheme="minorHAnsi" w:hAnsiTheme="minorHAnsi" w:cs="Calibri"/>
          <w:sz w:val="22"/>
          <w:szCs w:val="22"/>
        </w:rPr>
        <w:t xml:space="preserve"> për projektin e MCC</w:t>
      </w:r>
      <w:r w:rsidR="001A3657">
        <w:rPr>
          <w:rFonts w:asciiTheme="minorHAnsi" w:hAnsiTheme="minorHAnsi" w:cs="Calibri"/>
          <w:sz w:val="22"/>
          <w:szCs w:val="22"/>
        </w:rPr>
        <w:t xml:space="preserve"> sipas planit të implementimit të azhurnuar nga MCC.</w:t>
      </w:r>
      <w:r>
        <w:rPr>
          <w:rFonts w:asciiTheme="minorHAnsi" w:hAnsiTheme="minorHAnsi" w:cs="Calibri"/>
          <w:sz w:val="22"/>
          <w:szCs w:val="22"/>
        </w:rPr>
        <w:t xml:space="preserve">  </w:t>
      </w:r>
    </w:p>
    <w:p w:rsidR="00FD671B" w:rsidRDefault="00011B9A" w:rsidP="00FD671B">
      <w:pPr>
        <w:pStyle w:val="ListParagraph"/>
        <w:ind w:left="360"/>
        <w:jc w:val="both"/>
        <w:rPr>
          <w:rFonts w:asciiTheme="minorHAnsi" w:hAnsiTheme="minorHAnsi" w:cs="Calibri"/>
          <w:sz w:val="22"/>
          <w:szCs w:val="22"/>
        </w:rPr>
      </w:pPr>
      <w:r w:rsidRPr="00011B9A">
        <w:rPr>
          <w:rFonts w:asciiTheme="minorHAnsi" w:hAnsiTheme="minorHAnsi" w:cs="Calibri"/>
          <w:sz w:val="22"/>
          <w:szCs w:val="22"/>
        </w:rPr>
        <w:t xml:space="preserve"> </w:t>
      </w:r>
    </w:p>
    <w:p w:rsidR="001A3657" w:rsidRPr="001A3657" w:rsidRDefault="001A3657" w:rsidP="00991172">
      <w:pPr>
        <w:jc w:val="both"/>
        <w:rPr>
          <w:rFonts w:ascii="Calibri" w:hAnsi="Calibri"/>
          <w:b/>
          <w:sz w:val="22"/>
          <w:szCs w:val="22"/>
        </w:rPr>
      </w:pPr>
      <w:r w:rsidRPr="001A3657">
        <w:rPr>
          <w:rFonts w:ascii="Calibri" w:hAnsi="Calibri"/>
          <w:b/>
          <w:sz w:val="22"/>
          <w:szCs w:val="22"/>
        </w:rPr>
        <w:t xml:space="preserve">Investimet </w:t>
      </w:r>
      <w:r>
        <w:rPr>
          <w:rFonts w:ascii="Calibri" w:hAnsi="Calibri"/>
          <w:b/>
          <w:sz w:val="22"/>
          <w:szCs w:val="22"/>
        </w:rPr>
        <w:t xml:space="preserve">e reja </w:t>
      </w:r>
      <w:r w:rsidRPr="001A3657">
        <w:rPr>
          <w:rFonts w:ascii="Calibri" w:hAnsi="Calibri"/>
          <w:b/>
          <w:sz w:val="22"/>
          <w:szCs w:val="22"/>
        </w:rPr>
        <w:t>me vetë-financim</w:t>
      </w:r>
    </w:p>
    <w:p w:rsidR="001A3657" w:rsidRDefault="001A3657" w:rsidP="00991172">
      <w:pPr>
        <w:jc w:val="both"/>
        <w:rPr>
          <w:rFonts w:ascii="Calibri" w:hAnsi="Calibri"/>
          <w:sz w:val="22"/>
          <w:szCs w:val="22"/>
        </w:rPr>
      </w:pPr>
    </w:p>
    <w:p w:rsidR="009B3870" w:rsidRDefault="009C4985" w:rsidP="00991172">
      <w:pPr>
        <w:jc w:val="both"/>
        <w:rPr>
          <w:rFonts w:ascii="Calibri" w:hAnsi="Calibri"/>
          <w:sz w:val="22"/>
          <w:szCs w:val="22"/>
        </w:rPr>
      </w:pPr>
      <w:r>
        <w:rPr>
          <w:rFonts w:ascii="Calibri" w:hAnsi="Calibri"/>
          <w:sz w:val="22"/>
          <w:szCs w:val="22"/>
        </w:rPr>
        <w:t>Nga të dhënat dhe informatat e ofruara nga NQ Termokos, ZRRE ka vlerësuar se investimet e reja të planifikuara me vetë-financim janë kryesisht planifikime reale të bazuara në përmirësimin e vazhdueshëm të operimeve dhe furnizmit të qëndrueshëm. Vlerësimet si në vijim:</w:t>
      </w:r>
    </w:p>
    <w:p w:rsidR="009C4985" w:rsidRDefault="009C4985" w:rsidP="00991172">
      <w:pPr>
        <w:jc w:val="both"/>
        <w:rPr>
          <w:rFonts w:ascii="Calibri" w:hAnsi="Calibri"/>
          <w:sz w:val="22"/>
          <w:szCs w:val="22"/>
        </w:rPr>
      </w:pPr>
    </w:p>
    <w:p w:rsidR="009C4985" w:rsidRPr="006F3EC4" w:rsidRDefault="009C4985" w:rsidP="004A5384">
      <w:pPr>
        <w:pStyle w:val="ListParagraph"/>
        <w:numPr>
          <w:ilvl w:val="0"/>
          <w:numId w:val="6"/>
        </w:numPr>
        <w:tabs>
          <w:tab w:val="clear" w:pos="720"/>
          <w:tab w:val="num" w:pos="360"/>
        </w:tabs>
        <w:ind w:left="360"/>
        <w:jc w:val="both"/>
        <w:rPr>
          <w:rFonts w:ascii="Calibri" w:hAnsi="Calibri"/>
          <w:sz w:val="22"/>
          <w:szCs w:val="22"/>
        </w:rPr>
      </w:pPr>
      <w:r>
        <w:rPr>
          <w:rFonts w:ascii="Calibri" w:hAnsi="Calibri"/>
          <w:sz w:val="22"/>
          <w:szCs w:val="22"/>
        </w:rPr>
        <w:t>Investimet e planifikuara në rrj</w:t>
      </w:r>
      <w:r w:rsidR="00277F79">
        <w:rPr>
          <w:rFonts w:ascii="Calibri" w:hAnsi="Calibri"/>
          <w:sz w:val="22"/>
          <w:szCs w:val="22"/>
        </w:rPr>
        <w:t>e</w:t>
      </w:r>
      <w:r>
        <w:rPr>
          <w:rFonts w:ascii="Calibri" w:hAnsi="Calibri"/>
          <w:sz w:val="22"/>
          <w:szCs w:val="22"/>
        </w:rPr>
        <w:t>tin e shpërndarjes përfshijnë rehabilitimin e rrjetit – ku specifikisht hyjnë tub</w:t>
      </w:r>
      <w:r w:rsidR="006F3EC4">
        <w:rPr>
          <w:rFonts w:ascii="Calibri" w:hAnsi="Calibri"/>
          <w:sz w:val="22"/>
          <w:szCs w:val="22"/>
        </w:rPr>
        <w:t>a</w:t>
      </w:r>
      <w:r>
        <w:rPr>
          <w:rFonts w:ascii="Calibri" w:hAnsi="Calibri"/>
          <w:sz w:val="22"/>
          <w:szCs w:val="22"/>
        </w:rPr>
        <w:t>cionet dhe pajisjet përcjellëse. Ndër tjera në investimet e reja janë paraparë edhe nënstacionet modulare dhe valvolat DN500 dhe DN600 (si bashkëfinancim me projektet e donatorëve). Si të tilla investimet në rrj</w:t>
      </w:r>
      <w:r w:rsidR="006F3EC4">
        <w:rPr>
          <w:rFonts w:ascii="Calibri" w:hAnsi="Calibri"/>
          <w:sz w:val="22"/>
          <w:szCs w:val="22"/>
        </w:rPr>
        <w:t>e</w:t>
      </w:r>
      <w:r>
        <w:rPr>
          <w:rFonts w:ascii="Calibri" w:hAnsi="Calibri"/>
          <w:sz w:val="22"/>
          <w:szCs w:val="22"/>
        </w:rPr>
        <w:t>tin e shpërndarjes pranohen plotësisht. Në kuadër të investimeve në</w:t>
      </w:r>
      <w:r w:rsidR="004A5384">
        <w:rPr>
          <w:rFonts w:ascii="Calibri" w:hAnsi="Calibri"/>
          <w:sz w:val="22"/>
          <w:szCs w:val="22"/>
        </w:rPr>
        <w:t xml:space="preserve"> rr</w:t>
      </w:r>
      <w:r>
        <w:rPr>
          <w:rFonts w:ascii="Calibri" w:hAnsi="Calibri"/>
          <w:sz w:val="22"/>
          <w:szCs w:val="22"/>
        </w:rPr>
        <w:t>j</w:t>
      </w:r>
      <w:r w:rsidR="004A5384">
        <w:rPr>
          <w:rFonts w:ascii="Calibri" w:hAnsi="Calibri"/>
          <w:sz w:val="22"/>
          <w:szCs w:val="22"/>
        </w:rPr>
        <w:t xml:space="preserve">et </w:t>
      </w:r>
      <w:r>
        <w:rPr>
          <w:rFonts w:ascii="Calibri" w:hAnsi="Calibri"/>
          <w:sz w:val="22"/>
          <w:szCs w:val="22"/>
        </w:rPr>
        <w:t xml:space="preserve">është planifikuar edhe hartimi i </w:t>
      </w:r>
      <w:r w:rsidR="004A5384">
        <w:rPr>
          <w:rFonts w:ascii="Calibri" w:hAnsi="Calibri"/>
          <w:sz w:val="22"/>
          <w:szCs w:val="22"/>
        </w:rPr>
        <w:t>Planit ideor për studimin e rrjetit në Kodrën e Diellit në vlerë prej 20,000 €. Për këtë plan ideor nuk janë ofruar informata konkrete dhe detaje përkatëse lidhur me zhvillimin e projektit, kështu që në munges</w:t>
      </w:r>
      <w:r w:rsidR="00277F79">
        <w:rPr>
          <w:rFonts w:ascii="Calibri" w:hAnsi="Calibri"/>
          <w:sz w:val="22"/>
          <w:szCs w:val="22"/>
        </w:rPr>
        <w:t>ë</w:t>
      </w:r>
      <w:r w:rsidR="004A5384">
        <w:rPr>
          <w:rFonts w:ascii="Calibri" w:hAnsi="Calibri"/>
          <w:sz w:val="22"/>
          <w:szCs w:val="22"/>
        </w:rPr>
        <w:t xml:space="preserve"> të tyre nuk pranohet </w:t>
      </w:r>
      <w:r w:rsidR="00277F79">
        <w:rPr>
          <w:rFonts w:ascii="Calibri" w:hAnsi="Calibri"/>
          <w:sz w:val="22"/>
          <w:szCs w:val="22"/>
        </w:rPr>
        <w:t>ky investim</w:t>
      </w:r>
      <w:r w:rsidR="004A5384">
        <w:rPr>
          <w:rFonts w:ascii="Calibri" w:hAnsi="Calibri"/>
          <w:sz w:val="22"/>
          <w:szCs w:val="22"/>
        </w:rPr>
        <w:t xml:space="preserve">. Rrjedhimisht, nga sa u tha më lartë investimet vetanake në rrjetin e shpërndarjes pranohen në vlerën </w:t>
      </w:r>
      <w:r w:rsidR="004A5384" w:rsidRPr="004A5384">
        <w:rPr>
          <w:rFonts w:ascii="Calibri" w:hAnsi="Calibri"/>
          <w:b/>
          <w:sz w:val="22"/>
          <w:szCs w:val="22"/>
        </w:rPr>
        <w:t>610,000 €</w:t>
      </w:r>
      <w:r w:rsidR="006F3EC4">
        <w:rPr>
          <w:rFonts w:ascii="Calibri" w:hAnsi="Calibri"/>
          <w:b/>
          <w:sz w:val="22"/>
          <w:szCs w:val="22"/>
        </w:rPr>
        <w:t>.</w:t>
      </w:r>
    </w:p>
    <w:p w:rsidR="006F3EC4" w:rsidRPr="006F3EC4" w:rsidRDefault="006F3EC4" w:rsidP="006F3EC4">
      <w:pPr>
        <w:pStyle w:val="ListParagraph"/>
        <w:ind w:left="360"/>
        <w:jc w:val="both"/>
        <w:rPr>
          <w:rFonts w:ascii="Calibri" w:hAnsi="Calibri"/>
          <w:sz w:val="22"/>
          <w:szCs w:val="22"/>
        </w:rPr>
      </w:pPr>
    </w:p>
    <w:p w:rsidR="006F3EC4" w:rsidRDefault="006F3EC4" w:rsidP="00991172">
      <w:pPr>
        <w:pStyle w:val="ListParagraph"/>
        <w:numPr>
          <w:ilvl w:val="0"/>
          <w:numId w:val="6"/>
        </w:numPr>
        <w:tabs>
          <w:tab w:val="clear" w:pos="720"/>
          <w:tab w:val="num" w:pos="360"/>
        </w:tabs>
        <w:ind w:left="360"/>
        <w:jc w:val="both"/>
        <w:rPr>
          <w:rFonts w:ascii="Calibri" w:hAnsi="Calibri"/>
          <w:sz w:val="22"/>
          <w:szCs w:val="22"/>
        </w:rPr>
      </w:pPr>
      <w:r>
        <w:rPr>
          <w:rFonts w:ascii="Calibri" w:hAnsi="Calibri"/>
          <w:sz w:val="22"/>
          <w:szCs w:val="22"/>
        </w:rPr>
        <w:t xml:space="preserve">Investimet e planifikuara në stabilimentet e prodhimit të energjisë termike gjegjësisht në stabilimentet e kogjenerimit – HES dhe HRS, janë në kuadër të investimeve të rregullta për të ruajtur nivelin e operimit të kogjenerimit dhe siguruar furnizimi cilësor me energji termike. Prandaj ZRRE lejon shumën e paraqitur të investimeve prej </w:t>
      </w:r>
      <w:r w:rsidRPr="006F3EC4">
        <w:rPr>
          <w:rFonts w:ascii="Calibri" w:hAnsi="Calibri"/>
          <w:b/>
          <w:sz w:val="22"/>
          <w:szCs w:val="22"/>
        </w:rPr>
        <w:t>257,000 €</w:t>
      </w:r>
      <w:r>
        <w:rPr>
          <w:rFonts w:ascii="Calibri" w:hAnsi="Calibri"/>
          <w:sz w:val="22"/>
          <w:szCs w:val="22"/>
        </w:rPr>
        <w:t>.</w:t>
      </w:r>
    </w:p>
    <w:p w:rsidR="006F3EC4" w:rsidRPr="006F3EC4" w:rsidRDefault="006F3EC4" w:rsidP="006F3EC4">
      <w:pPr>
        <w:pStyle w:val="ListParagraph"/>
        <w:rPr>
          <w:rFonts w:ascii="Calibri" w:hAnsi="Calibri"/>
          <w:sz w:val="22"/>
          <w:szCs w:val="22"/>
        </w:rPr>
      </w:pPr>
    </w:p>
    <w:p w:rsidR="007D15C5" w:rsidRPr="007D15C5" w:rsidRDefault="00991172" w:rsidP="00991172">
      <w:pPr>
        <w:pStyle w:val="ListParagraph"/>
        <w:numPr>
          <w:ilvl w:val="0"/>
          <w:numId w:val="6"/>
        </w:numPr>
        <w:tabs>
          <w:tab w:val="clear" w:pos="720"/>
          <w:tab w:val="num" w:pos="360"/>
        </w:tabs>
        <w:ind w:left="360"/>
        <w:jc w:val="both"/>
        <w:rPr>
          <w:rFonts w:ascii="Calibri" w:hAnsi="Calibri"/>
          <w:sz w:val="22"/>
          <w:szCs w:val="22"/>
        </w:rPr>
      </w:pPr>
      <w:r w:rsidRPr="006F3EC4">
        <w:rPr>
          <w:rFonts w:ascii="Calibri" w:hAnsi="Calibri"/>
          <w:sz w:val="22"/>
          <w:szCs w:val="22"/>
        </w:rPr>
        <w:t>Në Investimet e reja me vetëfinancim, ndër tjera, është planifikuar edhe ndërtimi i ndërtesës të zyrës qendrore administrative të NQ Termokos</w:t>
      </w:r>
      <w:r w:rsidR="006F3EC4">
        <w:rPr>
          <w:rFonts w:ascii="Calibri" w:hAnsi="Calibri"/>
          <w:sz w:val="22"/>
          <w:szCs w:val="22"/>
        </w:rPr>
        <w:t xml:space="preserve">. </w:t>
      </w:r>
      <w:r w:rsidR="007408F9">
        <w:rPr>
          <w:rFonts w:ascii="Calibri" w:hAnsi="Calibri"/>
          <w:sz w:val="22"/>
          <w:szCs w:val="22"/>
        </w:rPr>
        <w:t xml:space="preserve">Vlera e paraqitur e këtij investimi është 1,300,000€ për ekzekutimin e punimeve dhe 50,000 € për mbikqyrjen e </w:t>
      </w:r>
      <w:r w:rsidR="00650DBF">
        <w:rPr>
          <w:rFonts w:ascii="Calibri" w:hAnsi="Calibri"/>
          <w:sz w:val="22"/>
          <w:szCs w:val="22"/>
        </w:rPr>
        <w:t>e</w:t>
      </w:r>
      <w:r w:rsidR="007408F9">
        <w:rPr>
          <w:rFonts w:ascii="Calibri" w:hAnsi="Calibri"/>
          <w:sz w:val="22"/>
          <w:szCs w:val="22"/>
        </w:rPr>
        <w:t>kzekutimit të punimev</w:t>
      </w:r>
      <w:r w:rsidR="00650DBF">
        <w:rPr>
          <w:rFonts w:ascii="Calibri" w:hAnsi="Calibri"/>
          <w:sz w:val="22"/>
          <w:szCs w:val="22"/>
        </w:rPr>
        <w:t>e</w:t>
      </w:r>
      <w:r w:rsidR="007408F9">
        <w:rPr>
          <w:rFonts w:ascii="Calibri" w:hAnsi="Calibri"/>
          <w:sz w:val="22"/>
          <w:szCs w:val="22"/>
        </w:rPr>
        <w:t xml:space="preserve">. Lidhur me këtë </w:t>
      </w:r>
      <w:r w:rsidR="00967FB1">
        <w:rPr>
          <w:rFonts w:ascii="Calibri" w:hAnsi="Calibri"/>
          <w:sz w:val="22"/>
          <w:szCs w:val="22"/>
        </w:rPr>
        <w:t>fillimisht duhet theksuar se në sezonet e kaluara për ndërtimin</w:t>
      </w:r>
      <w:r w:rsidR="00277F79">
        <w:rPr>
          <w:rFonts w:ascii="Calibri" w:hAnsi="Calibri"/>
          <w:sz w:val="22"/>
          <w:szCs w:val="22"/>
        </w:rPr>
        <w:t xml:space="preserve"> </w:t>
      </w:r>
      <w:r w:rsidR="00967FB1">
        <w:rPr>
          <w:rFonts w:ascii="Calibri" w:hAnsi="Calibri"/>
          <w:sz w:val="22"/>
          <w:szCs w:val="22"/>
        </w:rPr>
        <w:t xml:space="preserve">e objektit është paraqitur shuma prej 530,000 €, e cila vlerë po ashtu është edhe në Planin Zhvillimorë afatgjatë. </w:t>
      </w:r>
      <w:r w:rsidR="00650DBF">
        <w:rPr>
          <w:rFonts w:ascii="Calibri" w:hAnsi="Calibri"/>
          <w:sz w:val="22"/>
          <w:szCs w:val="22"/>
        </w:rPr>
        <w:t>Konkretisht në shqyrtimin e kaluar për sezonin 2019/2020</w:t>
      </w:r>
      <w:r w:rsidR="004A64EF">
        <w:rPr>
          <w:rFonts w:ascii="Calibri" w:hAnsi="Calibri"/>
          <w:sz w:val="22"/>
          <w:szCs w:val="22"/>
        </w:rPr>
        <w:t>,</w:t>
      </w:r>
      <w:r w:rsidR="00650DBF">
        <w:rPr>
          <w:rFonts w:ascii="Calibri" w:hAnsi="Calibri"/>
          <w:sz w:val="22"/>
          <w:szCs w:val="22"/>
        </w:rPr>
        <w:t xml:space="preserve"> ZRRE ka pranuar investimin në ndërtimin e objektit në shumën 530,000, prej së cilës shumë janë realizuar vetëm </w:t>
      </w:r>
      <w:r w:rsidR="00650DBF" w:rsidRPr="00650DBF">
        <w:rPr>
          <w:rFonts w:ascii="Calibri" w:hAnsi="Calibri"/>
          <w:sz w:val="22"/>
          <w:szCs w:val="22"/>
        </w:rPr>
        <w:t>67,980 € (12.83%)</w:t>
      </w:r>
      <w:r w:rsidR="00CB0217">
        <w:rPr>
          <w:rFonts w:ascii="Calibri" w:hAnsi="Calibri"/>
          <w:sz w:val="22"/>
          <w:szCs w:val="22"/>
        </w:rPr>
        <w:t xml:space="preserve"> për hartimin e Studimit të Fizibilitetit: </w:t>
      </w:r>
      <w:r w:rsidR="00CB0217" w:rsidRPr="00CB0217">
        <w:rPr>
          <w:rFonts w:ascii="Calibri" w:hAnsi="Calibri"/>
          <w:sz w:val="22"/>
          <w:szCs w:val="22"/>
        </w:rPr>
        <w:t xml:space="preserve">Vlerësim i situacionit dhe objekteve të NP”Termokos”sh.a dhe </w:t>
      </w:r>
      <w:r w:rsidR="00CB0217">
        <w:rPr>
          <w:rFonts w:ascii="Calibri" w:hAnsi="Calibri"/>
          <w:sz w:val="22"/>
          <w:szCs w:val="22"/>
        </w:rPr>
        <w:t>h</w:t>
      </w:r>
      <w:r w:rsidR="00CB0217" w:rsidRPr="00CB0217">
        <w:rPr>
          <w:rFonts w:ascii="Calibri" w:hAnsi="Calibri"/>
          <w:sz w:val="22"/>
          <w:szCs w:val="22"/>
        </w:rPr>
        <w:t>artimin e</w:t>
      </w:r>
      <w:r w:rsidR="00CB0217">
        <w:rPr>
          <w:rFonts w:ascii="Calibri" w:hAnsi="Calibri"/>
          <w:sz w:val="22"/>
          <w:szCs w:val="22"/>
        </w:rPr>
        <w:t xml:space="preserve"> </w:t>
      </w:r>
      <w:r w:rsidR="00CB0217">
        <w:rPr>
          <w:rFonts w:ascii="Calibri" w:hAnsi="Calibri"/>
          <w:sz w:val="22"/>
          <w:szCs w:val="22"/>
        </w:rPr>
        <w:lastRenderedPageBreak/>
        <w:t>p</w:t>
      </w:r>
      <w:r w:rsidR="00CB0217" w:rsidRPr="00CB0217">
        <w:rPr>
          <w:rFonts w:ascii="Calibri" w:hAnsi="Calibri"/>
          <w:sz w:val="22"/>
          <w:szCs w:val="22"/>
        </w:rPr>
        <w:t xml:space="preserve">rojektit </w:t>
      </w:r>
      <w:r w:rsidR="00CB0217">
        <w:rPr>
          <w:rFonts w:ascii="Calibri" w:hAnsi="Calibri"/>
          <w:sz w:val="22"/>
          <w:szCs w:val="22"/>
        </w:rPr>
        <w:t>d</w:t>
      </w:r>
      <w:r w:rsidR="00CB0217" w:rsidRPr="00CB0217">
        <w:rPr>
          <w:rFonts w:ascii="Calibri" w:hAnsi="Calibri"/>
          <w:sz w:val="22"/>
          <w:szCs w:val="22"/>
        </w:rPr>
        <w:t xml:space="preserve">etal </w:t>
      </w:r>
      <w:r w:rsidR="00CB0217">
        <w:rPr>
          <w:rFonts w:ascii="Calibri" w:hAnsi="Calibri"/>
          <w:sz w:val="22"/>
          <w:szCs w:val="22"/>
        </w:rPr>
        <w:t>ndërtimor</w:t>
      </w:r>
      <w:r w:rsidR="00650DBF" w:rsidRPr="00650DBF">
        <w:rPr>
          <w:rFonts w:ascii="Calibri" w:hAnsi="Calibri"/>
          <w:sz w:val="22"/>
          <w:szCs w:val="22"/>
        </w:rPr>
        <w:t xml:space="preserve">. </w:t>
      </w:r>
      <w:r w:rsidR="00CB0217">
        <w:rPr>
          <w:rFonts w:ascii="Calibri" w:hAnsi="Calibri"/>
          <w:sz w:val="22"/>
          <w:szCs w:val="22"/>
        </w:rPr>
        <w:t>Në ndërkohë në korrik të këtij viti janë marrë Leja ndërtimore dhe Leja mjedisore, ndërsa aktualisht në proces janë procedurat e tenderimit për përzgjedhjen e kontraktorit të ekzekutimit të punimeve ndërtimore dhe kontraktorit të mbikçyrjes së ndërtimit.  Sa i përket vlerës së</w:t>
      </w:r>
      <w:r w:rsidR="00EB2DE4">
        <w:rPr>
          <w:rFonts w:ascii="Calibri" w:hAnsi="Calibri"/>
          <w:sz w:val="22"/>
          <w:szCs w:val="22"/>
        </w:rPr>
        <w:t xml:space="preserve"> investimit, duhet theksuar se me hartimin e projektit detal ka ndërruar koncepti i ndërtimit të objektit duke rritur dukshëm përmasat e objektit dhe etazhitetin, që natyrisht ka rezultuar me një vlerë dukshëm më të madhe se vlera fillestare e paraparë. Lidhur me këtë</w:t>
      </w:r>
      <w:r w:rsidR="004A64EF">
        <w:rPr>
          <w:rFonts w:ascii="Calibri" w:hAnsi="Calibri"/>
          <w:sz w:val="22"/>
          <w:szCs w:val="22"/>
        </w:rPr>
        <w:t>,</w:t>
      </w:r>
      <w:r w:rsidR="00EB2DE4">
        <w:rPr>
          <w:rFonts w:ascii="Calibri" w:hAnsi="Calibri"/>
          <w:sz w:val="22"/>
          <w:szCs w:val="22"/>
        </w:rPr>
        <w:t xml:space="preserve"> ZRRE dëshiron të theksoj se çdo ndryshim duhet të reflektohet në azhurnimin e Planit Zhvillimor që nënkupton edhe aprovimin e ZRRE-së, gjë që nuk është bërë nga NQ Termokos. Për më tepër ndryshimet përkatëse të investimeve paraprakisht të aprovuara duhet të jenë mirë të arsyetuara dhe të argumentuara. </w:t>
      </w:r>
      <w:r w:rsidRPr="006F3EC4">
        <w:rPr>
          <w:rFonts w:ascii="Calibri" w:hAnsi="Calibri"/>
          <w:sz w:val="22"/>
          <w:szCs w:val="22"/>
        </w:rPr>
        <w:t>Duke marrë parasysh sa u tha më lartë</w:t>
      </w:r>
      <w:r w:rsidR="00EB2DE4">
        <w:rPr>
          <w:rFonts w:ascii="Calibri" w:hAnsi="Calibri"/>
          <w:sz w:val="22"/>
          <w:szCs w:val="22"/>
        </w:rPr>
        <w:t xml:space="preserve">, </w:t>
      </w:r>
      <w:r w:rsidRPr="006F3EC4">
        <w:rPr>
          <w:rFonts w:ascii="Calibri" w:hAnsi="Calibri"/>
          <w:sz w:val="22"/>
          <w:szCs w:val="22"/>
        </w:rPr>
        <w:t xml:space="preserve"> ZRRE</w:t>
      </w:r>
      <w:r w:rsidR="00EB2DE4">
        <w:rPr>
          <w:rFonts w:ascii="Calibri" w:hAnsi="Calibri"/>
          <w:sz w:val="22"/>
          <w:szCs w:val="22"/>
        </w:rPr>
        <w:t xml:space="preserve"> vendosë që shumë</w:t>
      </w:r>
      <w:r w:rsidR="00277F79">
        <w:rPr>
          <w:rFonts w:ascii="Calibri" w:hAnsi="Calibri"/>
          <w:sz w:val="22"/>
          <w:szCs w:val="22"/>
        </w:rPr>
        <w:t>n</w:t>
      </w:r>
      <w:r w:rsidR="00EB2DE4">
        <w:rPr>
          <w:rFonts w:ascii="Calibri" w:hAnsi="Calibri"/>
          <w:sz w:val="22"/>
          <w:szCs w:val="22"/>
        </w:rPr>
        <w:t xml:space="preserve"> e lejuar të investimit në shqyrtimin e kaluar prej 530,000 € ta bartë </w:t>
      </w:r>
      <w:r w:rsidR="007D15C5">
        <w:rPr>
          <w:rFonts w:ascii="Calibri" w:hAnsi="Calibri"/>
          <w:sz w:val="22"/>
          <w:szCs w:val="22"/>
        </w:rPr>
        <w:t xml:space="preserve">në shqyrtimin aktual tarifor për sezonin 2020/2021 duke hequr vlerën prej 67,980 € të realizuar në sezonin e kaluar, si dhe shton vlerën e pjesëshme për mbikqyrje të ndërtimit 20,000 €. Rrjedhimisht </w:t>
      </w:r>
      <w:r w:rsidRPr="006F3EC4">
        <w:rPr>
          <w:rFonts w:ascii="Calibri" w:hAnsi="Calibri"/>
          <w:sz w:val="22"/>
          <w:szCs w:val="22"/>
        </w:rPr>
        <w:t xml:space="preserve">për këtë periudhë njëvjeçare të shqyrtimit tarifor, </w:t>
      </w:r>
      <w:r w:rsidR="007D15C5">
        <w:rPr>
          <w:rFonts w:ascii="Calibri" w:hAnsi="Calibri"/>
          <w:sz w:val="22"/>
          <w:szCs w:val="22"/>
        </w:rPr>
        <w:t>lejon v</w:t>
      </w:r>
      <w:r w:rsidRPr="006F3EC4">
        <w:rPr>
          <w:rFonts w:ascii="Calibri" w:hAnsi="Calibri"/>
          <w:sz w:val="22"/>
          <w:szCs w:val="22"/>
        </w:rPr>
        <w:t xml:space="preserve">lerën e </w:t>
      </w:r>
      <w:r w:rsidR="007D15C5">
        <w:rPr>
          <w:rFonts w:ascii="Calibri" w:hAnsi="Calibri"/>
          <w:sz w:val="22"/>
          <w:szCs w:val="22"/>
        </w:rPr>
        <w:t xml:space="preserve">investimit për ndërtimin e objektit të ri </w:t>
      </w:r>
      <w:r w:rsidRPr="006F3EC4">
        <w:rPr>
          <w:rFonts w:ascii="Calibri" w:hAnsi="Calibri"/>
          <w:sz w:val="22"/>
          <w:szCs w:val="22"/>
        </w:rPr>
        <w:t xml:space="preserve">prej </w:t>
      </w:r>
      <w:r w:rsidR="007D15C5">
        <w:rPr>
          <w:rFonts w:ascii="Calibri" w:hAnsi="Calibri"/>
          <w:b/>
          <w:sz w:val="22"/>
          <w:szCs w:val="22"/>
        </w:rPr>
        <w:t>482</w:t>
      </w:r>
      <w:r w:rsidRPr="006F3EC4">
        <w:rPr>
          <w:rFonts w:ascii="Calibri" w:hAnsi="Calibri"/>
          <w:b/>
          <w:sz w:val="22"/>
          <w:szCs w:val="22"/>
        </w:rPr>
        <w:t>,000€.</w:t>
      </w:r>
    </w:p>
    <w:p w:rsidR="007D15C5" w:rsidRDefault="00991172" w:rsidP="007D15C5">
      <w:pPr>
        <w:pStyle w:val="ListParagraph"/>
        <w:ind w:left="360"/>
        <w:jc w:val="both"/>
        <w:rPr>
          <w:rFonts w:ascii="Calibri" w:hAnsi="Calibri"/>
          <w:sz w:val="22"/>
          <w:szCs w:val="22"/>
        </w:rPr>
      </w:pPr>
      <w:r w:rsidRPr="006F3EC4">
        <w:rPr>
          <w:rFonts w:ascii="Calibri" w:hAnsi="Calibri"/>
          <w:sz w:val="22"/>
          <w:szCs w:val="22"/>
        </w:rPr>
        <w:t xml:space="preserve">  </w:t>
      </w:r>
    </w:p>
    <w:p w:rsidR="00991172" w:rsidRPr="006F3EC4" w:rsidRDefault="007D15C5" w:rsidP="00991172">
      <w:pPr>
        <w:pStyle w:val="ListParagraph"/>
        <w:numPr>
          <w:ilvl w:val="0"/>
          <w:numId w:val="6"/>
        </w:numPr>
        <w:tabs>
          <w:tab w:val="clear" w:pos="720"/>
          <w:tab w:val="num" w:pos="360"/>
        </w:tabs>
        <w:ind w:left="360"/>
        <w:jc w:val="both"/>
        <w:rPr>
          <w:rFonts w:ascii="Calibri" w:hAnsi="Calibri"/>
          <w:sz w:val="22"/>
          <w:szCs w:val="22"/>
        </w:rPr>
      </w:pPr>
      <w:r>
        <w:rPr>
          <w:rFonts w:ascii="Calibri" w:hAnsi="Calibri"/>
          <w:sz w:val="22"/>
          <w:szCs w:val="22"/>
        </w:rPr>
        <w:t xml:space="preserve">Në kuadër të investimeve të reja me pajisje të teknologjisë informative ZRRE pranon shumën e propozuar prej </w:t>
      </w:r>
      <w:r w:rsidRPr="007D15C5">
        <w:rPr>
          <w:rFonts w:ascii="Calibri" w:hAnsi="Calibri"/>
          <w:b/>
          <w:sz w:val="22"/>
          <w:szCs w:val="22"/>
        </w:rPr>
        <w:t>45,000 €</w:t>
      </w:r>
      <w:r>
        <w:rPr>
          <w:rFonts w:ascii="Calibri" w:hAnsi="Calibri"/>
          <w:sz w:val="22"/>
          <w:szCs w:val="22"/>
        </w:rPr>
        <w:t xml:space="preserve">. </w:t>
      </w:r>
      <w:r w:rsidR="00991172" w:rsidRPr="006F3EC4">
        <w:rPr>
          <w:rFonts w:ascii="Calibri" w:hAnsi="Calibri"/>
          <w:sz w:val="22"/>
          <w:szCs w:val="22"/>
        </w:rPr>
        <w:t xml:space="preserve">    </w:t>
      </w:r>
      <w:r w:rsidR="00991172" w:rsidRPr="006F3EC4">
        <w:rPr>
          <w:rFonts w:asciiTheme="minorHAnsi" w:hAnsiTheme="minorHAnsi" w:cs="Calibri"/>
          <w:sz w:val="22"/>
          <w:szCs w:val="22"/>
        </w:rPr>
        <w:t xml:space="preserve"> </w:t>
      </w:r>
    </w:p>
    <w:p w:rsidR="00011B9A" w:rsidRDefault="00011B9A" w:rsidP="00E807F8">
      <w:pPr>
        <w:jc w:val="both"/>
        <w:rPr>
          <w:rFonts w:asciiTheme="minorHAnsi" w:hAnsiTheme="minorHAnsi" w:cs="Calibri"/>
          <w:sz w:val="22"/>
          <w:szCs w:val="22"/>
        </w:rPr>
      </w:pPr>
    </w:p>
    <w:p w:rsidR="00011B9A" w:rsidRDefault="00F317E3" w:rsidP="00E807F8">
      <w:pPr>
        <w:jc w:val="both"/>
        <w:rPr>
          <w:rFonts w:asciiTheme="minorHAnsi" w:hAnsiTheme="minorHAnsi" w:cs="Calibri"/>
          <w:sz w:val="22"/>
          <w:szCs w:val="22"/>
        </w:rPr>
      </w:pPr>
      <w:r>
        <w:rPr>
          <w:rFonts w:asciiTheme="minorHAnsi" w:hAnsiTheme="minorHAnsi" w:cs="Calibri"/>
          <w:sz w:val="22"/>
          <w:szCs w:val="22"/>
        </w:rPr>
        <w:t xml:space="preserve">Bazuar në vlerësimet e paraqitura më lartë ZRRE pranon </w:t>
      </w:r>
      <w:r w:rsidR="00D4473B">
        <w:rPr>
          <w:rFonts w:asciiTheme="minorHAnsi" w:hAnsiTheme="minorHAnsi" w:cs="Calibri"/>
          <w:sz w:val="22"/>
          <w:szCs w:val="22"/>
        </w:rPr>
        <w:t xml:space="preserve">gjegjësisht lejon </w:t>
      </w:r>
      <w:r>
        <w:rPr>
          <w:rFonts w:asciiTheme="minorHAnsi" w:hAnsiTheme="minorHAnsi" w:cs="Calibri"/>
          <w:sz w:val="22"/>
          <w:szCs w:val="22"/>
        </w:rPr>
        <w:t xml:space="preserve">Investimet e reja të planifikuara në vlerë totale prej </w:t>
      </w:r>
      <w:r w:rsidR="00D4473B">
        <w:rPr>
          <w:rFonts w:asciiTheme="minorHAnsi" w:hAnsiTheme="minorHAnsi" w:cs="Calibri"/>
          <w:b/>
          <w:sz w:val="22"/>
          <w:szCs w:val="22"/>
        </w:rPr>
        <w:t>8</w:t>
      </w:r>
      <w:r w:rsidRPr="00F317E3">
        <w:rPr>
          <w:rFonts w:asciiTheme="minorHAnsi" w:hAnsiTheme="minorHAnsi" w:cs="Calibri"/>
          <w:b/>
          <w:sz w:val="22"/>
          <w:szCs w:val="22"/>
        </w:rPr>
        <w:t>,</w:t>
      </w:r>
      <w:r w:rsidR="00D4473B">
        <w:rPr>
          <w:rFonts w:asciiTheme="minorHAnsi" w:hAnsiTheme="minorHAnsi" w:cs="Calibri"/>
          <w:b/>
          <w:sz w:val="22"/>
          <w:szCs w:val="22"/>
        </w:rPr>
        <w:t>394</w:t>
      </w:r>
      <w:r w:rsidRPr="00F317E3">
        <w:rPr>
          <w:rFonts w:asciiTheme="minorHAnsi" w:hAnsiTheme="minorHAnsi" w:cs="Calibri"/>
          <w:b/>
          <w:sz w:val="22"/>
          <w:szCs w:val="22"/>
        </w:rPr>
        <w:t>,</w:t>
      </w:r>
      <w:r w:rsidR="00991172">
        <w:rPr>
          <w:rFonts w:asciiTheme="minorHAnsi" w:hAnsiTheme="minorHAnsi" w:cs="Calibri"/>
          <w:b/>
          <w:sz w:val="22"/>
          <w:szCs w:val="22"/>
        </w:rPr>
        <w:t>0</w:t>
      </w:r>
      <w:r w:rsidRPr="00F317E3">
        <w:rPr>
          <w:rFonts w:asciiTheme="minorHAnsi" w:hAnsiTheme="minorHAnsi" w:cs="Calibri"/>
          <w:b/>
          <w:sz w:val="22"/>
          <w:szCs w:val="22"/>
        </w:rPr>
        <w:t>00 €</w:t>
      </w:r>
      <w:r w:rsidR="00D4473B">
        <w:rPr>
          <w:rFonts w:asciiTheme="minorHAnsi" w:hAnsiTheme="minorHAnsi" w:cs="Calibri"/>
          <w:b/>
          <w:sz w:val="22"/>
          <w:szCs w:val="22"/>
        </w:rPr>
        <w:t>.</w:t>
      </w:r>
      <w:r>
        <w:rPr>
          <w:rFonts w:asciiTheme="minorHAnsi" w:hAnsiTheme="minorHAnsi" w:cs="Calibri"/>
          <w:sz w:val="22"/>
          <w:szCs w:val="22"/>
        </w:rPr>
        <w:t xml:space="preserve"> </w:t>
      </w:r>
    </w:p>
    <w:p w:rsidR="0006650C" w:rsidRDefault="0006650C" w:rsidP="00E807F8">
      <w:pPr>
        <w:jc w:val="both"/>
        <w:rPr>
          <w:rFonts w:asciiTheme="minorHAnsi" w:hAnsiTheme="minorHAnsi" w:cs="Calibri"/>
          <w:sz w:val="22"/>
          <w:szCs w:val="22"/>
        </w:rPr>
      </w:pPr>
    </w:p>
    <w:p w:rsidR="00E807F8" w:rsidRPr="00E84532" w:rsidRDefault="00E807F8" w:rsidP="00E807F8">
      <w:pPr>
        <w:jc w:val="both"/>
        <w:rPr>
          <w:rFonts w:asciiTheme="minorHAnsi" w:hAnsiTheme="minorHAnsi" w:cs="Calibri"/>
          <w:b/>
          <w:color w:val="000000"/>
          <w:sz w:val="22"/>
          <w:szCs w:val="22"/>
        </w:rPr>
      </w:pPr>
      <w:r w:rsidRPr="00E84532">
        <w:rPr>
          <w:rFonts w:asciiTheme="minorHAnsi" w:hAnsiTheme="minorHAnsi" w:cs="Calibri"/>
          <w:b/>
          <w:color w:val="000000"/>
          <w:sz w:val="22"/>
          <w:szCs w:val="22"/>
        </w:rPr>
        <w:t>Ndarja sipas mënyrës së financimit:</w:t>
      </w:r>
    </w:p>
    <w:p w:rsidR="00E807F8" w:rsidRPr="00E84532" w:rsidRDefault="00E807F8" w:rsidP="00E807F8">
      <w:pPr>
        <w:jc w:val="both"/>
        <w:rPr>
          <w:rFonts w:asciiTheme="minorHAnsi" w:hAnsiTheme="minorHAnsi" w:cs="Calibri"/>
          <w:b/>
          <w:color w:val="000000"/>
          <w:sz w:val="22"/>
          <w:szCs w:val="22"/>
        </w:rPr>
      </w:pPr>
    </w:p>
    <w:p w:rsidR="00E807F8" w:rsidRPr="00E84532" w:rsidRDefault="00E807F8" w:rsidP="00E807F8">
      <w:pPr>
        <w:jc w:val="both"/>
        <w:rPr>
          <w:rFonts w:asciiTheme="minorHAnsi" w:hAnsiTheme="minorHAnsi" w:cs="Calibri"/>
          <w:color w:val="000000"/>
          <w:sz w:val="22"/>
          <w:szCs w:val="22"/>
        </w:rPr>
      </w:pPr>
      <w:r w:rsidRPr="00E84532">
        <w:rPr>
          <w:rFonts w:asciiTheme="minorHAnsi" w:hAnsiTheme="minorHAnsi" w:cs="Calibri"/>
          <w:color w:val="000000"/>
          <w:sz w:val="22"/>
          <w:szCs w:val="22"/>
        </w:rPr>
        <w:t>Duke ju referuar detajeve të financimit të përshkruara më lartë ndarja e Investimeve të reja të lejuara  sipas mënyrës së financimit është si më poshtë:</w:t>
      </w:r>
    </w:p>
    <w:p w:rsidR="00E807F8" w:rsidRPr="00E84532" w:rsidRDefault="00E807F8" w:rsidP="00E807F8">
      <w:pPr>
        <w:jc w:val="both"/>
        <w:rPr>
          <w:rFonts w:asciiTheme="minorHAnsi" w:hAnsiTheme="minorHAnsi" w:cs="Calibri"/>
          <w:color w:val="000000"/>
          <w:sz w:val="22"/>
          <w:szCs w:val="22"/>
        </w:rPr>
      </w:pPr>
    </w:p>
    <w:p w:rsidR="00E807F8" w:rsidRPr="00E84532" w:rsidRDefault="00E807F8" w:rsidP="00F23C29">
      <w:pPr>
        <w:pStyle w:val="ListParagraph"/>
        <w:numPr>
          <w:ilvl w:val="0"/>
          <w:numId w:val="6"/>
        </w:numPr>
        <w:contextualSpacing w:val="0"/>
        <w:jc w:val="both"/>
        <w:rPr>
          <w:rFonts w:asciiTheme="minorHAnsi" w:hAnsiTheme="minorHAnsi" w:cs="Calibri"/>
          <w:sz w:val="22"/>
          <w:szCs w:val="22"/>
        </w:rPr>
      </w:pPr>
      <w:r w:rsidRPr="00E84532">
        <w:rPr>
          <w:rFonts w:asciiTheme="minorHAnsi" w:hAnsiTheme="minorHAnsi" w:cs="Calibri"/>
          <w:sz w:val="22"/>
          <w:szCs w:val="22"/>
        </w:rPr>
        <w:t>(Investimet e reja të lejuara)</w:t>
      </w:r>
      <w:r w:rsidRPr="00E84532">
        <w:rPr>
          <w:rFonts w:asciiTheme="minorHAnsi" w:hAnsiTheme="minorHAnsi" w:cs="Calibri"/>
          <w:sz w:val="22"/>
          <w:szCs w:val="22"/>
          <w:vertAlign w:val="subscript"/>
        </w:rPr>
        <w:t>DONACION</w:t>
      </w:r>
      <w:r w:rsidR="00D4473B">
        <w:rPr>
          <w:rFonts w:asciiTheme="minorHAnsi" w:hAnsiTheme="minorHAnsi" w:cs="Calibri"/>
          <w:sz w:val="22"/>
          <w:szCs w:val="22"/>
        </w:rPr>
        <w:t xml:space="preserve">  = 7</w:t>
      </w:r>
      <w:r w:rsidRPr="00E84532">
        <w:rPr>
          <w:rFonts w:asciiTheme="minorHAnsi" w:hAnsiTheme="minorHAnsi" w:cs="Calibri"/>
          <w:sz w:val="22"/>
          <w:szCs w:val="22"/>
        </w:rPr>
        <w:t>,</w:t>
      </w:r>
      <w:r w:rsidR="00D4473B">
        <w:rPr>
          <w:rFonts w:asciiTheme="minorHAnsi" w:hAnsiTheme="minorHAnsi" w:cs="Calibri"/>
          <w:sz w:val="22"/>
          <w:szCs w:val="22"/>
        </w:rPr>
        <w:t>000</w:t>
      </w:r>
      <w:r w:rsidRPr="00E84532">
        <w:rPr>
          <w:rFonts w:asciiTheme="minorHAnsi" w:hAnsiTheme="minorHAnsi" w:cs="Calibri"/>
          <w:sz w:val="22"/>
          <w:szCs w:val="22"/>
        </w:rPr>
        <w:t>,000 €; dhe</w:t>
      </w:r>
    </w:p>
    <w:p w:rsidR="00E807F8" w:rsidRPr="00E84532" w:rsidRDefault="00E807F8" w:rsidP="00F23C29">
      <w:pPr>
        <w:pStyle w:val="ListParagraph"/>
        <w:numPr>
          <w:ilvl w:val="0"/>
          <w:numId w:val="6"/>
        </w:numPr>
        <w:contextualSpacing w:val="0"/>
        <w:jc w:val="both"/>
        <w:rPr>
          <w:rFonts w:asciiTheme="minorHAnsi" w:hAnsiTheme="minorHAnsi" w:cs="Calibri"/>
          <w:sz w:val="22"/>
          <w:szCs w:val="22"/>
        </w:rPr>
      </w:pPr>
      <w:r w:rsidRPr="00E84532">
        <w:rPr>
          <w:rFonts w:asciiTheme="minorHAnsi" w:hAnsiTheme="minorHAnsi" w:cs="Calibri"/>
          <w:sz w:val="22"/>
          <w:szCs w:val="22"/>
        </w:rPr>
        <w:t>(Investimet e reja të lejuara)</w:t>
      </w:r>
      <w:r w:rsidRPr="00E84532">
        <w:rPr>
          <w:rFonts w:asciiTheme="minorHAnsi" w:hAnsiTheme="minorHAnsi" w:cs="Calibri"/>
          <w:sz w:val="22"/>
          <w:szCs w:val="22"/>
          <w:vertAlign w:val="subscript"/>
        </w:rPr>
        <w:t>VETFINANC.</w:t>
      </w:r>
      <w:r w:rsidRPr="00E84532">
        <w:rPr>
          <w:rFonts w:asciiTheme="minorHAnsi" w:hAnsiTheme="minorHAnsi" w:cs="Calibri"/>
          <w:sz w:val="22"/>
          <w:szCs w:val="22"/>
        </w:rPr>
        <w:t xml:space="preserve"> = </w:t>
      </w:r>
      <w:r w:rsidR="00D4473B">
        <w:rPr>
          <w:rFonts w:asciiTheme="minorHAnsi" w:hAnsiTheme="minorHAnsi" w:cs="Calibri"/>
          <w:sz w:val="22"/>
          <w:szCs w:val="22"/>
        </w:rPr>
        <w:t>1,394</w:t>
      </w:r>
      <w:r w:rsidRPr="00E84532">
        <w:rPr>
          <w:rFonts w:asciiTheme="minorHAnsi" w:hAnsiTheme="minorHAnsi" w:cs="Calibri"/>
          <w:sz w:val="22"/>
          <w:szCs w:val="22"/>
        </w:rPr>
        <w:t>,</w:t>
      </w:r>
      <w:r w:rsidR="00991172">
        <w:rPr>
          <w:rFonts w:asciiTheme="minorHAnsi" w:hAnsiTheme="minorHAnsi" w:cs="Calibri"/>
          <w:sz w:val="22"/>
          <w:szCs w:val="22"/>
        </w:rPr>
        <w:t>0</w:t>
      </w:r>
      <w:r w:rsidRPr="00E84532">
        <w:rPr>
          <w:rFonts w:asciiTheme="minorHAnsi" w:hAnsiTheme="minorHAnsi" w:cs="Calibri"/>
          <w:sz w:val="22"/>
          <w:szCs w:val="22"/>
        </w:rPr>
        <w:t>00 €.</w:t>
      </w:r>
    </w:p>
    <w:p w:rsidR="00E807F8" w:rsidRPr="00F97D29" w:rsidRDefault="00E807F8" w:rsidP="00C51657">
      <w:pPr>
        <w:pStyle w:val="Heading2"/>
        <w:numPr>
          <w:ilvl w:val="0"/>
          <w:numId w:val="0"/>
        </w:numPr>
        <w:ind w:left="720"/>
        <w:rPr>
          <w:lang w:eastAsia="ja-JP"/>
        </w:rPr>
      </w:pPr>
      <w:r w:rsidRPr="00E84532">
        <w:rPr>
          <w:rFonts w:cs="Calibri"/>
          <w:color w:val="000000"/>
        </w:rPr>
        <w:t xml:space="preserve"> </w:t>
      </w:r>
    </w:p>
    <w:p w:rsidR="00E807F8" w:rsidRPr="00B553B1" w:rsidRDefault="00F90B33" w:rsidP="006122E6">
      <w:pPr>
        <w:pStyle w:val="Heading3"/>
      </w:pPr>
      <w:bookmarkStart w:id="67" w:name="_Toc526514487"/>
      <w:bookmarkStart w:id="68" w:name="_Toc21513549"/>
      <w:bookmarkStart w:id="69" w:name="_Toc21514375"/>
      <w:bookmarkStart w:id="70" w:name="_Toc21514859"/>
      <w:bookmarkStart w:id="71" w:name="_Toc21515559"/>
      <w:bookmarkStart w:id="72" w:name="_Toc21521382"/>
      <w:r w:rsidRPr="00B553B1">
        <w:t xml:space="preserve">3.2.3 </w:t>
      </w:r>
      <w:r w:rsidRPr="00B553B1">
        <w:tab/>
      </w:r>
      <w:r w:rsidR="00E807F8" w:rsidRPr="00B553B1">
        <w:t>Përcaktimi i Kapitalit Punues</w:t>
      </w:r>
      <w:bookmarkEnd w:id="67"/>
      <w:bookmarkEnd w:id="68"/>
      <w:bookmarkEnd w:id="69"/>
      <w:bookmarkEnd w:id="70"/>
      <w:bookmarkEnd w:id="71"/>
      <w:bookmarkEnd w:id="72"/>
    </w:p>
    <w:p w:rsidR="00B553B1" w:rsidRDefault="00B553B1" w:rsidP="00E807F8">
      <w:pPr>
        <w:pStyle w:val="BodyText"/>
        <w:jc w:val="both"/>
        <w:rPr>
          <w:rFonts w:asciiTheme="minorHAnsi" w:hAnsiTheme="minorHAnsi"/>
          <w:sz w:val="22"/>
          <w:szCs w:val="22"/>
        </w:rPr>
      </w:pPr>
    </w:p>
    <w:p w:rsidR="00E807F8" w:rsidRDefault="00E807F8" w:rsidP="00E807F8">
      <w:pPr>
        <w:pStyle w:val="BodyText"/>
        <w:jc w:val="both"/>
        <w:rPr>
          <w:rFonts w:asciiTheme="minorHAnsi" w:hAnsiTheme="minorHAnsi"/>
          <w:b/>
          <w:sz w:val="22"/>
          <w:szCs w:val="22"/>
        </w:rPr>
      </w:pPr>
      <w:r w:rsidRPr="00E84532">
        <w:rPr>
          <w:rFonts w:asciiTheme="minorHAnsi" w:hAnsiTheme="minorHAnsi"/>
          <w:sz w:val="22"/>
          <w:szCs w:val="22"/>
        </w:rPr>
        <w:t>Sipas dispozitave përkatëse të Rregullës për Vendosjen e Çmimeve të Energjisë Termike – Shtojca 2, kapitali punues zakonisht përcaktohet për të lejuara mjete monetare qarkulluese për një periudhë jo më të gjatë se një muaj respektivisht vlerën e të hyrave mesatare mujore. Rrjedhimisht, ZRRE përcakton raportin 1/12 në të hyrat nga shitja e ngrohjes të realizuara në sezonin 201</w:t>
      </w:r>
      <w:r w:rsidR="004E1876">
        <w:rPr>
          <w:rFonts w:asciiTheme="minorHAnsi" w:hAnsiTheme="minorHAnsi"/>
          <w:sz w:val="22"/>
          <w:szCs w:val="22"/>
        </w:rPr>
        <w:t>9</w:t>
      </w:r>
      <w:r w:rsidRPr="00E84532">
        <w:rPr>
          <w:rFonts w:asciiTheme="minorHAnsi" w:hAnsiTheme="minorHAnsi"/>
          <w:sz w:val="22"/>
          <w:szCs w:val="22"/>
        </w:rPr>
        <w:t>/20</w:t>
      </w:r>
      <w:r w:rsidR="004E1876">
        <w:rPr>
          <w:rFonts w:asciiTheme="minorHAnsi" w:hAnsiTheme="minorHAnsi"/>
          <w:sz w:val="22"/>
          <w:szCs w:val="22"/>
        </w:rPr>
        <w:t>20 – 6,3</w:t>
      </w:r>
      <w:r w:rsidR="00C247EA">
        <w:rPr>
          <w:rFonts w:asciiTheme="minorHAnsi" w:hAnsiTheme="minorHAnsi"/>
          <w:sz w:val="22"/>
          <w:szCs w:val="22"/>
        </w:rPr>
        <w:t>8</w:t>
      </w:r>
      <w:r w:rsidR="004E1876">
        <w:rPr>
          <w:rFonts w:asciiTheme="minorHAnsi" w:hAnsiTheme="minorHAnsi"/>
          <w:sz w:val="22"/>
          <w:szCs w:val="22"/>
        </w:rPr>
        <w:t>1</w:t>
      </w:r>
      <w:r w:rsidR="00C247EA">
        <w:rPr>
          <w:rFonts w:asciiTheme="minorHAnsi" w:hAnsiTheme="minorHAnsi"/>
          <w:sz w:val="22"/>
          <w:szCs w:val="22"/>
        </w:rPr>
        <w:t>,</w:t>
      </w:r>
      <w:r w:rsidR="004E1876">
        <w:rPr>
          <w:rFonts w:asciiTheme="minorHAnsi" w:hAnsiTheme="minorHAnsi"/>
          <w:sz w:val="22"/>
          <w:szCs w:val="22"/>
        </w:rPr>
        <w:t>802</w:t>
      </w:r>
      <w:r w:rsidR="00C247EA">
        <w:rPr>
          <w:rFonts w:asciiTheme="minorHAnsi" w:hAnsiTheme="minorHAnsi"/>
          <w:sz w:val="22"/>
          <w:szCs w:val="22"/>
        </w:rPr>
        <w:t xml:space="preserve"> €, </w:t>
      </w:r>
      <w:r w:rsidRPr="00E84532">
        <w:rPr>
          <w:rFonts w:asciiTheme="minorHAnsi" w:hAnsiTheme="minorHAnsi"/>
          <w:sz w:val="22"/>
          <w:szCs w:val="22"/>
        </w:rPr>
        <w:t xml:space="preserve"> dhe lejon </w:t>
      </w:r>
      <w:r w:rsidRPr="00C247EA">
        <w:rPr>
          <w:rFonts w:asciiTheme="minorHAnsi" w:hAnsiTheme="minorHAnsi"/>
          <w:b/>
          <w:sz w:val="22"/>
          <w:szCs w:val="22"/>
        </w:rPr>
        <w:t>kapitalin punues</w:t>
      </w:r>
      <w:r w:rsidR="00C247EA">
        <w:rPr>
          <w:rFonts w:asciiTheme="minorHAnsi" w:hAnsiTheme="minorHAnsi"/>
          <w:sz w:val="22"/>
          <w:szCs w:val="22"/>
        </w:rPr>
        <w:t xml:space="preserve"> në vlerën </w:t>
      </w:r>
      <w:r w:rsidR="004E1876">
        <w:rPr>
          <w:rFonts w:asciiTheme="minorHAnsi" w:hAnsiTheme="minorHAnsi"/>
          <w:b/>
          <w:sz w:val="22"/>
          <w:szCs w:val="22"/>
        </w:rPr>
        <w:t>531</w:t>
      </w:r>
      <w:r w:rsidRPr="00C247EA">
        <w:rPr>
          <w:rFonts w:asciiTheme="minorHAnsi" w:hAnsiTheme="minorHAnsi"/>
          <w:b/>
          <w:sz w:val="22"/>
          <w:szCs w:val="22"/>
        </w:rPr>
        <w:t>,</w:t>
      </w:r>
      <w:r w:rsidR="004E1876">
        <w:rPr>
          <w:rFonts w:asciiTheme="minorHAnsi" w:hAnsiTheme="minorHAnsi"/>
          <w:b/>
          <w:sz w:val="22"/>
          <w:szCs w:val="22"/>
        </w:rPr>
        <w:t>817</w:t>
      </w:r>
      <w:r w:rsidRPr="00C247EA">
        <w:rPr>
          <w:rFonts w:asciiTheme="minorHAnsi" w:hAnsiTheme="minorHAnsi"/>
          <w:b/>
          <w:sz w:val="22"/>
          <w:szCs w:val="22"/>
        </w:rPr>
        <w:t xml:space="preserve"> €.</w:t>
      </w:r>
    </w:p>
    <w:p w:rsidR="00C1160E" w:rsidRPr="00E84532" w:rsidRDefault="00C1160E" w:rsidP="00E807F8">
      <w:pPr>
        <w:pStyle w:val="BodyText"/>
        <w:jc w:val="both"/>
        <w:rPr>
          <w:rFonts w:asciiTheme="minorHAnsi" w:hAnsiTheme="minorHAnsi"/>
          <w:sz w:val="22"/>
          <w:szCs w:val="22"/>
        </w:rPr>
      </w:pPr>
    </w:p>
    <w:p w:rsidR="00E807F8" w:rsidRPr="00C1160E" w:rsidRDefault="00F90B33" w:rsidP="006122E6">
      <w:pPr>
        <w:pStyle w:val="Heading3"/>
      </w:pPr>
      <w:bookmarkStart w:id="73" w:name="_Toc526514488"/>
      <w:bookmarkStart w:id="74" w:name="_Toc21513550"/>
      <w:bookmarkStart w:id="75" w:name="_Toc21514376"/>
      <w:bookmarkStart w:id="76" w:name="_Toc21514860"/>
      <w:bookmarkStart w:id="77" w:name="_Toc21515560"/>
      <w:bookmarkStart w:id="78" w:name="_Toc21521383"/>
      <w:r w:rsidRPr="00C1160E">
        <w:t>3.2.4</w:t>
      </w:r>
      <w:r w:rsidRPr="00C1160E">
        <w:tab/>
      </w:r>
      <w:r w:rsidR="00E807F8" w:rsidRPr="00C1160E">
        <w:t>Zhvlerësimi Vjetorë i Aseteve - realizuar në sezonin 201</w:t>
      </w:r>
      <w:r w:rsidR="004E1876" w:rsidRPr="00C1160E">
        <w:t>9</w:t>
      </w:r>
      <w:r w:rsidR="00E807F8" w:rsidRPr="00C1160E">
        <w:t>/</w:t>
      </w:r>
      <w:r w:rsidR="004E1876" w:rsidRPr="00C1160E">
        <w:t>20</w:t>
      </w:r>
      <w:r w:rsidR="00E807F8" w:rsidRPr="00C1160E">
        <w:t xml:space="preserve"> (‘n-1’)</w:t>
      </w:r>
      <w:bookmarkEnd w:id="73"/>
      <w:bookmarkEnd w:id="74"/>
      <w:bookmarkEnd w:id="75"/>
      <w:bookmarkEnd w:id="76"/>
      <w:bookmarkEnd w:id="77"/>
      <w:bookmarkEnd w:id="78"/>
    </w:p>
    <w:p w:rsidR="00B553B1" w:rsidRDefault="00B553B1" w:rsidP="00B553B1">
      <w:pPr>
        <w:rPr>
          <w:rFonts w:asciiTheme="minorHAnsi" w:hAnsiTheme="minorHAnsi" w:cstheme="minorHAnsi"/>
          <w:sz w:val="22"/>
          <w:szCs w:val="22"/>
        </w:rPr>
      </w:pPr>
      <w:bookmarkStart w:id="79" w:name="_Toc526514489"/>
    </w:p>
    <w:p w:rsidR="00E807F8" w:rsidRPr="00B553B1" w:rsidRDefault="00C247EA" w:rsidP="00B553B1">
      <w:pPr>
        <w:rPr>
          <w:rFonts w:asciiTheme="minorHAnsi" w:hAnsiTheme="minorHAnsi" w:cstheme="minorHAnsi"/>
          <w:sz w:val="22"/>
          <w:szCs w:val="22"/>
        </w:rPr>
      </w:pPr>
      <w:r w:rsidRPr="00B553B1">
        <w:rPr>
          <w:rFonts w:asciiTheme="minorHAnsi" w:hAnsiTheme="minorHAnsi" w:cstheme="minorHAnsi"/>
          <w:sz w:val="22"/>
          <w:szCs w:val="22"/>
        </w:rPr>
        <w:t xml:space="preserve">Zhvlerësimi vjetorë </w:t>
      </w:r>
      <w:r w:rsidR="0018673A" w:rsidRPr="00B553B1">
        <w:rPr>
          <w:rFonts w:asciiTheme="minorHAnsi" w:hAnsiTheme="minorHAnsi" w:cstheme="minorHAnsi"/>
          <w:sz w:val="22"/>
          <w:szCs w:val="22"/>
        </w:rPr>
        <w:t>i realizuar në</w:t>
      </w:r>
      <w:r w:rsidRPr="00B553B1">
        <w:rPr>
          <w:rFonts w:asciiTheme="minorHAnsi" w:hAnsiTheme="minorHAnsi" w:cstheme="minorHAnsi"/>
          <w:sz w:val="22"/>
          <w:szCs w:val="22"/>
        </w:rPr>
        <w:t xml:space="preserve"> sezonin ‘n-1’ – 201</w:t>
      </w:r>
      <w:r w:rsidR="004E1876">
        <w:rPr>
          <w:rFonts w:asciiTheme="minorHAnsi" w:hAnsiTheme="minorHAnsi" w:cstheme="minorHAnsi"/>
          <w:sz w:val="22"/>
          <w:szCs w:val="22"/>
        </w:rPr>
        <w:t>9</w:t>
      </w:r>
      <w:r w:rsidR="00E807F8" w:rsidRPr="00B553B1">
        <w:rPr>
          <w:rFonts w:asciiTheme="minorHAnsi" w:hAnsiTheme="minorHAnsi" w:cstheme="minorHAnsi"/>
          <w:sz w:val="22"/>
          <w:szCs w:val="22"/>
        </w:rPr>
        <w:t>/</w:t>
      </w:r>
      <w:r w:rsidR="004E1876">
        <w:rPr>
          <w:rFonts w:asciiTheme="minorHAnsi" w:hAnsiTheme="minorHAnsi" w:cstheme="minorHAnsi"/>
          <w:sz w:val="22"/>
          <w:szCs w:val="22"/>
        </w:rPr>
        <w:t>20</w:t>
      </w:r>
      <w:r w:rsidR="00E807F8" w:rsidRPr="00B553B1">
        <w:rPr>
          <w:rFonts w:asciiTheme="minorHAnsi" w:hAnsiTheme="minorHAnsi" w:cstheme="minorHAnsi"/>
          <w:sz w:val="22"/>
          <w:szCs w:val="22"/>
        </w:rPr>
        <w:t xml:space="preserve"> llogaritet duke u bazuar në Bazën e Aseteve të Rregulluar (RAB) të realizuar në atë </w:t>
      </w:r>
      <w:r w:rsidR="00EF1A8F" w:rsidRPr="00B553B1">
        <w:rPr>
          <w:rFonts w:asciiTheme="minorHAnsi" w:hAnsiTheme="minorHAnsi" w:cstheme="minorHAnsi"/>
          <w:sz w:val="22"/>
          <w:szCs w:val="22"/>
        </w:rPr>
        <w:t>sezon</w:t>
      </w:r>
      <w:r w:rsidR="00C1160E">
        <w:rPr>
          <w:rFonts w:asciiTheme="minorHAnsi" w:hAnsiTheme="minorHAnsi" w:cstheme="minorHAnsi"/>
          <w:sz w:val="22"/>
          <w:szCs w:val="22"/>
        </w:rPr>
        <w:t>ë</w:t>
      </w:r>
      <w:r w:rsidR="00E807F8" w:rsidRPr="00B553B1">
        <w:rPr>
          <w:rFonts w:asciiTheme="minorHAnsi" w:hAnsiTheme="minorHAnsi" w:cstheme="minorHAnsi"/>
          <w:sz w:val="22"/>
          <w:szCs w:val="22"/>
        </w:rPr>
        <w:t xml:space="preserve"> dhe mesataren e ponderuar të normës së zhvlerësimit; më konkretisht, nga Vlera e RAB të realizuar në 201</w:t>
      </w:r>
      <w:r w:rsidR="004E1876">
        <w:rPr>
          <w:rFonts w:asciiTheme="minorHAnsi" w:hAnsiTheme="minorHAnsi" w:cstheme="minorHAnsi"/>
          <w:sz w:val="22"/>
          <w:szCs w:val="22"/>
        </w:rPr>
        <w:t>9</w:t>
      </w:r>
      <w:r w:rsidR="00E807F8" w:rsidRPr="00B553B1">
        <w:rPr>
          <w:rFonts w:asciiTheme="minorHAnsi" w:hAnsiTheme="minorHAnsi" w:cstheme="minorHAnsi"/>
          <w:sz w:val="22"/>
          <w:szCs w:val="22"/>
        </w:rPr>
        <w:t>/</w:t>
      </w:r>
      <w:r w:rsidR="004E1876">
        <w:rPr>
          <w:rFonts w:asciiTheme="minorHAnsi" w:hAnsiTheme="minorHAnsi" w:cstheme="minorHAnsi"/>
          <w:sz w:val="22"/>
          <w:szCs w:val="22"/>
        </w:rPr>
        <w:t>20</w:t>
      </w:r>
      <w:r w:rsidR="00E807F8" w:rsidRPr="00B553B1">
        <w:rPr>
          <w:rFonts w:asciiTheme="minorHAnsi" w:hAnsiTheme="minorHAnsi" w:cstheme="minorHAnsi"/>
          <w:sz w:val="22"/>
          <w:szCs w:val="22"/>
        </w:rPr>
        <w:t xml:space="preserve"> (4</w:t>
      </w:r>
      <w:r w:rsidR="00C1160E">
        <w:rPr>
          <w:rFonts w:asciiTheme="minorHAnsi" w:hAnsiTheme="minorHAnsi" w:cstheme="minorHAnsi"/>
          <w:sz w:val="22"/>
          <w:szCs w:val="22"/>
        </w:rPr>
        <w:t>5</w:t>
      </w:r>
      <w:r w:rsidR="00E807F8" w:rsidRPr="00B553B1">
        <w:rPr>
          <w:rFonts w:asciiTheme="minorHAnsi" w:hAnsiTheme="minorHAnsi" w:cstheme="minorHAnsi"/>
          <w:sz w:val="22"/>
          <w:szCs w:val="22"/>
        </w:rPr>
        <w:t>,</w:t>
      </w:r>
      <w:r w:rsidR="00C1160E">
        <w:rPr>
          <w:rFonts w:asciiTheme="minorHAnsi" w:hAnsiTheme="minorHAnsi" w:cstheme="minorHAnsi"/>
          <w:sz w:val="22"/>
          <w:szCs w:val="22"/>
        </w:rPr>
        <w:t>4</w:t>
      </w:r>
      <w:r w:rsidR="002E756E" w:rsidRPr="00B553B1">
        <w:rPr>
          <w:rFonts w:asciiTheme="minorHAnsi" w:hAnsiTheme="minorHAnsi" w:cstheme="minorHAnsi"/>
          <w:sz w:val="22"/>
          <w:szCs w:val="22"/>
        </w:rPr>
        <w:t>8</w:t>
      </w:r>
      <w:r w:rsidR="00C1160E">
        <w:rPr>
          <w:rFonts w:asciiTheme="minorHAnsi" w:hAnsiTheme="minorHAnsi" w:cstheme="minorHAnsi"/>
          <w:sz w:val="22"/>
          <w:szCs w:val="22"/>
        </w:rPr>
        <w:t>7</w:t>
      </w:r>
      <w:r w:rsidR="00E807F8" w:rsidRPr="00B553B1">
        <w:rPr>
          <w:rFonts w:asciiTheme="minorHAnsi" w:hAnsiTheme="minorHAnsi" w:cstheme="minorHAnsi"/>
          <w:sz w:val="22"/>
          <w:szCs w:val="22"/>
        </w:rPr>
        <w:t>,</w:t>
      </w:r>
      <w:r w:rsidR="00C1160E">
        <w:rPr>
          <w:rFonts w:asciiTheme="minorHAnsi" w:hAnsiTheme="minorHAnsi" w:cstheme="minorHAnsi"/>
          <w:sz w:val="22"/>
          <w:szCs w:val="22"/>
        </w:rPr>
        <w:t>794</w:t>
      </w:r>
      <w:r w:rsidR="00E807F8" w:rsidRPr="00B553B1">
        <w:rPr>
          <w:rFonts w:asciiTheme="minorHAnsi" w:hAnsiTheme="minorHAnsi" w:cstheme="minorHAnsi"/>
          <w:sz w:val="22"/>
          <w:szCs w:val="22"/>
        </w:rPr>
        <w:t xml:space="preserve"> €) zbritet vlera e kapitalit punues të </w:t>
      </w:r>
      <w:r w:rsidR="00EF1A8F" w:rsidRPr="00B553B1">
        <w:rPr>
          <w:rFonts w:asciiTheme="minorHAnsi" w:hAnsiTheme="minorHAnsi" w:cstheme="minorHAnsi"/>
          <w:sz w:val="22"/>
          <w:szCs w:val="22"/>
        </w:rPr>
        <w:t>realizuar</w:t>
      </w:r>
      <w:r w:rsidR="00E807F8" w:rsidRPr="00B553B1">
        <w:rPr>
          <w:rFonts w:asciiTheme="minorHAnsi" w:hAnsiTheme="minorHAnsi" w:cstheme="minorHAnsi"/>
          <w:sz w:val="22"/>
          <w:szCs w:val="22"/>
        </w:rPr>
        <w:t xml:space="preserve"> (5</w:t>
      </w:r>
      <w:r w:rsidR="004E1876">
        <w:rPr>
          <w:rFonts w:asciiTheme="minorHAnsi" w:hAnsiTheme="minorHAnsi" w:cstheme="minorHAnsi"/>
          <w:sz w:val="22"/>
          <w:szCs w:val="22"/>
        </w:rPr>
        <w:t>24</w:t>
      </w:r>
      <w:r w:rsidR="00E807F8" w:rsidRPr="00B553B1">
        <w:rPr>
          <w:rFonts w:asciiTheme="minorHAnsi" w:hAnsiTheme="minorHAnsi" w:cstheme="minorHAnsi"/>
          <w:sz w:val="22"/>
          <w:szCs w:val="22"/>
        </w:rPr>
        <w:t>,06</w:t>
      </w:r>
      <w:r w:rsidR="004E1876">
        <w:rPr>
          <w:rFonts w:asciiTheme="minorHAnsi" w:hAnsiTheme="minorHAnsi" w:cstheme="minorHAnsi"/>
          <w:sz w:val="22"/>
          <w:szCs w:val="22"/>
        </w:rPr>
        <w:t>6</w:t>
      </w:r>
      <w:r w:rsidR="00E807F8" w:rsidRPr="00B553B1">
        <w:rPr>
          <w:rFonts w:asciiTheme="minorHAnsi" w:hAnsiTheme="minorHAnsi" w:cstheme="minorHAnsi"/>
          <w:sz w:val="22"/>
          <w:szCs w:val="22"/>
        </w:rPr>
        <w:t xml:space="preserve"> €), dhe shuma e fituar (4</w:t>
      </w:r>
      <w:r w:rsidR="004E1876">
        <w:rPr>
          <w:rFonts w:asciiTheme="minorHAnsi" w:hAnsiTheme="minorHAnsi" w:cstheme="minorHAnsi"/>
          <w:sz w:val="22"/>
          <w:szCs w:val="22"/>
        </w:rPr>
        <w:t>4</w:t>
      </w:r>
      <w:r w:rsidR="00E807F8" w:rsidRPr="00B553B1">
        <w:rPr>
          <w:rFonts w:asciiTheme="minorHAnsi" w:hAnsiTheme="minorHAnsi" w:cstheme="minorHAnsi"/>
          <w:sz w:val="22"/>
          <w:szCs w:val="22"/>
        </w:rPr>
        <w:t>,</w:t>
      </w:r>
      <w:r w:rsidR="004E1876">
        <w:rPr>
          <w:rFonts w:asciiTheme="minorHAnsi" w:hAnsiTheme="minorHAnsi" w:cstheme="minorHAnsi"/>
          <w:sz w:val="22"/>
          <w:szCs w:val="22"/>
        </w:rPr>
        <w:t>963</w:t>
      </w:r>
      <w:r w:rsidR="00E807F8" w:rsidRPr="00B553B1">
        <w:rPr>
          <w:rFonts w:asciiTheme="minorHAnsi" w:hAnsiTheme="minorHAnsi" w:cstheme="minorHAnsi"/>
          <w:sz w:val="22"/>
          <w:szCs w:val="22"/>
        </w:rPr>
        <w:t>,</w:t>
      </w:r>
      <w:r w:rsidR="004E1876">
        <w:rPr>
          <w:rFonts w:asciiTheme="minorHAnsi" w:hAnsiTheme="minorHAnsi" w:cstheme="minorHAnsi"/>
          <w:sz w:val="22"/>
          <w:szCs w:val="22"/>
        </w:rPr>
        <w:t>728</w:t>
      </w:r>
      <w:r w:rsidR="00E807F8" w:rsidRPr="00B553B1">
        <w:rPr>
          <w:rFonts w:asciiTheme="minorHAnsi" w:hAnsiTheme="minorHAnsi" w:cstheme="minorHAnsi"/>
          <w:sz w:val="22"/>
          <w:szCs w:val="22"/>
        </w:rPr>
        <w:t xml:space="preserve"> €) shumëzohet me mesataren e ponderuar të </w:t>
      </w:r>
      <w:r w:rsidR="00EF1A8F" w:rsidRPr="00B553B1">
        <w:rPr>
          <w:rFonts w:asciiTheme="minorHAnsi" w:hAnsiTheme="minorHAnsi" w:cstheme="minorHAnsi"/>
          <w:sz w:val="22"/>
          <w:szCs w:val="22"/>
        </w:rPr>
        <w:t>normës</w:t>
      </w:r>
      <w:r w:rsidR="00E807F8" w:rsidRPr="00B553B1">
        <w:rPr>
          <w:rFonts w:asciiTheme="minorHAnsi" w:hAnsiTheme="minorHAnsi" w:cstheme="minorHAnsi"/>
          <w:sz w:val="22"/>
          <w:szCs w:val="22"/>
        </w:rPr>
        <w:t xml:space="preserve"> së zhvlerësimit (3.3</w:t>
      </w:r>
      <w:r w:rsidR="004E1876">
        <w:rPr>
          <w:rFonts w:asciiTheme="minorHAnsi" w:hAnsiTheme="minorHAnsi" w:cstheme="minorHAnsi"/>
          <w:sz w:val="22"/>
          <w:szCs w:val="22"/>
        </w:rPr>
        <w:t>0</w:t>
      </w:r>
      <w:r w:rsidR="00E807F8" w:rsidRPr="00B553B1">
        <w:rPr>
          <w:rFonts w:asciiTheme="minorHAnsi" w:hAnsiTheme="minorHAnsi" w:cstheme="minorHAnsi"/>
          <w:sz w:val="22"/>
          <w:szCs w:val="22"/>
        </w:rPr>
        <w:t xml:space="preserve">%). Pra nga kjo llogaritet </w:t>
      </w:r>
      <w:r w:rsidR="00E807F8" w:rsidRPr="004A64EF">
        <w:rPr>
          <w:rFonts w:asciiTheme="minorHAnsi" w:hAnsiTheme="minorHAnsi" w:cstheme="minorHAnsi"/>
          <w:b/>
          <w:sz w:val="22"/>
          <w:szCs w:val="22"/>
        </w:rPr>
        <w:t>Zhvlerësimi vj</w:t>
      </w:r>
      <w:r w:rsidR="009851EF" w:rsidRPr="004A64EF">
        <w:rPr>
          <w:rFonts w:asciiTheme="minorHAnsi" w:hAnsiTheme="minorHAnsi" w:cstheme="minorHAnsi"/>
          <w:b/>
          <w:sz w:val="22"/>
          <w:szCs w:val="22"/>
        </w:rPr>
        <w:t>etor i realizuar në sezonin 201</w:t>
      </w:r>
      <w:r w:rsidR="00C1160E" w:rsidRPr="004A64EF">
        <w:rPr>
          <w:rFonts w:asciiTheme="minorHAnsi" w:hAnsiTheme="minorHAnsi" w:cstheme="minorHAnsi"/>
          <w:b/>
          <w:sz w:val="22"/>
          <w:szCs w:val="22"/>
        </w:rPr>
        <w:t>9</w:t>
      </w:r>
      <w:r w:rsidR="00E807F8" w:rsidRPr="004A64EF">
        <w:rPr>
          <w:rFonts w:asciiTheme="minorHAnsi" w:hAnsiTheme="minorHAnsi" w:cstheme="minorHAnsi"/>
          <w:b/>
          <w:sz w:val="22"/>
          <w:szCs w:val="22"/>
        </w:rPr>
        <w:t>/</w:t>
      </w:r>
      <w:r w:rsidR="00C1160E" w:rsidRPr="004A64EF">
        <w:rPr>
          <w:rFonts w:asciiTheme="minorHAnsi" w:hAnsiTheme="minorHAnsi" w:cstheme="minorHAnsi"/>
          <w:b/>
          <w:sz w:val="22"/>
          <w:szCs w:val="22"/>
        </w:rPr>
        <w:t>20</w:t>
      </w:r>
      <w:r w:rsidR="00E807F8" w:rsidRPr="00B553B1">
        <w:rPr>
          <w:rFonts w:asciiTheme="minorHAnsi" w:hAnsiTheme="minorHAnsi" w:cstheme="minorHAnsi"/>
          <w:sz w:val="22"/>
          <w:szCs w:val="22"/>
        </w:rPr>
        <w:t xml:space="preserve"> në vlerën </w:t>
      </w:r>
      <w:r w:rsidR="00E807F8" w:rsidRPr="004A64EF">
        <w:rPr>
          <w:rFonts w:asciiTheme="minorHAnsi" w:hAnsiTheme="minorHAnsi" w:cstheme="minorHAnsi"/>
          <w:b/>
          <w:sz w:val="22"/>
          <w:szCs w:val="22"/>
        </w:rPr>
        <w:t>1,</w:t>
      </w:r>
      <w:r w:rsidR="004E1876" w:rsidRPr="004A64EF">
        <w:rPr>
          <w:rFonts w:asciiTheme="minorHAnsi" w:hAnsiTheme="minorHAnsi" w:cstheme="minorHAnsi"/>
          <w:b/>
          <w:sz w:val="22"/>
          <w:szCs w:val="22"/>
        </w:rPr>
        <w:t>483</w:t>
      </w:r>
      <w:r w:rsidR="00E807F8" w:rsidRPr="004A64EF">
        <w:rPr>
          <w:rFonts w:asciiTheme="minorHAnsi" w:hAnsiTheme="minorHAnsi" w:cstheme="minorHAnsi"/>
          <w:b/>
          <w:sz w:val="22"/>
          <w:szCs w:val="22"/>
        </w:rPr>
        <w:t>,</w:t>
      </w:r>
      <w:r w:rsidR="004E1876" w:rsidRPr="004A64EF">
        <w:rPr>
          <w:rFonts w:asciiTheme="minorHAnsi" w:hAnsiTheme="minorHAnsi" w:cstheme="minorHAnsi"/>
          <w:b/>
          <w:sz w:val="22"/>
          <w:szCs w:val="22"/>
        </w:rPr>
        <w:t>300</w:t>
      </w:r>
      <w:r w:rsidR="00E807F8" w:rsidRPr="004A64EF">
        <w:rPr>
          <w:rFonts w:asciiTheme="minorHAnsi" w:hAnsiTheme="minorHAnsi" w:cstheme="minorHAnsi"/>
          <w:b/>
          <w:sz w:val="22"/>
          <w:szCs w:val="22"/>
        </w:rPr>
        <w:t xml:space="preserve"> €.</w:t>
      </w:r>
      <w:bookmarkEnd w:id="79"/>
    </w:p>
    <w:p w:rsidR="00E807F8" w:rsidRPr="00E84532" w:rsidRDefault="00E807F8" w:rsidP="00E807F8">
      <w:pPr>
        <w:rPr>
          <w:rFonts w:asciiTheme="minorHAnsi" w:hAnsiTheme="minorHAnsi"/>
        </w:rPr>
      </w:pPr>
    </w:p>
    <w:p w:rsidR="00E807F8" w:rsidRPr="000C6431" w:rsidRDefault="00F90B33" w:rsidP="006122E6">
      <w:pPr>
        <w:pStyle w:val="Heading3"/>
      </w:pPr>
      <w:bookmarkStart w:id="80" w:name="_Toc526514490"/>
      <w:bookmarkStart w:id="81" w:name="_Toc21513551"/>
      <w:bookmarkStart w:id="82" w:name="_Toc21514377"/>
      <w:bookmarkStart w:id="83" w:name="_Toc21514861"/>
      <w:bookmarkStart w:id="84" w:name="_Toc21515561"/>
      <w:bookmarkStart w:id="85" w:name="_Toc21521384"/>
      <w:r>
        <w:t xml:space="preserve">3.2.5 </w:t>
      </w:r>
      <w:r>
        <w:tab/>
      </w:r>
      <w:r w:rsidR="00E807F8" w:rsidRPr="001428F0">
        <w:t>Tjetërsimet</w:t>
      </w:r>
      <w:bookmarkEnd w:id="80"/>
      <w:bookmarkEnd w:id="81"/>
      <w:bookmarkEnd w:id="82"/>
      <w:bookmarkEnd w:id="83"/>
      <w:bookmarkEnd w:id="84"/>
      <w:bookmarkEnd w:id="85"/>
    </w:p>
    <w:p w:rsidR="00B553B1" w:rsidRDefault="00B553B1" w:rsidP="00E807F8">
      <w:pPr>
        <w:pStyle w:val="BodyText"/>
        <w:jc w:val="both"/>
        <w:rPr>
          <w:rFonts w:asciiTheme="minorHAnsi" w:hAnsiTheme="minorHAnsi"/>
          <w:sz w:val="22"/>
          <w:szCs w:val="22"/>
        </w:rPr>
      </w:pPr>
    </w:p>
    <w:p w:rsidR="00E807F8" w:rsidRPr="00E84532" w:rsidRDefault="00E807F8" w:rsidP="00E807F8">
      <w:pPr>
        <w:pStyle w:val="BodyText"/>
        <w:jc w:val="both"/>
        <w:rPr>
          <w:rFonts w:asciiTheme="minorHAnsi" w:hAnsiTheme="minorHAnsi"/>
          <w:b/>
          <w:sz w:val="22"/>
          <w:szCs w:val="22"/>
        </w:rPr>
      </w:pPr>
      <w:r w:rsidRPr="00E84532">
        <w:rPr>
          <w:rFonts w:asciiTheme="minorHAnsi" w:hAnsiTheme="minorHAnsi"/>
          <w:sz w:val="22"/>
          <w:szCs w:val="22"/>
        </w:rPr>
        <w:t xml:space="preserve">Me tjetërsim nënkuptohen asetet që ndërmarrja e rregulluar i ka hequr nga përdorimi – asetet që janë dëmtuar në atë masë sa që nuk mund të riparohen dhe të përdoren përsëri, asetet që eventualisht </w:t>
      </w:r>
      <w:r w:rsidRPr="00E84532">
        <w:rPr>
          <w:rFonts w:asciiTheme="minorHAnsi" w:hAnsiTheme="minorHAnsi"/>
          <w:sz w:val="22"/>
          <w:szCs w:val="22"/>
        </w:rPr>
        <w:lastRenderedPageBreak/>
        <w:t xml:space="preserve">janë shitur/huazuar (kur janë vlerësuar të papërdorshme) etj; Sipas formulës së dhënë në fillim të kapitullit 3.2, vlera e aseteve të tjetërsuara është e zbritshme (minusohet). Duke qenë se në këtë shqyrtim tarifor nuk është raportuar ndonjë tjetërsim i aseteve, vlera për tjetërsimet është 0€.     </w:t>
      </w:r>
    </w:p>
    <w:p w:rsidR="00382204" w:rsidRPr="00E84532" w:rsidRDefault="00382204" w:rsidP="00E807F8">
      <w:pPr>
        <w:rPr>
          <w:rFonts w:asciiTheme="minorHAnsi" w:hAnsiTheme="minorHAnsi" w:cs="Calibri"/>
          <w:sz w:val="22"/>
          <w:szCs w:val="22"/>
          <w:u w:val="single"/>
        </w:rPr>
      </w:pPr>
    </w:p>
    <w:p w:rsidR="00E807F8" w:rsidRPr="00E84532" w:rsidRDefault="00E807F8" w:rsidP="00E807F8">
      <w:pPr>
        <w:rPr>
          <w:rFonts w:asciiTheme="minorHAnsi" w:hAnsiTheme="minorHAnsi" w:cs="Calibri"/>
          <w:sz w:val="22"/>
          <w:szCs w:val="22"/>
          <w:u w:val="single"/>
        </w:rPr>
      </w:pPr>
      <w:r w:rsidRPr="00E84532">
        <w:rPr>
          <w:rFonts w:asciiTheme="minorHAnsi" w:hAnsiTheme="minorHAnsi" w:cs="Calibri"/>
          <w:sz w:val="22"/>
          <w:szCs w:val="22"/>
          <w:u w:val="single"/>
        </w:rPr>
        <w:t>Përmbledhje e përcaktimit të RAB-it dhe RAB</w:t>
      </w:r>
      <w:r w:rsidRPr="00E84532">
        <w:rPr>
          <w:rFonts w:asciiTheme="minorHAnsi" w:hAnsiTheme="minorHAnsi" w:cs="Calibri"/>
          <w:u w:val="single"/>
          <w:vertAlign w:val="subscript"/>
        </w:rPr>
        <w:t>f</w:t>
      </w:r>
      <w:r w:rsidRPr="00E84532">
        <w:rPr>
          <w:rFonts w:asciiTheme="minorHAnsi" w:hAnsiTheme="minorHAnsi" w:cs="Calibri"/>
          <w:sz w:val="22"/>
          <w:szCs w:val="22"/>
          <w:u w:val="single"/>
        </w:rPr>
        <w:t xml:space="preserve"> </w:t>
      </w:r>
    </w:p>
    <w:p w:rsidR="00E807F8" w:rsidRPr="00E84532" w:rsidRDefault="00E807F8" w:rsidP="00E807F8">
      <w:pPr>
        <w:rPr>
          <w:rFonts w:asciiTheme="minorHAnsi" w:hAnsiTheme="minorHAnsi" w:cs="Calibri"/>
          <w:sz w:val="22"/>
          <w:szCs w:val="22"/>
        </w:rPr>
      </w:pPr>
    </w:p>
    <w:p w:rsidR="00E807F8" w:rsidRDefault="00E807F8" w:rsidP="00E807F8">
      <w:pPr>
        <w:jc w:val="both"/>
        <w:rPr>
          <w:rFonts w:asciiTheme="minorHAnsi" w:hAnsiTheme="minorHAnsi" w:cs="Calibri"/>
        </w:rPr>
      </w:pPr>
      <w:r w:rsidRPr="00E84532">
        <w:rPr>
          <w:rFonts w:asciiTheme="minorHAnsi" w:hAnsiTheme="minorHAnsi" w:cs="Calibri"/>
          <w:sz w:val="22"/>
          <w:szCs w:val="22"/>
        </w:rPr>
        <w:t>Në tabelën vijuese paraqiten të përmbledhura komponentet përbërse dhe vlerat respective të Bazës së Rregulluar të Aseteve (RAB) dhe Bazës së Rregulluar të Aseteve të vetëfinancuara (RAB</w:t>
      </w:r>
      <w:r w:rsidRPr="00E84532">
        <w:rPr>
          <w:rFonts w:asciiTheme="minorHAnsi" w:hAnsiTheme="minorHAnsi" w:cs="Calibri"/>
          <w:vertAlign w:val="subscript"/>
        </w:rPr>
        <w:t>f</w:t>
      </w:r>
      <w:r w:rsidRPr="00E84532">
        <w:rPr>
          <w:rFonts w:asciiTheme="minorHAnsi" w:hAnsiTheme="minorHAnsi" w:cs="Calibri"/>
        </w:rPr>
        <w:t>).</w:t>
      </w:r>
    </w:p>
    <w:p w:rsidR="00B553B1" w:rsidRDefault="00B553B1" w:rsidP="00E807F8">
      <w:pPr>
        <w:jc w:val="both"/>
        <w:rPr>
          <w:rFonts w:asciiTheme="minorHAnsi" w:hAnsiTheme="minorHAnsi" w:cs="Calibri"/>
        </w:rPr>
      </w:pPr>
    </w:p>
    <w:p w:rsidR="00E807F8" w:rsidRPr="00923408" w:rsidRDefault="00E807F8" w:rsidP="006122E6">
      <w:pPr>
        <w:pStyle w:val="Heading3"/>
      </w:pPr>
      <w:bookmarkStart w:id="86" w:name="_Toc21514378"/>
      <w:bookmarkStart w:id="87" w:name="_Toc21514455"/>
      <w:bookmarkStart w:id="88" w:name="_Toc21514862"/>
      <w:bookmarkStart w:id="89" w:name="_Toc21515562"/>
      <w:bookmarkStart w:id="90" w:name="_Toc21521385"/>
      <w:r w:rsidRPr="00C850DC">
        <w:t>Tabela 2: RAB dhe komponentët e tij - NQ TERMOKOS sezoni i ngrohjes 20</w:t>
      </w:r>
      <w:r w:rsidR="00D3143E" w:rsidRPr="00C850DC">
        <w:t>20</w:t>
      </w:r>
      <w:r w:rsidRPr="00C850DC">
        <w:t>/20</w:t>
      </w:r>
      <w:r w:rsidR="00991172" w:rsidRPr="00C850DC">
        <w:t>2</w:t>
      </w:r>
      <w:r w:rsidR="00D3143E" w:rsidRPr="00C850DC">
        <w:t>1</w:t>
      </w:r>
      <w:bookmarkEnd w:id="86"/>
      <w:bookmarkEnd w:id="87"/>
      <w:bookmarkEnd w:id="88"/>
      <w:bookmarkEnd w:id="89"/>
      <w:bookmarkEnd w:id="90"/>
    </w:p>
    <w:tbl>
      <w:tblPr>
        <w:tblW w:w="9190" w:type="dxa"/>
        <w:tblInd w:w="98" w:type="dxa"/>
        <w:tblLook w:val="04A0" w:firstRow="1" w:lastRow="0" w:firstColumn="1" w:lastColumn="0" w:noHBand="0" w:noVBand="1"/>
      </w:tblPr>
      <w:tblGrid>
        <w:gridCol w:w="880"/>
        <w:gridCol w:w="6400"/>
        <w:gridCol w:w="1910"/>
      </w:tblGrid>
      <w:tr w:rsidR="00E807F8" w:rsidRPr="00E84532" w:rsidTr="00E807F8">
        <w:trPr>
          <w:trHeight w:val="300"/>
        </w:trPr>
        <w:tc>
          <w:tcPr>
            <w:tcW w:w="7280" w:type="dxa"/>
            <w:gridSpan w:val="2"/>
            <w:tcBorders>
              <w:top w:val="single" w:sz="8" w:space="0" w:color="auto"/>
              <w:left w:val="single" w:sz="8" w:space="0" w:color="auto"/>
              <w:bottom w:val="nil"/>
              <w:right w:val="single" w:sz="8" w:space="0" w:color="000000"/>
            </w:tcBorders>
            <w:shd w:val="clear" w:color="000000" w:fill="B8CCE4"/>
            <w:vAlign w:val="center"/>
            <w:hideMark/>
          </w:tcPr>
          <w:p w:rsidR="00E807F8" w:rsidRPr="00EF1A8F" w:rsidRDefault="00E807F8" w:rsidP="00E807F8">
            <w:pPr>
              <w:jc w:val="center"/>
              <w:rPr>
                <w:rFonts w:asciiTheme="minorHAnsi" w:eastAsia="Times New Roman" w:hAnsiTheme="minorHAnsi"/>
                <w:b/>
                <w:bCs/>
                <w:color w:val="000000"/>
                <w:sz w:val="22"/>
                <w:szCs w:val="22"/>
              </w:rPr>
            </w:pPr>
            <w:r w:rsidRPr="00EF1A8F">
              <w:rPr>
                <w:rFonts w:asciiTheme="minorHAnsi" w:eastAsia="Times New Roman" w:hAnsiTheme="minorHAnsi"/>
                <w:b/>
                <w:bCs/>
                <w:color w:val="000000"/>
                <w:sz w:val="22"/>
                <w:szCs w:val="22"/>
              </w:rPr>
              <w:t xml:space="preserve">Baza e Rregulluar e Aseteve (RAB) - NQ TERMOKOS </w:t>
            </w:r>
          </w:p>
        </w:tc>
        <w:tc>
          <w:tcPr>
            <w:tcW w:w="1910"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E807F8" w:rsidRPr="00EF1A8F" w:rsidRDefault="00E807F8" w:rsidP="00E807F8">
            <w:pPr>
              <w:jc w:val="center"/>
              <w:rPr>
                <w:rFonts w:asciiTheme="minorHAnsi" w:eastAsia="Times New Roman" w:hAnsiTheme="minorHAnsi"/>
                <w:b/>
                <w:bCs/>
                <w:color w:val="000000"/>
                <w:sz w:val="22"/>
                <w:szCs w:val="22"/>
              </w:rPr>
            </w:pPr>
            <w:r w:rsidRPr="00EF1A8F">
              <w:rPr>
                <w:rFonts w:asciiTheme="minorHAnsi" w:eastAsia="Times New Roman" w:hAnsiTheme="minorHAnsi"/>
                <w:b/>
                <w:bCs/>
                <w:color w:val="000000"/>
                <w:sz w:val="22"/>
                <w:szCs w:val="22"/>
              </w:rPr>
              <w:t xml:space="preserve">Lejuar nga ZRRE </w:t>
            </w:r>
            <w:r w:rsidRPr="00EF1A8F">
              <w:rPr>
                <w:rFonts w:asciiTheme="minorHAnsi" w:eastAsia="Times New Roman" w:hAnsiTheme="minorHAnsi"/>
                <w:b/>
                <w:bCs/>
                <w:color w:val="000000"/>
                <w:sz w:val="22"/>
                <w:szCs w:val="22"/>
              </w:rPr>
              <w:br/>
              <w:t>[€]</w:t>
            </w:r>
          </w:p>
        </w:tc>
      </w:tr>
      <w:tr w:rsidR="00E807F8" w:rsidRPr="00E84532" w:rsidTr="00E807F8">
        <w:trPr>
          <w:trHeight w:val="300"/>
        </w:trPr>
        <w:tc>
          <w:tcPr>
            <w:tcW w:w="7280" w:type="dxa"/>
            <w:gridSpan w:val="2"/>
            <w:tcBorders>
              <w:top w:val="nil"/>
              <w:left w:val="single" w:sz="8" w:space="0" w:color="auto"/>
              <w:bottom w:val="single" w:sz="8" w:space="0" w:color="auto"/>
              <w:right w:val="single" w:sz="8" w:space="0" w:color="000000"/>
            </w:tcBorders>
            <w:shd w:val="clear" w:color="000000" w:fill="B8CCE4"/>
            <w:vAlign w:val="center"/>
            <w:hideMark/>
          </w:tcPr>
          <w:p w:rsidR="00E807F8" w:rsidRPr="00EF1A8F" w:rsidRDefault="00D3143E" w:rsidP="00D3143E">
            <w:pPr>
              <w:jc w:val="center"/>
              <w:rPr>
                <w:rFonts w:asciiTheme="minorHAnsi" w:eastAsia="Times New Roman" w:hAnsiTheme="minorHAnsi"/>
                <w:b/>
                <w:bCs/>
                <w:color w:val="000000"/>
                <w:sz w:val="22"/>
                <w:szCs w:val="22"/>
              </w:rPr>
            </w:pPr>
            <w:r>
              <w:rPr>
                <w:rFonts w:asciiTheme="minorHAnsi" w:eastAsia="Times New Roman" w:hAnsiTheme="minorHAnsi"/>
                <w:b/>
                <w:bCs/>
                <w:color w:val="000000"/>
                <w:sz w:val="22"/>
                <w:szCs w:val="22"/>
              </w:rPr>
              <w:t>Sezoni i ngrohjes 2020</w:t>
            </w:r>
            <w:r w:rsidR="00E807F8" w:rsidRPr="00EF1A8F">
              <w:rPr>
                <w:rFonts w:asciiTheme="minorHAnsi" w:eastAsia="Times New Roman" w:hAnsiTheme="minorHAnsi"/>
                <w:b/>
                <w:bCs/>
                <w:color w:val="000000"/>
                <w:sz w:val="22"/>
                <w:szCs w:val="22"/>
              </w:rPr>
              <w:t>-20</w:t>
            </w:r>
            <w:r w:rsidR="00991172">
              <w:rPr>
                <w:rFonts w:asciiTheme="minorHAnsi" w:eastAsia="Times New Roman" w:hAnsiTheme="minorHAnsi"/>
                <w:b/>
                <w:bCs/>
                <w:color w:val="000000"/>
                <w:sz w:val="22"/>
                <w:szCs w:val="22"/>
              </w:rPr>
              <w:t>2</w:t>
            </w:r>
            <w:r>
              <w:rPr>
                <w:rFonts w:asciiTheme="minorHAnsi" w:eastAsia="Times New Roman" w:hAnsiTheme="minorHAnsi"/>
                <w:b/>
                <w:bCs/>
                <w:color w:val="000000"/>
                <w:sz w:val="22"/>
                <w:szCs w:val="22"/>
              </w:rPr>
              <w:t>1</w:t>
            </w:r>
          </w:p>
        </w:tc>
        <w:tc>
          <w:tcPr>
            <w:tcW w:w="1910" w:type="dxa"/>
            <w:vMerge/>
            <w:tcBorders>
              <w:top w:val="single" w:sz="8" w:space="0" w:color="auto"/>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b/>
                <w:bCs/>
                <w:color w:val="000000"/>
                <w:sz w:val="22"/>
                <w:szCs w:val="22"/>
              </w:rPr>
            </w:pPr>
          </w:p>
        </w:tc>
      </w:tr>
      <w:tr w:rsidR="00E807F8" w:rsidRPr="00E84532" w:rsidTr="00E807F8">
        <w:trPr>
          <w:trHeight w:val="269"/>
        </w:trPr>
        <w:tc>
          <w:tcPr>
            <w:tcW w:w="88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3.2.1</w:t>
            </w:r>
          </w:p>
        </w:tc>
        <w:tc>
          <w:tcPr>
            <w:tcW w:w="6400" w:type="dxa"/>
            <w:vMerge w:val="restart"/>
            <w:tcBorders>
              <w:top w:val="nil"/>
              <w:left w:val="nil"/>
              <w:bottom w:val="single" w:sz="8" w:space="0" w:color="000000"/>
              <w:right w:val="single" w:sz="8" w:space="0" w:color="auto"/>
            </w:tcBorders>
            <w:shd w:val="clear" w:color="000000" w:fill="FFFFCC"/>
            <w:vAlign w:val="center"/>
            <w:hideMark/>
          </w:tcPr>
          <w:p w:rsidR="00E807F8" w:rsidRPr="00EF1A8F" w:rsidRDefault="00E807F8" w:rsidP="00EF1A8F">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Baza e Rregulluar e Aseteve fillestarë (</w:t>
            </w:r>
            <w:r w:rsidRPr="00EF1A8F">
              <w:rPr>
                <w:rFonts w:asciiTheme="minorHAnsi" w:hAnsiTheme="minorHAnsi"/>
                <w:sz w:val="22"/>
              </w:rPr>
              <w:t>RAB</w:t>
            </w:r>
            <w:r w:rsidRPr="00EF1A8F">
              <w:rPr>
                <w:rFonts w:asciiTheme="minorHAnsi" w:hAnsiTheme="minorHAnsi"/>
                <w:sz w:val="22"/>
                <w:vertAlign w:val="subscript"/>
              </w:rPr>
              <w:t>n</w:t>
            </w:r>
            <w:r w:rsidRPr="00EF1A8F">
              <w:rPr>
                <w:rFonts w:asciiTheme="minorHAnsi" w:hAnsiTheme="minorHAnsi"/>
                <w:sz w:val="22"/>
                <w:vertAlign w:val="superscript"/>
              </w:rPr>
              <w:t>fill.</w:t>
            </w:r>
            <w:r w:rsidRPr="00EF1A8F">
              <w:rPr>
                <w:rFonts w:asciiTheme="minorHAnsi" w:hAnsiTheme="minorHAnsi"/>
                <w:sz w:val="22"/>
              </w:rPr>
              <w:t>)</w:t>
            </w:r>
          </w:p>
        </w:tc>
        <w:tc>
          <w:tcPr>
            <w:tcW w:w="191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D3143E">
            <w:pPr>
              <w:jc w:val="right"/>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4</w:t>
            </w:r>
            <w:r w:rsidR="00D3143E">
              <w:rPr>
                <w:rFonts w:asciiTheme="minorHAnsi" w:eastAsia="Times New Roman" w:hAnsiTheme="minorHAnsi"/>
                <w:color w:val="000000"/>
                <w:sz w:val="22"/>
                <w:szCs w:val="22"/>
              </w:rPr>
              <w:t>5</w:t>
            </w:r>
            <w:r w:rsidRPr="00EF1A8F">
              <w:rPr>
                <w:rFonts w:asciiTheme="minorHAnsi" w:eastAsia="Times New Roman" w:hAnsiTheme="minorHAnsi"/>
                <w:color w:val="000000"/>
                <w:sz w:val="22"/>
                <w:szCs w:val="22"/>
              </w:rPr>
              <w:t>,</w:t>
            </w:r>
            <w:r w:rsidR="00D3143E">
              <w:rPr>
                <w:rFonts w:asciiTheme="minorHAnsi" w:eastAsia="Times New Roman" w:hAnsiTheme="minorHAnsi"/>
                <w:color w:val="000000"/>
                <w:sz w:val="22"/>
                <w:szCs w:val="22"/>
              </w:rPr>
              <w:t>4</w:t>
            </w:r>
            <w:r w:rsidRPr="00EF1A8F">
              <w:rPr>
                <w:rFonts w:asciiTheme="minorHAnsi" w:eastAsia="Times New Roman" w:hAnsiTheme="minorHAnsi"/>
                <w:color w:val="000000"/>
                <w:sz w:val="22"/>
                <w:szCs w:val="22"/>
              </w:rPr>
              <w:t>8</w:t>
            </w:r>
            <w:r w:rsidR="00D3143E">
              <w:rPr>
                <w:rFonts w:asciiTheme="minorHAnsi" w:eastAsia="Times New Roman" w:hAnsiTheme="minorHAnsi"/>
                <w:color w:val="000000"/>
                <w:sz w:val="22"/>
                <w:szCs w:val="22"/>
              </w:rPr>
              <w:t>7</w:t>
            </w:r>
            <w:r w:rsidRPr="00EF1A8F">
              <w:rPr>
                <w:rFonts w:asciiTheme="minorHAnsi" w:eastAsia="Times New Roman" w:hAnsiTheme="minorHAnsi"/>
                <w:color w:val="000000"/>
                <w:sz w:val="22"/>
                <w:szCs w:val="22"/>
              </w:rPr>
              <w:t>,</w:t>
            </w:r>
            <w:r w:rsidR="00D3143E">
              <w:rPr>
                <w:rFonts w:asciiTheme="minorHAnsi" w:eastAsia="Times New Roman" w:hAnsiTheme="minorHAnsi"/>
                <w:color w:val="000000"/>
                <w:sz w:val="22"/>
                <w:szCs w:val="22"/>
              </w:rPr>
              <w:t>794</w:t>
            </w:r>
          </w:p>
        </w:tc>
      </w:tr>
      <w:tr w:rsidR="00E807F8" w:rsidRPr="00E84532" w:rsidTr="00E807F8">
        <w:trPr>
          <w:trHeight w:val="269"/>
        </w:trPr>
        <w:tc>
          <w:tcPr>
            <w:tcW w:w="88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6400" w:type="dxa"/>
            <w:vMerge/>
            <w:tcBorders>
              <w:top w:val="nil"/>
              <w:left w:val="nil"/>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191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r>
      <w:tr w:rsidR="00E807F8" w:rsidRPr="00E84532" w:rsidTr="00E807F8">
        <w:trPr>
          <w:trHeight w:val="269"/>
        </w:trPr>
        <w:tc>
          <w:tcPr>
            <w:tcW w:w="88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3.2.2</w:t>
            </w:r>
          </w:p>
        </w:tc>
        <w:tc>
          <w:tcPr>
            <w:tcW w:w="6400" w:type="dxa"/>
            <w:vMerge w:val="restart"/>
            <w:tcBorders>
              <w:top w:val="nil"/>
              <w:left w:val="nil"/>
              <w:bottom w:val="single" w:sz="8" w:space="0" w:color="000000"/>
              <w:right w:val="single" w:sz="8" w:space="0" w:color="auto"/>
            </w:tcBorders>
            <w:shd w:val="clear" w:color="000000"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Investimet e Reja (</w:t>
            </w:r>
            <w:r w:rsidRPr="00EF1A8F">
              <w:rPr>
                <w:rFonts w:asciiTheme="minorHAnsi" w:hAnsiTheme="minorHAnsi" w:cs="Calibri"/>
                <w:color w:val="000000"/>
                <w:sz w:val="22"/>
                <w:szCs w:val="22"/>
              </w:rPr>
              <w:t>INV</w:t>
            </w:r>
            <w:r w:rsidRPr="00EF1A8F">
              <w:rPr>
                <w:rFonts w:asciiTheme="minorHAnsi" w:hAnsiTheme="minorHAnsi" w:cs="Calibri"/>
                <w:color w:val="000000"/>
                <w:sz w:val="22"/>
                <w:szCs w:val="22"/>
                <w:vertAlign w:val="subscript"/>
              </w:rPr>
              <w:t>n</w:t>
            </w:r>
            <w:r w:rsidRPr="00EF1A8F">
              <w:rPr>
                <w:rFonts w:asciiTheme="minorHAnsi" w:hAnsiTheme="minorHAnsi" w:cs="Calibri"/>
                <w:color w:val="000000"/>
                <w:sz w:val="22"/>
                <w:szCs w:val="22"/>
              </w:rPr>
              <w:t>)</w:t>
            </w:r>
          </w:p>
        </w:tc>
        <w:tc>
          <w:tcPr>
            <w:tcW w:w="191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D3143E" w:rsidP="00D3143E">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8</w:t>
            </w:r>
            <w:r w:rsidR="00E807F8" w:rsidRPr="00EF1A8F">
              <w:rPr>
                <w:rFonts w:asciiTheme="minorHAnsi" w:eastAsia="Times New Roman" w:hAnsiTheme="minorHAnsi"/>
                <w:color w:val="000000"/>
                <w:sz w:val="22"/>
                <w:szCs w:val="22"/>
              </w:rPr>
              <w:t>,</w:t>
            </w:r>
            <w:r>
              <w:rPr>
                <w:rFonts w:asciiTheme="minorHAnsi" w:eastAsia="Times New Roman" w:hAnsiTheme="minorHAnsi"/>
                <w:color w:val="000000"/>
                <w:sz w:val="22"/>
                <w:szCs w:val="22"/>
              </w:rPr>
              <w:t>394</w:t>
            </w:r>
            <w:r w:rsidR="00E807F8" w:rsidRPr="00EF1A8F">
              <w:rPr>
                <w:rFonts w:asciiTheme="minorHAnsi" w:eastAsia="Times New Roman" w:hAnsiTheme="minorHAnsi"/>
                <w:color w:val="000000"/>
                <w:sz w:val="22"/>
                <w:szCs w:val="22"/>
              </w:rPr>
              <w:t>,</w:t>
            </w:r>
            <w:r w:rsidR="00991172">
              <w:rPr>
                <w:rFonts w:asciiTheme="minorHAnsi" w:eastAsia="Times New Roman" w:hAnsiTheme="minorHAnsi"/>
                <w:color w:val="000000"/>
                <w:sz w:val="22"/>
                <w:szCs w:val="22"/>
              </w:rPr>
              <w:t>0</w:t>
            </w:r>
            <w:r w:rsidR="00E807F8" w:rsidRPr="00EF1A8F">
              <w:rPr>
                <w:rFonts w:asciiTheme="minorHAnsi" w:eastAsia="Times New Roman" w:hAnsiTheme="minorHAnsi"/>
                <w:color w:val="000000"/>
                <w:sz w:val="22"/>
                <w:szCs w:val="22"/>
              </w:rPr>
              <w:t>00</w:t>
            </w:r>
          </w:p>
        </w:tc>
      </w:tr>
      <w:tr w:rsidR="00E807F8" w:rsidRPr="00E84532" w:rsidTr="00E807F8">
        <w:trPr>
          <w:trHeight w:val="269"/>
        </w:trPr>
        <w:tc>
          <w:tcPr>
            <w:tcW w:w="88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6400" w:type="dxa"/>
            <w:vMerge/>
            <w:tcBorders>
              <w:top w:val="nil"/>
              <w:left w:val="nil"/>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191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r>
      <w:tr w:rsidR="00E807F8" w:rsidRPr="00E84532" w:rsidTr="00E807F8">
        <w:trPr>
          <w:trHeight w:val="269"/>
        </w:trPr>
        <w:tc>
          <w:tcPr>
            <w:tcW w:w="88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3.2.3</w:t>
            </w:r>
          </w:p>
        </w:tc>
        <w:tc>
          <w:tcPr>
            <w:tcW w:w="6400" w:type="dxa"/>
            <w:vMerge w:val="restart"/>
            <w:tcBorders>
              <w:top w:val="nil"/>
              <w:left w:val="nil"/>
              <w:bottom w:val="single" w:sz="8" w:space="0" w:color="000000"/>
              <w:right w:val="single" w:sz="8" w:space="0" w:color="auto"/>
            </w:tcBorders>
            <w:shd w:val="clear" w:color="000000"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Kapitali Punues (</w:t>
            </w:r>
            <w:r w:rsidRPr="00EF1A8F">
              <w:rPr>
                <w:rFonts w:asciiTheme="minorHAnsi" w:hAnsiTheme="minorHAnsi" w:cs="Calibri"/>
                <w:color w:val="000000"/>
                <w:sz w:val="22"/>
                <w:szCs w:val="22"/>
              </w:rPr>
              <w:t>WC</w:t>
            </w:r>
            <w:r w:rsidRPr="00EF1A8F">
              <w:rPr>
                <w:rFonts w:asciiTheme="minorHAnsi" w:hAnsiTheme="minorHAnsi" w:cs="Calibri"/>
                <w:b/>
                <w:color w:val="000000"/>
                <w:sz w:val="22"/>
                <w:szCs w:val="22"/>
                <w:vertAlign w:val="subscript"/>
              </w:rPr>
              <w:t>n</w:t>
            </w:r>
            <w:r w:rsidRPr="00EF1A8F">
              <w:rPr>
                <w:rFonts w:asciiTheme="minorHAnsi" w:eastAsia="Times New Roman" w:hAnsiTheme="minorHAnsi"/>
                <w:color w:val="000000"/>
                <w:sz w:val="22"/>
                <w:szCs w:val="22"/>
              </w:rPr>
              <w:t>)</w:t>
            </w:r>
          </w:p>
        </w:tc>
        <w:tc>
          <w:tcPr>
            <w:tcW w:w="191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D3143E">
            <w:pPr>
              <w:jc w:val="right"/>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5</w:t>
            </w:r>
            <w:r w:rsidR="00D3143E">
              <w:rPr>
                <w:rFonts w:asciiTheme="minorHAnsi" w:eastAsia="Times New Roman" w:hAnsiTheme="minorHAnsi"/>
                <w:color w:val="000000"/>
                <w:sz w:val="22"/>
                <w:szCs w:val="22"/>
              </w:rPr>
              <w:t>31</w:t>
            </w:r>
            <w:r w:rsidRPr="00EF1A8F">
              <w:rPr>
                <w:rFonts w:asciiTheme="minorHAnsi" w:eastAsia="Times New Roman" w:hAnsiTheme="minorHAnsi"/>
                <w:color w:val="000000"/>
                <w:sz w:val="22"/>
                <w:szCs w:val="22"/>
              </w:rPr>
              <w:t>,</w:t>
            </w:r>
            <w:r w:rsidR="00D3143E">
              <w:rPr>
                <w:rFonts w:asciiTheme="minorHAnsi" w:eastAsia="Times New Roman" w:hAnsiTheme="minorHAnsi"/>
                <w:color w:val="000000"/>
                <w:sz w:val="22"/>
                <w:szCs w:val="22"/>
              </w:rPr>
              <w:t>817</w:t>
            </w:r>
          </w:p>
        </w:tc>
      </w:tr>
      <w:tr w:rsidR="00E807F8" w:rsidRPr="00E84532" w:rsidTr="00E807F8">
        <w:trPr>
          <w:trHeight w:val="269"/>
        </w:trPr>
        <w:tc>
          <w:tcPr>
            <w:tcW w:w="880" w:type="dxa"/>
            <w:vMerge/>
            <w:tcBorders>
              <w:top w:val="nil"/>
              <w:left w:val="single" w:sz="8" w:space="0" w:color="auto"/>
              <w:bottom w:val="single" w:sz="4" w:space="0" w:color="auto"/>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6400" w:type="dxa"/>
            <w:vMerge/>
            <w:tcBorders>
              <w:top w:val="nil"/>
              <w:left w:val="nil"/>
              <w:bottom w:val="single" w:sz="4" w:space="0" w:color="auto"/>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1910" w:type="dxa"/>
            <w:vMerge/>
            <w:tcBorders>
              <w:top w:val="nil"/>
              <w:left w:val="single" w:sz="8" w:space="0" w:color="auto"/>
              <w:bottom w:val="single" w:sz="4" w:space="0" w:color="auto"/>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r>
      <w:tr w:rsidR="00E807F8" w:rsidRPr="00E84532" w:rsidTr="00E807F8">
        <w:trPr>
          <w:trHeight w:val="409"/>
        </w:trPr>
        <w:tc>
          <w:tcPr>
            <w:tcW w:w="88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3.2.4</w:t>
            </w:r>
          </w:p>
        </w:tc>
        <w:tc>
          <w:tcPr>
            <w:tcW w:w="6400" w:type="dxa"/>
            <w:tcBorders>
              <w:top w:val="single" w:sz="4" w:space="0" w:color="auto"/>
              <w:left w:val="nil"/>
              <w:bottom w:val="single" w:sz="8" w:space="0" w:color="000000"/>
              <w:right w:val="single" w:sz="8" w:space="0" w:color="auto"/>
            </w:tcBorders>
            <w:shd w:val="clear" w:color="auto" w:fill="FFFFCC"/>
            <w:vAlign w:val="center"/>
            <w:hideMark/>
          </w:tcPr>
          <w:p w:rsidR="00E807F8" w:rsidRPr="00EF1A8F" w:rsidRDefault="00E807F8" w:rsidP="00D3143E">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Zhvlerësimi Vjetorë i Aseteve – realizuar në sezonin 201</w:t>
            </w:r>
            <w:r w:rsidR="00D3143E">
              <w:rPr>
                <w:rFonts w:asciiTheme="minorHAnsi" w:eastAsia="Times New Roman" w:hAnsiTheme="minorHAnsi"/>
                <w:color w:val="000000"/>
                <w:sz w:val="22"/>
                <w:szCs w:val="22"/>
              </w:rPr>
              <w:t>9</w:t>
            </w:r>
            <w:r w:rsidRPr="00EF1A8F">
              <w:rPr>
                <w:rFonts w:asciiTheme="minorHAnsi" w:eastAsia="Times New Roman" w:hAnsiTheme="minorHAnsi"/>
                <w:color w:val="000000"/>
                <w:sz w:val="22"/>
                <w:szCs w:val="22"/>
              </w:rPr>
              <w:t>/</w:t>
            </w:r>
            <w:r w:rsidR="00D3143E">
              <w:rPr>
                <w:rFonts w:asciiTheme="minorHAnsi" w:eastAsia="Times New Roman" w:hAnsiTheme="minorHAnsi"/>
                <w:color w:val="000000"/>
                <w:sz w:val="22"/>
                <w:szCs w:val="22"/>
              </w:rPr>
              <w:t>20</w:t>
            </w:r>
            <w:r w:rsidRPr="00EF1A8F">
              <w:rPr>
                <w:rFonts w:asciiTheme="minorHAnsi" w:eastAsia="Times New Roman" w:hAnsiTheme="minorHAnsi"/>
                <w:color w:val="000000"/>
                <w:sz w:val="22"/>
                <w:szCs w:val="22"/>
              </w:rPr>
              <w:t xml:space="preserve">  (</w:t>
            </w:r>
            <w:r w:rsidRPr="00EF1A8F">
              <w:rPr>
                <w:rFonts w:asciiTheme="minorHAnsi" w:hAnsiTheme="minorHAnsi" w:cs="Calibri"/>
                <w:color w:val="000000"/>
                <w:sz w:val="22"/>
                <w:szCs w:val="22"/>
              </w:rPr>
              <w:t>DEP</w:t>
            </w:r>
            <w:r w:rsidRPr="00EF1A8F">
              <w:rPr>
                <w:rFonts w:asciiTheme="minorHAnsi" w:hAnsiTheme="minorHAnsi" w:cs="Calibri"/>
                <w:color w:val="000000"/>
                <w:sz w:val="22"/>
                <w:szCs w:val="22"/>
                <w:vertAlign w:val="subscript"/>
              </w:rPr>
              <w:t>n-1</w:t>
            </w:r>
            <w:r w:rsidRPr="00EF1A8F">
              <w:rPr>
                <w:rFonts w:asciiTheme="minorHAnsi" w:hAnsiTheme="minorHAnsi" w:cs="Calibri"/>
                <w:color w:val="000000"/>
                <w:sz w:val="22"/>
                <w:szCs w:val="22"/>
              </w:rPr>
              <w:t>)</w:t>
            </w:r>
          </w:p>
        </w:tc>
        <w:tc>
          <w:tcPr>
            <w:tcW w:w="191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9851EF" w:rsidP="00D3143E">
            <w:pPr>
              <w:jc w:val="right"/>
              <w:rPr>
                <w:rFonts w:asciiTheme="minorHAnsi" w:eastAsia="Times New Roman" w:hAnsiTheme="minorHAnsi"/>
                <w:color w:val="000000"/>
                <w:sz w:val="22"/>
                <w:szCs w:val="22"/>
              </w:rPr>
            </w:pPr>
            <w:r>
              <w:rPr>
                <w:rFonts w:asciiTheme="minorHAnsi" w:eastAsia="Times New Roman" w:hAnsiTheme="minorHAnsi"/>
                <w:color w:val="000000"/>
                <w:sz w:val="22"/>
                <w:szCs w:val="22"/>
              </w:rPr>
              <w:t>-</w:t>
            </w:r>
            <w:r w:rsidR="00E807F8" w:rsidRPr="00EF1A8F">
              <w:rPr>
                <w:rFonts w:asciiTheme="minorHAnsi" w:eastAsia="Times New Roman" w:hAnsiTheme="minorHAnsi"/>
                <w:color w:val="000000"/>
                <w:sz w:val="22"/>
                <w:szCs w:val="22"/>
              </w:rPr>
              <w:t>1,</w:t>
            </w:r>
            <w:r w:rsidR="00D3143E">
              <w:rPr>
                <w:rFonts w:asciiTheme="minorHAnsi" w:eastAsia="Times New Roman" w:hAnsiTheme="minorHAnsi"/>
                <w:color w:val="000000"/>
                <w:sz w:val="22"/>
                <w:szCs w:val="22"/>
              </w:rPr>
              <w:t>48</w:t>
            </w:r>
            <w:r>
              <w:rPr>
                <w:rFonts w:asciiTheme="minorHAnsi" w:eastAsia="Times New Roman" w:hAnsiTheme="minorHAnsi"/>
                <w:color w:val="000000"/>
                <w:sz w:val="22"/>
                <w:szCs w:val="22"/>
              </w:rPr>
              <w:t>3</w:t>
            </w:r>
            <w:r w:rsidR="00E807F8" w:rsidRPr="00EF1A8F">
              <w:rPr>
                <w:rFonts w:asciiTheme="minorHAnsi" w:eastAsia="Times New Roman" w:hAnsiTheme="minorHAnsi"/>
                <w:color w:val="000000"/>
                <w:sz w:val="22"/>
                <w:szCs w:val="22"/>
              </w:rPr>
              <w:t>,</w:t>
            </w:r>
            <w:r w:rsidR="00D3143E">
              <w:rPr>
                <w:rFonts w:asciiTheme="minorHAnsi" w:eastAsia="Times New Roman" w:hAnsiTheme="minorHAnsi"/>
                <w:color w:val="000000"/>
                <w:sz w:val="22"/>
                <w:szCs w:val="22"/>
              </w:rPr>
              <w:t>300</w:t>
            </w:r>
          </w:p>
        </w:tc>
      </w:tr>
      <w:tr w:rsidR="00E807F8" w:rsidRPr="00E84532" w:rsidTr="00E807F8">
        <w:trPr>
          <w:trHeight w:val="438"/>
        </w:trPr>
        <w:tc>
          <w:tcPr>
            <w:tcW w:w="88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3.2.5</w:t>
            </w:r>
          </w:p>
        </w:tc>
        <w:tc>
          <w:tcPr>
            <w:tcW w:w="6400" w:type="dxa"/>
            <w:tcBorders>
              <w:top w:val="single" w:sz="4" w:space="0" w:color="auto"/>
              <w:left w:val="nil"/>
              <w:bottom w:val="single" w:sz="8" w:space="0" w:color="000000"/>
              <w:right w:val="single" w:sz="8" w:space="0" w:color="auto"/>
            </w:tcBorders>
            <w:shd w:val="clear" w:color="auto" w:fill="FFFFCC"/>
            <w:vAlign w:val="center"/>
            <w:hideMark/>
          </w:tcPr>
          <w:p w:rsidR="00E807F8" w:rsidRPr="00EF1A8F" w:rsidRDefault="00E807F8" w:rsidP="00D3143E">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Tjetërsimet e aseteve – në sezonin 201</w:t>
            </w:r>
            <w:r w:rsidR="00D3143E">
              <w:rPr>
                <w:rFonts w:asciiTheme="minorHAnsi" w:eastAsia="Times New Roman" w:hAnsiTheme="minorHAnsi"/>
                <w:color w:val="000000"/>
                <w:sz w:val="22"/>
                <w:szCs w:val="22"/>
              </w:rPr>
              <w:t>9</w:t>
            </w:r>
            <w:r w:rsidRPr="00EF1A8F">
              <w:rPr>
                <w:rFonts w:asciiTheme="minorHAnsi" w:eastAsia="Times New Roman" w:hAnsiTheme="minorHAnsi"/>
                <w:color w:val="000000"/>
                <w:sz w:val="22"/>
                <w:szCs w:val="22"/>
              </w:rPr>
              <w:t>/</w:t>
            </w:r>
            <w:r w:rsidR="00D3143E">
              <w:rPr>
                <w:rFonts w:asciiTheme="minorHAnsi" w:eastAsia="Times New Roman" w:hAnsiTheme="minorHAnsi"/>
                <w:color w:val="000000"/>
                <w:sz w:val="22"/>
                <w:szCs w:val="22"/>
              </w:rPr>
              <w:t>20</w:t>
            </w:r>
            <w:r w:rsidRPr="00EF1A8F">
              <w:rPr>
                <w:rFonts w:asciiTheme="minorHAnsi" w:eastAsia="Times New Roman" w:hAnsiTheme="minorHAnsi"/>
                <w:color w:val="000000"/>
                <w:sz w:val="22"/>
                <w:szCs w:val="22"/>
              </w:rPr>
              <w:t xml:space="preserve"> (</w:t>
            </w:r>
            <w:r w:rsidRPr="00EF1A8F">
              <w:rPr>
                <w:rFonts w:asciiTheme="minorHAnsi" w:hAnsiTheme="minorHAnsi" w:cs="Calibri"/>
                <w:color w:val="000000"/>
                <w:sz w:val="22"/>
                <w:szCs w:val="22"/>
              </w:rPr>
              <w:t>DIS</w:t>
            </w:r>
            <w:r w:rsidRPr="00EF1A8F">
              <w:rPr>
                <w:rFonts w:asciiTheme="minorHAnsi" w:hAnsiTheme="minorHAnsi" w:cs="Calibri"/>
                <w:color w:val="000000"/>
                <w:sz w:val="22"/>
                <w:szCs w:val="22"/>
                <w:vertAlign w:val="subscript"/>
              </w:rPr>
              <w:t>n-1</w:t>
            </w:r>
            <w:r w:rsidRPr="00EF1A8F">
              <w:rPr>
                <w:rFonts w:asciiTheme="minorHAnsi" w:eastAsia="Times New Roman" w:hAnsiTheme="minorHAnsi"/>
                <w:color w:val="000000"/>
                <w:sz w:val="22"/>
                <w:szCs w:val="22"/>
              </w:rPr>
              <w:t>)</w:t>
            </w:r>
          </w:p>
        </w:tc>
        <w:tc>
          <w:tcPr>
            <w:tcW w:w="191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E807F8">
            <w:pPr>
              <w:jc w:val="right"/>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0</w:t>
            </w:r>
          </w:p>
        </w:tc>
      </w:tr>
      <w:tr w:rsidR="00E807F8" w:rsidRPr="00E84532" w:rsidTr="00E807F8">
        <w:trPr>
          <w:trHeight w:val="390"/>
        </w:trPr>
        <w:tc>
          <w:tcPr>
            <w:tcW w:w="880" w:type="dxa"/>
            <w:tcBorders>
              <w:top w:val="nil"/>
              <w:left w:val="single" w:sz="8" w:space="0" w:color="auto"/>
              <w:bottom w:val="single" w:sz="8" w:space="0" w:color="auto"/>
              <w:right w:val="single" w:sz="8" w:space="0" w:color="auto"/>
            </w:tcBorders>
            <w:shd w:val="clear" w:color="000000" w:fill="DBE5F1"/>
            <w:hideMark/>
          </w:tcPr>
          <w:p w:rsidR="00E807F8" w:rsidRPr="00E84532" w:rsidRDefault="00E807F8" w:rsidP="00E807F8">
            <w:pPr>
              <w:jc w:val="both"/>
              <w:rPr>
                <w:rFonts w:asciiTheme="minorHAnsi" w:eastAsia="Times New Roman" w:hAnsiTheme="minorHAnsi"/>
                <w:color w:val="000000"/>
                <w:lang w:val="en-US"/>
              </w:rPr>
            </w:pPr>
            <w:r w:rsidRPr="00E84532">
              <w:rPr>
                <w:rFonts w:asciiTheme="minorHAnsi" w:eastAsia="Times New Roman" w:hAnsiTheme="minorHAnsi"/>
                <w:color w:val="000000"/>
                <w:vertAlign w:val="subscript"/>
                <w:lang w:val="en-US"/>
              </w:rPr>
              <w:t> </w:t>
            </w:r>
          </w:p>
        </w:tc>
        <w:tc>
          <w:tcPr>
            <w:tcW w:w="6400" w:type="dxa"/>
            <w:tcBorders>
              <w:top w:val="nil"/>
              <w:left w:val="nil"/>
              <w:bottom w:val="single" w:sz="8" w:space="0" w:color="auto"/>
              <w:right w:val="single" w:sz="8" w:space="0" w:color="auto"/>
            </w:tcBorders>
            <w:shd w:val="clear" w:color="000000" w:fill="DBE5F1"/>
            <w:hideMark/>
          </w:tcPr>
          <w:p w:rsidR="00E807F8" w:rsidRPr="00E84532" w:rsidRDefault="00E807F8" w:rsidP="00E807F8">
            <w:pPr>
              <w:jc w:val="both"/>
              <w:rPr>
                <w:rFonts w:asciiTheme="minorHAnsi" w:eastAsia="Times New Roman" w:hAnsiTheme="minorHAnsi"/>
                <w:b/>
                <w:bCs/>
                <w:color w:val="000000"/>
                <w:sz w:val="22"/>
                <w:szCs w:val="22"/>
                <w:lang w:val="de-DE"/>
              </w:rPr>
            </w:pPr>
            <w:r w:rsidRPr="00E84532">
              <w:rPr>
                <w:rFonts w:asciiTheme="minorHAnsi" w:eastAsia="Times New Roman" w:hAnsiTheme="minorHAnsi"/>
                <w:b/>
                <w:bCs/>
                <w:color w:val="000000"/>
                <w:sz w:val="22"/>
                <w:szCs w:val="22"/>
                <w:lang w:val="de-DE"/>
              </w:rPr>
              <w:t>Baza e Rregulluar e Aseteve (RAB)</w:t>
            </w:r>
          </w:p>
        </w:tc>
        <w:tc>
          <w:tcPr>
            <w:tcW w:w="1910" w:type="dxa"/>
            <w:tcBorders>
              <w:top w:val="nil"/>
              <w:left w:val="nil"/>
              <w:bottom w:val="single" w:sz="8" w:space="0" w:color="auto"/>
              <w:right w:val="single" w:sz="8" w:space="0" w:color="auto"/>
            </w:tcBorders>
            <w:shd w:val="clear" w:color="000000" w:fill="DBE5F1"/>
            <w:hideMark/>
          </w:tcPr>
          <w:p w:rsidR="00E807F8" w:rsidRPr="00E84532" w:rsidRDefault="009851EF" w:rsidP="00D3143E">
            <w:pPr>
              <w:jc w:val="right"/>
              <w:rPr>
                <w:rFonts w:asciiTheme="minorHAnsi" w:eastAsia="Times New Roman" w:hAnsiTheme="minorHAnsi"/>
                <w:b/>
                <w:bCs/>
                <w:color w:val="000000"/>
                <w:sz w:val="22"/>
                <w:szCs w:val="22"/>
                <w:lang w:val="en-US"/>
              </w:rPr>
            </w:pPr>
            <w:r>
              <w:rPr>
                <w:rFonts w:asciiTheme="minorHAnsi" w:eastAsia="Times New Roman" w:hAnsiTheme="minorHAnsi"/>
                <w:b/>
                <w:bCs/>
                <w:color w:val="000000"/>
                <w:sz w:val="22"/>
                <w:szCs w:val="22"/>
                <w:lang w:val="en-US"/>
              </w:rPr>
              <w:t>5</w:t>
            </w:r>
            <w:r w:rsidR="00D3143E">
              <w:rPr>
                <w:rFonts w:asciiTheme="minorHAnsi" w:eastAsia="Times New Roman" w:hAnsiTheme="minorHAnsi"/>
                <w:b/>
                <w:bCs/>
                <w:color w:val="000000"/>
                <w:sz w:val="22"/>
                <w:szCs w:val="22"/>
                <w:lang w:val="en-US"/>
              </w:rPr>
              <w:t>2</w:t>
            </w:r>
            <w:r w:rsidR="00E807F8" w:rsidRPr="00E84532">
              <w:rPr>
                <w:rFonts w:asciiTheme="minorHAnsi" w:eastAsia="Times New Roman" w:hAnsiTheme="minorHAnsi"/>
                <w:b/>
                <w:bCs/>
                <w:color w:val="000000"/>
                <w:sz w:val="22"/>
                <w:szCs w:val="22"/>
                <w:lang w:val="en-US"/>
              </w:rPr>
              <w:t>,</w:t>
            </w:r>
            <w:r w:rsidR="00D3143E">
              <w:rPr>
                <w:rFonts w:asciiTheme="minorHAnsi" w:eastAsia="Times New Roman" w:hAnsiTheme="minorHAnsi"/>
                <w:b/>
                <w:bCs/>
                <w:color w:val="000000"/>
                <w:sz w:val="22"/>
                <w:szCs w:val="22"/>
                <w:lang w:val="en-US"/>
              </w:rPr>
              <w:t>930</w:t>
            </w:r>
            <w:r w:rsidR="00E807F8" w:rsidRPr="00E84532">
              <w:rPr>
                <w:rFonts w:asciiTheme="minorHAnsi" w:eastAsia="Times New Roman" w:hAnsiTheme="minorHAnsi"/>
                <w:b/>
                <w:bCs/>
                <w:color w:val="000000"/>
                <w:sz w:val="22"/>
                <w:szCs w:val="22"/>
                <w:lang w:val="en-US"/>
              </w:rPr>
              <w:t>,</w:t>
            </w:r>
            <w:r w:rsidR="00D3143E">
              <w:rPr>
                <w:rFonts w:asciiTheme="minorHAnsi" w:eastAsia="Times New Roman" w:hAnsiTheme="minorHAnsi"/>
                <w:b/>
                <w:bCs/>
                <w:color w:val="000000"/>
                <w:sz w:val="22"/>
                <w:szCs w:val="22"/>
                <w:lang w:val="en-US"/>
              </w:rPr>
              <w:t>311</w:t>
            </w:r>
          </w:p>
        </w:tc>
      </w:tr>
    </w:tbl>
    <w:p w:rsidR="00E807F8" w:rsidRPr="00E84532" w:rsidRDefault="00E807F8" w:rsidP="00E807F8">
      <w:pPr>
        <w:jc w:val="both"/>
        <w:rPr>
          <w:rFonts w:asciiTheme="minorHAnsi" w:hAnsiTheme="minorHAnsi" w:cs="Calibri"/>
          <w:sz w:val="22"/>
          <w:szCs w:val="22"/>
          <w:lang w:val="en-GB"/>
        </w:rPr>
      </w:pPr>
    </w:p>
    <w:p w:rsidR="00E807F8" w:rsidRDefault="00E807F8" w:rsidP="00E807F8">
      <w:pPr>
        <w:jc w:val="both"/>
        <w:rPr>
          <w:rFonts w:asciiTheme="minorHAnsi" w:hAnsiTheme="minorHAnsi" w:cs="Calibri"/>
          <w:sz w:val="22"/>
          <w:szCs w:val="22"/>
        </w:rPr>
      </w:pPr>
      <w:r w:rsidRPr="0098348E">
        <w:rPr>
          <w:rFonts w:asciiTheme="minorHAnsi" w:hAnsiTheme="minorHAnsi" w:cs="Calibri"/>
          <w:sz w:val="22"/>
          <w:szCs w:val="22"/>
        </w:rPr>
        <w:t>Lidhur me Bazën e Rregulluar të Aseteve të vetëfinancuara (RAB</w:t>
      </w:r>
      <w:r w:rsidRPr="0098348E">
        <w:rPr>
          <w:rFonts w:asciiTheme="minorHAnsi" w:hAnsiTheme="minorHAnsi" w:cs="Calibri"/>
          <w:vertAlign w:val="subscript"/>
        </w:rPr>
        <w:t>f</w:t>
      </w:r>
      <w:r w:rsidRPr="0098348E">
        <w:rPr>
          <w:rFonts w:asciiTheme="minorHAnsi" w:hAnsiTheme="minorHAnsi" w:cs="Calibri"/>
        </w:rPr>
        <w:t xml:space="preserve">) </w:t>
      </w:r>
      <w:r w:rsidRPr="0098348E">
        <w:rPr>
          <w:rFonts w:asciiTheme="minorHAnsi" w:hAnsiTheme="minorHAnsi" w:cs="Calibri"/>
          <w:sz w:val="22"/>
          <w:szCs w:val="22"/>
        </w:rPr>
        <w:t>duhet theksuar se vlejnë të njëjtat formulime si për RAB-in e përgjithshëm, porse këtu merren vlerat e aseteve</w:t>
      </w:r>
      <w:r w:rsidR="002021F3">
        <w:rPr>
          <w:rFonts w:asciiTheme="minorHAnsi" w:hAnsiTheme="minorHAnsi" w:cs="Calibri"/>
          <w:sz w:val="22"/>
          <w:szCs w:val="22"/>
        </w:rPr>
        <w:t xml:space="preserve">/investimeve </w:t>
      </w:r>
      <w:r w:rsidRPr="0098348E">
        <w:rPr>
          <w:rFonts w:asciiTheme="minorHAnsi" w:hAnsiTheme="minorHAnsi" w:cs="Calibri"/>
          <w:sz w:val="22"/>
          <w:szCs w:val="22"/>
        </w:rPr>
        <w:t>të vetëfinancuara; detajet në tabelën e mëposhtme:</w:t>
      </w:r>
    </w:p>
    <w:p w:rsidR="00E807F8" w:rsidRPr="00E84532" w:rsidRDefault="00E807F8" w:rsidP="00E807F8">
      <w:pPr>
        <w:jc w:val="both"/>
        <w:rPr>
          <w:rFonts w:asciiTheme="minorHAnsi" w:hAnsiTheme="minorHAnsi" w:cs="Calibri"/>
          <w:sz w:val="22"/>
          <w:szCs w:val="22"/>
          <w:lang w:val="en-GB"/>
        </w:rPr>
      </w:pPr>
    </w:p>
    <w:p w:rsidR="00E807F8" w:rsidRPr="00770890" w:rsidRDefault="00E807F8" w:rsidP="006122E6">
      <w:pPr>
        <w:pStyle w:val="Heading3"/>
      </w:pPr>
      <w:bookmarkStart w:id="91" w:name="_Toc21513552"/>
      <w:bookmarkStart w:id="92" w:name="_Toc21514379"/>
      <w:bookmarkStart w:id="93" w:name="_Toc21514456"/>
      <w:bookmarkStart w:id="94" w:name="_Toc21514863"/>
      <w:bookmarkStart w:id="95" w:name="_Toc21515563"/>
      <w:bookmarkStart w:id="96" w:name="_Toc21521386"/>
      <w:r w:rsidRPr="00C850DC">
        <w:t>Tabela 3: RAB</w:t>
      </w:r>
      <w:r w:rsidRPr="00C850DC">
        <w:rPr>
          <w:vertAlign w:val="subscript"/>
        </w:rPr>
        <w:t>f</w:t>
      </w:r>
      <w:r w:rsidRPr="00C850DC">
        <w:t xml:space="preserve"> dhe komponentët e tij - NQ TERMOKOS sezoni i ngrohjes 20</w:t>
      </w:r>
      <w:r w:rsidR="00D3143E" w:rsidRPr="00C850DC">
        <w:t>20</w:t>
      </w:r>
      <w:r w:rsidRPr="00C850DC">
        <w:t>/20</w:t>
      </w:r>
      <w:r w:rsidR="00F91880" w:rsidRPr="00C850DC">
        <w:t>2</w:t>
      </w:r>
      <w:bookmarkEnd w:id="91"/>
      <w:bookmarkEnd w:id="92"/>
      <w:bookmarkEnd w:id="93"/>
      <w:bookmarkEnd w:id="94"/>
      <w:bookmarkEnd w:id="95"/>
      <w:bookmarkEnd w:id="96"/>
      <w:r w:rsidR="00D3143E" w:rsidRPr="00C850DC">
        <w:t>1</w:t>
      </w:r>
    </w:p>
    <w:tbl>
      <w:tblPr>
        <w:tblW w:w="9190" w:type="dxa"/>
        <w:tblInd w:w="98" w:type="dxa"/>
        <w:tblLook w:val="04A0" w:firstRow="1" w:lastRow="0" w:firstColumn="1" w:lastColumn="0" w:noHBand="0" w:noVBand="1"/>
      </w:tblPr>
      <w:tblGrid>
        <w:gridCol w:w="880"/>
        <w:gridCol w:w="6400"/>
        <w:gridCol w:w="1910"/>
      </w:tblGrid>
      <w:tr w:rsidR="00E807F8" w:rsidRPr="00E84532" w:rsidTr="00E807F8">
        <w:trPr>
          <w:trHeight w:val="300"/>
        </w:trPr>
        <w:tc>
          <w:tcPr>
            <w:tcW w:w="7280" w:type="dxa"/>
            <w:gridSpan w:val="2"/>
            <w:tcBorders>
              <w:top w:val="single" w:sz="8" w:space="0" w:color="auto"/>
              <w:left w:val="single" w:sz="8" w:space="0" w:color="auto"/>
              <w:bottom w:val="nil"/>
              <w:right w:val="single" w:sz="8" w:space="0" w:color="000000"/>
            </w:tcBorders>
            <w:shd w:val="clear" w:color="000000" w:fill="B8CCE4"/>
            <w:vAlign w:val="center"/>
            <w:hideMark/>
          </w:tcPr>
          <w:p w:rsidR="00E807F8" w:rsidRPr="00EF1A8F" w:rsidRDefault="00E807F8" w:rsidP="00E807F8">
            <w:pPr>
              <w:jc w:val="center"/>
              <w:rPr>
                <w:rFonts w:asciiTheme="minorHAnsi" w:eastAsia="Times New Roman" w:hAnsiTheme="minorHAnsi"/>
                <w:b/>
                <w:bCs/>
                <w:color w:val="000000"/>
                <w:sz w:val="22"/>
                <w:szCs w:val="22"/>
              </w:rPr>
            </w:pPr>
            <w:r w:rsidRPr="00EF1A8F">
              <w:rPr>
                <w:rFonts w:asciiTheme="minorHAnsi" w:eastAsia="Times New Roman" w:hAnsiTheme="minorHAnsi"/>
                <w:b/>
                <w:bCs/>
                <w:color w:val="000000"/>
                <w:sz w:val="22"/>
                <w:szCs w:val="22"/>
              </w:rPr>
              <w:t>Baza e Rregulluar e Aseteve e vetëfinancuar (RAB</w:t>
            </w:r>
            <w:r w:rsidRPr="00EF1A8F">
              <w:rPr>
                <w:rFonts w:asciiTheme="minorHAnsi" w:eastAsia="Times New Roman" w:hAnsiTheme="minorHAnsi"/>
                <w:b/>
                <w:bCs/>
                <w:color w:val="000000"/>
                <w:sz w:val="18"/>
                <w:szCs w:val="18"/>
              </w:rPr>
              <w:t>f</w:t>
            </w:r>
            <w:r w:rsidRPr="00EF1A8F">
              <w:rPr>
                <w:rFonts w:asciiTheme="minorHAnsi" w:eastAsia="Times New Roman" w:hAnsiTheme="minorHAnsi"/>
                <w:b/>
                <w:bCs/>
                <w:color w:val="000000"/>
                <w:sz w:val="22"/>
                <w:szCs w:val="22"/>
              </w:rPr>
              <w:t xml:space="preserve">)- NQ TERMOKOS </w:t>
            </w:r>
          </w:p>
        </w:tc>
        <w:tc>
          <w:tcPr>
            <w:tcW w:w="1910" w:type="dxa"/>
            <w:vMerge w:val="restart"/>
            <w:tcBorders>
              <w:top w:val="single" w:sz="8" w:space="0" w:color="auto"/>
              <w:left w:val="single" w:sz="8" w:space="0" w:color="auto"/>
              <w:bottom w:val="single" w:sz="8" w:space="0" w:color="000000"/>
              <w:right w:val="single" w:sz="8" w:space="0" w:color="auto"/>
            </w:tcBorders>
            <w:shd w:val="clear" w:color="000000" w:fill="B8CCE4"/>
            <w:hideMark/>
          </w:tcPr>
          <w:p w:rsidR="00E807F8" w:rsidRPr="00EF1A8F" w:rsidRDefault="00E807F8" w:rsidP="00E807F8">
            <w:pPr>
              <w:jc w:val="center"/>
              <w:rPr>
                <w:rFonts w:asciiTheme="minorHAnsi" w:eastAsia="Times New Roman" w:hAnsiTheme="minorHAnsi"/>
                <w:b/>
                <w:bCs/>
                <w:color w:val="000000"/>
                <w:sz w:val="22"/>
                <w:szCs w:val="22"/>
              </w:rPr>
            </w:pPr>
            <w:r w:rsidRPr="00EF1A8F">
              <w:rPr>
                <w:rFonts w:asciiTheme="minorHAnsi" w:eastAsia="Times New Roman" w:hAnsiTheme="minorHAnsi"/>
                <w:b/>
                <w:bCs/>
                <w:color w:val="000000"/>
                <w:sz w:val="22"/>
                <w:szCs w:val="22"/>
              </w:rPr>
              <w:t xml:space="preserve">Lejuar nga ZRRE </w:t>
            </w:r>
            <w:r w:rsidRPr="00EF1A8F">
              <w:rPr>
                <w:rFonts w:asciiTheme="minorHAnsi" w:eastAsia="Times New Roman" w:hAnsiTheme="minorHAnsi"/>
                <w:b/>
                <w:bCs/>
                <w:color w:val="000000"/>
                <w:sz w:val="22"/>
                <w:szCs w:val="22"/>
              </w:rPr>
              <w:br/>
              <w:t>[€]</w:t>
            </w:r>
          </w:p>
        </w:tc>
      </w:tr>
      <w:tr w:rsidR="00E807F8" w:rsidRPr="00E84532" w:rsidTr="00E807F8">
        <w:trPr>
          <w:trHeight w:val="315"/>
        </w:trPr>
        <w:tc>
          <w:tcPr>
            <w:tcW w:w="7280" w:type="dxa"/>
            <w:gridSpan w:val="2"/>
            <w:tcBorders>
              <w:top w:val="nil"/>
              <w:left w:val="single" w:sz="8" w:space="0" w:color="auto"/>
              <w:bottom w:val="single" w:sz="8" w:space="0" w:color="auto"/>
              <w:right w:val="single" w:sz="8" w:space="0" w:color="000000"/>
            </w:tcBorders>
            <w:shd w:val="clear" w:color="000000" w:fill="B8CCE4"/>
            <w:vAlign w:val="center"/>
            <w:hideMark/>
          </w:tcPr>
          <w:p w:rsidR="00E807F8" w:rsidRPr="00EF1A8F" w:rsidRDefault="00F91880" w:rsidP="002021F3">
            <w:pPr>
              <w:jc w:val="center"/>
              <w:rPr>
                <w:rFonts w:asciiTheme="minorHAnsi" w:eastAsia="Times New Roman" w:hAnsiTheme="minorHAnsi"/>
                <w:b/>
                <w:bCs/>
                <w:color w:val="000000"/>
                <w:sz w:val="22"/>
                <w:szCs w:val="22"/>
              </w:rPr>
            </w:pPr>
            <w:r>
              <w:rPr>
                <w:rFonts w:asciiTheme="minorHAnsi" w:eastAsia="Times New Roman" w:hAnsiTheme="minorHAnsi"/>
                <w:b/>
                <w:bCs/>
                <w:color w:val="000000"/>
                <w:sz w:val="22"/>
                <w:szCs w:val="22"/>
              </w:rPr>
              <w:t>Sezoni i ngrohjes 20</w:t>
            </w:r>
            <w:r w:rsidR="002021F3">
              <w:rPr>
                <w:rFonts w:asciiTheme="minorHAnsi" w:eastAsia="Times New Roman" w:hAnsiTheme="minorHAnsi"/>
                <w:b/>
                <w:bCs/>
                <w:color w:val="000000"/>
                <w:sz w:val="22"/>
                <w:szCs w:val="22"/>
              </w:rPr>
              <w:t>20</w:t>
            </w:r>
            <w:r w:rsidR="00E807F8" w:rsidRPr="00EF1A8F">
              <w:rPr>
                <w:rFonts w:asciiTheme="minorHAnsi" w:eastAsia="Times New Roman" w:hAnsiTheme="minorHAnsi"/>
                <w:b/>
                <w:bCs/>
                <w:color w:val="000000"/>
                <w:sz w:val="22"/>
                <w:szCs w:val="22"/>
              </w:rPr>
              <w:t>-20</w:t>
            </w:r>
            <w:r>
              <w:rPr>
                <w:rFonts w:asciiTheme="minorHAnsi" w:eastAsia="Times New Roman" w:hAnsiTheme="minorHAnsi"/>
                <w:b/>
                <w:bCs/>
                <w:color w:val="000000"/>
                <w:sz w:val="22"/>
                <w:szCs w:val="22"/>
              </w:rPr>
              <w:t>2</w:t>
            </w:r>
            <w:r w:rsidR="002021F3">
              <w:rPr>
                <w:rFonts w:asciiTheme="minorHAnsi" w:eastAsia="Times New Roman" w:hAnsiTheme="minorHAnsi"/>
                <w:b/>
                <w:bCs/>
                <w:color w:val="000000"/>
                <w:sz w:val="22"/>
                <w:szCs w:val="22"/>
              </w:rPr>
              <w:t>1</w:t>
            </w:r>
          </w:p>
        </w:tc>
        <w:tc>
          <w:tcPr>
            <w:tcW w:w="1910" w:type="dxa"/>
            <w:vMerge/>
            <w:tcBorders>
              <w:top w:val="single" w:sz="8" w:space="0" w:color="auto"/>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b/>
                <w:bCs/>
                <w:color w:val="000000"/>
                <w:sz w:val="22"/>
                <w:szCs w:val="22"/>
              </w:rPr>
            </w:pPr>
          </w:p>
        </w:tc>
      </w:tr>
      <w:tr w:rsidR="00E807F8" w:rsidRPr="00E84532" w:rsidTr="00E807F8">
        <w:trPr>
          <w:trHeight w:val="300"/>
        </w:trPr>
        <w:tc>
          <w:tcPr>
            <w:tcW w:w="88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E807F8">
            <w:pPr>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3.2.1</w:t>
            </w:r>
          </w:p>
        </w:tc>
        <w:tc>
          <w:tcPr>
            <w:tcW w:w="6400" w:type="dxa"/>
            <w:vMerge w:val="restart"/>
            <w:tcBorders>
              <w:top w:val="nil"/>
              <w:left w:val="nil"/>
              <w:bottom w:val="single" w:sz="8" w:space="0" w:color="000000"/>
              <w:right w:val="single" w:sz="8" w:space="0" w:color="auto"/>
            </w:tcBorders>
            <w:shd w:val="clear" w:color="000000"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Baza e Rregulluar e Aseteve të vetëfi</w:t>
            </w:r>
            <w:r w:rsidR="00F2300E" w:rsidRPr="00EF1A8F">
              <w:rPr>
                <w:rFonts w:asciiTheme="minorHAnsi" w:eastAsia="Times New Roman" w:hAnsiTheme="minorHAnsi"/>
                <w:color w:val="000000"/>
                <w:sz w:val="22"/>
                <w:szCs w:val="22"/>
              </w:rPr>
              <w:t>n</w:t>
            </w:r>
            <w:r w:rsidRPr="00EF1A8F">
              <w:rPr>
                <w:rFonts w:asciiTheme="minorHAnsi" w:eastAsia="Times New Roman" w:hAnsiTheme="minorHAnsi"/>
                <w:color w:val="000000"/>
                <w:sz w:val="22"/>
                <w:szCs w:val="22"/>
              </w:rPr>
              <w:t xml:space="preserve">ancuara - </w:t>
            </w:r>
            <w:r w:rsidR="00F2300E" w:rsidRPr="00EF1A8F">
              <w:rPr>
                <w:rFonts w:asciiTheme="minorHAnsi" w:eastAsia="Times New Roman" w:hAnsiTheme="minorHAnsi"/>
                <w:color w:val="000000"/>
                <w:sz w:val="22"/>
                <w:szCs w:val="22"/>
              </w:rPr>
              <w:t>fillestarë</w:t>
            </w:r>
            <w:r w:rsidRPr="00EF1A8F">
              <w:rPr>
                <w:rFonts w:asciiTheme="minorHAnsi" w:eastAsia="Times New Roman" w:hAnsiTheme="minorHAnsi"/>
                <w:color w:val="000000"/>
                <w:sz w:val="22"/>
                <w:szCs w:val="22"/>
              </w:rPr>
              <w:t xml:space="preserve"> (</w:t>
            </w:r>
            <w:r w:rsidRPr="00EF1A8F">
              <w:rPr>
                <w:rFonts w:asciiTheme="minorHAnsi" w:hAnsiTheme="minorHAnsi"/>
                <w:sz w:val="22"/>
              </w:rPr>
              <w:t>RAB</w:t>
            </w:r>
            <w:r w:rsidRPr="00EF1A8F">
              <w:rPr>
                <w:rFonts w:asciiTheme="minorHAnsi" w:hAnsiTheme="minorHAnsi"/>
                <w:sz w:val="22"/>
                <w:vertAlign w:val="subscript"/>
              </w:rPr>
              <w:t>f-n</w:t>
            </w:r>
            <w:r w:rsidRPr="00EF1A8F">
              <w:rPr>
                <w:rFonts w:asciiTheme="minorHAnsi" w:hAnsiTheme="minorHAnsi"/>
                <w:sz w:val="22"/>
                <w:vertAlign w:val="superscript"/>
              </w:rPr>
              <w:t>fill.</w:t>
            </w:r>
            <w:r w:rsidRPr="00EF1A8F">
              <w:rPr>
                <w:rFonts w:asciiTheme="minorHAnsi" w:hAnsiTheme="minorHAnsi"/>
                <w:sz w:val="22"/>
              </w:rPr>
              <w:t>)</w:t>
            </w:r>
          </w:p>
        </w:tc>
        <w:tc>
          <w:tcPr>
            <w:tcW w:w="191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2021F3" w:rsidP="002021F3">
            <w:pPr>
              <w:jc w:val="right"/>
              <w:rPr>
                <w:rFonts w:asciiTheme="minorHAnsi" w:eastAsia="Times New Roman" w:hAnsiTheme="minorHAnsi"/>
                <w:bCs/>
                <w:color w:val="000000"/>
                <w:sz w:val="22"/>
                <w:szCs w:val="22"/>
              </w:rPr>
            </w:pPr>
            <w:r>
              <w:rPr>
                <w:rFonts w:asciiTheme="minorHAnsi" w:eastAsia="Times New Roman" w:hAnsiTheme="minorHAnsi"/>
                <w:bCs/>
                <w:color w:val="000000"/>
                <w:sz w:val="22"/>
                <w:szCs w:val="22"/>
              </w:rPr>
              <w:t>9</w:t>
            </w:r>
            <w:r w:rsidR="00E807F8" w:rsidRPr="00EF1A8F">
              <w:rPr>
                <w:rFonts w:asciiTheme="minorHAnsi" w:eastAsia="Times New Roman" w:hAnsiTheme="minorHAnsi"/>
                <w:bCs/>
                <w:color w:val="000000"/>
                <w:sz w:val="22"/>
                <w:szCs w:val="22"/>
              </w:rPr>
              <w:t>,</w:t>
            </w:r>
            <w:r>
              <w:rPr>
                <w:rFonts w:asciiTheme="minorHAnsi" w:eastAsia="Times New Roman" w:hAnsiTheme="minorHAnsi"/>
                <w:bCs/>
                <w:color w:val="000000"/>
                <w:sz w:val="22"/>
                <w:szCs w:val="22"/>
              </w:rPr>
              <w:t>110</w:t>
            </w:r>
            <w:r w:rsidR="00E807F8" w:rsidRPr="00EF1A8F">
              <w:rPr>
                <w:rFonts w:asciiTheme="minorHAnsi" w:eastAsia="Times New Roman" w:hAnsiTheme="minorHAnsi"/>
                <w:bCs/>
                <w:color w:val="000000"/>
                <w:sz w:val="22"/>
                <w:szCs w:val="22"/>
              </w:rPr>
              <w:t>,</w:t>
            </w:r>
            <w:r>
              <w:rPr>
                <w:rFonts w:asciiTheme="minorHAnsi" w:eastAsia="Times New Roman" w:hAnsiTheme="minorHAnsi"/>
                <w:bCs/>
                <w:color w:val="000000"/>
                <w:sz w:val="22"/>
                <w:szCs w:val="22"/>
              </w:rPr>
              <w:t>8</w:t>
            </w:r>
            <w:r w:rsidR="00E807F8" w:rsidRPr="00EF1A8F">
              <w:rPr>
                <w:rFonts w:asciiTheme="minorHAnsi" w:eastAsia="Times New Roman" w:hAnsiTheme="minorHAnsi"/>
                <w:bCs/>
                <w:color w:val="000000"/>
                <w:sz w:val="22"/>
                <w:szCs w:val="22"/>
              </w:rPr>
              <w:t>6</w:t>
            </w:r>
            <w:r>
              <w:rPr>
                <w:rFonts w:asciiTheme="minorHAnsi" w:eastAsia="Times New Roman" w:hAnsiTheme="minorHAnsi"/>
                <w:bCs/>
                <w:color w:val="000000"/>
                <w:sz w:val="22"/>
                <w:szCs w:val="22"/>
              </w:rPr>
              <w:t>9</w:t>
            </w:r>
          </w:p>
        </w:tc>
      </w:tr>
      <w:tr w:rsidR="00E807F8" w:rsidRPr="00E84532" w:rsidTr="00E807F8">
        <w:trPr>
          <w:trHeight w:val="315"/>
        </w:trPr>
        <w:tc>
          <w:tcPr>
            <w:tcW w:w="88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6400" w:type="dxa"/>
            <w:vMerge/>
            <w:tcBorders>
              <w:top w:val="nil"/>
              <w:left w:val="nil"/>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191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jc w:val="right"/>
              <w:rPr>
                <w:rFonts w:asciiTheme="minorHAnsi" w:eastAsia="Times New Roman" w:hAnsiTheme="minorHAnsi"/>
                <w:bCs/>
                <w:color w:val="000000"/>
                <w:sz w:val="22"/>
                <w:szCs w:val="22"/>
              </w:rPr>
            </w:pPr>
          </w:p>
        </w:tc>
      </w:tr>
      <w:tr w:rsidR="00E807F8" w:rsidRPr="00E84532" w:rsidTr="00E807F8">
        <w:trPr>
          <w:trHeight w:val="300"/>
        </w:trPr>
        <w:tc>
          <w:tcPr>
            <w:tcW w:w="88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E807F8">
            <w:pPr>
              <w:rPr>
                <w:rFonts w:asciiTheme="minorHAnsi" w:eastAsia="Times New Roman" w:hAnsiTheme="minorHAnsi"/>
                <w:bCs/>
                <w:color w:val="000000"/>
                <w:sz w:val="22"/>
                <w:szCs w:val="22"/>
              </w:rPr>
            </w:pPr>
            <w:r w:rsidRPr="00EF1A8F">
              <w:rPr>
                <w:rFonts w:asciiTheme="minorHAnsi" w:eastAsia="Times New Roman" w:hAnsiTheme="minorHAnsi"/>
                <w:bCs/>
                <w:color w:val="000000"/>
                <w:sz w:val="22"/>
                <w:szCs w:val="22"/>
              </w:rPr>
              <w:t>3.2.2</w:t>
            </w:r>
          </w:p>
        </w:tc>
        <w:tc>
          <w:tcPr>
            <w:tcW w:w="6400" w:type="dxa"/>
            <w:vMerge w:val="restart"/>
            <w:tcBorders>
              <w:top w:val="nil"/>
              <w:left w:val="nil"/>
              <w:bottom w:val="single" w:sz="8" w:space="0" w:color="000000"/>
              <w:right w:val="single" w:sz="8" w:space="0" w:color="auto"/>
            </w:tcBorders>
            <w:shd w:val="clear" w:color="000000" w:fill="FFFFCC"/>
            <w:vAlign w:val="center"/>
            <w:hideMark/>
          </w:tcPr>
          <w:p w:rsidR="00E807F8" w:rsidRPr="00EF1A8F" w:rsidRDefault="00E807F8" w:rsidP="00E807F8">
            <w:pPr>
              <w:jc w:val="both"/>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Investimet e Reja (të vetëfinancuara - pa donacione) ((</w:t>
            </w:r>
            <w:r w:rsidRPr="00EF1A8F">
              <w:rPr>
                <w:rFonts w:asciiTheme="minorHAnsi" w:hAnsiTheme="minorHAnsi" w:cs="Calibri"/>
                <w:color w:val="000000"/>
                <w:sz w:val="22"/>
                <w:szCs w:val="22"/>
              </w:rPr>
              <w:t>INV</w:t>
            </w:r>
            <w:r w:rsidRPr="00EF1A8F">
              <w:rPr>
                <w:rFonts w:asciiTheme="minorHAnsi" w:hAnsiTheme="minorHAnsi" w:cs="Calibri"/>
                <w:color w:val="000000"/>
                <w:sz w:val="22"/>
                <w:szCs w:val="22"/>
                <w:vertAlign w:val="subscript"/>
              </w:rPr>
              <w:t>f-n</w:t>
            </w:r>
            <w:r w:rsidRPr="00EF1A8F">
              <w:rPr>
                <w:rFonts w:asciiTheme="minorHAnsi" w:hAnsiTheme="minorHAnsi" w:cs="Calibri"/>
                <w:color w:val="000000"/>
                <w:sz w:val="22"/>
                <w:szCs w:val="22"/>
              </w:rPr>
              <w:t>)</w:t>
            </w:r>
          </w:p>
        </w:tc>
        <w:tc>
          <w:tcPr>
            <w:tcW w:w="191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991172" w:rsidP="002021F3">
            <w:pPr>
              <w:jc w:val="right"/>
              <w:rPr>
                <w:rFonts w:asciiTheme="minorHAnsi" w:eastAsia="Times New Roman" w:hAnsiTheme="minorHAnsi"/>
                <w:bCs/>
                <w:color w:val="000000"/>
                <w:sz w:val="22"/>
                <w:szCs w:val="22"/>
              </w:rPr>
            </w:pPr>
            <w:r>
              <w:rPr>
                <w:rFonts w:asciiTheme="minorHAnsi" w:eastAsia="Times New Roman" w:hAnsiTheme="minorHAnsi"/>
                <w:bCs/>
                <w:color w:val="000000"/>
                <w:sz w:val="22"/>
                <w:szCs w:val="22"/>
              </w:rPr>
              <w:t>1,3</w:t>
            </w:r>
            <w:r w:rsidR="002021F3">
              <w:rPr>
                <w:rFonts w:asciiTheme="minorHAnsi" w:eastAsia="Times New Roman" w:hAnsiTheme="minorHAnsi"/>
                <w:bCs/>
                <w:color w:val="000000"/>
                <w:sz w:val="22"/>
                <w:szCs w:val="22"/>
              </w:rPr>
              <w:t>94</w:t>
            </w:r>
            <w:r w:rsidR="00E807F8" w:rsidRPr="00EF1A8F">
              <w:rPr>
                <w:rFonts w:asciiTheme="minorHAnsi" w:eastAsia="Times New Roman" w:hAnsiTheme="minorHAnsi"/>
                <w:bCs/>
                <w:color w:val="000000"/>
                <w:sz w:val="22"/>
                <w:szCs w:val="22"/>
              </w:rPr>
              <w:t>,</w:t>
            </w:r>
            <w:r>
              <w:rPr>
                <w:rFonts w:asciiTheme="minorHAnsi" w:eastAsia="Times New Roman" w:hAnsiTheme="minorHAnsi"/>
                <w:bCs/>
                <w:color w:val="000000"/>
                <w:sz w:val="22"/>
                <w:szCs w:val="22"/>
              </w:rPr>
              <w:t>0</w:t>
            </w:r>
            <w:r w:rsidR="00E807F8" w:rsidRPr="00EF1A8F">
              <w:rPr>
                <w:rFonts w:asciiTheme="minorHAnsi" w:eastAsia="Times New Roman" w:hAnsiTheme="minorHAnsi"/>
                <w:bCs/>
                <w:color w:val="000000"/>
                <w:sz w:val="22"/>
                <w:szCs w:val="22"/>
              </w:rPr>
              <w:t>00</w:t>
            </w:r>
          </w:p>
        </w:tc>
      </w:tr>
      <w:tr w:rsidR="00E807F8" w:rsidRPr="00E84532" w:rsidTr="00E807F8">
        <w:trPr>
          <w:trHeight w:val="315"/>
        </w:trPr>
        <w:tc>
          <w:tcPr>
            <w:tcW w:w="88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bCs/>
                <w:color w:val="000000"/>
                <w:sz w:val="22"/>
                <w:szCs w:val="22"/>
              </w:rPr>
            </w:pPr>
          </w:p>
        </w:tc>
        <w:tc>
          <w:tcPr>
            <w:tcW w:w="6400" w:type="dxa"/>
            <w:vMerge/>
            <w:tcBorders>
              <w:top w:val="nil"/>
              <w:left w:val="nil"/>
              <w:bottom w:val="single" w:sz="8" w:space="0" w:color="000000"/>
              <w:right w:val="single" w:sz="8" w:space="0" w:color="auto"/>
            </w:tcBorders>
            <w:vAlign w:val="center"/>
            <w:hideMark/>
          </w:tcPr>
          <w:p w:rsidR="00E807F8" w:rsidRPr="00EF1A8F" w:rsidRDefault="00E807F8" w:rsidP="00E807F8">
            <w:pPr>
              <w:rPr>
                <w:rFonts w:asciiTheme="minorHAnsi" w:eastAsia="Times New Roman" w:hAnsiTheme="minorHAnsi"/>
                <w:color w:val="000000"/>
                <w:sz w:val="22"/>
                <w:szCs w:val="22"/>
              </w:rPr>
            </w:pPr>
          </w:p>
        </w:tc>
        <w:tc>
          <w:tcPr>
            <w:tcW w:w="1910" w:type="dxa"/>
            <w:vMerge/>
            <w:tcBorders>
              <w:top w:val="nil"/>
              <w:left w:val="single" w:sz="8" w:space="0" w:color="auto"/>
              <w:bottom w:val="single" w:sz="8" w:space="0" w:color="000000"/>
              <w:right w:val="single" w:sz="8" w:space="0" w:color="auto"/>
            </w:tcBorders>
            <w:vAlign w:val="center"/>
            <w:hideMark/>
          </w:tcPr>
          <w:p w:rsidR="00E807F8" w:rsidRPr="00EF1A8F" w:rsidRDefault="00E807F8" w:rsidP="00E807F8">
            <w:pPr>
              <w:jc w:val="right"/>
              <w:rPr>
                <w:rFonts w:asciiTheme="minorHAnsi" w:eastAsia="Times New Roman" w:hAnsiTheme="minorHAnsi"/>
                <w:bCs/>
                <w:color w:val="000000"/>
                <w:sz w:val="22"/>
                <w:szCs w:val="22"/>
              </w:rPr>
            </w:pPr>
          </w:p>
        </w:tc>
      </w:tr>
      <w:tr w:rsidR="00E807F8" w:rsidRPr="00E84532" w:rsidTr="00E807F8">
        <w:trPr>
          <w:trHeight w:val="300"/>
        </w:trPr>
        <w:tc>
          <w:tcPr>
            <w:tcW w:w="88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E807F8">
            <w:pPr>
              <w:rPr>
                <w:rFonts w:asciiTheme="minorHAnsi" w:eastAsia="Times New Roman" w:hAnsiTheme="minorHAnsi"/>
                <w:bCs/>
                <w:color w:val="000000"/>
                <w:sz w:val="22"/>
                <w:szCs w:val="22"/>
              </w:rPr>
            </w:pPr>
            <w:r w:rsidRPr="00EF1A8F">
              <w:rPr>
                <w:rFonts w:asciiTheme="minorHAnsi" w:eastAsia="Times New Roman" w:hAnsiTheme="minorHAnsi"/>
                <w:bCs/>
                <w:color w:val="000000"/>
                <w:sz w:val="22"/>
                <w:szCs w:val="22"/>
              </w:rPr>
              <w:t>3.2.3</w:t>
            </w:r>
          </w:p>
        </w:tc>
        <w:tc>
          <w:tcPr>
            <w:tcW w:w="640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E807F8">
            <w:pPr>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Kapitali Punues (</w:t>
            </w:r>
            <w:r w:rsidRPr="00EF1A8F">
              <w:rPr>
                <w:rFonts w:asciiTheme="minorHAnsi" w:hAnsiTheme="minorHAnsi" w:cs="Calibri"/>
                <w:color w:val="000000"/>
                <w:sz w:val="22"/>
                <w:szCs w:val="22"/>
              </w:rPr>
              <w:t>WC</w:t>
            </w:r>
            <w:r w:rsidRPr="00EF1A8F">
              <w:rPr>
                <w:rFonts w:asciiTheme="minorHAnsi" w:hAnsiTheme="minorHAnsi" w:cs="Calibri"/>
                <w:b/>
                <w:color w:val="000000"/>
                <w:sz w:val="22"/>
                <w:szCs w:val="22"/>
                <w:vertAlign w:val="subscript"/>
              </w:rPr>
              <w:t>n</w:t>
            </w:r>
            <w:r w:rsidRPr="00EF1A8F">
              <w:rPr>
                <w:rFonts w:asciiTheme="minorHAnsi" w:eastAsia="Times New Roman" w:hAnsiTheme="minorHAnsi"/>
                <w:color w:val="000000"/>
                <w:sz w:val="22"/>
                <w:szCs w:val="22"/>
              </w:rPr>
              <w:t>)</w:t>
            </w:r>
          </w:p>
        </w:tc>
        <w:tc>
          <w:tcPr>
            <w:tcW w:w="1910" w:type="dxa"/>
            <w:vMerge w:val="restart"/>
            <w:tcBorders>
              <w:top w:val="nil"/>
              <w:left w:val="single" w:sz="8" w:space="0" w:color="auto"/>
              <w:bottom w:val="single" w:sz="8" w:space="0" w:color="000000"/>
              <w:right w:val="single" w:sz="8" w:space="0" w:color="auto"/>
            </w:tcBorders>
            <w:shd w:val="clear" w:color="000000" w:fill="FFFFCC"/>
            <w:vAlign w:val="center"/>
            <w:hideMark/>
          </w:tcPr>
          <w:p w:rsidR="00E807F8" w:rsidRPr="00EF1A8F" w:rsidRDefault="00E807F8" w:rsidP="002021F3">
            <w:pPr>
              <w:jc w:val="right"/>
              <w:rPr>
                <w:rFonts w:asciiTheme="minorHAnsi" w:eastAsia="Times New Roman" w:hAnsiTheme="minorHAnsi"/>
                <w:bCs/>
                <w:color w:val="000000"/>
                <w:sz w:val="22"/>
                <w:szCs w:val="22"/>
              </w:rPr>
            </w:pPr>
            <w:r w:rsidRPr="00EF1A8F">
              <w:rPr>
                <w:rFonts w:asciiTheme="minorHAnsi" w:eastAsia="Times New Roman" w:hAnsiTheme="minorHAnsi"/>
                <w:bCs/>
                <w:color w:val="000000"/>
                <w:sz w:val="22"/>
                <w:szCs w:val="22"/>
              </w:rPr>
              <w:t>5</w:t>
            </w:r>
            <w:r w:rsidR="002021F3">
              <w:rPr>
                <w:rFonts w:asciiTheme="minorHAnsi" w:eastAsia="Times New Roman" w:hAnsiTheme="minorHAnsi"/>
                <w:bCs/>
                <w:color w:val="000000"/>
                <w:sz w:val="22"/>
                <w:szCs w:val="22"/>
              </w:rPr>
              <w:t>31</w:t>
            </w:r>
            <w:r w:rsidRPr="00EF1A8F">
              <w:rPr>
                <w:rFonts w:asciiTheme="minorHAnsi" w:eastAsia="Times New Roman" w:hAnsiTheme="minorHAnsi"/>
                <w:bCs/>
                <w:color w:val="000000"/>
                <w:sz w:val="22"/>
                <w:szCs w:val="22"/>
              </w:rPr>
              <w:t>,</w:t>
            </w:r>
            <w:r w:rsidR="002021F3">
              <w:rPr>
                <w:rFonts w:asciiTheme="minorHAnsi" w:eastAsia="Times New Roman" w:hAnsiTheme="minorHAnsi"/>
                <w:bCs/>
                <w:color w:val="000000"/>
                <w:sz w:val="22"/>
                <w:szCs w:val="22"/>
              </w:rPr>
              <w:t>817</w:t>
            </w:r>
          </w:p>
        </w:tc>
      </w:tr>
      <w:tr w:rsidR="00E807F8" w:rsidRPr="00E84532" w:rsidTr="00E807F8">
        <w:trPr>
          <w:trHeight w:val="300"/>
        </w:trPr>
        <w:tc>
          <w:tcPr>
            <w:tcW w:w="880" w:type="dxa"/>
            <w:vMerge/>
            <w:tcBorders>
              <w:top w:val="nil"/>
              <w:left w:val="single" w:sz="8" w:space="0" w:color="auto"/>
              <w:bottom w:val="single" w:sz="4" w:space="0" w:color="auto"/>
              <w:right w:val="single" w:sz="8" w:space="0" w:color="auto"/>
            </w:tcBorders>
            <w:shd w:val="clear" w:color="000000" w:fill="FFFFCC"/>
            <w:vAlign w:val="center"/>
            <w:hideMark/>
          </w:tcPr>
          <w:p w:rsidR="00E807F8" w:rsidRPr="00EF1A8F" w:rsidRDefault="00E807F8" w:rsidP="00E807F8">
            <w:pPr>
              <w:rPr>
                <w:rFonts w:asciiTheme="minorHAnsi" w:eastAsia="Times New Roman" w:hAnsiTheme="minorHAnsi"/>
                <w:bCs/>
                <w:color w:val="000000"/>
                <w:sz w:val="22"/>
                <w:szCs w:val="22"/>
              </w:rPr>
            </w:pPr>
          </w:p>
        </w:tc>
        <w:tc>
          <w:tcPr>
            <w:tcW w:w="6400" w:type="dxa"/>
            <w:vMerge/>
            <w:tcBorders>
              <w:top w:val="nil"/>
              <w:left w:val="single" w:sz="8" w:space="0" w:color="auto"/>
              <w:bottom w:val="single" w:sz="4" w:space="0" w:color="auto"/>
              <w:right w:val="single" w:sz="8" w:space="0" w:color="auto"/>
            </w:tcBorders>
            <w:shd w:val="clear" w:color="000000" w:fill="FFFFCC"/>
            <w:vAlign w:val="center"/>
            <w:hideMark/>
          </w:tcPr>
          <w:p w:rsidR="00E807F8" w:rsidRPr="00EF1A8F" w:rsidRDefault="00E807F8" w:rsidP="00E807F8">
            <w:pPr>
              <w:rPr>
                <w:rFonts w:asciiTheme="minorHAnsi" w:eastAsia="Times New Roman" w:hAnsiTheme="minorHAnsi"/>
                <w:color w:val="000000"/>
                <w:sz w:val="22"/>
                <w:szCs w:val="22"/>
              </w:rPr>
            </w:pPr>
          </w:p>
        </w:tc>
        <w:tc>
          <w:tcPr>
            <w:tcW w:w="1910" w:type="dxa"/>
            <w:vMerge/>
            <w:tcBorders>
              <w:top w:val="nil"/>
              <w:left w:val="single" w:sz="8" w:space="0" w:color="auto"/>
              <w:bottom w:val="single" w:sz="4" w:space="0" w:color="auto"/>
              <w:right w:val="single" w:sz="8" w:space="0" w:color="auto"/>
            </w:tcBorders>
            <w:shd w:val="clear" w:color="000000" w:fill="FFFFCC"/>
            <w:vAlign w:val="center"/>
            <w:hideMark/>
          </w:tcPr>
          <w:p w:rsidR="00E807F8" w:rsidRPr="00EF1A8F" w:rsidRDefault="00E807F8" w:rsidP="00E807F8">
            <w:pPr>
              <w:jc w:val="right"/>
              <w:rPr>
                <w:rFonts w:asciiTheme="minorHAnsi" w:eastAsia="Times New Roman" w:hAnsiTheme="minorHAnsi"/>
                <w:bCs/>
                <w:color w:val="000000"/>
                <w:sz w:val="22"/>
                <w:szCs w:val="22"/>
              </w:rPr>
            </w:pPr>
          </w:p>
        </w:tc>
      </w:tr>
      <w:tr w:rsidR="00E807F8" w:rsidRPr="00E84532" w:rsidTr="00E807F8">
        <w:trPr>
          <w:trHeight w:val="315"/>
        </w:trPr>
        <w:tc>
          <w:tcPr>
            <w:tcW w:w="88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E807F8">
            <w:pPr>
              <w:rPr>
                <w:rFonts w:asciiTheme="minorHAnsi" w:eastAsia="Times New Roman" w:hAnsiTheme="minorHAnsi"/>
                <w:bCs/>
                <w:color w:val="000000"/>
                <w:sz w:val="22"/>
                <w:szCs w:val="22"/>
              </w:rPr>
            </w:pPr>
            <w:r w:rsidRPr="00EF1A8F">
              <w:rPr>
                <w:rFonts w:asciiTheme="minorHAnsi" w:eastAsia="Times New Roman" w:hAnsiTheme="minorHAnsi"/>
                <w:bCs/>
                <w:color w:val="000000"/>
                <w:sz w:val="22"/>
                <w:szCs w:val="22"/>
              </w:rPr>
              <w:t>3.2.4</w:t>
            </w:r>
          </w:p>
        </w:tc>
        <w:tc>
          <w:tcPr>
            <w:tcW w:w="640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4A64EF">
            <w:pPr>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Zhvlerësimi Vjetorë i Aseteve të vet</w:t>
            </w:r>
            <w:r w:rsidR="00F2300E" w:rsidRPr="00EF1A8F">
              <w:rPr>
                <w:rFonts w:asciiTheme="minorHAnsi" w:eastAsia="Times New Roman" w:hAnsiTheme="minorHAnsi"/>
                <w:color w:val="000000"/>
                <w:sz w:val="22"/>
                <w:szCs w:val="22"/>
              </w:rPr>
              <w:t>ë</w:t>
            </w:r>
            <w:r w:rsidRPr="00EF1A8F">
              <w:rPr>
                <w:rFonts w:asciiTheme="minorHAnsi" w:eastAsia="Times New Roman" w:hAnsiTheme="minorHAnsi"/>
                <w:color w:val="000000"/>
                <w:sz w:val="22"/>
                <w:szCs w:val="22"/>
              </w:rPr>
              <w:t>fin</w:t>
            </w:r>
            <w:r w:rsidR="00F2300E" w:rsidRPr="00EF1A8F">
              <w:rPr>
                <w:rFonts w:asciiTheme="minorHAnsi" w:eastAsia="Times New Roman" w:hAnsiTheme="minorHAnsi"/>
                <w:color w:val="000000"/>
                <w:sz w:val="22"/>
                <w:szCs w:val="22"/>
              </w:rPr>
              <w:t>an</w:t>
            </w:r>
            <w:r w:rsidRPr="00EF1A8F">
              <w:rPr>
                <w:rFonts w:asciiTheme="minorHAnsi" w:eastAsia="Times New Roman" w:hAnsiTheme="minorHAnsi"/>
                <w:color w:val="000000"/>
                <w:sz w:val="22"/>
                <w:szCs w:val="22"/>
              </w:rPr>
              <w:t>c</w:t>
            </w:r>
            <w:r w:rsidR="00542D27">
              <w:rPr>
                <w:rFonts w:asciiTheme="minorHAnsi" w:eastAsia="Times New Roman" w:hAnsiTheme="minorHAnsi"/>
                <w:color w:val="000000"/>
                <w:sz w:val="22"/>
                <w:szCs w:val="22"/>
              </w:rPr>
              <w:t>uara – realizuar në sezonin 201</w:t>
            </w:r>
            <w:r w:rsidR="004A64EF">
              <w:rPr>
                <w:rFonts w:asciiTheme="minorHAnsi" w:eastAsia="Times New Roman" w:hAnsiTheme="minorHAnsi"/>
                <w:color w:val="000000"/>
                <w:sz w:val="22"/>
                <w:szCs w:val="22"/>
              </w:rPr>
              <w:t>9</w:t>
            </w:r>
            <w:r w:rsidRPr="00EF1A8F">
              <w:rPr>
                <w:rFonts w:asciiTheme="minorHAnsi" w:eastAsia="Times New Roman" w:hAnsiTheme="minorHAnsi"/>
                <w:color w:val="000000"/>
                <w:sz w:val="22"/>
                <w:szCs w:val="22"/>
              </w:rPr>
              <w:t>/</w:t>
            </w:r>
            <w:r w:rsidR="004A64EF">
              <w:rPr>
                <w:rFonts w:asciiTheme="minorHAnsi" w:eastAsia="Times New Roman" w:hAnsiTheme="minorHAnsi"/>
                <w:color w:val="000000"/>
                <w:sz w:val="22"/>
                <w:szCs w:val="22"/>
              </w:rPr>
              <w:t>20</w:t>
            </w:r>
            <w:r w:rsidRPr="00EF1A8F">
              <w:rPr>
                <w:rFonts w:asciiTheme="minorHAnsi" w:eastAsia="Times New Roman" w:hAnsiTheme="minorHAnsi"/>
                <w:color w:val="000000"/>
                <w:sz w:val="22"/>
                <w:szCs w:val="22"/>
              </w:rPr>
              <w:t xml:space="preserve">  (</w:t>
            </w:r>
            <w:r w:rsidRPr="00EF1A8F">
              <w:rPr>
                <w:rFonts w:asciiTheme="minorHAnsi" w:hAnsiTheme="minorHAnsi" w:cs="Calibri"/>
                <w:color w:val="000000"/>
                <w:sz w:val="22"/>
                <w:szCs w:val="22"/>
              </w:rPr>
              <w:t>DEP</w:t>
            </w:r>
            <w:r w:rsidRPr="00EF1A8F">
              <w:rPr>
                <w:rFonts w:asciiTheme="minorHAnsi" w:hAnsiTheme="minorHAnsi" w:cs="Calibri"/>
                <w:color w:val="000000"/>
                <w:sz w:val="22"/>
                <w:szCs w:val="22"/>
                <w:vertAlign w:val="subscript"/>
              </w:rPr>
              <w:t>f-n-1</w:t>
            </w:r>
            <w:r w:rsidRPr="00EF1A8F">
              <w:rPr>
                <w:rFonts w:asciiTheme="minorHAnsi" w:hAnsiTheme="minorHAnsi" w:cs="Calibri"/>
                <w:color w:val="000000"/>
                <w:sz w:val="22"/>
                <w:szCs w:val="22"/>
              </w:rPr>
              <w:t>)</w:t>
            </w:r>
          </w:p>
        </w:tc>
        <w:tc>
          <w:tcPr>
            <w:tcW w:w="191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542D27" w:rsidP="002021F3">
            <w:pPr>
              <w:jc w:val="right"/>
              <w:rPr>
                <w:rFonts w:asciiTheme="minorHAnsi" w:eastAsia="Times New Roman" w:hAnsiTheme="minorHAnsi"/>
                <w:bCs/>
                <w:color w:val="000000"/>
                <w:sz w:val="22"/>
                <w:szCs w:val="22"/>
              </w:rPr>
            </w:pPr>
            <w:r>
              <w:rPr>
                <w:rFonts w:asciiTheme="minorHAnsi" w:eastAsia="Times New Roman" w:hAnsiTheme="minorHAnsi"/>
                <w:bCs/>
                <w:color w:val="000000"/>
                <w:sz w:val="22"/>
                <w:szCs w:val="22"/>
              </w:rPr>
              <w:t>-</w:t>
            </w:r>
            <w:r w:rsidR="00E807F8" w:rsidRPr="00EF1A8F">
              <w:rPr>
                <w:rFonts w:asciiTheme="minorHAnsi" w:eastAsia="Times New Roman" w:hAnsiTheme="minorHAnsi"/>
                <w:bCs/>
                <w:color w:val="000000"/>
                <w:sz w:val="22"/>
                <w:szCs w:val="22"/>
              </w:rPr>
              <w:t>2</w:t>
            </w:r>
            <w:r w:rsidR="002021F3">
              <w:rPr>
                <w:rFonts w:asciiTheme="minorHAnsi" w:eastAsia="Times New Roman" w:hAnsiTheme="minorHAnsi"/>
                <w:bCs/>
                <w:color w:val="000000"/>
                <w:sz w:val="22"/>
                <w:szCs w:val="22"/>
              </w:rPr>
              <w:t>45</w:t>
            </w:r>
            <w:r w:rsidR="00E807F8" w:rsidRPr="00EF1A8F">
              <w:rPr>
                <w:rFonts w:asciiTheme="minorHAnsi" w:eastAsia="Times New Roman" w:hAnsiTheme="minorHAnsi"/>
                <w:bCs/>
                <w:color w:val="000000"/>
                <w:sz w:val="22"/>
                <w:szCs w:val="22"/>
              </w:rPr>
              <w:t>,</w:t>
            </w:r>
            <w:r w:rsidR="0025037D">
              <w:rPr>
                <w:rFonts w:asciiTheme="minorHAnsi" w:eastAsia="Times New Roman" w:hAnsiTheme="minorHAnsi"/>
                <w:bCs/>
                <w:color w:val="000000"/>
                <w:sz w:val="22"/>
                <w:szCs w:val="22"/>
              </w:rPr>
              <w:t>3</w:t>
            </w:r>
            <w:r w:rsidR="002021F3">
              <w:rPr>
                <w:rFonts w:asciiTheme="minorHAnsi" w:eastAsia="Times New Roman" w:hAnsiTheme="minorHAnsi"/>
                <w:bCs/>
                <w:color w:val="000000"/>
                <w:sz w:val="22"/>
                <w:szCs w:val="22"/>
              </w:rPr>
              <w:t>37</w:t>
            </w:r>
          </w:p>
        </w:tc>
      </w:tr>
      <w:tr w:rsidR="00E807F8" w:rsidRPr="00E84532" w:rsidTr="00E807F8">
        <w:trPr>
          <w:trHeight w:val="444"/>
        </w:trPr>
        <w:tc>
          <w:tcPr>
            <w:tcW w:w="88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E807F8">
            <w:pPr>
              <w:rPr>
                <w:rFonts w:asciiTheme="minorHAnsi" w:eastAsia="Times New Roman" w:hAnsiTheme="minorHAnsi"/>
                <w:bCs/>
                <w:color w:val="000000"/>
                <w:sz w:val="22"/>
                <w:szCs w:val="22"/>
              </w:rPr>
            </w:pPr>
            <w:r w:rsidRPr="00EF1A8F">
              <w:rPr>
                <w:rFonts w:asciiTheme="minorHAnsi" w:eastAsia="Times New Roman" w:hAnsiTheme="minorHAnsi"/>
                <w:bCs/>
                <w:color w:val="000000"/>
                <w:sz w:val="22"/>
                <w:szCs w:val="22"/>
              </w:rPr>
              <w:t>3.2.5</w:t>
            </w:r>
          </w:p>
        </w:tc>
        <w:tc>
          <w:tcPr>
            <w:tcW w:w="640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542D27">
            <w:pPr>
              <w:rPr>
                <w:rFonts w:asciiTheme="minorHAnsi" w:eastAsia="Times New Roman" w:hAnsiTheme="minorHAnsi"/>
                <w:color w:val="000000"/>
                <w:sz w:val="22"/>
                <w:szCs w:val="22"/>
              </w:rPr>
            </w:pPr>
            <w:r w:rsidRPr="00EF1A8F">
              <w:rPr>
                <w:rFonts w:asciiTheme="minorHAnsi" w:eastAsia="Times New Roman" w:hAnsiTheme="minorHAnsi"/>
                <w:color w:val="000000"/>
                <w:sz w:val="22"/>
                <w:szCs w:val="22"/>
              </w:rPr>
              <w:t xml:space="preserve">Tjetërsimet e aseteve të </w:t>
            </w:r>
            <w:r w:rsidR="00F2300E" w:rsidRPr="00EF1A8F">
              <w:rPr>
                <w:rFonts w:asciiTheme="minorHAnsi" w:eastAsia="Times New Roman" w:hAnsiTheme="minorHAnsi"/>
                <w:color w:val="000000"/>
                <w:sz w:val="22"/>
                <w:szCs w:val="22"/>
              </w:rPr>
              <w:t>vetëfinancuara</w:t>
            </w:r>
            <w:r w:rsidRPr="00EF1A8F">
              <w:rPr>
                <w:rFonts w:asciiTheme="minorHAnsi" w:eastAsia="Times New Roman" w:hAnsiTheme="minorHAnsi"/>
                <w:color w:val="000000"/>
                <w:sz w:val="22"/>
                <w:szCs w:val="22"/>
              </w:rPr>
              <w:t xml:space="preserve"> - në sezonin 201</w:t>
            </w:r>
            <w:r w:rsidR="00542D27">
              <w:rPr>
                <w:rFonts w:asciiTheme="minorHAnsi" w:eastAsia="Times New Roman" w:hAnsiTheme="minorHAnsi"/>
                <w:color w:val="000000"/>
                <w:sz w:val="22"/>
                <w:szCs w:val="22"/>
              </w:rPr>
              <w:t>8</w:t>
            </w:r>
            <w:r w:rsidRPr="00EF1A8F">
              <w:rPr>
                <w:rFonts w:asciiTheme="minorHAnsi" w:eastAsia="Times New Roman" w:hAnsiTheme="minorHAnsi"/>
                <w:color w:val="000000"/>
                <w:sz w:val="22"/>
                <w:szCs w:val="22"/>
              </w:rPr>
              <w:t>/1</w:t>
            </w:r>
            <w:r w:rsidR="00542D27">
              <w:rPr>
                <w:rFonts w:asciiTheme="minorHAnsi" w:eastAsia="Times New Roman" w:hAnsiTheme="minorHAnsi"/>
                <w:color w:val="000000"/>
                <w:sz w:val="22"/>
                <w:szCs w:val="22"/>
              </w:rPr>
              <w:t>9</w:t>
            </w:r>
            <w:r w:rsidRPr="00EF1A8F">
              <w:rPr>
                <w:rFonts w:asciiTheme="minorHAnsi" w:eastAsia="Times New Roman" w:hAnsiTheme="minorHAnsi"/>
                <w:color w:val="000000"/>
                <w:sz w:val="22"/>
                <w:szCs w:val="22"/>
              </w:rPr>
              <w:t xml:space="preserve"> (</w:t>
            </w:r>
            <w:r w:rsidRPr="00EF1A8F">
              <w:rPr>
                <w:rFonts w:asciiTheme="minorHAnsi" w:hAnsiTheme="minorHAnsi" w:cs="Calibri"/>
                <w:color w:val="000000"/>
                <w:sz w:val="22"/>
                <w:szCs w:val="22"/>
              </w:rPr>
              <w:t>DIS</w:t>
            </w:r>
            <w:r w:rsidRPr="00EF1A8F">
              <w:rPr>
                <w:rFonts w:asciiTheme="minorHAnsi" w:hAnsiTheme="minorHAnsi" w:cs="Calibri"/>
                <w:color w:val="000000"/>
                <w:sz w:val="22"/>
                <w:szCs w:val="22"/>
                <w:vertAlign w:val="subscript"/>
              </w:rPr>
              <w:t>n-1</w:t>
            </w:r>
            <w:r w:rsidRPr="00EF1A8F">
              <w:rPr>
                <w:rFonts w:asciiTheme="minorHAnsi" w:eastAsia="Times New Roman" w:hAnsiTheme="minorHAnsi"/>
                <w:color w:val="000000"/>
                <w:sz w:val="22"/>
                <w:szCs w:val="22"/>
              </w:rPr>
              <w:t>)</w:t>
            </w:r>
          </w:p>
        </w:tc>
        <w:tc>
          <w:tcPr>
            <w:tcW w:w="1910" w:type="dxa"/>
            <w:tcBorders>
              <w:top w:val="single" w:sz="4" w:space="0" w:color="auto"/>
              <w:left w:val="single" w:sz="8" w:space="0" w:color="auto"/>
              <w:bottom w:val="single" w:sz="8" w:space="0" w:color="000000"/>
              <w:right w:val="single" w:sz="8" w:space="0" w:color="auto"/>
            </w:tcBorders>
            <w:shd w:val="clear" w:color="auto" w:fill="FFFFCC"/>
            <w:vAlign w:val="center"/>
            <w:hideMark/>
          </w:tcPr>
          <w:p w:rsidR="00E807F8" w:rsidRPr="00EF1A8F" w:rsidRDefault="00E807F8" w:rsidP="00E807F8">
            <w:pPr>
              <w:jc w:val="right"/>
              <w:rPr>
                <w:rFonts w:asciiTheme="minorHAnsi" w:eastAsia="Times New Roman" w:hAnsiTheme="minorHAnsi"/>
                <w:bCs/>
                <w:color w:val="000000"/>
                <w:sz w:val="22"/>
                <w:szCs w:val="22"/>
              </w:rPr>
            </w:pPr>
            <w:r w:rsidRPr="00EF1A8F">
              <w:rPr>
                <w:rFonts w:asciiTheme="minorHAnsi" w:eastAsia="Times New Roman" w:hAnsiTheme="minorHAnsi"/>
                <w:bCs/>
                <w:color w:val="000000"/>
                <w:sz w:val="22"/>
                <w:szCs w:val="22"/>
              </w:rPr>
              <w:t>0</w:t>
            </w:r>
          </w:p>
        </w:tc>
      </w:tr>
      <w:tr w:rsidR="00E807F8" w:rsidRPr="00E84532" w:rsidTr="00E807F8">
        <w:trPr>
          <w:trHeight w:val="390"/>
        </w:trPr>
        <w:tc>
          <w:tcPr>
            <w:tcW w:w="880" w:type="dxa"/>
            <w:tcBorders>
              <w:top w:val="nil"/>
              <w:left w:val="single" w:sz="8" w:space="0" w:color="auto"/>
              <w:bottom w:val="single" w:sz="8" w:space="0" w:color="auto"/>
              <w:right w:val="single" w:sz="8" w:space="0" w:color="auto"/>
            </w:tcBorders>
            <w:shd w:val="clear" w:color="000000" w:fill="DBE5F1"/>
            <w:hideMark/>
          </w:tcPr>
          <w:p w:rsidR="00E807F8" w:rsidRPr="00E84532" w:rsidRDefault="00E807F8" w:rsidP="00E807F8">
            <w:pPr>
              <w:jc w:val="both"/>
              <w:rPr>
                <w:rFonts w:asciiTheme="minorHAnsi" w:eastAsia="Times New Roman" w:hAnsiTheme="minorHAnsi"/>
                <w:color w:val="000000"/>
                <w:lang w:val="en-US"/>
              </w:rPr>
            </w:pPr>
            <w:r w:rsidRPr="00E84532">
              <w:rPr>
                <w:rFonts w:asciiTheme="minorHAnsi" w:eastAsia="Times New Roman" w:hAnsiTheme="minorHAnsi"/>
                <w:color w:val="000000"/>
                <w:vertAlign w:val="subscript"/>
                <w:lang w:val="en-US"/>
              </w:rPr>
              <w:t> </w:t>
            </w:r>
          </w:p>
        </w:tc>
        <w:tc>
          <w:tcPr>
            <w:tcW w:w="6400" w:type="dxa"/>
            <w:tcBorders>
              <w:top w:val="nil"/>
              <w:left w:val="nil"/>
              <w:bottom w:val="single" w:sz="8" w:space="0" w:color="auto"/>
              <w:right w:val="single" w:sz="8" w:space="0" w:color="auto"/>
            </w:tcBorders>
            <w:shd w:val="clear" w:color="000000" w:fill="DBE5F1"/>
            <w:hideMark/>
          </w:tcPr>
          <w:p w:rsidR="00E807F8" w:rsidRPr="00E84532" w:rsidRDefault="00E807F8" w:rsidP="00E807F8">
            <w:pPr>
              <w:jc w:val="both"/>
              <w:rPr>
                <w:rFonts w:asciiTheme="minorHAnsi" w:eastAsia="Times New Roman" w:hAnsiTheme="minorHAnsi"/>
                <w:b/>
                <w:bCs/>
                <w:color w:val="000000"/>
                <w:sz w:val="22"/>
                <w:szCs w:val="22"/>
                <w:lang w:val="de-DE"/>
              </w:rPr>
            </w:pPr>
            <w:r w:rsidRPr="00E84532">
              <w:rPr>
                <w:rFonts w:asciiTheme="minorHAnsi" w:eastAsia="Times New Roman" w:hAnsiTheme="minorHAnsi"/>
                <w:b/>
                <w:bCs/>
                <w:color w:val="000000"/>
                <w:sz w:val="22"/>
                <w:szCs w:val="22"/>
                <w:lang w:val="de-DE"/>
              </w:rPr>
              <w:t>Baza e Rregulluar e Aseteve e vetëfinancuar (RABf)</w:t>
            </w:r>
          </w:p>
        </w:tc>
        <w:tc>
          <w:tcPr>
            <w:tcW w:w="1910" w:type="dxa"/>
            <w:tcBorders>
              <w:top w:val="nil"/>
              <w:left w:val="nil"/>
              <w:bottom w:val="single" w:sz="8" w:space="0" w:color="auto"/>
              <w:right w:val="single" w:sz="8" w:space="0" w:color="auto"/>
            </w:tcBorders>
            <w:shd w:val="clear" w:color="000000" w:fill="DBE5F1"/>
            <w:vAlign w:val="center"/>
            <w:hideMark/>
          </w:tcPr>
          <w:p w:rsidR="00E807F8" w:rsidRPr="00E84532" w:rsidRDefault="00991172" w:rsidP="002021F3">
            <w:pPr>
              <w:jc w:val="right"/>
              <w:rPr>
                <w:rFonts w:asciiTheme="minorHAnsi" w:eastAsia="Times New Roman" w:hAnsiTheme="minorHAnsi"/>
                <w:b/>
                <w:bCs/>
                <w:color w:val="000000"/>
                <w:sz w:val="22"/>
                <w:szCs w:val="22"/>
                <w:lang w:val="en-US"/>
              </w:rPr>
            </w:pPr>
            <w:r>
              <w:rPr>
                <w:rFonts w:asciiTheme="minorHAnsi" w:eastAsia="Times New Roman" w:hAnsiTheme="minorHAnsi"/>
                <w:b/>
                <w:bCs/>
                <w:color w:val="000000"/>
                <w:sz w:val="22"/>
                <w:szCs w:val="22"/>
                <w:lang w:val="en-US"/>
              </w:rPr>
              <w:t>10</w:t>
            </w:r>
            <w:r w:rsidR="00E807F8" w:rsidRPr="00E84532">
              <w:rPr>
                <w:rFonts w:asciiTheme="minorHAnsi" w:eastAsia="Times New Roman" w:hAnsiTheme="minorHAnsi"/>
                <w:b/>
                <w:bCs/>
                <w:color w:val="000000"/>
                <w:sz w:val="22"/>
                <w:szCs w:val="22"/>
                <w:lang w:val="en-US"/>
              </w:rPr>
              <w:t>,</w:t>
            </w:r>
            <w:r w:rsidR="002021F3">
              <w:rPr>
                <w:rFonts w:asciiTheme="minorHAnsi" w:eastAsia="Times New Roman" w:hAnsiTheme="minorHAnsi"/>
                <w:b/>
                <w:bCs/>
                <w:color w:val="000000"/>
                <w:sz w:val="22"/>
                <w:szCs w:val="22"/>
                <w:lang w:val="en-US"/>
              </w:rPr>
              <w:t>791</w:t>
            </w:r>
            <w:r w:rsidR="00E807F8" w:rsidRPr="00E84532">
              <w:rPr>
                <w:rFonts w:asciiTheme="minorHAnsi" w:eastAsia="Times New Roman" w:hAnsiTheme="minorHAnsi"/>
                <w:b/>
                <w:bCs/>
                <w:color w:val="000000"/>
                <w:sz w:val="22"/>
                <w:szCs w:val="22"/>
                <w:lang w:val="en-US"/>
              </w:rPr>
              <w:t>,</w:t>
            </w:r>
            <w:r w:rsidR="0025037D">
              <w:rPr>
                <w:rFonts w:asciiTheme="minorHAnsi" w:eastAsia="Times New Roman" w:hAnsiTheme="minorHAnsi"/>
                <w:b/>
                <w:bCs/>
                <w:color w:val="000000"/>
                <w:sz w:val="22"/>
                <w:szCs w:val="22"/>
                <w:lang w:val="en-US"/>
              </w:rPr>
              <w:t>3</w:t>
            </w:r>
            <w:r w:rsidR="002021F3">
              <w:rPr>
                <w:rFonts w:asciiTheme="minorHAnsi" w:eastAsia="Times New Roman" w:hAnsiTheme="minorHAnsi"/>
                <w:b/>
                <w:bCs/>
                <w:color w:val="000000"/>
                <w:sz w:val="22"/>
                <w:szCs w:val="22"/>
                <w:lang w:val="en-US"/>
              </w:rPr>
              <w:t>49</w:t>
            </w:r>
          </w:p>
        </w:tc>
      </w:tr>
    </w:tbl>
    <w:p w:rsidR="00E807F8" w:rsidRDefault="00E807F8" w:rsidP="00382204">
      <w:pPr>
        <w:spacing w:after="120"/>
        <w:jc w:val="both"/>
        <w:rPr>
          <w:rFonts w:asciiTheme="minorHAnsi" w:hAnsiTheme="minorHAnsi" w:cs="Calibri"/>
          <w:sz w:val="20"/>
          <w:szCs w:val="20"/>
          <w:lang w:val="en-GB"/>
        </w:rPr>
      </w:pPr>
    </w:p>
    <w:p w:rsidR="001428F0" w:rsidRDefault="001428F0" w:rsidP="001428F0">
      <w:pPr>
        <w:jc w:val="both"/>
        <w:rPr>
          <w:rFonts w:asciiTheme="minorHAnsi" w:hAnsiTheme="minorHAnsi" w:cs="Calibri"/>
          <w:sz w:val="20"/>
          <w:szCs w:val="20"/>
          <w:lang w:val="en-GB"/>
        </w:rPr>
      </w:pPr>
    </w:p>
    <w:p w:rsidR="00C850DC" w:rsidRDefault="00C850DC" w:rsidP="001428F0">
      <w:pPr>
        <w:jc w:val="both"/>
        <w:rPr>
          <w:rFonts w:asciiTheme="minorHAnsi" w:hAnsiTheme="minorHAnsi" w:cs="Calibri"/>
          <w:sz w:val="20"/>
          <w:szCs w:val="20"/>
          <w:lang w:val="en-GB"/>
        </w:rPr>
      </w:pPr>
    </w:p>
    <w:p w:rsidR="00C850DC" w:rsidRPr="00E84532" w:rsidRDefault="00C850DC" w:rsidP="001428F0">
      <w:pPr>
        <w:jc w:val="both"/>
        <w:rPr>
          <w:rFonts w:asciiTheme="minorHAnsi" w:hAnsiTheme="minorHAnsi" w:cs="Calibri"/>
          <w:sz w:val="20"/>
          <w:szCs w:val="20"/>
          <w:lang w:val="en-GB"/>
        </w:rPr>
      </w:pPr>
    </w:p>
    <w:p w:rsidR="00E807F8" w:rsidRPr="00080A99" w:rsidRDefault="00E807F8" w:rsidP="00080A99">
      <w:pPr>
        <w:pStyle w:val="Heading2"/>
        <w:rPr>
          <w:color w:val="000000" w:themeColor="text1"/>
          <w:lang w:val="en-GB"/>
        </w:rPr>
      </w:pPr>
      <w:bookmarkStart w:id="97" w:name="_Toc21513553"/>
      <w:bookmarkStart w:id="98" w:name="_Toc21514380"/>
      <w:bookmarkStart w:id="99" w:name="_Toc21521387"/>
      <w:r w:rsidRPr="00080A99">
        <w:rPr>
          <w:color w:val="000000" w:themeColor="text1"/>
        </w:rPr>
        <w:lastRenderedPageBreak/>
        <w:t>Vlerësimi dhe Përcaktimi i Zhvlerësimit Vjetor</w:t>
      </w:r>
      <w:bookmarkEnd w:id="50"/>
      <w:bookmarkEnd w:id="51"/>
      <w:r w:rsidR="00566769" w:rsidRPr="00080A99">
        <w:rPr>
          <w:color w:val="000000" w:themeColor="text1"/>
        </w:rPr>
        <w:t xml:space="preserve"> për sezonin 20</w:t>
      </w:r>
      <w:r w:rsidR="002021F3">
        <w:rPr>
          <w:color w:val="000000" w:themeColor="text1"/>
        </w:rPr>
        <w:t>20</w:t>
      </w:r>
      <w:r w:rsidR="00566769" w:rsidRPr="00080A99">
        <w:rPr>
          <w:color w:val="000000" w:themeColor="text1"/>
        </w:rPr>
        <w:t>/202</w:t>
      </w:r>
      <w:bookmarkEnd w:id="97"/>
      <w:bookmarkEnd w:id="98"/>
      <w:bookmarkEnd w:id="99"/>
      <w:r w:rsidR="002021F3">
        <w:rPr>
          <w:color w:val="000000" w:themeColor="text1"/>
        </w:rPr>
        <w:t>1</w:t>
      </w:r>
    </w:p>
    <w:p w:rsidR="00E807F8" w:rsidRPr="00E84532" w:rsidRDefault="00E807F8" w:rsidP="00E807F8">
      <w:pPr>
        <w:jc w:val="both"/>
        <w:rPr>
          <w:rFonts w:asciiTheme="minorHAnsi" w:hAnsiTheme="minorHAnsi"/>
          <w:sz w:val="22"/>
          <w:szCs w:val="22"/>
        </w:rPr>
      </w:pPr>
    </w:p>
    <w:p w:rsidR="00E807F8" w:rsidRDefault="00E807F8" w:rsidP="00E807F8">
      <w:pPr>
        <w:jc w:val="both"/>
        <w:rPr>
          <w:rFonts w:asciiTheme="minorHAnsi" w:hAnsiTheme="minorHAnsi"/>
          <w:sz w:val="22"/>
          <w:szCs w:val="22"/>
        </w:rPr>
      </w:pPr>
      <w:r w:rsidRPr="00E84532">
        <w:rPr>
          <w:rFonts w:asciiTheme="minorHAnsi" w:hAnsiTheme="minorHAnsi"/>
          <w:sz w:val="22"/>
          <w:szCs w:val="22"/>
        </w:rPr>
        <w:t xml:space="preserve">Përcaktimi i Zhvlerësimit vjetor për </w:t>
      </w:r>
      <w:r w:rsidR="00EF1A8F" w:rsidRPr="00E84532">
        <w:rPr>
          <w:rFonts w:asciiTheme="minorHAnsi" w:hAnsiTheme="minorHAnsi"/>
          <w:sz w:val="22"/>
          <w:szCs w:val="22"/>
        </w:rPr>
        <w:t>sezonin</w:t>
      </w:r>
      <w:r w:rsidRPr="00E84532">
        <w:rPr>
          <w:rFonts w:asciiTheme="minorHAnsi" w:hAnsiTheme="minorHAnsi"/>
          <w:sz w:val="22"/>
          <w:szCs w:val="22"/>
        </w:rPr>
        <w:t xml:space="preserve"> 20</w:t>
      </w:r>
      <w:r w:rsidR="002021F3">
        <w:rPr>
          <w:rFonts w:asciiTheme="minorHAnsi" w:hAnsiTheme="minorHAnsi"/>
          <w:sz w:val="22"/>
          <w:szCs w:val="22"/>
        </w:rPr>
        <w:t>20</w:t>
      </w:r>
      <w:r w:rsidRPr="00E84532">
        <w:rPr>
          <w:rFonts w:asciiTheme="minorHAnsi" w:hAnsiTheme="minorHAnsi"/>
          <w:sz w:val="22"/>
          <w:szCs w:val="22"/>
        </w:rPr>
        <w:t>/</w:t>
      </w:r>
      <w:r w:rsidR="00542D27">
        <w:rPr>
          <w:rFonts w:asciiTheme="minorHAnsi" w:hAnsiTheme="minorHAnsi"/>
          <w:sz w:val="22"/>
          <w:szCs w:val="22"/>
        </w:rPr>
        <w:t>2</w:t>
      </w:r>
      <w:r w:rsidR="002021F3">
        <w:rPr>
          <w:rFonts w:asciiTheme="minorHAnsi" w:hAnsiTheme="minorHAnsi"/>
          <w:sz w:val="22"/>
          <w:szCs w:val="22"/>
        </w:rPr>
        <w:t>1</w:t>
      </w:r>
      <w:r w:rsidRPr="00E84532">
        <w:rPr>
          <w:rFonts w:asciiTheme="minorHAnsi" w:hAnsiTheme="minorHAnsi"/>
          <w:sz w:val="22"/>
          <w:szCs w:val="22"/>
        </w:rPr>
        <w:t xml:space="preserve"> (‘n’) bazohet në vlerën e RAB-it total të përcaktuar në tabelën ‘2’ (kapitulli ‘3.2’) dhe në mesataren e ponderuar të normës së </w:t>
      </w:r>
      <w:r w:rsidR="00797A55" w:rsidRPr="00E84532">
        <w:rPr>
          <w:rFonts w:asciiTheme="minorHAnsi" w:hAnsiTheme="minorHAnsi"/>
          <w:sz w:val="22"/>
          <w:szCs w:val="22"/>
        </w:rPr>
        <w:t>zhvlerësimit</w:t>
      </w:r>
      <w:r w:rsidRPr="00E84532">
        <w:rPr>
          <w:rFonts w:asciiTheme="minorHAnsi" w:hAnsiTheme="minorHAnsi"/>
          <w:sz w:val="22"/>
          <w:szCs w:val="22"/>
        </w:rPr>
        <w:t xml:space="preserve"> sipas kategorizimit të aseteve, të paraqitur në tabelë e mëposhtme ‘4’ dhe vlerav</w:t>
      </w:r>
      <w:r w:rsidR="00F91880">
        <w:rPr>
          <w:rFonts w:asciiTheme="minorHAnsi" w:hAnsiTheme="minorHAnsi"/>
          <w:sz w:val="22"/>
          <w:szCs w:val="22"/>
        </w:rPr>
        <w:t>e përkatëse të dhënë tabelën 2.</w:t>
      </w:r>
      <w:r w:rsidRPr="00E84532">
        <w:rPr>
          <w:rFonts w:asciiTheme="minorHAnsi" w:hAnsiTheme="minorHAnsi"/>
          <w:sz w:val="22"/>
          <w:szCs w:val="22"/>
        </w:rPr>
        <w:t xml:space="preserve"> </w:t>
      </w:r>
      <w:r w:rsidR="00F91880">
        <w:rPr>
          <w:rFonts w:asciiTheme="minorHAnsi" w:hAnsiTheme="minorHAnsi"/>
          <w:sz w:val="22"/>
          <w:szCs w:val="22"/>
        </w:rPr>
        <w:t>N</w:t>
      </w:r>
      <w:r w:rsidRPr="00E84532">
        <w:rPr>
          <w:rFonts w:asciiTheme="minorHAnsi" w:hAnsiTheme="minorHAnsi"/>
          <w:sz w:val="22"/>
          <w:szCs w:val="22"/>
        </w:rPr>
        <w:t xml:space="preserve">ë tabelën </w:t>
      </w:r>
      <w:r w:rsidR="00F91880">
        <w:rPr>
          <w:rFonts w:asciiTheme="minorHAnsi" w:hAnsiTheme="minorHAnsi"/>
          <w:sz w:val="22"/>
          <w:szCs w:val="22"/>
        </w:rPr>
        <w:t>4</w:t>
      </w:r>
      <w:r w:rsidRPr="00E84532">
        <w:rPr>
          <w:rFonts w:asciiTheme="minorHAnsi" w:hAnsiTheme="minorHAnsi"/>
          <w:sz w:val="22"/>
          <w:szCs w:val="22"/>
        </w:rPr>
        <w:t xml:space="preserve"> është dhënë në mënyrë të përmbledhur kategorizimi i RAB-it sipas kategorive të aseteve, jetëgjatësia respektive gjegjësisht norma e zhvlerësimit për secilën kategori të aseteve, si dhe norma mesatare e ponderuar e zhvlerësimit. </w:t>
      </w:r>
    </w:p>
    <w:p w:rsidR="00E807F8" w:rsidRDefault="00E807F8" w:rsidP="00E807F8">
      <w:pPr>
        <w:jc w:val="both"/>
        <w:rPr>
          <w:rFonts w:asciiTheme="minorHAnsi" w:hAnsiTheme="minorHAnsi"/>
          <w:sz w:val="22"/>
          <w:szCs w:val="22"/>
        </w:rPr>
      </w:pPr>
    </w:p>
    <w:p w:rsidR="00E807F8" w:rsidRPr="00382204" w:rsidRDefault="00E807F8" w:rsidP="006122E6">
      <w:pPr>
        <w:pStyle w:val="Heading3"/>
      </w:pPr>
      <w:bookmarkStart w:id="100" w:name="_Toc21514381"/>
      <w:bookmarkStart w:id="101" w:name="_Toc21514458"/>
      <w:bookmarkStart w:id="102" w:name="_Toc21514865"/>
      <w:bookmarkStart w:id="103" w:name="_Toc21515565"/>
      <w:bookmarkStart w:id="104" w:name="_Toc21521388"/>
      <w:r w:rsidRPr="00DB7FBA">
        <w:t>Tabela 4: Kategorizimi i Aseteve (RAB) dhe norma mesatare e ponderuar e zhvlerësimit</w:t>
      </w:r>
      <w:bookmarkEnd w:id="100"/>
      <w:bookmarkEnd w:id="101"/>
      <w:bookmarkEnd w:id="102"/>
      <w:bookmarkEnd w:id="103"/>
      <w:bookmarkEnd w:id="104"/>
    </w:p>
    <w:p w:rsidR="00E807F8" w:rsidRPr="00E84532" w:rsidRDefault="00DB7FBA" w:rsidP="00E807F8">
      <w:pPr>
        <w:jc w:val="both"/>
        <w:rPr>
          <w:rFonts w:asciiTheme="minorHAnsi" w:hAnsiTheme="minorHAnsi"/>
        </w:rPr>
      </w:pPr>
      <w:r w:rsidRPr="00DB7FBA">
        <w:rPr>
          <w:noProof/>
          <w:lang w:val="en-US"/>
        </w:rPr>
        <w:drawing>
          <wp:inline distT="0" distB="0" distL="0" distR="0">
            <wp:extent cx="5761355" cy="278454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2784542"/>
                    </a:xfrm>
                    <a:prstGeom prst="rect">
                      <a:avLst/>
                    </a:prstGeom>
                    <a:noFill/>
                    <a:ln>
                      <a:noFill/>
                    </a:ln>
                  </pic:spPr>
                </pic:pic>
              </a:graphicData>
            </a:graphic>
          </wp:inline>
        </w:drawing>
      </w:r>
    </w:p>
    <w:p w:rsidR="00E807F8" w:rsidRPr="00E84532" w:rsidRDefault="00E807F8" w:rsidP="00E807F8">
      <w:pPr>
        <w:jc w:val="both"/>
        <w:rPr>
          <w:rFonts w:asciiTheme="minorHAnsi" w:hAnsiTheme="minorHAnsi"/>
          <w:sz w:val="22"/>
          <w:szCs w:val="22"/>
        </w:rPr>
      </w:pPr>
    </w:p>
    <w:p w:rsidR="00E807F8" w:rsidRPr="00E84532" w:rsidRDefault="00E649E1" w:rsidP="00E807F8">
      <w:pPr>
        <w:jc w:val="both"/>
        <w:rPr>
          <w:rFonts w:asciiTheme="minorHAnsi" w:hAnsiTheme="minorHAnsi"/>
          <w:sz w:val="22"/>
          <w:szCs w:val="22"/>
        </w:rPr>
      </w:pPr>
      <w:r w:rsidRPr="00E84532">
        <w:rPr>
          <w:rFonts w:asciiTheme="minorHAnsi" w:hAnsiTheme="minorHAnsi"/>
          <w:sz w:val="22"/>
          <w:szCs w:val="22"/>
        </w:rPr>
        <w:t>Siç</w:t>
      </w:r>
      <w:r w:rsidR="00E807F8" w:rsidRPr="00E84532">
        <w:rPr>
          <w:rFonts w:asciiTheme="minorHAnsi" w:hAnsiTheme="minorHAnsi"/>
          <w:sz w:val="22"/>
          <w:szCs w:val="22"/>
        </w:rPr>
        <w:t xml:space="preserve"> vërehet nga tabela më lartë norma mesatare e ponderuar e zhvlerësimit (NZH</w:t>
      </w:r>
      <w:r w:rsidR="00E807F8" w:rsidRPr="00E84532">
        <w:rPr>
          <w:rFonts w:asciiTheme="minorHAnsi" w:hAnsiTheme="minorHAnsi"/>
          <w:sz w:val="22"/>
          <w:szCs w:val="22"/>
          <w:vertAlign w:val="subscript"/>
        </w:rPr>
        <w:t>MP</w:t>
      </w:r>
      <w:r w:rsidR="00E807F8" w:rsidRPr="00E84532">
        <w:rPr>
          <w:rFonts w:asciiTheme="minorHAnsi" w:hAnsiTheme="minorHAnsi"/>
          <w:sz w:val="22"/>
          <w:szCs w:val="22"/>
        </w:rPr>
        <w:t>) është llogaritur 3.2</w:t>
      </w:r>
      <w:r w:rsidR="002021F3">
        <w:rPr>
          <w:rFonts w:asciiTheme="minorHAnsi" w:hAnsiTheme="minorHAnsi"/>
          <w:sz w:val="22"/>
          <w:szCs w:val="22"/>
        </w:rPr>
        <w:t>6</w:t>
      </w:r>
      <w:r w:rsidR="00E807F8" w:rsidRPr="00E84532">
        <w:rPr>
          <w:rFonts w:asciiTheme="minorHAnsi" w:hAnsiTheme="minorHAnsi"/>
          <w:sz w:val="22"/>
          <w:szCs w:val="22"/>
        </w:rPr>
        <w:t>%. Bazuar në vlerën totale të (RAB-it minus Kapitali punues) dhe Normën mesatare të ponderuar të zhvlerësimit, llogaritet Zhvlerësimi vjetor i lejuar, si në vijim:</w:t>
      </w:r>
    </w:p>
    <w:p w:rsidR="00E807F8" w:rsidRPr="00E84532" w:rsidRDefault="00E807F8" w:rsidP="00E807F8">
      <w:pPr>
        <w:jc w:val="both"/>
        <w:rPr>
          <w:rFonts w:asciiTheme="minorHAnsi" w:hAnsiTheme="minorHAnsi"/>
          <w:sz w:val="22"/>
          <w:szCs w:val="22"/>
        </w:rPr>
      </w:pPr>
    </w:p>
    <w:p w:rsidR="00E807F8" w:rsidRDefault="00E807F8" w:rsidP="00E807F8">
      <w:pPr>
        <w:jc w:val="both"/>
        <w:rPr>
          <w:rFonts w:asciiTheme="minorHAnsi" w:hAnsiTheme="minorHAnsi"/>
          <w:sz w:val="22"/>
          <w:szCs w:val="22"/>
        </w:rPr>
      </w:pPr>
      <w:r w:rsidRPr="00E84532">
        <w:rPr>
          <w:rFonts w:asciiTheme="minorHAnsi" w:hAnsiTheme="minorHAnsi"/>
          <w:b/>
          <w:sz w:val="22"/>
          <w:szCs w:val="22"/>
        </w:rPr>
        <w:t>Zhvlerësimi vjetor i lejuar (</w:t>
      </w:r>
      <w:r w:rsidRPr="00E84532">
        <w:rPr>
          <w:rFonts w:asciiTheme="minorHAnsi" w:hAnsiTheme="minorHAnsi" w:cs="Calibri"/>
          <w:b/>
          <w:color w:val="000000"/>
          <w:sz w:val="22"/>
          <w:szCs w:val="22"/>
        </w:rPr>
        <w:t>DEP</w:t>
      </w:r>
      <w:r w:rsidRPr="00E84532">
        <w:rPr>
          <w:rFonts w:asciiTheme="minorHAnsi" w:hAnsiTheme="minorHAnsi" w:cs="Calibri"/>
          <w:b/>
          <w:color w:val="000000"/>
          <w:sz w:val="22"/>
          <w:szCs w:val="22"/>
          <w:vertAlign w:val="subscript"/>
        </w:rPr>
        <w:t>n</w:t>
      </w:r>
      <w:r w:rsidRPr="00E84532">
        <w:rPr>
          <w:rFonts w:asciiTheme="minorHAnsi" w:hAnsiTheme="minorHAnsi" w:cs="Calibri"/>
          <w:b/>
          <w:color w:val="000000"/>
          <w:sz w:val="22"/>
          <w:szCs w:val="22"/>
        </w:rPr>
        <w:t>)</w:t>
      </w:r>
      <w:r w:rsidRPr="00E84532">
        <w:rPr>
          <w:rFonts w:asciiTheme="minorHAnsi" w:hAnsiTheme="minorHAnsi"/>
          <w:sz w:val="22"/>
          <w:szCs w:val="22"/>
        </w:rPr>
        <w:t xml:space="preserve">=(Total RAB - </w:t>
      </w:r>
      <w:r w:rsidRPr="00E84532">
        <w:rPr>
          <w:rFonts w:asciiTheme="minorHAnsi" w:hAnsiTheme="minorHAnsi" w:cs="Calibri"/>
          <w:color w:val="000000"/>
          <w:sz w:val="22"/>
          <w:szCs w:val="22"/>
        </w:rPr>
        <w:t>WC</w:t>
      </w:r>
      <w:r w:rsidRPr="00E84532">
        <w:rPr>
          <w:rFonts w:asciiTheme="minorHAnsi" w:hAnsiTheme="minorHAnsi" w:cs="Calibri"/>
          <w:b/>
          <w:color w:val="000000"/>
          <w:sz w:val="22"/>
          <w:szCs w:val="22"/>
          <w:vertAlign w:val="subscript"/>
        </w:rPr>
        <w:t>n</w:t>
      </w:r>
      <w:r w:rsidRPr="00E84532">
        <w:rPr>
          <w:rFonts w:asciiTheme="minorHAnsi" w:hAnsiTheme="minorHAnsi" w:cs="Calibri"/>
          <w:b/>
          <w:color w:val="000000"/>
          <w:sz w:val="22"/>
          <w:szCs w:val="22"/>
        </w:rPr>
        <w:t>)</w:t>
      </w:r>
      <w:r w:rsidRPr="00E84532">
        <w:rPr>
          <w:rFonts w:asciiTheme="minorHAnsi" w:hAnsiTheme="minorHAnsi"/>
          <w:sz w:val="22"/>
          <w:szCs w:val="22"/>
        </w:rPr>
        <w:t xml:space="preserve">  * NZH</w:t>
      </w:r>
      <w:r w:rsidRPr="00E84532">
        <w:rPr>
          <w:rFonts w:asciiTheme="minorHAnsi" w:hAnsiTheme="minorHAnsi"/>
          <w:sz w:val="22"/>
          <w:szCs w:val="22"/>
          <w:vertAlign w:val="subscript"/>
        </w:rPr>
        <w:t>MP</w:t>
      </w:r>
      <w:r w:rsidRPr="00E84532">
        <w:rPr>
          <w:rFonts w:asciiTheme="minorHAnsi" w:hAnsiTheme="minorHAnsi"/>
          <w:sz w:val="22"/>
          <w:szCs w:val="22"/>
        </w:rPr>
        <w:t xml:space="preserve"> = </w:t>
      </w:r>
      <w:r w:rsidR="00CF3C2C">
        <w:rPr>
          <w:rFonts w:asciiTheme="minorHAnsi" w:hAnsiTheme="minorHAnsi"/>
          <w:sz w:val="22"/>
          <w:szCs w:val="22"/>
        </w:rPr>
        <w:t>5</w:t>
      </w:r>
      <w:r w:rsidR="002021F3">
        <w:rPr>
          <w:rFonts w:asciiTheme="minorHAnsi" w:hAnsiTheme="minorHAnsi"/>
          <w:sz w:val="22"/>
          <w:szCs w:val="22"/>
        </w:rPr>
        <w:t>2</w:t>
      </w:r>
      <w:r w:rsidRPr="00E84532">
        <w:rPr>
          <w:rFonts w:asciiTheme="minorHAnsi" w:hAnsiTheme="minorHAnsi"/>
          <w:sz w:val="22"/>
          <w:szCs w:val="22"/>
        </w:rPr>
        <w:t>,</w:t>
      </w:r>
      <w:r w:rsidR="002021F3">
        <w:rPr>
          <w:rFonts w:asciiTheme="minorHAnsi" w:hAnsiTheme="minorHAnsi"/>
          <w:sz w:val="22"/>
          <w:szCs w:val="22"/>
        </w:rPr>
        <w:t>398</w:t>
      </w:r>
      <w:r w:rsidRPr="00E84532">
        <w:rPr>
          <w:rFonts w:asciiTheme="minorHAnsi" w:hAnsiTheme="minorHAnsi"/>
          <w:sz w:val="22"/>
          <w:szCs w:val="22"/>
        </w:rPr>
        <w:t>,</w:t>
      </w:r>
      <w:r w:rsidR="002021F3">
        <w:rPr>
          <w:rFonts w:asciiTheme="minorHAnsi" w:hAnsiTheme="minorHAnsi"/>
          <w:sz w:val="22"/>
          <w:szCs w:val="22"/>
        </w:rPr>
        <w:t>4</w:t>
      </w:r>
      <w:r w:rsidR="00CF3C2C">
        <w:rPr>
          <w:rFonts w:asciiTheme="minorHAnsi" w:hAnsiTheme="minorHAnsi"/>
          <w:sz w:val="22"/>
          <w:szCs w:val="22"/>
        </w:rPr>
        <w:t>94</w:t>
      </w:r>
      <w:r w:rsidRPr="00E84532">
        <w:rPr>
          <w:rFonts w:asciiTheme="minorHAnsi" w:hAnsiTheme="minorHAnsi"/>
          <w:sz w:val="22"/>
          <w:szCs w:val="22"/>
        </w:rPr>
        <w:t xml:space="preserve"> € * 3.2</w:t>
      </w:r>
      <w:r w:rsidR="009732A4">
        <w:rPr>
          <w:rFonts w:asciiTheme="minorHAnsi" w:hAnsiTheme="minorHAnsi"/>
          <w:sz w:val="22"/>
          <w:szCs w:val="22"/>
        </w:rPr>
        <w:t>6</w:t>
      </w:r>
      <w:r w:rsidRPr="00E84532">
        <w:rPr>
          <w:rFonts w:asciiTheme="minorHAnsi" w:hAnsiTheme="minorHAnsi"/>
          <w:sz w:val="22"/>
          <w:szCs w:val="22"/>
        </w:rPr>
        <w:t xml:space="preserve"> %= </w:t>
      </w:r>
      <w:r w:rsidRPr="00E84532">
        <w:rPr>
          <w:rFonts w:asciiTheme="minorHAnsi" w:hAnsiTheme="minorHAnsi"/>
          <w:b/>
          <w:sz w:val="22"/>
          <w:szCs w:val="22"/>
        </w:rPr>
        <w:t>1,</w:t>
      </w:r>
      <w:r w:rsidR="002021F3">
        <w:rPr>
          <w:rFonts w:asciiTheme="minorHAnsi" w:hAnsiTheme="minorHAnsi"/>
          <w:b/>
          <w:sz w:val="22"/>
          <w:szCs w:val="22"/>
        </w:rPr>
        <w:t>710</w:t>
      </w:r>
      <w:r w:rsidRPr="00E84532">
        <w:rPr>
          <w:rFonts w:asciiTheme="minorHAnsi" w:hAnsiTheme="minorHAnsi"/>
          <w:b/>
          <w:sz w:val="22"/>
          <w:szCs w:val="22"/>
        </w:rPr>
        <w:t>,</w:t>
      </w:r>
      <w:r w:rsidR="00CF3C2C">
        <w:rPr>
          <w:rFonts w:asciiTheme="minorHAnsi" w:hAnsiTheme="minorHAnsi"/>
          <w:b/>
          <w:sz w:val="22"/>
          <w:szCs w:val="22"/>
        </w:rPr>
        <w:t>4</w:t>
      </w:r>
      <w:r w:rsidR="002021F3">
        <w:rPr>
          <w:rFonts w:asciiTheme="minorHAnsi" w:hAnsiTheme="minorHAnsi"/>
          <w:b/>
          <w:sz w:val="22"/>
          <w:szCs w:val="22"/>
        </w:rPr>
        <w:t>30</w:t>
      </w:r>
      <w:r w:rsidRPr="00E84532">
        <w:rPr>
          <w:rFonts w:asciiTheme="minorHAnsi" w:hAnsiTheme="minorHAnsi"/>
          <w:b/>
          <w:sz w:val="22"/>
          <w:szCs w:val="22"/>
        </w:rPr>
        <w:t>€</w:t>
      </w:r>
      <w:r w:rsidRPr="00E84532">
        <w:rPr>
          <w:rFonts w:asciiTheme="minorHAnsi" w:hAnsiTheme="minorHAnsi"/>
          <w:sz w:val="22"/>
          <w:szCs w:val="22"/>
        </w:rPr>
        <w:t xml:space="preserve"> </w:t>
      </w:r>
    </w:p>
    <w:p w:rsidR="009732A4" w:rsidRDefault="009732A4" w:rsidP="00E807F8">
      <w:pPr>
        <w:jc w:val="both"/>
        <w:rPr>
          <w:rFonts w:asciiTheme="minorHAnsi" w:hAnsiTheme="minorHAnsi"/>
          <w:sz w:val="22"/>
          <w:szCs w:val="22"/>
        </w:rPr>
      </w:pPr>
    </w:p>
    <w:p w:rsidR="00E807F8" w:rsidRPr="00021732" w:rsidRDefault="00E807F8" w:rsidP="00021732">
      <w:pPr>
        <w:pStyle w:val="Heading2"/>
        <w:rPr>
          <w:color w:val="auto"/>
        </w:rPr>
      </w:pPr>
      <w:bookmarkStart w:id="105" w:name="_Toc339538669"/>
      <w:bookmarkStart w:id="106" w:name="_Toc339539123"/>
      <w:bookmarkStart w:id="107" w:name="_Toc21513554"/>
      <w:bookmarkStart w:id="108" w:name="_Toc21514382"/>
      <w:bookmarkStart w:id="109" w:name="_Toc21521389"/>
      <w:r w:rsidRPr="00021732">
        <w:rPr>
          <w:color w:val="auto"/>
        </w:rPr>
        <w:t>Përcaktimi i Kthimit të Lejuar në RAB (Fitimi i Lejuar)</w:t>
      </w:r>
      <w:bookmarkEnd w:id="105"/>
      <w:bookmarkEnd w:id="106"/>
      <w:bookmarkEnd w:id="107"/>
      <w:bookmarkEnd w:id="108"/>
      <w:bookmarkEnd w:id="109"/>
    </w:p>
    <w:p w:rsidR="00954DC8" w:rsidRPr="00954DC8" w:rsidRDefault="00954DC8" w:rsidP="00954DC8"/>
    <w:p w:rsidR="00E807F8" w:rsidRPr="00E84532" w:rsidRDefault="00E807F8" w:rsidP="00E807F8">
      <w:pPr>
        <w:jc w:val="both"/>
        <w:rPr>
          <w:rFonts w:asciiTheme="minorHAnsi" w:hAnsiTheme="minorHAnsi"/>
          <w:sz w:val="22"/>
        </w:rPr>
      </w:pPr>
      <w:r w:rsidRPr="00E84532">
        <w:rPr>
          <w:rFonts w:asciiTheme="minorHAnsi" w:hAnsiTheme="minorHAnsi"/>
          <w:sz w:val="22"/>
        </w:rPr>
        <w:t>Siç u përmend më parë, llogaritja/përcaktimi i Kthimit të lejuar llogaritet bazuar në Bazën e Rregulluar të Aseteve të vetëfinancuara RAB</w:t>
      </w:r>
      <w:r w:rsidRPr="00E84532">
        <w:rPr>
          <w:rFonts w:asciiTheme="minorHAnsi" w:hAnsiTheme="minorHAnsi"/>
          <w:sz w:val="22"/>
          <w:vertAlign w:val="subscript"/>
        </w:rPr>
        <w:t>f</w:t>
      </w:r>
      <w:r w:rsidRPr="00E84532">
        <w:rPr>
          <w:rFonts w:asciiTheme="minorHAnsi" w:hAnsiTheme="minorHAnsi"/>
          <w:sz w:val="22"/>
        </w:rPr>
        <w:t xml:space="preserve">) dhe Normën e kthimit (RoR), pra përfshin dy </w:t>
      </w:r>
      <w:r w:rsidR="00F2300E" w:rsidRPr="00E84532">
        <w:rPr>
          <w:rFonts w:asciiTheme="minorHAnsi" w:hAnsiTheme="minorHAnsi"/>
          <w:sz w:val="22"/>
        </w:rPr>
        <w:t>komponentët</w:t>
      </w:r>
      <w:r w:rsidRPr="00E84532">
        <w:rPr>
          <w:rFonts w:asciiTheme="minorHAnsi" w:hAnsiTheme="minorHAnsi"/>
          <w:sz w:val="22"/>
        </w:rPr>
        <w:t xml:space="preserve"> në vijim:</w:t>
      </w:r>
    </w:p>
    <w:p w:rsidR="00E807F8" w:rsidRPr="00E84532" w:rsidRDefault="00E807F8" w:rsidP="00E807F8">
      <w:pPr>
        <w:jc w:val="both"/>
        <w:rPr>
          <w:rFonts w:asciiTheme="minorHAnsi" w:hAnsiTheme="minorHAnsi"/>
          <w:sz w:val="22"/>
        </w:rPr>
      </w:pPr>
      <w:r w:rsidRPr="00E84532">
        <w:rPr>
          <w:rFonts w:asciiTheme="minorHAnsi" w:hAnsiTheme="minorHAnsi"/>
          <w:sz w:val="22"/>
        </w:rPr>
        <w:t xml:space="preserve"> </w:t>
      </w:r>
    </w:p>
    <w:p w:rsidR="00E807F8" w:rsidRPr="00E84532" w:rsidRDefault="00E807F8" w:rsidP="00F23C29">
      <w:pPr>
        <w:pStyle w:val="ListParagraph"/>
        <w:numPr>
          <w:ilvl w:val="0"/>
          <w:numId w:val="17"/>
        </w:numPr>
        <w:contextualSpacing w:val="0"/>
        <w:jc w:val="both"/>
        <w:rPr>
          <w:rFonts w:asciiTheme="minorHAnsi" w:hAnsiTheme="minorHAnsi"/>
          <w:sz w:val="22"/>
        </w:rPr>
      </w:pPr>
      <w:r w:rsidRPr="00E84532">
        <w:rPr>
          <w:rFonts w:asciiTheme="minorHAnsi" w:hAnsiTheme="minorHAnsi"/>
          <w:sz w:val="22"/>
        </w:rPr>
        <w:t>Përcaktimin (vendosjen) e Bazës së Rregulluar të Aseteve të vetëfinancuar (RAB</w:t>
      </w:r>
      <w:r w:rsidRPr="00E84532">
        <w:rPr>
          <w:rFonts w:asciiTheme="minorHAnsi" w:hAnsiTheme="minorHAnsi"/>
          <w:sz w:val="22"/>
          <w:vertAlign w:val="subscript"/>
        </w:rPr>
        <w:t>f</w:t>
      </w:r>
      <w:r w:rsidRPr="00E84532">
        <w:rPr>
          <w:rFonts w:asciiTheme="minorHAnsi" w:hAnsiTheme="minorHAnsi"/>
          <w:sz w:val="22"/>
        </w:rPr>
        <w:t xml:space="preserve">); dhe </w:t>
      </w:r>
    </w:p>
    <w:p w:rsidR="00E807F8" w:rsidRPr="00E84532" w:rsidRDefault="00E807F8" w:rsidP="00F23C29">
      <w:pPr>
        <w:pStyle w:val="ListParagraph"/>
        <w:numPr>
          <w:ilvl w:val="0"/>
          <w:numId w:val="17"/>
        </w:numPr>
        <w:contextualSpacing w:val="0"/>
        <w:jc w:val="both"/>
        <w:rPr>
          <w:rFonts w:asciiTheme="minorHAnsi" w:hAnsiTheme="minorHAnsi"/>
          <w:sz w:val="22"/>
        </w:rPr>
      </w:pPr>
      <w:r w:rsidRPr="00E84532">
        <w:rPr>
          <w:rFonts w:asciiTheme="minorHAnsi" w:hAnsiTheme="minorHAnsi"/>
          <w:sz w:val="22"/>
        </w:rPr>
        <w:t xml:space="preserve">Llogaritjen e Normës së Kthimit të lejuar (RoR), të përcaktuar në vlerën e WACC-ut. </w:t>
      </w:r>
    </w:p>
    <w:p w:rsidR="002021F3" w:rsidRDefault="002021F3" w:rsidP="00E807F8">
      <w:pPr>
        <w:jc w:val="both"/>
        <w:rPr>
          <w:rFonts w:asciiTheme="minorHAnsi" w:hAnsiTheme="minorHAnsi"/>
          <w:sz w:val="22"/>
        </w:rPr>
      </w:pPr>
    </w:p>
    <w:p w:rsidR="00E807F8" w:rsidRPr="00E84532" w:rsidRDefault="00E807F8" w:rsidP="00E807F8">
      <w:pPr>
        <w:jc w:val="both"/>
        <w:rPr>
          <w:rFonts w:asciiTheme="minorHAnsi" w:hAnsiTheme="minorHAnsi"/>
          <w:sz w:val="22"/>
        </w:rPr>
      </w:pPr>
      <w:r w:rsidRPr="00E84532">
        <w:rPr>
          <w:rFonts w:asciiTheme="minorHAnsi" w:hAnsiTheme="minorHAnsi"/>
          <w:sz w:val="22"/>
        </w:rPr>
        <w:t>Komponenta e parë - RAB</w:t>
      </w:r>
      <w:r w:rsidRPr="00E84532">
        <w:rPr>
          <w:rFonts w:asciiTheme="minorHAnsi" w:hAnsiTheme="minorHAnsi"/>
          <w:sz w:val="22"/>
          <w:vertAlign w:val="subscript"/>
        </w:rPr>
        <w:t>f</w:t>
      </w:r>
      <w:r w:rsidRPr="00E84532">
        <w:rPr>
          <w:rFonts w:asciiTheme="minorHAnsi" w:hAnsiTheme="minorHAnsi"/>
          <w:sz w:val="22"/>
        </w:rPr>
        <w:t xml:space="preserve"> është llogaritur në kapitullin 3.2 – tabela ‘3’, ndërsa llogaritja e kompone</w:t>
      </w:r>
      <w:r w:rsidR="00F91880">
        <w:rPr>
          <w:rFonts w:asciiTheme="minorHAnsi" w:hAnsiTheme="minorHAnsi"/>
          <w:sz w:val="22"/>
        </w:rPr>
        <w:t>n</w:t>
      </w:r>
      <w:r w:rsidRPr="00E84532">
        <w:rPr>
          <w:rFonts w:asciiTheme="minorHAnsi" w:hAnsiTheme="minorHAnsi"/>
          <w:sz w:val="22"/>
        </w:rPr>
        <w:t xml:space="preserve">tës së dytë – RoR përcaktohet në kapitullin vijues: </w:t>
      </w:r>
    </w:p>
    <w:p w:rsidR="00E807F8" w:rsidRPr="00E649E1" w:rsidRDefault="00E807F8" w:rsidP="00F53E76">
      <w:pPr>
        <w:pStyle w:val="Heading2"/>
        <w:numPr>
          <w:ilvl w:val="0"/>
          <w:numId w:val="0"/>
        </w:numPr>
        <w:ind w:left="720"/>
      </w:pPr>
    </w:p>
    <w:p w:rsidR="00E807F8" w:rsidRPr="00997440" w:rsidRDefault="00021732" w:rsidP="006122E6">
      <w:pPr>
        <w:pStyle w:val="Heading3"/>
      </w:pPr>
      <w:bookmarkStart w:id="110" w:name="_Toc526514493"/>
      <w:bookmarkStart w:id="111" w:name="_Toc21513555"/>
      <w:bookmarkStart w:id="112" w:name="_Toc21514383"/>
      <w:bookmarkStart w:id="113" w:name="_Toc21514867"/>
      <w:bookmarkStart w:id="114" w:name="_Toc21515567"/>
      <w:bookmarkStart w:id="115" w:name="_Toc21521390"/>
      <w:bookmarkStart w:id="116" w:name="_Toc339537367"/>
      <w:bookmarkStart w:id="117" w:name="_Toc339538672"/>
      <w:bookmarkStart w:id="118" w:name="_Toc339539128"/>
      <w:r w:rsidRPr="00997440">
        <w:t>3.4.1</w:t>
      </w:r>
      <w:r w:rsidRPr="00997440">
        <w:tab/>
      </w:r>
      <w:r w:rsidR="00E807F8" w:rsidRPr="00997440">
        <w:t>Llogaritja e Normës së Kthimit (RoR) të Lejuar</w:t>
      </w:r>
      <w:bookmarkEnd w:id="110"/>
      <w:bookmarkEnd w:id="111"/>
      <w:bookmarkEnd w:id="112"/>
      <w:bookmarkEnd w:id="113"/>
      <w:bookmarkEnd w:id="114"/>
      <w:bookmarkEnd w:id="115"/>
      <w:r w:rsidR="00E807F8" w:rsidRPr="00997440">
        <w:t xml:space="preserve"> </w:t>
      </w:r>
      <w:bookmarkEnd w:id="116"/>
      <w:bookmarkEnd w:id="117"/>
      <w:bookmarkEnd w:id="118"/>
    </w:p>
    <w:p w:rsidR="00E807F8" w:rsidRPr="00E84532" w:rsidRDefault="00E807F8" w:rsidP="00E807F8">
      <w:pPr>
        <w:rPr>
          <w:rFonts w:asciiTheme="minorHAnsi" w:hAnsiTheme="minorHAnsi"/>
          <w:b/>
          <w:bCs/>
          <w:sz w:val="22"/>
          <w:szCs w:val="22"/>
        </w:rPr>
      </w:pPr>
    </w:p>
    <w:p w:rsidR="00E807F8" w:rsidRPr="00E649E1" w:rsidRDefault="00E807F8" w:rsidP="00E649E1">
      <w:pPr>
        <w:pStyle w:val="BodyText2"/>
        <w:ind w:left="0" w:firstLine="0"/>
        <w:jc w:val="both"/>
        <w:rPr>
          <w:rStyle w:val="Emphasis"/>
          <w:b w:val="0"/>
          <w:szCs w:val="22"/>
        </w:rPr>
      </w:pPr>
      <w:r w:rsidRPr="00E649E1">
        <w:rPr>
          <w:rStyle w:val="Emphasis"/>
          <w:b w:val="0"/>
          <w:szCs w:val="22"/>
        </w:rPr>
        <w:t>Objektivi i Normës së kthimit të arsyeshme (RoR) në Bazën e rregulluar të aseteve (RAB), është që të garantoj ndërmarrjet e ngrohjes qendrore për një fitim që lejon të vazhdohet me investimet në asete, në mënyrë që të mund ti rehabilitoj dhe ti zgjeroj ato.</w:t>
      </w:r>
    </w:p>
    <w:p w:rsidR="00E807F8" w:rsidRPr="00E84532" w:rsidRDefault="00E807F8" w:rsidP="00E649E1">
      <w:pPr>
        <w:jc w:val="both"/>
        <w:rPr>
          <w:rFonts w:asciiTheme="minorHAnsi" w:hAnsiTheme="minorHAnsi"/>
          <w:sz w:val="22"/>
          <w:szCs w:val="22"/>
        </w:rPr>
      </w:pPr>
    </w:p>
    <w:p w:rsidR="00E807F8" w:rsidRPr="00E84532" w:rsidRDefault="00E807F8" w:rsidP="00E649E1">
      <w:pPr>
        <w:jc w:val="both"/>
        <w:rPr>
          <w:rFonts w:asciiTheme="minorHAnsi" w:hAnsiTheme="minorHAnsi"/>
          <w:sz w:val="22"/>
          <w:szCs w:val="22"/>
        </w:rPr>
      </w:pPr>
      <w:r w:rsidRPr="00E84532">
        <w:rPr>
          <w:rFonts w:asciiTheme="minorHAnsi" w:hAnsiTheme="minorHAnsi"/>
          <w:sz w:val="22"/>
          <w:szCs w:val="22"/>
        </w:rPr>
        <w:lastRenderedPageBreak/>
        <w:t xml:space="preserve">Një RoR i arsyeshëm konsiderohet të jetë norma e “Mesatares së Ponderuar të Kostos së Kapitalit” (WACC), që llogaritet në komponentët e bazës së kapitalit, duke marrë parasysh ponderimet e shumave të këtyre </w:t>
      </w:r>
      <w:r w:rsidR="00F2300E" w:rsidRPr="00E84532">
        <w:rPr>
          <w:rFonts w:asciiTheme="minorHAnsi" w:hAnsiTheme="minorHAnsi"/>
          <w:sz w:val="22"/>
          <w:szCs w:val="22"/>
        </w:rPr>
        <w:t>komponentëve</w:t>
      </w:r>
      <w:r w:rsidRPr="00E84532">
        <w:rPr>
          <w:rFonts w:asciiTheme="minorHAnsi" w:hAnsiTheme="minorHAnsi"/>
          <w:sz w:val="22"/>
          <w:szCs w:val="22"/>
        </w:rPr>
        <w:t xml:space="preserve"> të kapitalit. Me fjalë tjera, WACC-u është shuma e mesatares së ponderuar të kostos së ekuitetit dhe kostos së borxhit. </w:t>
      </w:r>
    </w:p>
    <w:p w:rsidR="00E807F8" w:rsidRPr="00E84532" w:rsidRDefault="00E807F8" w:rsidP="00E649E1">
      <w:pPr>
        <w:jc w:val="both"/>
        <w:rPr>
          <w:rFonts w:asciiTheme="minorHAnsi" w:hAnsiTheme="minorHAnsi"/>
          <w:sz w:val="22"/>
          <w:szCs w:val="22"/>
        </w:rPr>
      </w:pPr>
    </w:p>
    <w:p w:rsidR="00E807F8" w:rsidRPr="00E84532" w:rsidRDefault="00E807F8" w:rsidP="00E649E1">
      <w:pPr>
        <w:jc w:val="both"/>
        <w:rPr>
          <w:rFonts w:asciiTheme="minorHAnsi" w:hAnsiTheme="minorHAnsi"/>
          <w:sz w:val="22"/>
          <w:szCs w:val="22"/>
        </w:rPr>
      </w:pPr>
      <w:r w:rsidRPr="00E84532">
        <w:rPr>
          <w:rFonts w:asciiTheme="minorHAnsi" w:hAnsiTheme="minorHAnsi"/>
          <w:sz w:val="22"/>
          <w:szCs w:val="22"/>
        </w:rPr>
        <w:t>Për koston e ekuitetit, ZRRE-ja ndjek metodologjinë e njohur ndërkombëtare të quajtur “Modeli i Çmimit të Kapitalit të Aseteve” (CAPM).  CAPM shpreh koston e pritur të ekuitetit si një normë pa rrezik (r</w:t>
      </w:r>
      <w:r w:rsidRPr="00E84532">
        <w:rPr>
          <w:rFonts w:asciiTheme="minorHAnsi" w:hAnsiTheme="minorHAnsi"/>
          <w:sz w:val="22"/>
          <w:szCs w:val="22"/>
          <w:vertAlign w:val="subscript"/>
        </w:rPr>
        <w:t>f</w:t>
      </w:r>
      <w:r w:rsidRPr="00E84532">
        <w:rPr>
          <w:rFonts w:asciiTheme="minorHAnsi" w:hAnsiTheme="minorHAnsi"/>
          <w:sz w:val="22"/>
          <w:szCs w:val="22"/>
        </w:rPr>
        <w:t>) plus premiumin e rrezikut të ekuitetit (ERP). Ne mund ta definojmë ERP si ndryshimin mes rrezikut të tregut të ekuitetit – d.m.th. kthimi i pritur nga tregu i zhvilluar mirë – dhe normën e kthimit pa rrezik, e që shprehet me formulën e paraqitur më poshtë:</w:t>
      </w:r>
    </w:p>
    <w:p w:rsidR="00E807F8" w:rsidRPr="00E84532" w:rsidRDefault="00E807F8" w:rsidP="00E649E1">
      <w:pPr>
        <w:jc w:val="both"/>
        <w:rPr>
          <w:rFonts w:asciiTheme="minorHAnsi" w:hAnsiTheme="minorHAnsi"/>
          <w:sz w:val="22"/>
          <w:szCs w:val="22"/>
        </w:rPr>
      </w:pPr>
    </w:p>
    <w:p w:rsidR="00E807F8" w:rsidRPr="00E84532" w:rsidRDefault="00E807F8" w:rsidP="00E807F8">
      <w:pPr>
        <w:rPr>
          <w:rFonts w:asciiTheme="minorHAnsi" w:hAnsiTheme="minorHAnsi"/>
          <w:b/>
          <w:sz w:val="28"/>
          <w:szCs w:val="28"/>
        </w:rPr>
      </w:pPr>
      <w:r w:rsidRPr="00E84532">
        <w:rPr>
          <w:rFonts w:asciiTheme="minorHAnsi" w:hAnsiTheme="minorHAnsi"/>
          <w:b/>
          <w:sz w:val="28"/>
          <w:szCs w:val="28"/>
        </w:rPr>
        <w:t>ERP = (r</w:t>
      </w:r>
      <w:r w:rsidRPr="00E84532">
        <w:rPr>
          <w:rFonts w:asciiTheme="minorHAnsi" w:hAnsiTheme="minorHAnsi"/>
          <w:b/>
          <w:sz w:val="28"/>
          <w:szCs w:val="28"/>
          <w:vertAlign w:val="subscript"/>
        </w:rPr>
        <w:t xml:space="preserve">m - </w:t>
      </w:r>
      <w:r w:rsidRPr="00E84532">
        <w:rPr>
          <w:rFonts w:asciiTheme="minorHAnsi" w:hAnsiTheme="minorHAnsi"/>
          <w:b/>
          <w:sz w:val="28"/>
          <w:szCs w:val="28"/>
        </w:rPr>
        <w:t>r</w:t>
      </w:r>
      <w:r w:rsidRPr="00E84532">
        <w:rPr>
          <w:rFonts w:asciiTheme="minorHAnsi" w:hAnsiTheme="minorHAnsi"/>
          <w:b/>
          <w:sz w:val="28"/>
          <w:szCs w:val="28"/>
          <w:vertAlign w:val="subscript"/>
        </w:rPr>
        <w:t>f</w:t>
      </w:r>
      <w:r w:rsidRPr="00E84532">
        <w:rPr>
          <w:rFonts w:asciiTheme="minorHAnsi" w:hAnsiTheme="minorHAnsi"/>
          <w:b/>
          <w:sz w:val="28"/>
          <w:szCs w:val="28"/>
        </w:rPr>
        <w:t>)</w:t>
      </w:r>
    </w:p>
    <w:p w:rsidR="00E807F8" w:rsidRPr="00E84532" w:rsidRDefault="00E807F8" w:rsidP="00E807F8">
      <w:pPr>
        <w:rPr>
          <w:rFonts w:asciiTheme="minorHAnsi" w:hAnsiTheme="minorHAnsi"/>
        </w:rPr>
      </w:pPr>
    </w:p>
    <w:p w:rsidR="00E807F8" w:rsidRPr="00E84532" w:rsidRDefault="00E807F8" w:rsidP="00E807F8">
      <w:pPr>
        <w:rPr>
          <w:rFonts w:asciiTheme="minorHAnsi" w:hAnsiTheme="minorHAnsi" w:cs="Calibri"/>
          <w:sz w:val="22"/>
          <w:szCs w:val="22"/>
        </w:rPr>
      </w:pPr>
      <w:r w:rsidRPr="00E84532">
        <w:rPr>
          <w:rFonts w:asciiTheme="minorHAnsi" w:hAnsiTheme="minorHAnsi" w:cs="Calibri"/>
          <w:sz w:val="22"/>
          <w:szCs w:val="22"/>
        </w:rPr>
        <w:t xml:space="preserve">Norma e ERP varet nga rreziku i investimit në një treg të një vendi të veçantë. </w:t>
      </w:r>
    </w:p>
    <w:p w:rsidR="00E807F8" w:rsidRPr="00E84532" w:rsidRDefault="00E807F8" w:rsidP="00E807F8">
      <w:pPr>
        <w:rPr>
          <w:rFonts w:asciiTheme="minorHAnsi" w:hAnsiTheme="minorHAnsi" w:cs="Calibri"/>
          <w:sz w:val="22"/>
          <w:szCs w:val="22"/>
        </w:rPr>
      </w:pPr>
      <w:r w:rsidRPr="00E84532">
        <w:rPr>
          <w:rFonts w:asciiTheme="minorHAnsi" w:hAnsiTheme="minorHAnsi" w:cs="Calibri"/>
          <w:sz w:val="22"/>
          <w:szCs w:val="22"/>
        </w:rPr>
        <w:tab/>
      </w:r>
    </w:p>
    <w:p w:rsidR="00E807F8" w:rsidRPr="00E84532" w:rsidRDefault="00E807F8" w:rsidP="00E807F8">
      <w:pPr>
        <w:rPr>
          <w:rFonts w:asciiTheme="minorHAnsi" w:hAnsiTheme="minorHAnsi" w:cs="Calibri"/>
          <w:sz w:val="22"/>
          <w:szCs w:val="22"/>
        </w:rPr>
      </w:pPr>
      <w:r w:rsidRPr="00E84532">
        <w:rPr>
          <w:rFonts w:asciiTheme="minorHAnsi" w:hAnsiTheme="minorHAnsi" w:cs="Calibri"/>
          <w:sz w:val="22"/>
          <w:szCs w:val="22"/>
        </w:rPr>
        <w:t>Vlera e WACC-ut para tatimeve mund të llogaritet sipas formulës në vijim:</w:t>
      </w:r>
    </w:p>
    <w:p w:rsidR="00E807F8" w:rsidRPr="00E84532" w:rsidRDefault="00E807F8" w:rsidP="00E807F8">
      <w:pPr>
        <w:tabs>
          <w:tab w:val="left" w:pos="6390"/>
        </w:tabs>
        <w:jc w:val="center"/>
        <w:rPr>
          <w:rFonts w:asciiTheme="minorHAnsi" w:hAnsiTheme="minorHAnsi"/>
          <w:sz w:val="22"/>
          <w:szCs w:val="22"/>
        </w:rPr>
      </w:pPr>
    </w:p>
    <w:p w:rsidR="00E807F8" w:rsidRPr="00E84532" w:rsidRDefault="00E807F8" w:rsidP="00E807F8">
      <w:pPr>
        <w:jc w:val="center"/>
        <w:rPr>
          <w:rFonts w:asciiTheme="minorHAnsi" w:hAnsiTheme="minorHAnsi"/>
          <w:b/>
          <w:bCs/>
          <w:sz w:val="28"/>
          <w:szCs w:val="28"/>
        </w:rPr>
      </w:pPr>
      <w:bookmarkStart w:id="119" w:name="_Toc339537724"/>
      <w:bookmarkStart w:id="120" w:name="_Toc339539129"/>
      <w:bookmarkStart w:id="121" w:name="_Toc339539762"/>
      <w:bookmarkStart w:id="122" w:name="_Toc339539998"/>
      <w:r w:rsidRPr="00E84532">
        <w:rPr>
          <w:rFonts w:asciiTheme="minorHAnsi" w:hAnsiTheme="minorHAnsi"/>
          <w:sz w:val="28"/>
          <w:szCs w:val="28"/>
          <w:bdr w:val="single" w:sz="4" w:space="0" w:color="auto"/>
        </w:rPr>
        <w:t>WACC</w:t>
      </w:r>
      <w:r w:rsidRPr="00E84532">
        <w:rPr>
          <w:rFonts w:asciiTheme="minorHAnsi" w:hAnsiTheme="minorHAnsi"/>
          <w:sz w:val="28"/>
          <w:szCs w:val="28"/>
          <w:bdr w:val="single" w:sz="4" w:space="0" w:color="auto"/>
          <w:vertAlign w:val="subscript"/>
        </w:rPr>
        <w:t>pre-tax</w:t>
      </w:r>
      <w:r w:rsidRPr="00E84532">
        <w:rPr>
          <w:rFonts w:asciiTheme="minorHAnsi" w:hAnsiTheme="minorHAnsi"/>
          <w:sz w:val="28"/>
          <w:szCs w:val="28"/>
          <w:bdr w:val="single" w:sz="4" w:space="0" w:color="auto"/>
        </w:rPr>
        <w:t xml:space="preserve"> = [(D/V)*k</w:t>
      </w:r>
      <w:r w:rsidRPr="00E84532">
        <w:rPr>
          <w:rFonts w:asciiTheme="minorHAnsi" w:hAnsiTheme="minorHAnsi"/>
          <w:sz w:val="28"/>
          <w:szCs w:val="28"/>
          <w:bdr w:val="single" w:sz="4" w:space="0" w:color="auto"/>
          <w:vertAlign w:val="subscript"/>
        </w:rPr>
        <w:t>d</w:t>
      </w:r>
      <w:r w:rsidRPr="00E84532">
        <w:rPr>
          <w:rFonts w:asciiTheme="minorHAnsi" w:hAnsiTheme="minorHAnsi"/>
          <w:sz w:val="28"/>
          <w:szCs w:val="28"/>
          <w:bdr w:val="single" w:sz="4" w:space="0" w:color="auto"/>
        </w:rPr>
        <w:t>] + [(E/V)*k</w:t>
      </w:r>
      <w:r w:rsidRPr="00E84532">
        <w:rPr>
          <w:rFonts w:asciiTheme="minorHAnsi" w:hAnsiTheme="minorHAnsi"/>
          <w:sz w:val="28"/>
          <w:szCs w:val="28"/>
          <w:bdr w:val="single" w:sz="4" w:space="0" w:color="auto"/>
          <w:vertAlign w:val="subscript"/>
        </w:rPr>
        <w:t>e</w:t>
      </w:r>
      <w:r w:rsidRPr="00E84532">
        <w:rPr>
          <w:rFonts w:asciiTheme="minorHAnsi" w:hAnsiTheme="minorHAnsi"/>
          <w:sz w:val="28"/>
          <w:szCs w:val="28"/>
          <w:bdr w:val="single" w:sz="4" w:space="0" w:color="auto"/>
        </w:rPr>
        <w:t>]</w:t>
      </w:r>
      <w:bookmarkEnd w:id="119"/>
      <w:bookmarkEnd w:id="120"/>
      <w:bookmarkEnd w:id="121"/>
      <w:bookmarkEnd w:id="122"/>
    </w:p>
    <w:p w:rsidR="00E807F8" w:rsidRPr="00E84532" w:rsidRDefault="00E807F8" w:rsidP="00E807F8">
      <w:pPr>
        <w:rPr>
          <w:rFonts w:asciiTheme="minorHAnsi" w:hAnsiTheme="minorHAnsi"/>
          <w:b/>
          <w:bCs/>
          <w:sz w:val="22"/>
          <w:szCs w:val="22"/>
        </w:rPr>
      </w:pPr>
    </w:p>
    <w:p w:rsidR="00E807F8" w:rsidRDefault="00E807F8" w:rsidP="002021F3">
      <w:pPr>
        <w:pStyle w:val="BodyText2"/>
        <w:ind w:left="0" w:firstLine="0"/>
        <w:rPr>
          <w:rFonts w:asciiTheme="minorHAnsi" w:hAnsiTheme="minorHAnsi"/>
          <w:b w:val="0"/>
          <w:sz w:val="22"/>
          <w:szCs w:val="22"/>
        </w:rPr>
      </w:pPr>
      <w:r w:rsidRPr="00A71E16">
        <w:rPr>
          <w:rFonts w:asciiTheme="minorHAnsi" w:hAnsiTheme="minorHAnsi"/>
          <w:b w:val="0"/>
          <w:sz w:val="22"/>
          <w:szCs w:val="22"/>
        </w:rPr>
        <w:t>ku:</w:t>
      </w:r>
    </w:p>
    <w:p w:rsidR="002021F3" w:rsidRPr="002021F3" w:rsidRDefault="002021F3" w:rsidP="002021F3">
      <w:pPr>
        <w:pStyle w:val="BodyText2"/>
        <w:ind w:left="0" w:firstLine="0"/>
        <w:rPr>
          <w:rFonts w:asciiTheme="minorHAnsi" w:hAnsiTheme="minorHAnsi"/>
          <w:b w:val="0"/>
          <w:sz w:val="22"/>
          <w:szCs w:val="22"/>
        </w:rPr>
      </w:pPr>
    </w:p>
    <w:p w:rsidR="00E807F8" w:rsidRPr="00E84532" w:rsidRDefault="00E807F8" w:rsidP="00E807F8">
      <w:pPr>
        <w:rPr>
          <w:rFonts w:asciiTheme="minorHAnsi" w:hAnsiTheme="minorHAnsi"/>
          <w:sz w:val="22"/>
          <w:szCs w:val="22"/>
        </w:rPr>
      </w:pPr>
      <w:r w:rsidRPr="00E84532">
        <w:rPr>
          <w:rFonts w:asciiTheme="minorHAnsi" w:hAnsiTheme="minorHAnsi"/>
          <w:b/>
          <w:bCs/>
          <w:sz w:val="28"/>
          <w:szCs w:val="28"/>
        </w:rPr>
        <w:t>D/V</w:t>
      </w:r>
      <w:r w:rsidRPr="00E84532">
        <w:rPr>
          <w:rFonts w:asciiTheme="minorHAnsi" w:hAnsiTheme="minorHAnsi"/>
          <w:sz w:val="22"/>
          <w:szCs w:val="22"/>
        </w:rPr>
        <w:tab/>
        <w:t xml:space="preserve">         Raporti i borxhit ndaj totalit të bazës së kapitalit (si përqindje)</w:t>
      </w:r>
    </w:p>
    <w:p w:rsidR="00E807F8" w:rsidRPr="00E84532" w:rsidRDefault="00E807F8" w:rsidP="00E807F8">
      <w:pPr>
        <w:rPr>
          <w:rFonts w:asciiTheme="minorHAnsi" w:hAnsiTheme="minorHAnsi"/>
          <w:sz w:val="22"/>
          <w:szCs w:val="22"/>
        </w:rPr>
      </w:pPr>
      <w:r w:rsidRPr="00E84532">
        <w:rPr>
          <w:rFonts w:asciiTheme="minorHAnsi" w:hAnsiTheme="minorHAnsi"/>
          <w:b/>
          <w:bCs/>
          <w:sz w:val="28"/>
          <w:szCs w:val="28"/>
        </w:rPr>
        <w:t>E/V</w:t>
      </w:r>
      <w:r w:rsidRPr="00E84532">
        <w:rPr>
          <w:rFonts w:asciiTheme="minorHAnsi" w:hAnsiTheme="minorHAnsi"/>
          <w:sz w:val="22"/>
          <w:szCs w:val="22"/>
        </w:rPr>
        <w:t xml:space="preserve">               Raporti i ekuitetit ndaj totalit të bazës së kapitalit (si përqindje)</w:t>
      </w:r>
    </w:p>
    <w:p w:rsidR="00E807F8" w:rsidRPr="00E84532" w:rsidRDefault="00E807F8" w:rsidP="00E807F8">
      <w:pPr>
        <w:rPr>
          <w:rFonts w:asciiTheme="minorHAnsi" w:hAnsiTheme="minorHAnsi"/>
          <w:sz w:val="22"/>
          <w:szCs w:val="22"/>
        </w:rPr>
      </w:pPr>
      <w:r w:rsidRPr="00E84532">
        <w:rPr>
          <w:rFonts w:asciiTheme="minorHAnsi" w:hAnsiTheme="minorHAnsi"/>
          <w:b/>
          <w:bCs/>
          <w:sz w:val="28"/>
          <w:szCs w:val="28"/>
        </w:rPr>
        <w:t>V</w:t>
      </w:r>
      <w:r w:rsidRPr="00E84532">
        <w:rPr>
          <w:rFonts w:asciiTheme="minorHAnsi" w:hAnsiTheme="minorHAnsi"/>
          <w:sz w:val="28"/>
          <w:szCs w:val="28"/>
        </w:rPr>
        <w:t xml:space="preserve">    </w:t>
      </w:r>
      <w:r w:rsidRPr="00E84532">
        <w:rPr>
          <w:rFonts w:asciiTheme="minorHAnsi" w:hAnsiTheme="minorHAnsi"/>
          <w:sz w:val="22"/>
          <w:szCs w:val="22"/>
        </w:rPr>
        <w:t xml:space="preserve">               Totali i bazës së kapitalit, që është shuma e ekuitetit dhe borxhit</w:t>
      </w:r>
    </w:p>
    <w:p w:rsidR="00E807F8" w:rsidRPr="00E84532" w:rsidRDefault="00E807F8" w:rsidP="00E807F8">
      <w:pPr>
        <w:rPr>
          <w:rFonts w:asciiTheme="minorHAnsi" w:hAnsiTheme="minorHAnsi"/>
          <w:b/>
          <w:bCs/>
          <w:sz w:val="22"/>
          <w:szCs w:val="22"/>
        </w:rPr>
      </w:pPr>
      <w:r w:rsidRPr="00E84532">
        <w:rPr>
          <w:rFonts w:asciiTheme="minorHAnsi" w:hAnsiTheme="minorHAnsi"/>
          <w:b/>
          <w:bCs/>
          <w:sz w:val="28"/>
          <w:szCs w:val="28"/>
        </w:rPr>
        <w:t>k</w:t>
      </w:r>
      <w:r w:rsidRPr="00E84532">
        <w:rPr>
          <w:rFonts w:asciiTheme="minorHAnsi" w:hAnsiTheme="minorHAnsi"/>
          <w:b/>
          <w:bCs/>
          <w:sz w:val="28"/>
          <w:szCs w:val="28"/>
          <w:vertAlign w:val="subscript"/>
        </w:rPr>
        <w:t>d</w:t>
      </w:r>
      <w:r w:rsidRPr="00E84532">
        <w:rPr>
          <w:rFonts w:asciiTheme="minorHAnsi" w:hAnsiTheme="minorHAnsi"/>
          <w:b/>
          <w:bCs/>
          <w:sz w:val="22"/>
          <w:szCs w:val="22"/>
        </w:rPr>
        <w:t xml:space="preserve">                   </w:t>
      </w:r>
      <w:r w:rsidRPr="00E84532">
        <w:rPr>
          <w:rFonts w:asciiTheme="minorHAnsi" w:hAnsiTheme="minorHAnsi"/>
          <w:bCs/>
          <w:sz w:val="22"/>
          <w:szCs w:val="22"/>
        </w:rPr>
        <w:t>Kostoja e Borxhit</w:t>
      </w:r>
      <w:r w:rsidRPr="00E84532">
        <w:rPr>
          <w:rFonts w:asciiTheme="minorHAnsi" w:hAnsiTheme="minorHAnsi"/>
          <w:b/>
          <w:bCs/>
          <w:sz w:val="22"/>
          <w:szCs w:val="22"/>
        </w:rPr>
        <w:t xml:space="preserve">   </w:t>
      </w:r>
    </w:p>
    <w:p w:rsidR="00E807F8" w:rsidRPr="00E84532" w:rsidRDefault="00E807F8" w:rsidP="00E807F8">
      <w:pPr>
        <w:rPr>
          <w:rFonts w:asciiTheme="minorHAnsi" w:hAnsiTheme="minorHAnsi"/>
          <w:b/>
          <w:bCs/>
          <w:sz w:val="22"/>
          <w:szCs w:val="22"/>
        </w:rPr>
      </w:pPr>
      <w:r w:rsidRPr="00E84532">
        <w:rPr>
          <w:rFonts w:asciiTheme="minorHAnsi" w:hAnsiTheme="minorHAnsi"/>
          <w:b/>
          <w:bCs/>
          <w:sz w:val="28"/>
          <w:szCs w:val="28"/>
        </w:rPr>
        <w:t>k</w:t>
      </w:r>
      <w:r w:rsidRPr="00E84532">
        <w:rPr>
          <w:rFonts w:asciiTheme="minorHAnsi" w:hAnsiTheme="minorHAnsi"/>
          <w:b/>
          <w:bCs/>
          <w:sz w:val="28"/>
          <w:szCs w:val="28"/>
          <w:vertAlign w:val="subscript"/>
        </w:rPr>
        <w:t>e</w:t>
      </w:r>
      <w:r w:rsidRPr="00E84532">
        <w:rPr>
          <w:rFonts w:asciiTheme="minorHAnsi" w:hAnsiTheme="minorHAnsi"/>
          <w:b/>
          <w:bCs/>
          <w:sz w:val="28"/>
          <w:szCs w:val="28"/>
        </w:rPr>
        <w:t xml:space="preserve">    </w:t>
      </w:r>
      <w:r w:rsidRPr="00E84532">
        <w:rPr>
          <w:rFonts w:asciiTheme="minorHAnsi" w:hAnsiTheme="minorHAnsi"/>
          <w:b/>
          <w:bCs/>
          <w:sz w:val="22"/>
          <w:szCs w:val="22"/>
        </w:rPr>
        <w:t xml:space="preserve">              </w:t>
      </w:r>
      <w:r w:rsidR="003736CF">
        <w:rPr>
          <w:rFonts w:asciiTheme="minorHAnsi" w:hAnsiTheme="minorHAnsi"/>
          <w:bCs/>
          <w:sz w:val="22"/>
          <w:szCs w:val="22"/>
        </w:rPr>
        <w:t>Kostoja e E</w:t>
      </w:r>
      <w:r w:rsidRPr="00E84532">
        <w:rPr>
          <w:rFonts w:asciiTheme="minorHAnsi" w:hAnsiTheme="minorHAnsi"/>
          <w:bCs/>
          <w:sz w:val="22"/>
          <w:szCs w:val="22"/>
        </w:rPr>
        <w:t>kuitetit</w:t>
      </w:r>
    </w:p>
    <w:p w:rsidR="00E807F8" w:rsidRPr="00E84532" w:rsidRDefault="00E807F8" w:rsidP="00E807F8">
      <w:pPr>
        <w:rPr>
          <w:rFonts w:asciiTheme="minorHAnsi" w:hAnsiTheme="minorHAnsi"/>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b/>
          <w:sz w:val="22"/>
          <w:szCs w:val="22"/>
        </w:rPr>
        <w:t>Kostoja e borxhit (k</w:t>
      </w:r>
      <w:r w:rsidRPr="00E84532">
        <w:rPr>
          <w:rFonts w:asciiTheme="minorHAnsi" w:hAnsiTheme="minorHAnsi"/>
          <w:b/>
          <w:sz w:val="22"/>
          <w:szCs w:val="22"/>
          <w:vertAlign w:val="subscript"/>
        </w:rPr>
        <w:t>d</w:t>
      </w:r>
      <w:r w:rsidRPr="00E84532">
        <w:rPr>
          <w:rFonts w:asciiTheme="minorHAnsi" w:hAnsiTheme="minorHAnsi"/>
          <w:b/>
          <w:sz w:val="22"/>
          <w:szCs w:val="22"/>
        </w:rPr>
        <w:t xml:space="preserve">) </w:t>
      </w:r>
      <w:r w:rsidRPr="00E84532">
        <w:rPr>
          <w:rFonts w:asciiTheme="minorHAnsi" w:hAnsiTheme="minorHAnsi"/>
          <w:sz w:val="22"/>
          <w:szCs w:val="22"/>
        </w:rPr>
        <w:t>është zotim kontraktual</w:t>
      </w:r>
      <w:r w:rsidRPr="00E84532">
        <w:rPr>
          <w:rFonts w:asciiTheme="minorHAnsi" w:hAnsiTheme="minorHAnsi"/>
          <w:b/>
          <w:sz w:val="22"/>
          <w:szCs w:val="22"/>
        </w:rPr>
        <w:t xml:space="preserve"> </w:t>
      </w:r>
      <w:r w:rsidRPr="00E84532">
        <w:rPr>
          <w:rFonts w:asciiTheme="minorHAnsi" w:hAnsiTheme="minorHAnsi"/>
          <w:sz w:val="22"/>
          <w:szCs w:val="22"/>
        </w:rPr>
        <w:t xml:space="preserve">dhe është norma interesit që ndërmarrja paguan në huatë (kreditë) aktuale. </w:t>
      </w:r>
    </w:p>
    <w:p w:rsidR="002021F3" w:rsidRDefault="002021F3" w:rsidP="00E807F8">
      <w:pPr>
        <w:rPr>
          <w:rFonts w:asciiTheme="minorHAnsi" w:hAnsiTheme="minorHAnsi"/>
          <w:b/>
          <w:sz w:val="22"/>
          <w:szCs w:val="22"/>
        </w:rPr>
      </w:pPr>
    </w:p>
    <w:p w:rsidR="002021F3" w:rsidRDefault="002021F3" w:rsidP="00E807F8">
      <w:pPr>
        <w:rPr>
          <w:rFonts w:asciiTheme="minorHAnsi" w:hAnsiTheme="minorHAnsi"/>
          <w:b/>
          <w:sz w:val="22"/>
          <w:szCs w:val="22"/>
        </w:rPr>
      </w:pPr>
    </w:p>
    <w:p w:rsidR="00E807F8" w:rsidRPr="00E84532" w:rsidRDefault="00E807F8" w:rsidP="00E807F8">
      <w:pPr>
        <w:rPr>
          <w:rFonts w:asciiTheme="minorHAnsi" w:hAnsiTheme="minorHAnsi"/>
          <w:sz w:val="22"/>
          <w:szCs w:val="22"/>
        </w:rPr>
      </w:pPr>
      <w:r w:rsidRPr="00E84532">
        <w:rPr>
          <w:rFonts w:asciiTheme="minorHAnsi" w:hAnsiTheme="minorHAnsi"/>
          <w:b/>
          <w:sz w:val="22"/>
          <w:szCs w:val="22"/>
        </w:rPr>
        <w:t>Kostoja e ekuitetit (k</w:t>
      </w:r>
      <w:r w:rsidRPr="00E84532">
        <w:rPr>
          <w:rFonts w:asciiTheme="minorHAnsi" w:hAnsiTheme="minorHAnsi"/>
          <w:b/>
          <w:sz w:val="22"/>
          <w:szCs w:val="22"/>
          <w:vertAlign w:val="subscript"/>
        </w:rPr>
        <w:t>e</w:t>
      </w:r>
      <w:r w:rsidRPr="00E84532">
        <w:rPr>
          <w:rFonts w:asciiTheme="minorHAnsi" w:hAnsiTheme="minorHAnsi"/>
          <w:b/>
          <w:sz w:val="22"/>
          <w:szCs w:val="22"/>
        </w:rPr>
        <w:t>)</w:t>
      </w:r>
      <w:r w:rsidRPr="00E84532">
        <w:rPr>
          <w:rFonts w:asciiTheme="minorHAnsi" w:hAnsiTheme="minorHAnsi"/>
          <w:sz w:val="22"/>
          <w:szCs w:val="22"/>
        </w:rPr>
        <w:t xml:space="preserve"> llogaritet si në vijim: </w:t>
      </w:r>
    </w:p>
    <w:p w:rsidR="00E807F8" w:rsidRPr="00E84532" w:rsidRDefault="00E807F8" w:rsidP="00E807F8">
      <w:pPr>
        <w:rPr>
          <w:rFonts w:asciiTheme="minorHAnsi" w:hAnsiTheme="minorHAnsi"/>
          <w:sz w:val="22"/>
          <w:szCs w:val="22"/>
        </w:rPr>
      </w:pPr>
    </w:p>
    <w:p w:rsidR="00E807F8" w:rsidRPr="00E84532" w:rsidRDefault="00E807F8" w:rsidP="00E807F8">
      <w:pPr>
        <w:rPr>
          <w:rFonts w:asciiTheme="minorHAnsi" w:hAnsiTheme="minorHAnsi"/>
          <w:sz w:val="28"/>
          <w:szCs w:val="28"/>
        </w:rPr>
      </w:pPr>
      <w:r w:rsidRPr="00E84532">
        <w:rPr>
          <w:rFonts w:asciiTheme="minorHAnsi" w:hAnsiTheme="minorHAnsi"/>
          <w:b/>
          <w:bCs/>
          <w:sz w:val="28"/>
          <w:szCs w:val="28"/>
        </w:rPr>
        <w:t>k</w:t>
      </w:r>
      <w:r w:rsidRPr="00E84532">
        <w:rPr>
          <w:rFonts w:asciiTheme="minorHAnsi" w:hAnsiTheme="minorHAnsi"/>
          <w:b/>
          <w:bCs/>
          <w:sz w:val="28"/>
          <w:szCs w:val="28"/>
          <w:vertAlign w:val="subscript"/>
        </w:rPr>
        <w:t>e</w:t>
      </w:r>
      <w:r w:rsidRPr="00E84532">
        <w:rPr>
          <w:rFonts w:asciiTheme="minorHAnsi" w:hAnsiTheme="minorHAnsi"/>
          <w:b/>
          <w:bCs/>
          <w:sz w:val="28"/>
          <w:szCs w:val="28"/>
        </w:rPr>
        <w:t xml:space="preserve"> = r</w:t>
      </w:r>
      <w:r w:rsidRPr="00E84532">
        <w:rPr>
          <w:rFonts w:asciiTheme="minorHAnsi" w:hAnsiTheme="minorHAnsi"/>
          <w:b/>
          <w:bCs/>
          <w:sz w:val="28"/>
          <w:szCs w:val="28"/>
          <w:vertAlign w:val="subscript"/>
        </w:rPr>
        <w:t>f</w:t>
      </w:r>
      <w:r w:rsidRPr="00E84532">
        <w:rPr>
          <w:rFonts w:asciiTheme="minorHAnsi" w:hAnsiTheme="minorHAnsi"/>
          <w:b/>
          <w:bCs/>
          <w:sz w:val="28"/>
          <w:szCs w:val="28"/>
        </w:rPr>
        <w:t xml:space="preserve"> +</w:t>
      </w:r>
      <w:r w:rsidRPr="00E84532">
        <w:rPr>
          <w:rFonts w:asciiTheme="minorHAnsi" w:hAnsiTheme="minorHAnsi"/>
          <w:sz w:val="28"/>
          <w:szCs w:val="28"/>
        </w:rPr>
        <w:t xml:space="preserve"> </w:t>
      </w:r>
      <w:r w:rsidRPr="00E84532">
        <w:rPr>
          <w:rFonts w:asciiTheme="minorHAnsi" w:hAnsiTheme="minorHAnsi"/>
          <w:b/>
          <w:bCs/>
          <w:sz w:val="28"/>
          <w:szCs w:val="28"/>
        </w:rPr>
        <w:t>β</w:t>
      </w:r>
      <w:r w:rsidRPr="00E84532">
        <w:rPr>
          <w:rFonts w:asciiTheme="minorHAnsi" w:hAnsiTheme="minorHAnsi"/>
          <w:b/>
          <w:bCs/>
          <w:sz w:val="28"/>
          <w:szCs w:val="28"/>
          <w:vertAlign w:val="subscript"/>
        </w:rPr>
        <w:t xml:space="preserve">e </w:t>
      </w:r>
      <w:r w:rsidRPr="00E84532">
        <w:rPr>
          <w:rFonts w:asciiTheme="minorHAnsi" w:hAnsiTheme="minorHAnsi"/>
          <w:b/>
          <w:bCs/>
          <w:sz w:val="28"/>
          <w:szCs w:val="28"/>
        </w:rPr>
        <w:t>*( r</w:t>
      </w:r>
      <w:r w:rsidRPr="00E84532">
        <w:rPr>
          <w:rFonts w:asciiTheme="minorHAnsi" w:hAnsiTheme="minorHAnsi"/>
          <w:b/>
          <w:bCs/>
          <w:sz w:val="28"/>
          <w:szCs w:val="28"/>
          <w:vertAlign w:val="subscript"/>
        </w:rPr>
        <w:t>m</w:t>
      </w:r>
      <w:r w:rsidRPr="00E84532">
        <w:rPr>
          <w:rFonts w:asciiTheme="minorHAnsi" w:hAnsiTheme="minorHAnsi"/>
          <w:b/>
          <w:bCs/>
          <w:sz w:val="28"/>
          <w:szCs w:val="28"/>
        </w:rPr>
        <w:t xml:space="preserve"> - r</w:t>
      </w:r>
      <w:r w:rsidRPr="00E84532">
        <w:rPr>
          <w:rFonts w:asciiTheme="minorHAnsi" w:hAnsiTheme="minorHAnsi"/>
          <w:b/>
          <w:bCs/>
          <w:sz w:val="28"/>
          <w:szCs w:val="28"/>
          <w:vertAlign w:val="subscript"/>
        </w:rPr>
        <w:t>f</w:t>
      </w:r>
      <w:r w:rsidRPr="00E84532">
        <w:rPr>
          <w:rFonts w:asciiTheme="minorHAnsi" w:hAnsiTheme="minorHAnsi"/>
          <w:b/>
          <w:bCs/>
          <w:sz w:val="28"/>
          <w:szCs w:val="28"/>
        </w:rPr>
        <w:t>)</w:t>
      </w:r>
      <w:r w:rsidRPr="00E84532">
        <w:rPr>
          <w:rFonts w:asciiTheme="minorHAnsi" w:hAnsiTheme="minorHAnsi"/>
          <w:sz w:val="28"/>
          <w:szCs w:val="28"/>
        </w:rPr>
        <w:tab/>
      </w:r>
    </w:p>
    <w:p w:rsidR="00A71E16" w:rsidRDefault="00A71E16" w:rsidP="00E807F8">
      <w:pPr>
        <w:pStyle w:val="BodyText2"/>
        <w:rPr>
          <w:rFonts w:asciiTheme="minorHAnsi" w:hAnsiTheme="minorHAnsi"/>
          <w:sz w:val="22"/>
          <w:szCs w:val="22"/>
        </w:rPr>
      </w:pPr>
    </w:p>
    <w:p w:rsidR="00E807F8" w:rsidRPr="00A71E16" w:rsidRDefault="00A71E16" w:rsidP="00A71E16">
      <w:pPr>
        <w:pStyle w:val="BodyText2"/>
        <w:ind w:hanging="3686"/>
        <w:rPr>
          <w:rFonts w:asciiTheme="minorHAnsi" w:hAnsiTheme="minorHAnsi"/>
          <w:b w:val="0"/>
          <w:sz w:val="22"/>
          <w:szCs w:val="22"/>
        </w:rPr>
      </w:pPr>
      <w:r>
        <w:rPr>
          <w:rFonts w:asciiTheme="minorHAnsi" w:hAnsiTheme="minorHAnsi"/>
          <w:b w:val="0"/>
          <w:sz w:val="22"/>
          <w:szCs w:val="22"/>
        </w:rPr>
        <w:t>k</w:t>
      </w:r>
      <w:r w:rsidR="00E807F8" w:rsidRPr="00A71E16">
        <w:rPr>
          <w:rFonts w:asciiTheme="minorHAnsi" w:hAnsiTheme="minorHAnsi"/>
          <w:b w:val="0"/>
          <w:sz w:val="22"/>
          <w:szCs w:val="22"/>
        </w:rPr>
        <w:t>u:</w:t>
      </w:r>
    </w:p>
    <w:p w:rsidR="00E807F8" w:rsidRPr="00E84532" w:rsidRDefault="00E807F8" w:rsidP="00E807F8">
      <w:pPr>
        <w:pStyle w:val="BodyText2"/>
        <w:ind w:left="1440" w:hanging="1440"/>
        <w:rPr>
          <w:rFonts w:asciiTheme="minorHAnsi" w:hAnsiTheme="minorHAnsi"/>
          <w:b w:val="0"/>
          <w:sz w:val="22"/>
          <w:szCs w:val="22"/>
        </w:rPr>
      </w:pPr>
      <w:r w:rsidRPr="00E84532">
        <w:rPr>
          <w:rFonts w:asciiTheme="minorHAnsi" w:hAnsiTheme="minorHAnsi"/>
          <w:bCs/>
          <w:szCs w:val="28"/>
        </w:rPr>
        <w:t>r</w:t>
      </w:r>
      <w:r w:rsidRPr="00E84532">
        <w:rPr>
          <w:rFonts w:asciiTheme="minorHAnsi" w:hAnsiTheme="minorHAnsi"/>
          <w:bCs/>
          <w:szCs w:val="28"/>
          <w:vertAlign w:val="subscript"/>
        </w:rPr>
        <w:t>f</w:t>
      </w:r>
      <w:r w:rsidRPr="00E84532">
        <w:rPr>
          <w:rFonts w:asciiTheme="minorHAnsi" w:hAnsiTheme="minorHAnsi"/>
          <w:bCs/>
          <w:szCs w:val="28"/>
          <w:vertAlign w:val="subscript"/>
        </w:rPr>
        <w:tab/>
      </w:r>
      <w:r w:rsidRPr="00E84532">
        <w:rPr>
          <w:rFonts w:asciiTheme="minorHAnsi" w:hAnsiTheme="minorHAnsi"/>
          <w:b w:val="0"/>
          <w:bCs/>
          <w:sz w:val="22"/>
          <w:szCs w:val="22"/>
        </w:rPr>
        <w:t>Norma pa rrezik dhe nxjerret nga vlerësimet për kthimin në obligacionet (“bondet”) e qeverisë</w:t>
      </w:r>
      <w:r w:rsidRPr="00E84532">
        <w:rPr>
          <w:rFonts w:asciiTheme="minorHAnsi" w:hAnsiTheme="minorHAnsi"/>
          <w:b w:val="0"/>
          <w:sz w:val="22"/>
          <w:szCs w:val="22"/>
        </w:rPr>
        <w:t xml:space="preserve"> </w:t>
      </w:r>
    </w:p>
    <w:p w:rsidR="00E807F8" w:rsidRPr="00E84532" w:rsidRDefault="00E807F8" w:rsidP="00E807F8">
      <w:pPr>
        <w:pStyle w:val="BodyText2"/>
        <w:ind w:left="720" w:hanging="720"/>
        <w:rPr>
          <w:rFonts w:asciiTheme="minorHAnsi" w:hAnsiTheme="minorHAnsi"/>
          <w:b w:val="0"/>
          <w:sz w:val="22"/>
          <w:szCs w:val="22"/>
        </w:rPr>
      </w:pPr>
      <w:r w:rsidRPr="00E84532">
        <w:rPr>
          <w:rFonts w:asciiTheme="minorHAnsi" w:hAnsiTheme="minorHAnsi"/>
          <w:bCs/>
          <w:szCs w:val="28"/>
        </w:rPr>
        <w:t>β</w:t>
      </w:r>
      <w:r w:rsidRPr="00E84532">
        <w:rPr>
          <w:rFonts w:asciiTheme="minorHAnsi" w:hAnsiTheme="minorHAnsi"/>
          <w:bCs/>
          <w:szCs w:val="28"/>
          <w:vertAlign w:val="subscript"/>
        </w:rPr>
        <w:t>e</w:t>
      </w:r>
      <w:r w:rsidRPr="00E84532">
        <w:rPr>
          <w:rFonts w:asciiTheme="minorHAnsi" w:hAnsiTheme="minorHAnsi"/>
          <w:szCs w:val="28"/>
        </w:rPr>
        <w:t xml:space="preserve">   </w:t>
      </w:r>
      <w:r w:rsidRPr="00E84532">
        <w:rPr>
          <w:rFonts w:asciiTheme="minorHAnsi" w:hAnsiTheme="minorHAnsi"/>
          <w:szCs w:val="22"/>
        </w:rPr>
        <w:t xml:space="preserve">               </w:t>
      </w:r>
      <w:r w:rsidRPr="00E84532">
        <w:rPr>
          <w:rFonts w:asciiTheme="minorHAnsi" w:hAnsiTheme="minorHAnsi"/>
          <w:szCs w:val="22"/>
        </w:rPr>
        <w:tab/>
      </w:r>
      <w:r w:rsidRPr="00E84532">
        <w:rPr>
          <w:rFonts w:asciiTheme="minorHAnsi" w:hAnsiTheme="minorHAnsi"/>
          <w:b w:val="0"/>
          <w:sz w:val="22"/>
          <w:szCs w:val="22"/>
        </w:rPr>
        <w:t>“Beta”: masa e rrezikut për kompaninë përkatëse</w:t>
      </w:r>
    </w:p>
    <w:p w:rsidR="00E807F8" w:rsidRPr="00E84532" w:rsidRDefault="00E807F8" w:rsidP="00E807F8">
      <w:pPr>
        <w:pStyle w:val="Header"/>
        <w:tabs>
          <w:tab w:val="clear" w:pos="4320"/>
          <w:tab w:val="clear" w:pos="8640"/>
        </w:tabs>
        <w:ind w:left="720" w:hanging="720"/>
        <w:rPr>
          <w:rFonts w:asciiTheme="minorHAnsi" w:hAnsiTheme="minorHAnsi"/>
          <w:sz w:val="22"/>
          <w:szCs w:val="22"/>
        </w:rPr>
      </w:pPr>
      <w:r w:rsidRPr="00E84532">
        <w:rPr>
          <w:rFonts w:asciiTheme="minorHAnsi" w:hAnsiTheme="minorHAnsi"/>
          <w:b/>
          <w:bCs/>
          <w:sz w:val="28"/>
          <w:szCs w:val="28"/>
        </w:rPr>
        <w:t>(r</w:t>
      </w:r>
      <w:r w:rsidRPr="00E84532">
        <w:rPr>
          <w:rFonts w:asciiTheme="minorHAnsi" w:hAnsiTheme="minorHAnsi"/>
          <w:b/>
          <w:bCs/>
          <w:sz w:val="28"/>
          <w:szCs w:val="28"/>
          <w:vertAlign w:val="subscript"/>
        </w:rPr>
        <w:t>m</w:t>
      </w:r>
      <w:r w:rsidRPr="00E84532">
        <w:rPr>
          <w:rFonts w:asciiTheme="minorHAnsi" w:hAnsiTheme="minorHAnsi"/>
          <w:b/>
          <w:bCs/>
          <w:sz w:val="28"/>
          <w:szCs w:val="28"/>
        </w:rPr>
        <w:t xml:space="preserve"> - r</w:t>
      </w:r>
      <w:r w:rsidRPr="00E84532">
        <w:rPr>
          <w:rFonts w:asciiTheme="minorHAnsi" w:hAnsiTheme="minorHAnsi"/>
          <w:b/>
          <w:bCs/>
          <w:sz w:val="28"/>
          <w:szCs w:val="28"/>
          <w:vertAlign w:val="subscript"/>
        </w:rPr>
        <w:t>f</w:t>
      </w:r>
      <w:r w:rsidRPr="00E84532">
        <w:rPr>
          <w:rFonts w:asciiTheme="minorHAnsi" w:hAnsiTheme="minorHAnsi"/>
          <w:b/>
          <w:bCs/>
          <w:sz w:val="28"/>
          <w:szCs w:val="28"/>
        </w:rPr>
        <w:t>)</w:t>
      </w:r>
      <w:r w:rsidRPr="00E84532">
        <w:rPr>
          <w:rFonts w:asciiTheme="minorHAnsi" w:hAnsiTheme="minorHAnsi"/>
          <w:sz w:val="22"/>
          <w:szCs w:val="22"/>
        </w:rPr>
        <w:t xml:space="preserve">       </w:t>
      </w:r>
      <w:r w:rsidRPr="00E84532">
        <w:rPr>
          <w:rFonts w:asciiTheme="minorHAnsi" w:hAnsiTheme="minorHAnsi"/>
          <w:sz w:val="22"/>
          <w:szCs w:val="22"/>
        </w:rPr>
        <w:tab/>
        <w:t xml:space="preserve">Premiumi i rrezikut të tregut të ekuitetit minus norma e kthimit pa rrezik  </w:t>
      </w:r>
    </w:p>
    <w:p w:rsidR="00E807F8" w:rsidRPr="00E84532" w:rsidRDefault="00E807F8" w:rsidP="00E807F8">
      <w:pPr>
        <w:rPr>
          <w:rFonts w:asciiTheme="minorHAnsi" w:hAnsiTheme="minorHAnsi"/>
          <w:sz w:val="22"/>
          <w:szCs w:val="22"/>
        </w:rPr>
      </w:pPr>
      <w:r w:rsidRPr="00E84532">
        <w:rPr>
          <w:rFonts w:asciiTheme="minorHAnsi" w:hAnsiTheme="minorHAnsi"/>
          <w:sz w:val="22"/>
          <w:szCs w:val="22"/>
        </w:rPr>
        <w:tab/>
        <w:t xml:space="preserve">      </w:t>
      </w:r>
    </w:p>
    <w:p w:rsidR="00E807F8" w:rsidRPr="00E84532" w:rsidRDefault="00E807F8" w:rsidP="00E807F8">
      <w:pPr>
        <w:pStyle w:val="Header"/>
        <w:tabs>
          <w:tab w:val="clear" w:pos="4320"/>
          <w:tab w:val="clear" w:pos="8640"/>
        </w:tabs>
        <w:jc w:val="both"/>
        <w:rPr>
          <w:rFonts w:asciiTheme="minorHAnsi" w:hAnsiTheme="minorHAnsi"/>
          <w:sz w:val="22"/>
          <w:szCs w:val="22"/>
        </w:rPr>
      </w:pPr>
      <w:r w:rsidRPr="00E84532">
        <w:rPr>
          <w:rFonts w:asciiTheme="minorHAnsi" w:hAnsiTheme="minorHAnsi"/>
          <w:sz w:val="22"/>
          <w:szCs w:val="22"/>
        </w:rPr>
        <w:t>“Premiumi i rrezikut” është përcaktuar nga “beta” dhe nga premiumi i rrezikut të pritur të një tregu, e që investitorët e kërkojnë nga tregu si tërësi. Faktori “beta” matë pa-parashikueshmërinë e kthimit të një kompanie në relacion me tregun e mallrave (aksioneve) si tërësi.</w:t>
      </w:r>
    </w:p>
    <w:p w:rsidR="00E807F8" w:rsidRPr="00E84532" w:rsidRDefault="00E807F8" w:rsidP="00E807F8">
      <w:pPr>
        <w:pStyle w:val="Header"/>
        <w:tabs>
          <w:tab w:val="clear" w:pos="4320"/>
          <w:tab w:val="clear" w:pos="8640"/>
        </w:tabs>
        <w:jc w:val="both"/>
        <w:rPr>
          <w:rFonts w:asciiTheme="minorHAnsi" w:hAnsiTheme="minorHAnsi"/>
          <w:sz w:val="22"/>
          <w:szCs w:val="22"/>
        </w:rPr>
      </w:pPr>
    </w:p>
    <w:p w:rsidR="00E807F8" w:rsidRPr="00E84532" w:rsidRDefault="00E807F8" w:rsidP="00E807F8">
      <w:pPr>
        <w:pStyle w:val="Header"/>
        <w:tabs>
          <w:tab w:val="clear" w:pos="4320"/>
          <w:tab w:val="clear" w:pos="8640"/>
        </w:tabs>
        <w:jc w:val="both"/>
        <w:rPr>
          <w:rFonts w:asciiTheme="minorHAnsi" w:hAnsiTheme="minorHAnsi"/>
          <w:sz w:val="22"/>
          <w:szCs w:val="22"/>
        </w:rPr>
      </w:pPr>
      <w:r w:rsidRPr="00E84532">
        <w:rPr>
          <w:rFonts w:asciiTheme="minorHAnsi" w:hAnsiTheme="minorHAnsi"/>
          <w:sz w:val="22"/>
          <w:szCs w:val="22"/>
        </w:rPr>
        <w:t>Më poshtë ne vlerësojmë / llogarisim koston e borxhit dhe koston e ekuitetit për ndërmarrjet e ngrohjes qendrore në Kosovë, për të ardhur tek WACC para tatimeve.</w:t>
      </w:r>
    </w:p>
    <w:p w:rsidR="00E807F8" w:rsidRPr="00E84532" w:rsidRDefault="00E807F8" w:rsidP="00E807F8">
      <w:pPr>
        <w:rPr>
          <w:rFonts w:asciiTheme="minorHAnsi" w:hAnsiTheme="minorHAnsi" w:cs="Calibri"/>
          <w:sz w:val="22"/>
          <w:szCs w:val="22"/>
          <w:u w:val="single"/>
        </w:rPr>
      </w:pPr>
      <w:bookmarkStart w:id="123" w:name="_Toc339539130"/>
      <w:r w:rsidRPr="00E84532">
        <w:rPr>
          <w:rFonts w:asciiTheme="minorHAnsi" w:hAnsiTheme="minorHAnsi" w:cs="Calibri"/>
          <w:sz w:val="22"/>
          <w:szCs w:val="22"/>
          <w:u w:val="single"/>
        </w:rPr>
        <w:lastRenderedPageBreak/>
        <w:t>Kostoja e Borxhit</w:t>
      </w:r>
      <w:bookmarkEnd w:id="123"/>
    </w:p>
    <w:p w:rsidR="00E807F8" w:rsidRPr="00E84532" w:rsidRDefault="00E807F8" w:rsidP="00E807F8">
      <w:pPr>
        <w:rPr>
          <w:rFonts w:asciiTheme="minorHAnsi" w:hAnsiTheme="minorHAnsi"/>
        </w:rPr>
      </w:pPr>
    </w:p>
    <w:p w:rsidR="00E807F8" w:rsidRPr="00E84532" w:rsidRDefault="00E807F8" w:rsidP="00E807F8">
      <w:pPr>
        <w:pStyle w:val="Header"/>
        <w:tabs>
          <w:tab w:val="clear" w:pos="4320"/>
          <w:tab w:val="clear" w:pos="8640"/>
        </w:tabs>
        <w:jc w:val="both"/>
        <w:rPr>
          <w:rFonts w:asciiTheme="minorHAnsi" w:hAnsiTheme="minorHAnsi"/>
          <w:sz w:val="22"/>
          <w:szCs w:val="22"/>
        </w:rPr>
      </w:pPr>
      <w:r w:rsidRPr="00E84532">
        <w:rPr>
          <w:rFonts w:asciiTheme="minorHAnsi" w:hAnsiTheme="minorHAnsi"/>
          <w:sz w:val="22"/>
          <w:szCs w:val="22"/>
        </w:rPr>
        <w:t xml:space="preserve">Për këtë sezon të ngrohjes dhe </w:t>
      </w:r>
      <w:r w:rsidR="0098348E" w:rsidRPr="00E84532">
        <w:rPr>
          <w:rFonts w:asciiTheme="minorHAnsi" w:hAnsiTheme="minorHAnsi"/>
          <w:sz w:val="22"/>
          <w:szCs w:val="22"/>
        </w:rPr>
        <w:t>sezonet</w:t>
      </w:r>
      <w:r w:rsidRPr="00E84532">
        <w:rPr>
          <w:rFonts w:asciiTheme="minorHAnsi" w:hAnsiTheme="minorHAnsi"/>
          <w:sz w:val="22"/>
          <w:szCs w:val="22"/>
        </w:rPr>
        <w:t xml:space="preserve"> vijues</w:t>
      </w:r>
      <w:r w:rsidR="0098348E">
        <w:rPr>
          <w:rFonts w:asciiTheme="minorHAnsi" w:hAnsiTheme="minorHAnsi"/>
          <w:sz w:val="22"/>
          <w:szCs w:val="22"/>
        </w:rPr>
        <w:t>e</w:t>
      </w:r>
      <w:r w:rsidRPr="00E84532">
        <w:rPr>
          <w:rFonts w:asciiTheme="minorHAnsi" w:hAnsiTheme="minorHAnsi"/>
          <w:sz w:val="22"/>
          <w:szCs w:val="22"/>
        </w:rPr>
        <w:t>, ZRRE-ja ka vendosur që raporti D/V në vlerën 60/100 (60% borxh dhe 40% ekuitet). Ky raport 60% duhet të përdoret në vlerësimet / llogaritjet e WACC-ut komercial para tatimeve për sezonin e ngrohjes 201</w:t>
      </w:r>
      <w:r w:rsidR="00CF3C2C">
        <w:rPr>
          <w:rFonts w:asciiTheme="minorHAnsi" w:hAnsiTheme="minorHAnsi"/>
          <w:sz w:val="22"/>
          <w:szCs w:val="22"/>
        </w:rPr>
        <w:t>9</w:t>
      </w:r>
      <w:r w:rsidRPr="00E84532">
        <w:rPr>
          <w:rFonts w:asciiTheme="minorHAnsi" w:hAnsiTheme="minorHAnsi"/>
          <w:sz w:val="22"/>
          <w:szCs w:val="22"/>
        </w:rPr>
        <w:t>/20</w:t>
      </w:r>
      <w:r w:rsidR="00CF3C2C">
        <w:rPr>
          <w:rFonts w:asciiTheme="minorHAnsi" w:hAnsiTheme="minorHAnsi"/>
          <w:sz w:val="22"/>
          <w:szCs w:val="22"/>
        </w:rPr>
        <w:t>20</w:t>
      </w:r>
      <w:r w:rsidRPr="00E84532">
        <w:rPr>
          <w:rFonts w:asciiTheme="minorHAnsi" w:hAnsiTheme="minorHAnsi"/>
          <w:sz w:val="22"/>
          <w:szCs w:val="22"/>
        </w:rPr>
        <w:t xml:space="preserve">, si dhe për </w:t>
      </w:r>
      <w:r w:rsidR="0098348E" w:rsidRPr="00E84532">
        <w:rPr>
          <w:rFonts w:asciiTheme="minorHAnsi" w:hAnsiTheme="minorHAnsi"/>
          <w:sz w:val="22"/>
          <w:szCs w:val="22"/>
        </w:rPr>
        <w:t>sezonet</w:t>
      </w:r>
      <w:r w:rsidRPr="00E84532">
        <w:rPr>
          <w:rFonts w:asciiTheme="minorHAnsi" w:hAnsiTheme="minorHAnsi"/>
          <w:sz w:val="22"/>
          <w:szCs w:val="22"/>
        </w:rPr>
        <w:t xml:space="preserve"> vijues</w:t>
      </w:r>
      <w:r w:rsidR="0098348E">
        <w:rPr>
          <w:rFonts w:asciiTheme="minorHAnsi" w:hAnsiTheme="minorHAnsi"/>
          <w:sz w:val="22"/>
          <w:szCs w:val="22"/>
        </w:rPr>
        <w:t>e</w:t>
      </w:r>
      <w:r w:rsidRPr="00E84532">
        <w:rPr>
          <w:rFonts w:asciiTheme="minorHAnsi" w:hAnsiTheme="minorHAnsi"/>
          <w:sz w:val="22"/>
          <w:szCs w:val="22"/>
        </w:rPr>
        <w:t>, nëse nuk vërehen ndryshime domethënëse.</w:t>
      </w:r>
    </w:p>
    <w:p w:rsidR="00E807F8" w:rsidRPr="00E84532" w:rsidRDefault="00E807F8" w:rsidP="00E807F8">
      <w:pPr>
        <w:pStyle w:val="Header"/>
        <w:tabs>
          <w:tab w:val="clear" w:pos="4320"/>
          <w:tab w:val="clear" w:pos="8640"/>
        </w:tabs>
        <w:jc w:val="both"/>
        <w:rPr>
          <w:rFonts w:asciiTheme="minorHAnsi" w:hAnsiTheme="minorHAnsi"/>
          <w:b/>
          <w:sz w:val="22"/>
          <w:szCs w:val="22"/>
          <w:u w:val="single"/>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 xml:space="preserve">Aktualisht NQ Termokos ka huan nga KfW me normë interesi 8.79% për investimet në projektin e kogjenerimit. Lidhur më këtë </w:t>
      </w:r>
      <w:r w:rsidRPr="00E84532">
        <w:rPr>
          <w:rFonts w:asciiTheme="minorHAnsi" w:hAnsiTheme="minorHAnsi" w:cstheme="minorHAnsi"/>
          <w:sz w:val="22"/>
          <w:szCs w:val="22"/>
        </w:rPr>
        <w:t>duhet theksuar se pjesa më e madhe e investimeve të projektit të kogjenerimit ka qenë donacione (nga Qeveria Gjermane, Komisioni Evropian dhe nga Institucionet vendore qend</w:t>
      </w:r>
      <w:r w:rsidR="0098348E">
        <w:rPr>
          <w:rFonts w:asciiTheme="minorHAnsi" w:hAnsiTheme="minorHAnsi" w:cstheme="minorHAnsi"/>
          <w:sz w:val="22"/>
          <w:szCs w:val="22"/>
        </w:rPr>
        <w:t>r</w:t>
      </w:r>
      <w:r w:rsidRPr="00E84532">
        <w:rPr>
          <w:rFonts w:asciiTheme="minorHAnsi" w:hAnsiTheme="minorHAnsi" w:cstheme="minorHAnsi"/>
          <w:sz w:val="22"/>
          <w:szCs w:val="22"/>
        </w:rPr>
        <w:t xml:space="preserve">ore dhe lokale); përderisa shuma prej 5,000,000 € është kredi nga KfW me normë interesi vjetor prej 8.97 % dhe afat kthimi 11 vjet. </w:t>
      </w:r>
      <w:r w:rsidRPr="00E84532">
        <w:rPr>
          <w:rFonts w:asciiTheme="minorHAnsi" w:hAnsiTheme="minorHAnsi"/>
          <w:sz w:val="22"/>
          <w:szCs w:val="22"/>
        </w:rPr>
        <w:t xml:space="preserve">Rrjedhimisht kostoja e borxhit do te reflekton kredinë aktuale dhe fiksohet në vlerën </w:t>
      </w:r>
      <w:r w:rsidRPr="00E84532">
        <w:rPr>
          <w:rFonts w:asciiTheme="minorHAnsi" w:hAnsiTheme="minorHAnsi"/>
          <w:b/>
          <w:sz w:val="22"/>
          <w:szCs w:val="22"/>
        </w:rPr>
        <w:t>8.79 %</w:t>
      </w:r>
    </w:p>
    <w:p w:rsidR="00E807F8" w:rsidRPr="00E84532" w:rsidRDefault="00E807F8" w:rsidP="00E807F8">
      <w:pPr>
        <w:pStyle w:val="Header"/>
        <w:tabs>
          <w:tab w:val="clear" w:pos="4320"/>
          <w:tab w:val="clear" w:pos="8640"/>
        </w:tabs>
        <w:jc w:val="both"/>
        <w:rPr>
          <w:rFonts w:asciiTheme="minorHAnsi" w:hAnsiTheme="minorHAnsi"/>
          <w:sz w:val="22"/>
          <w:szCs w:val="22"/>
        </w:rPr>
      </w:pPr>
    </w:p>
    <w:p w:rsidR="00E807F8" w:rsidRPr="00E84532" w:rsidRDefault="00E807F8" w:rsidP="00E807F8">
      <w:pPr>
        <w:pStyle w:val="Header"/>
        <w:tabs>
          <w:tab w:val="clear" w:pos="4320"/>
          <w:tab w:val="clear" w:pos="8640"/>
        </w:tabs>
        <w:jc w:val="both"/>
        <w:rPr>
          <w:rFonts w:asciiTheme="minorHAnsi" w:hAnsiTheme="minorHAnsi"/>
          <w:sz w:val="22"/>
          <w:szCs w:val="22"/>
        </w:rPr>
      </w:pPr>
      <w:r w:rsidRPr="00E84532">
        <w:rPr>
          <w:rFonts w:asciiTheme="minorHAnsi" w:hAnsiTheme="minorHAnsi"/>
          <w:sz w:val="22"/>
          <w:szCs w:val="22"/>
        </w:rPr>
        <w:t>Pra Kostoja e borxhit është:</w:t>
      </w:r>
    </w:p>
    <w:p w:rsidR="00E807F8" w:rsidRPr="00E84532" w:rsidRDefault="00E807F8" w:rsidP="00E807F8">
      <w:pPr>
        <w:pStyle w:val="Header"/>
        <w:tabs>
          <w:tab w:val="clear" w:pos="4320"/>
          <w:tab w:val="clear" w:pos="8640"/>
        </w:tabs>
        <w:jc w:val="both"/>
        <w:rPr>
          <w:rFonts w:asciiTheme="minorHAnsi" w:hAnsiTheme="minorHAnsi"/>
          <w:sz w:val="22"/>
          <w:szCs w:val="22"/>
        </w:rPr>
      </w:pPr>
    </w:p>
    <w:p w:rsidR="00E807F8" w:rsidRPr="00E84532" w:rsidRDefault="00E807F8" w:rsidP="00E807F8">
      <w:pPr>
        <w:pStyle w:val="Header"/>
        <w:tabs>
          <w:tab w:val="clear" w:pos="4320"/>
          <w:tab w:val="clear" w:pos="8640"/>
        </w:tabs>
        <w:jc w:val="center"/>
        <w:rPr>
          <w:rFonts w:asciiTheme="minorHAnsi" w:hAnsiTheme="minorHAnsi"/>
          <w:b/>
          <w:sz w:val="28"/>
          <w:szCs w:val="28"/>
        </w:rPr>
      </w:pPr>
      <w:r w:rsidRPr="00E84532">
        <w:rPr>
          <w:rFonts w:asciiTheme="minorHAnsi" w:hAnsiTheme="minorHAnsi"/>
          <w:b/>
          <w:sz w:val="28"/>
          <w:szCs w:val="28"/>
          <w:bdr w:val="single" w:sz="4" w:space="0" w:color="auto"/>
        </w:rPr>
        <w:t>k</w:t>
      </w:r>
      <w:r w:rsidRPr="00E84532">
        <w:rPr>
          <w:rFonts w:asciiTheme="minorHAnsi" w:hAnsiTheme="minorHAnsi"/>
          <w:b/>
          <w:sz w:val="28"/>
          <w:szCs w:val="28"/>
          <w:bdr w:val="single" w:sz="4" w:space="0" w:color="auto"/>
          <w:vertAlign w:val="subscript"/>
        </w:rPr>
        <w:t>d</w:t>
      </w:r>
      <w:r w:rsidRPr="00E84532">
        <w:rPr>
          <w:rFonts w:asciiTheme="minorHAnsi" w:hAnsiTheme="minorHAnsi"/>
          <w:b/>
          <w:sz w:val="28"/>
          <w:szCs w:val="28"/>
          <w:bdr w:val="single" w:sz="4" w:space="0" w:color="auto"/>
        </w:rPr>
        <w:t xml:space="preserve"> = 8.79 % </w:t>
      </w:r>
    </w:p>
    <w:p w:rsidR="00E807F8" w:rsidRPr="00E84532" w:rsidRDefault="00E807F8" w:rsidP="00E807F8">
      <w:pPr>
        <w:rPr>
          <w:rFonts w:asciiTheme="minorHAnsi" w:hAnsiTheme="minorHAnsi" w:cs="Calibri"/>
          <w:sz w:val="22"/>
          <w:szCs w:val="22"/>
        </w:rPr>
      </w:pPr>
      <w:r w:rsidRPr="00E84532">
        <w:rPr>
          <w:rFonts w:asciiTheme="minorHAnsi" w:hAnsiTheme="minorHAnsi" w:cs="Calibri"/>
          <w:sz w:val="22"/>
          <w:szCs w:val="22"/>
        </w:rPr>
        <w:t xml:space="preserve"> </w:t>
      </w:r>
    </w:p>
    <w:p w:rsidR="00E807F8" w:rsidRPr="00F90B33" w:rsidRDefault="00E807F8" w:rsidP="00E807F8">
      <w:pPr>
        <w:rPr>
          <w:rFonts w:asciiTheme="minorHAnsi" w:hAnsiTheme="minorHAnsi" w:cs="Calibri"/>
          <w:sz w:val="22"/>
          <w:szCs w:val="22"/>
          <w:u w:val="single"/>
        </w:rPr>
      </w:pPr>
      <w:bookmarkStart w:id="124" w:name="_Toc339539131"/>
      <w:r w:rsidRPr="00F90B33">
        <w:rPr>
          <w:rFonts w:asciiTheme="minorHAnsi" w:hAnsiTheme="minorHAnsi" w:cs="Calibri"/>
          <w:sz w:val="22"/>
          <w:szCs w:val="22"/>
          <w:u w:val="single"/>
        </w:rPr>
        <w:t>Kostoja e Ekuitetit</w:t>
      </w:r>
      <w:bookmarkEnd w:id="124"/>
    </w:p>
    <w:p w:rsidR="00E807F8" w:rsidRPr="00E84532" w:rsidRDefault="00E807F8" w:rsidP="00E807F8">
      <w:pPr>
        <w:pStyle w:val="Header"/>
        <w:tabs>
          <w:tab w:val="clear" w:pos="4320"/>
          <w:tab w:val="clear" w:pos="8640"/>
        </w:tabs>
        <w:rPr>
          <w:rFonts w:asciiTheme="minorHAnsi" w:hAnsiTheme="minorHAnsi"/>
          <w:sz w:val="22"/>
          <w:szCs w:val="22"/>
        </w:rPr>
      </w:pPr>
    </w:p>
    <w:p w:rsidR="00E807F8" w:rsidRPr="00E84532" w:rsidRDefault="00E807F8" w:rsidP="00E807F8">
      <w:pPr>
        <w:pStyle w:val="Header"/>
        <w:tabs>
          <w:tab w:val="clear" w:pos="4320"/>
          <w:tab w:val="clear" w:pos="8640"/>
        </w:tabs>
        <w:rPr>
          <w:rFonts w:asciiTheme="minorHAnsi" w:hAnsiTheme="minorHAnsi"/>
          <w:bCs/>
          <w:sz w:val="22"/>
          <w:szCs w:val="22"/>
        </w:rPr>
      </w:pPr>
      <w:r w:rsidRPr="00E84532">
        <w:rPr>
          <w:rFonts w:asciiTheme="minorHAnsi" w:hAnsiTheme="minorHAnsi"/>
          <w:bCs/>
          <w:sz w:val="22"/>
          <w:szCs w:val="22"/>
        </w:rPr>
        <w:t>Kostoja e ekuitetit paraqitet me formulën më poshtë:</w:t>
      </w:r>
    </w:p>
    <w:p w:rsidR="00E807F8" w:rsidRPr="00E84532" w:rsidRDefault="00E807F8" w:rsidP="00E807F8">
      <w:pPr>
        <w:pStyle w:val="Header"/>
        <w:tabs>
          <w:tab w:val="clear" w:pos="4320"/>
          <w:tab w:val="clear" w:pos="8640"/>
        </w:tabs>
        <w:jc w:val="center"/>
        <w:rPr>
          <w:rFonts w:asciiTheme="minorHAnsi" w:hAnsiTheme="minorHAnsi"/>
          <w:b/>
          <w:bCs/>
          <w:sz w:val="22"/>
          <w:szCs w:val="22"/>
        </w:rPr>
      </w:pPr>
    </w:p>
    <w:p w:rsidR="00E807F8" w:rsidRPr="00E84532" w:rsidRDefault="00E807F8" w:rsidP="00E807F8">
      <w:pPr>
        <w:pStyle w:val="Header"/>
        <w:tabs>
          <w:tab w:val="clear" w:pos="4320"/>
          <w:tab w:val="clear" w:pos="8640"/>
        </w:tabs>
        <w:rPr>
          <w:rFonts w:asciiTheme="minorHAnsi" w:hAnsiTheme="minorHAnsi"/>
          <w:b/>
          <w:bCs/>
          <w:sz w:val="28"/>
          <w:szCs w:val="28"/>
        </w:rPr>
      </w:pPr>
      <w:r w:rsidRPr="00E84532">
        <w:rPr>
          <w:rFonts w:asciiTheme="minorHAnsi" w:hAnsiTheme="minorHAnsi"/>
          <w:b/>
          <w:bCs/>
          <w:sz w:val="28"/>
          <w:szCs w:val="28"/>
        </w:rPr>
        <w:t>k</w:t>
      </w:r>
      <w:r w:rsidRPr="00E84532">
        <w:rPr>
          <w:rFonts w:asciiTheme="minorHAnsi" w:hAnsiTheme="minorHAnsi"/>
          <w:b/>
          <w:bCs/>
          <w:sz w:val="28"/>
          <w:szCs w:val="28"/>
          <w:vertAlign w:val="subscript"/>
        </w:rPr>
        <w:t>e</w:t>
      </w:r>
      <w:r w:rsidRPr="00E84532">
        <w:rPr>
          <w:rFonts w:asciiTheme="minorHAnsi" w:hAnsiTheme="minorHAnsi"/>
          <w:b/>
          <w:bCs/>
          <w:sz w:val="28"/>
          <w:szCs w:val="28"/>
        </w:rPr>
        <w:t xml:space="preserve"> = r</w:t>
      </w:r>
      <w:r w:rsidRPr="00E84532">
        <w:rPr>
          <w:rFonts w:asciiTheme="minorHAnsi" w:hAnsiTheme="minorHAnsi"/>
          <w:b/>
          <w:bCs/>
          <w:sz w:val="28"/>
          <w:szCs w:val="28"/>
          <w:vertAlign w:val="subscript"/>
        </w:rPr>
        <w:t>f</w:t>
      </w:r>
      <w:r w:rsidRPr="00E84532">
        <w:rPr>
          <w:rFonts w:asciiTheme="minorHAnsi" w:hAnsiTheme="minorHAnsi"/>
          <w:b/>
          <w:bCs/>
          <w:sz w:val="28"/>
          <w:szCs w:val="28"/>
        </w:rPr>
        <w:t xml:space="preserve"> +</w:t>
      </w:r>
      <w:r w:rsidRPr="00E84532">
        <w:rPr>
          <w:rFonts w:asciiTheme="minorHAnsi" w:hAnsiTheme="minorHAnsi"/>
          <w:sz w:val="28"/>
          <w:szCs w:val="28"/>
        </w:rPr>
        <w:t xml:space="preserve"> </w:t>
      </w:r>
      <w:r w:rsidRPr="00E84532">
        <w:rPr>
          <w:rFonts w:asciiTheme="minorHAnsi" w:hAnsiTheme="minorHAnsi"/>
          <w:b/>
          <w:bCs/>
          <w:sz w:val="28"/>
          <w:szCs w:val="28"/>
        </w:rPr>
        <w:t>β</w:t>
      </w:r>
      <w:r w:rsidRPr="00E84532">
        <w:rPr>
          <w:rFonts w:asciiTheme="minorHAnsi" w:hAnsiTheme="minorHAnsi"/>
          <w:b/>
          <w:bCs/>
          <w:sz w:val="28"/>
          <w:szCs w:val="28"/>
          <w:vertAlign w:val="subscript"/>
        </w:rPr>
        <w:t>e</w:t>
      </w:r>
      <w:r w:rsidRPr="00E84532">
        <w:rPr>
          <w:rFonts w:asciiTheme="minorHAnsi" w:hAnsiTheme="minorHAnsi"/>
          <w:b/>
          <w:bCs/>
          <w:sz w:val="28"/>
          <w:szCs w:val="28"/>
        </w:rPr>
        <w:t xml:space="preserve"> *( r</w:t>
      </w:r>
      <w:r w:rsidRPr="00E84532">
        <w:rPr>
          <w:rFonts w:asciiTheme="minorHAnsi" w:hAnsiTheme="minorHAnsi"/>
          <w:b/>
          <w:bCs/>
          <w:sz w:val="28"/>
          <w:szCs w:val="28"/>
          <w:vertAlign w:val="subscript"/>
        </w:rPr>
        <w:t>m</w:t>
      </w:r>
      <w:r w:rsidRPr="00E84532">
        <w:rPr>
          <w:rFonts w:asciiTheme="minorHAnsi" w:hAnsiTheme="minorHAnsi"/>
          <w:b/>
          <w:bCs/>
          <w:sz w:val="28"/>
          <w:szCs w:val="28"/>
        </w:rPr>
        <w:t xml:space="preserve"> - r</w:t>
      </w:r>
      <w:r w:rsidRPr="00E84532">
        <w:rPr>
          <w:rFonts w:asciiTheme="minorHAnsi" w:hAnsiTheme="minorHAnsi"/>
          <w:b/>
          <w:bCs/>
          <w:sz w:val="28"/>
          <w:szCs w:val="28"/>
          <w:vertAlign w:val="subscript"/>
        </w:rPr>
        <w:t>f</w:t>
      </w:r>
      <w:r w:rsidRPr="00E84532">
        <w:rPr>
          <w:rFonts w:asciiTheme="minorHAnsi" w:hAnsiTheme="minorHAnsi"/>
          <w:b/>
          <w:bCs/>
          <w:sz w:val="28"/>
          <w:szCs w:val="28"/>
        </w:rPr>
        <w:t>)</w:t>
      </w:r>
    </w:p>
    <w:p w:rsidR="00E807F8" w:rsidRPr="00E84532" w:rsidRDefault="00E807F8" w:rsidP="00E807F8">
      <w:pPr>
        <w:pStyle w:val="Header"/>
        <w:tabs>
          <w:tab w:val="clear" w:pos="4320"/>
          <w:tab w:val="clear" w:pos="8640"/>
        </w:tabs>
        <w:rPr>
          <w:rFonts w:asciiTheme="minorHAnsi" w:hAnsiTheme="minorHAnsi"/>
          <w:b/>
          <w:bCs/>
          <w:sz w:val="22"/>
          <w:szCs w:val="22"/>
        </w:rPr>
      </w:pPr>
    </w:p>
    <w:p w:rsidR="00E807F8" w:rsidRPr="00E84532" w:rsidRDefault="00E807F8" w:rsidP="00E807F8">
      <w:pPr>
        <w:pStyle w:val="Header"/>
        <w:tabs>
          <w:tab w:val="clear" w:pos="4320"/>
          <w:tab w:val="clear" w:pos="8640"/>
        </w:tabs>
        <w:rPr>
          <w:rFonts w:asciiTheme="minorHAnsi" w:hAnsiTheme="minorHAnsi"/>
          <w:bCs/>
          <w:sz w:val="22"/>
          <w:szCs w:val="22"/>
        </w:rPr>
      </w:pPr>
      <w:r w:rsidRPr="00E84532">
        <w:rPr>
          <w:rFonts w:asciiTheme="minorHAnsi" w:hAnsiTheme="minorHAnsi"/>
          <w:bCs/>
          <w:sz w:val="22"/>
          <w:szCs w:val="22"/>
        </w:rPr>
        <w:t xml:space="preserve">ku: </w:t>
      </w:r>
    </w:p>
    <w:p w:rsidR="00E807F8" w:rsidRPr="00E84532" w:rsidRDefault="00E807F8" w:rsidP="00E807F8">
      <w:pPr>
        <w:pStyle w:val="Header"/>
        <w:tabs>
          <w:tab w:val="clear" w:pos="4320"/>
          <w:tab w:val="clear" w:pos="8640"/>
        </w:tabs>
        <w:rPr>
          <w:rFonts w:asciiTheme="minorHAnsi" w:hAnsiTheme="minorHAnsi"/>
          <w:b/>
          <w:sz w:val="28"/>
          <w:szCs w:val="28"/>
        </w:rPr>
      </w:pPr>
      <w:r w:rsidRPr="00E84532">
        <w:rPr>
          <w:rFonts w:asciiTheme="minorHAnsi" w:hAnsiTheme="minorHAnsi"/>
          <w:b/>
          <w:bCs/>
          <w:sz w:val="28"/>
          <w:szCs w:val="28"/>
        </w:rPr>
        <w:t>(r</w:t>
      </w:r>
      <w:r w:rsidRPr="00E84532">
        <w:rPr>
          <w:rFonts w:asciiTheme="minorHAnsi" w:hAnsiTheme="minorHAnsi"/>
          <w:b/>
          <w:bCs/>
          <w:sz w:val="28"/>
          <w:szCs w:val="28"/>
          <w:vertAlign w:val="subscript"/>
        </w:rPr>
        <w:t>m</w:t>
      </w:r>
      <w:r w:rsidRPr="00E84532">
        <w:rPr>
          <w:rFonts w:asciiTheme="minorHAnsi" w:hAnsiTheme="minorHAnsi"/>
          <w:b/>
          <w:bCs/>
          <w:sz w:val="28"/>
          <w:szCs w:val="28"/>
        </w:rPr>
        <w:t xml:space="preserve"> - r</w:t>
      </w:r>
      <w:r w:rsidRPr="00E84532">
        <w:rPr>
          <w:rFonts w:asciiTheme="minorHAnsi" w:hAnsiTheme="minorHAnsi"/>
          <w:b/>
          <w:bCs/>
          <w:sz w:val="28"/>
          <w:szCs w:val="28"/>
          <w:vertAlign w:val="subscript"/>
        </w:rPr>
        <w:t>f</w:t>
      </w:r>
      <w:r w:rsidRPr="00E84532">
        <w:rPr>
          <w:rFonts w:asciiTheme="minorHAnsi" w:hAnsiTheme="minorHAnsi"/>
          <w:b/>
          <w:bCs/>
          <w:sz w:val="28"/>
          <w:szCs w:val="28"/>
        </w:rPr>
        <w:t xml:space="preserve">) = </w:t>
      </w:r>
      <w:r w:rsidRPr="00E84532">
        <w:rPr>
          <w:rFonts w:asciiTheme="minorHAnsi" w:hAnsiTheme="minorHAnsi"/>
          <w:b/>
          <w:sz w:val="28"/>
          <w:szCs w:val="28"/>
        </w:rPr>
        <w:t xml:space="preserve"> </w:t>
      </w:r>
      <w:r w:rsidRPr="00E84532">
        <w:rPr>
          <w:rFonts w:asciiTheme="minorHAnsi" w:hAnsiTheme="minorHAnsi"/>
          <w:b/>
          <w:bCs/>
          <w:sz w:val="28"/>
          <w:szCs w:val="28"/>
        </w:rPr>
        <w:t>ERP</w:t>
      </w:r>
      <w:r w:rsidRPr="00E84532">
        <w:rPr>
          <w:rFonts w:asciiTheme="minorHAnsi" w:hAnsiTheme="minorHAnsi"/>
          <w:sz w:val="22"/>
          <w:szCs w:val="22"/>
        </w:rPr>
        <w:t xml:space="preserve"> – Premiumi i Rrezikut në Ekuitet</w:t>
      </w:r>
      <w:r w:rsidRPr="00E84532">
        <w:rPr>
          <w:rFonts w:asciiTheme="minorHAnsi" w:hAnsiTheme="minorHAnsi"/>
          <w:b/>
          <w:sz w:val="28"/>
          <w:szCs w:val="28"/>
        </w:rPr>
        <w:t xml:space="preserve">      </w:t>
      </w:r>
    </w:p>
    <w:p w:rsidR="00E807F8" w:rsidRPr="00E84532" w:rsidRDefault="00E807F8" w:rsidP="00E807F8">
      <w:pPr>
        <w:pStyle w:val="Header"/>
        <w:tabs>
          <w:tab w:val="clear" w:pos="4320"/>
          <w:tab w:val="clear" w:pos="8640"/>
        </w:tabs>
        <w:rPr>
          <w:rFonts w:asciiTheme="minorHAnsi" w:hAnsiTheme="minorHAnsi"/>
          <w:sz w:val="22"/>
          <w:szCs w:val="22"/>
        </w:rPr>
      </w:pPr>
    </w:p>
    <w:p w:rsidR="00E807F8" w:rsidRPr="00E84532" w:rsidRDefault="0098348E" w:rsidP="00E807F8">
      <w:pPr>
        <w:pStyle w:val="Header"/>
        <w:tabs>
          <w:tab w:val="clear" w:pos="4320"/>
          <w:tab w:val="clear" w:pos="8640"/>
        </w:tabs>
        <w:jc w:val="both"/>
        <w:rPr>
          <w:rFonts w:asciiTheme="minorHAnsi" w:hAnsiTheme="minorHAnsi"/>
          <w:sz w:val="22"/>
          <w:szCs w:val="22"/>
        </w:rPr>
      </w:pPr>
      <w:r>
        <w:rPr>
          <w:rFonts w:asciiTheme="minorHAnsi" w:hAnsiTheme="minorHAnsi"/>
          <w:sz w:val="22"/>
          <w:szCs w:val="22"/>
        </w:rPr>
        <w:t>Norma pa Rrezik (“Risk F</w:t>
      </w:r>
      <w:r w:rsidR="00E807F8" w:rsidRPr="00E84532">
        <w:rPr>
          <w:rFonts w:asciiTheme="minorHAnsi" w:hAnsiTheme="minorHAnsi"/>
          <w:sz w:val="22"/>
          <w:szCs w:val="22"/>
        </w:rPr>
        <w:t xml:space="preserve">ree Rate - </w:t>
      </w:r>
      <w:r w:rsidR="00E807F8" w:rsidRPr="00E84532">
        <w:rPr>
          <w:rFonts w:asciiTheme="minorHAnsi" w:hAnsiTheme="minorHAnsi"/>
          <w:b/>
          <w:bCs/>
          <w:sz w:val="28"/>
          <w:szCs w:val="28"/>
        </w:rPr>
        <w:t>r</w:t>
      </w:r>
      <w:r w:rsidR="00E807F8" w:rsidRPr="00E84532">
        <w:rPr>
          <w:rFonts w:asciiTheme="minorHAnsi" w:hAnsiTheme="minorHAnsi"/>
          <w:b/>
          <w:bCs/>
          <w:sz w:val="28"/>
          <w:szCs w:val="28"/>
          <w:vertAlign w:val="subscript"/>
        </w:rPr>
        <w:t>f</w:t>
      </w:r>
      <w:r w:rsidR="00E807F8" w:rsidRPr="00E84532">
        <w:rPr>
          <w:rFonts w:asciiTheme="minorHAnsi" w:hAnsiTheme="minorHAnsi"/>
          <w:bCs/>
          <w:sz w:val="22"/>
          <w:szCs w:val="22"/>
        </w:rPr>
        <w:t xml:space="preserve">) aktualisht, bazuar në trendet financiare vendore dhe ndërkombëtare të obligacioneve qeveritare (bonove të thesarit) vlerësohet në rangun </w:t>
      </w:r>
      <w:r w:rsidR="00E807F8" w:rsidRPr="00E84532">
        <w:rPr>
          <w:rFonts w:asciiTheme="minorHAnsi" w:hAnsiTheme="minorHAnsi"/>
          <w:sz w:val="22"/>
          <w:szCs w:val="22"/>
        </w:rPr>
        <w:t xml:space="preserve">prej 1.1 deri 3.0%. Kufiri i ulët përfaqëson nivelin e interesave për bonot e thesarit afatgjatë të Kosovës përderisa kufiri i lartë përfaqëson mesataren 10 vjeçare interesave nga bonot e thesarit të Hungarisë – që përfaqëson emetuesin më të rrezikshëm të borxhit të tregtuar afatgjatë në mesin e krahasuesve rajonal. Bazuar në këtë ZRRE e fikson </w:t>
      </w:r>
      <w:r w:rsidR="00E807F8" w:rsidRPr="00E84532">
        <w:rPr>
          <w:rFonts w:asciiTheme="minorHAnsi" w:hAnsiTheme="minorHAnsi"/>
          <w:b/>
          <w:sz w:val="22"/>
          <w:szCs w:val="22"/>
        </w:rPr>
        <w:t xml:space="preserve">Normën pa Rrezik </w:t>
      </w:r>
      <w:r w:rsidR="00E807F8" w:rsidRPr="00E84532">
        <w:rPr>
          <w:rFonts w:asciiTheme="minorHAnsi" w:hAnsiTheme="minorHAnsi"/>
          <w:sz w:val="22"/>
          <w:szCs w:val="22"/>
        </w:rPr>
        <w:t>në vlerën</w:t>
      </w:r>
      <w:r w:rsidR="00E807F8" w:rsidRPr="00E84532">
        <w:rPr>
          <w:rFonts w:asciiTheme="minorHAnsi" w:hAnsiTheme="minorHAnsi"/>
          <w:b/>
          <w:sz w:val="22"/>
          <w:szCs w:val="22"/>
        </w:rPr>
        <w:t xml:space="preserve"> 2.3 %.</w:t>
      </w:r>
    </w:p>
    <w:p w:rsidR="00E807F8" w:rsidRPr="00E84532" w:rsidRDefault="00E807F8" w:rsidP="00E807F8">
      <w:pPr>
        <w:pStyle w:val="Header"/>
        <w:tabs>
          <w:tab w:val="clear" w:pos="4320"/>
          <w:tab w:val="clear" w:pos="8640"/>
        </w:tabs>
        <w:jc w:val="both"/>
        <w:rPr>
          <w:rFonts w:asciiTheme="minorHAnsi" w:hAnsiTheme="minorHAnsi"/>
          <w:sz w:val="22"/>
          <w:szCs w:val="22"/>
        </w:rPr>
      </w:pPr>
    </w:p>
    <w:p w:rsidR="00E807F8" w:rsidRPr="00E84532" w:rsidRDefault="00E807F8" w:rsidP="00E807F8">
      <w:pPr>
        <w:pStyle w:val="Header"/>
        <w:tabs>
          <w:tab w:val="clear" w:pos="4320"/>
          <w:tab w:val="clear" w:pos="8640"/>
        </w:tabs>
        <w:jc w:val="both"/>
        <w:rPr>
          <w:rFonts w:asciiTheme="minorHAnsi" w:hAnsiTheme="minorHAnsi"/>
          <w:b/>
          <w:sz w:val="22"/>
          <w:szCs w:val="22"/>
        </w:rPr>
      </w:pPr>
      <w:r w:rsidRPr="00E84532">
        <w:rPr>
          <w:rFonts w:asciiTheme="minorHAnsi" w:hAnsiTheme="minorHAnsi"/>
          <w:sz w:val="22"/>
          <w:szCs w:val="22"/>
        </w:rPr>
        <w:t xml:space="preserve">Vendimet e fundit të autoriteteve rregullative e vlerësojnë premiumin e rrezikut në ekuitet në rangun prej 3.5 gjer në 5%. Për shkak se NQ Termokos është ndërmarrje publike konsiderohet se rreziku në ekuitet është minimal dhe </w:t>
      </w:r>
      <w:r w:rsidR="00222D84" w:rsidRPr="00E84532">
        <w:rPr>
          <w:rFonts w:asciiTheme="minorHAnsi" w:hAnsiTheme="minorHAnsi"/>
          <w:sz w:val="22"/>
          <w:szCs w:val="22"/>
        </w:rPr>
        <w:t>rrjedhimisht</w:t>
      </w:r>
      <w:r w:rsidRPr="00E84532">
        <w:rPr>
          <w:rFonts w:asciiTheme="minorHAnsi" w:hAnsiTheme="minorHAnsi"/>
          <w:sz w:val="22"/>
          <w:szCs w:val="22"/>
        </w:rPr>
        <w:t xml:space="preserve"> përvetësohet që vlera e </w:t>
      </w:r>
      <w:r w:rsidRPr="00E84532">
        <w:rPr>
          <w:rFonts w:asciiTheme="minorHAnsi" w:hAnsiTheme="minorHAnsi"/>
          <w:b/>
          <w:sz w:val="22"/>
          <w:szCs w:val="22"/>
        </w:rPr>
        <w:t>ERP-së të jetë e barabartë me 4.5%.</w:t>
      </w:r>
    </w:p>
    <w:p w:rsidR="00E807F8" w:rsidRPr="00E84532" w:rsidRDefault="00E807F8" w:rsidP="00E807F8">
      <w:pPr>
        <w:pStyle w:val="Header"/>
        <w:tabs>
          <w:tab w:val="clear" w:pos="4320"/>
          <w:tab w:val="clear" w:pos="8640"/>
        </w:tabs>
        <w:jc w:val="both"/>
        <w:rPr>
          <w:rFonts w:asciiTheme="minorHAnsi" w:hAnsiTheme="minorHAnsi"/>
          <w:b/>
          <w:sz w:val="22"/>
          <w:szCs w:val="22"/>
        </w:rPr>
      </w:pPr>
    </w:p>
    <w:p w:rsidR="00E807F8" w:rsidRPr="00E84532" w:rsidRDefault="00E807F8" w:rsidP="00E807F8">
      <w:pPr>
        <w:pStyle w:val="Header"/>
        <w:tabs>
          <w:tab w:val="clear" w:pos="4320"/>
          <w:tab w:val="clear" w:pos="8640"/>
        </w:tabs>
        <w:jc w:val="both"/>
        <w:rPr>
          <w:rFonts w:asciiTheme="minorHAnsi" w:hAnsiTheme="minorHAnsi"/>
          <w:sz w:val="22"/>
          <w:szCs w:val="22"/>
        </w:rPr>
      </w:pPr>
      <w:r w:rsidRPr="00E84532">
        <w:rPr>
          <w:rFonts w:asciiTheme="minorHAnsi" w:hAnsiTheme="minorHAnsi"/>
          <w:sz w:val="22"/>
          <w:szCs w:val="22"/>
        </w:rPr>
        <w:t xml:space="preserve">Beta mesatare e aseteve për rrjetet e energjisë elektrike në BE dhe për ndërmarrjet e integruara është 0.42 e krahasuar me 0.54 - 0.63 për ndërmarrjet që kanë vetëm gjenerimin dhe furnizimin në BE dhe SHBA. Për shkak se industria e ngrohjes qendrore ne Kosovë është e vogël, duket e arsyeshme qe të supozojmë se rritja e kërkesës – që është faktori kryesor për rritjen e të ardhurave – do të jetë më e pa-parashikueshme se sa rritja e GDP – që është faktori kryesor për rritjen e tregut të mallrave dhe </w:t>
      </w:r>
      <w:r w:rsidR="00797A55" w:rsidRPr="00E84532">
        <w:rPr>
          <w:rFonts w:asciiTheme="minorHAnsi" w:hAnsiTheme="minorHAnsi"/>
          <w:sz w:val="22"/>
          <w:szCs w:val="22"/>
        </w:rPr>
        <w:t>aksioneve</w:t>
      </w:r>
      <w:r w:rsidRPr="00E84532">
        <w:rPr>
          <w:rFonts w:asciiTheme="minorHAnsi" w:hAnsiTheme="minorHAnsi"/>
          <w:sz w:val="22"/>
          <w:szCs w:val="22"/>
        </w:rPr>
        <w:t xml:space="preserve"> – se sa në vendet e mëdha dhe të zhvilluara. Shtimi i një konsumatori të vetëm të madh në ngrohjen qendrore do të thotë rritjen e kërkesës për ngrohje qendrore në krahasim me kërkesën e mëpar</w:t>
      </w:r>
      <w:r w:rsidR="00797A55">
        <w:rPr>
          <w:rFonts w:asciiTheme="minorHAnsi" w:hAnsiTheme="minorHAnsi"/>
          <w:sz w:val="22"/>
          <w:szCs w:val="22"/>
        </w:rPr>
        <w:t>sh</w:t>
      </w:r>
      <w:r w:rsidRPr="00E84532">
        <w:rPr>
          <w:rFonts w:asciiTheme="minorHAnsi" w:hAnsiTheme="minorHAnsi"/>
          <w:sz w:val="22"/>
          <w:szCs w:val="22"/>
        </w:rPr>
        <w:t xml:space="preserve">me, përderisa ndikim në GDP mund të jetë shumë më i vogël. Në mënyrë që ta marrin në konsideratë natyrën më të pa-parashikueshme të të ardhurave të ndërmarrjeve të ngrohjes qendrore në krahasim me rritjen e GDP, ne vlerësojmë që kostoja e ekuitetit të jetë më e lartë se sa mesatarja e </w:t>
      </w:r>
      <w:r w:rsidRPr="00E84532">
        <w:rPr>
          <w:rFonts w:asciiTheme="minorHAnsi" w:hAnsiTheme="minorHAnsi"/>
          <w:sz w:val="22"/>
          <w:szCs w:val="22"/>
        </w:rPr>
        <w:lastRenderedPageBreak/>
        <w:t>vendosur nga rregullatorët e BE-së, dhe ne konsiderojmë se “</w:t>
      </w:r>
      <w:r w:rsidRPr="00E84532">
        <w:rPr>
          <w:rFonts w:asciiTheme="minorHAnsi" w:hAnsiTheme="minorHAnsi"/>
          <w:bCs/>
          <w:sz w:val="22"/>
          <w:szCs w:val="22"/>
        </w:rPr>
        <w:t>β</w:t>
      </w:r>
      <w:r w:rsidRPr="00E84532">
        <w:rPr>
          <w:rFonts w:asciiTheme="minorHAnsi" w:hAnsiTheme="minorHAnsi"/>
          <w:bCs/>
          <w:sz w:val="22"/>
          <w:szCs w:val="22"/>
          <w:vertAlign w:val="subscript"/>
        </w:rPr>
        <w:t xml:space="preserve">e </w:t>
      </w:r>
      <w:r w:rsidRPr="00E84532">
        <w:rPr>
          <w:rFonts w:asciiTheme="minorHAnsi" w:hAnsiTheme="minorHAnsi"/>
          <w:bCs/>
          <w:sz w:val="22"/>
          <w:szCs w:val="22"/>
        </w:rPr>
        <w:t xml:space="preserve">“e arsyeshme për ndërmarrjet e ngrohjes qendrore në Kosovë të jetë </w:t>
      </w:r>
      <w:r w:rsidRPr="00E84532">
        <w:rPr>
          <w:rFonts w:asciiTheme="minorHAnsi" w:hAnsiTheme="minorHAnsi"/>
          <w:b/>
          <w:bCs/>
          <w:sz w:val="28"/>
          <w:szCs w:val="28"/>
        </w:rPr>
        <w:t>β</w:t>
      </w:r>
      <w:r w:rsidRPr="00E84532">
        <w:rPr>
          <w:rFonts w:asciiTheme="minorHAnsi" w:hAnsiTheme="minorHAnsi"/>
          <w:b/>
          <w:bCs/>
          <w:sz w:val="28"/>
          <w:szCs w:val="28"/>
          <w:vertAlign w:val="subscript"/>
        </w:rPr>
        <w:t>e</w:t>
      </w:r>
      <w:r w:rsidRPr="00E84532">
        <w:rPr>
          <w:rFonts w:asciiTheme="minorHAnsi" w:hAnsiTheme="minorHAnsi"/>
          <w:b/>
          <w:bCs/>
          <w:sz w:val="28"/>
          <w:szCs w:val="28"/>
        </w:rPr>
        <w:t xml:space="preserve"> = 1.</w:t>
      </w:r>
    </w:p>
    <w:p w:rsidR="00E807F8" w:rsidRPr="00E84532" w:rsidRDefault="00E807F8" w:rsidP="00E807F8">
      <w:pPr>
        <w:pStyle w:val="Header"/>
        <w:tabs>
          <w:tab w:val="clear" w:pos="4320"/>
          <w:tab w:val="clear" w:pos="8640"/>
        </w:tabs>
        <w:jc w:val="both"/>
        <w:rPr>
          <w:rFonts w:asciiTheme="minorHAnsi" w:hAnsiTheme="minorHAnsi"/>
          <w:sz w:val="22"/>
          <w:szCs w:val="22"/>
        </w:rPr>
      </w:pPr>
    </w:p>
    <w:p w:rsidR="00E807F8" w:rsidRPr="00E84532" w:rsidRDefault="00E807F8" w:rsidP="00E807F8">
      <w:pPr>
        <w:pStyle w:val="Header"/>
        <w:tabs>
          <w:tab w:val="clear" w:pos="4320"/>
          <w:tab w:val="clear" w:pos="8640"/>
        </w:tabs>
        <w:rPr>
          <w:rFonts w:asciiTheme="minorHAnsi" w:hAnsiTheme="minorHAnsi"/>
          <w:sz w:val="22"/>
          <w:szCs w:val="22"/>
        </w:rPr>
      </w:pPr>
      <w:r w:rsidRPr="00E84532">
        <w:rPr>
          <w:rFonts w:asciiTheme="minorHAnsi" w:hAnsiTheme="minorHAnsi"/>
          <w:sz w:val="22"/>
          <w:szCs w:val="22"/>
        </w:rPr>
        <w:t>Kostoja e ekuitetit pas tatimeve është si në vijim:</w:t>
      </w:r>
    </w:p>
    <w:p w:rsidR="00E807F8" w:rsidRPr="009732A4" w:rsidRDefault="00E807F8" w:rsidP="00E807F8">
      <w:pPr>
        <w:pStyle w:val="Header"/>
        <w:tabs>
          <w:tab w:val="clear" w:pos="4320"/>
          <w:tab w:val="clear" w:pos="8640"/>
        </w:tabs>
        <w:rPr>
          <w:rFonts w:asciiTheme="minorHAnsi" w:hAnsiTheme="minorHAnsi"/>
          <w:sz w:val="16"/>
          <w:szCs w:val="16"/>
        </w:rPr>
      </w:pPr>
      <w:r w:rsidRPr="00E84532">
        <w:rPr>
          <w:rFonts w:asciiTheme="minorHAnsi" w:hAnsiTheme="minorHAnsi"/>
          <w:sz w:val="22"/>
          <w:szCs w:val="22"/>
        </w:rPr>
        <w:t xml:space="preserve"> </w:t>
      </w:r>
    </w:p>
    <w:p w:rsidR="00E807F8" w:rsidRPr="00E84532" w:rsidRDefault="00E807F8" w:rsidP="00E807F8">
      <w:pPr>
        <w:pStyle w:val="Header"/>
        <w:tabs>
          <w:tab w:val="clear" w:pos="4320"/>
          <w:tab w:val="clear" w:pos="8640"/>
        </w:tabs>
        <w:jc w:val="center"/>
        <w:rPr>
          <w:rFonts w:asciiTheme="minorHAnsi" w:hAnsiTheme="minorHAnsi"/>
          <w:b/>
          <w:bCs/>
          <w:sz w:val="28"/>
          <w:szCs w:val="28"/>
        </w:rPr>
      </w:pPr>
      <w:r w:rsidRPr="00E84532">
        <w:rPr>
          <w:rFonts w:asciiTheme="minorHAnsi" w:hAnsiTheme="minorHAnsi"/>
          <w:b/>
          <w:bCs/>
          <w:sz w:val="28"/>
          <w:szCs w:val="28"/>
          <w:bdr w:val="single" w:sz="4" w:space="0" w:color="auto"/>
        </w:rPr>
        <w:t>k</w:t>
      </w:r>
      <w:r w:rsidRPr="00E84532">
        <w:rPr>
          <w:rFonts w:asciiTheme="minorHAnsi" w:hAnsiTheme="minorHAnsi"/>
          <w:b/>
          <w:bCs/>
          <w:sz w:val="28"/>
          <w:szCs w:val="28"/>
          <w:bdr w:val="single" w:sz="4" w:space="0" w:color="auto"/>
          <w:vertAlign w:val="subscript"/>
        </w:rPr>
        <w:t xml:space="preserve">e post tax </w:t>
      </w:r>
      <w:r w:rsidRPr="00E84532">
        <w:rPr>
          <w:rFonts w:asciiTheme="minorHAnsi" w:hAnsiTheme="minorHAnsi"/>
          <w:b/>
          <w:bCs/>
          <w:sz w:val="28"/>
          <w:szCs w:val="28"/>
          <w:bdr w:val="single" w:sz="4" w:space="0" w:color="auto"/>
        </w:rPr>
        <w:t>= 2.3% + (1 * 4.5 %) = 6.80%</w:t>
      </w:r>
    </w:p>
    <w:p w:rsidR="00E807F8" w:rsidRPr="00E84532" w:rsidRDefault="00E807F8" w:rsidP="00E807F8">
      <w:pPr>
        <w:pStyle w:val="Header"/>
        <w:tabs>
          <w:tab w:val="clear" w:pos="4320"/>
          <w:tab w:val="clear" w:pos="8640"/>
        </w:tabs>
        <w:rPr>
          <w:rFonts w:asciiTheme="minorHAnsi" w:hAnsiTheme="minorHAnsi"/>
          <w:bCs/>
          <w:color w:val="FF0000"/>
          <w:sz w:val="22"/>
          <w:szCs w:val="22"/>
        </w:rPr>
      </w:pPr>
    </w:p>
    <w:p w:rsidR="00E807F8" w:rsidRPr="00E84532" w:rsidRDefault="00E807F8" w:rsidP="00E807F8">
      <w:pPr>
        <w:pStyle w:val="Header"/>
        <w:tabs>
          <w:tab w:val="clear" w:pos="4320"/>
          <w:tab w:val="clear" w:pos="8640"/>
        </w:tabs>
        <w:rPr>
          <w:rFonts w:asciiTheme="minorHAnsi" w:hAnsiTheme="minorHAnsi"/>
          <w:bCs/>
          <w:sz w:val="22"/>
          <w:szCs w:val="22"/>
        </w:rPr>
      </w:pPr>
      <w:r w:rsidRPr="00E84532">
        <w:rPr>
          <w:rFonts w:asciiTheme="minorHAnsi" w:hAnsiTheme="minorHAnsi"/>
          <w:bCs/>
          <w:sz w:val="22"/>
          <w:szCs w:val="22"/>
        </w:rPr>
        <w:t>Kostoja e ekuitetit para tatimeve gjendet duke shumëzuar rezultatin më lartë të kostos së ekuitetit pas tatimeve me relacionin që e konsideron tatimin (“tax wedge”) si më poshtë:</w:t>
      </w:r>
    </w:p>
    <w:p w:rsidR="00E807F8" w:rsidRPr="00E84532" w:rsidRDefault="00E807F8" w:rsidP="00E807F8">
      <w:pPr>
        <w:pStyle w:val="Header"/>
        <w:tabs>
          <w:tab w:val="clear" w:pos="4320"/>
          <w:tab w:val="clear" w:pos="8640"/>
        </w:tabs>
        <w:rPr>
          <w:rFonts w:asciiTheme="minorHAnsi" w:hAnsiTheme="minorHAnsi"/>
          <w:bCs/>
          <w:sz w:val="22"/>
          <w:szCs w:val="22"/>
        </w:rPr>
      </w:pPr>
    </w:p>
    <w:p w:rsidR="00E807F8" w:rsidRPr="00E84532" w:rsidRDefault="00E807F8" w:rsidP="00E807F8">
      <w:pPr>
        <w:pStyle w:val="Header"/>
        <w:tabs>
          <w:tab w:val="clear" w:pos="4320"/>
          <w:tab w:val="clear" w:pos="8640"/>
        </w:tabs>
        <w:rPr>
          <w:rFonts w:asciiTheme="minorHAnsi" w:hAnsiTheme="minorHAnsi"/>
          <w:b/>
          <w:bCs/>
          <w:sz w:val="28"/>
          <w:szCs w:val="28"/>
        </w:rPr>
      </w:pPr>
      <w:r w:rsidRPr="00E84532">
        <w:rPr>
          <w:rFonts w:asciiTheme="minorHAnsi" w:hAnsiTheme="minorHAnsi"/>
          <w:b/>
          <w:bCs/>
          <w:sz w:val="28"/>
          <w:szCs w:val="28"/>
        </w:rPr>
        <w:t>‘Tax wedge’ = 1/(1-t)</w:t>
      </w:r>
    </w:p>
    <w:p w:rsidR="00E807F8" w:rsidRPr="00E84532" w:rsidRDefault="00E807F8" w:rsidP="00E807F8">
      <w:pPr>
        <w:pStyle w:val="Header"/>
        <w:tabs>
          <w:tab w:val="clear" w:pos="4320"/>
          <w:tab w:val="clear" w:pos="8640"/>
        </w:tabs>
        <w:rPr>
          <w:rFonts w:asciiTheme="minorHAnsi" w:hAnsiTheme="minorHAnsi"/>
          <w:b/>
          <w:bCs/>
          <w:sz w:val="22"/>
          <w:szCs w:val="22"/>
        </w:rPr>
      </w:pPr>
    </w:p>
    <w:p w:rsidR="00E807F8" w:rsidRPr="00E84532" w:rsidRDefault="00E807F8" w:rsidP="00E807F8">
      <w:pPr>
        <w:pStyle w:val="Header"/>
        <w:tabs>
          <w:tab w:val="clear" w:pos="4320"/>
          <w:tab w:val="clear" w:pos="8640"/>
        </w:tabs>
        <w:rPr>
          <w:rFonts w:asciiTheme="minorHAnsi" w:hAnsiTheme="minorHAnsi"/>
          <w:bCs/>
          <w:sz w:val="22"/>
          <w:szCs w:val="22"/>
        </w:rPr>
      </w:pPr>
      <w:r w:rsidRPr="00E84532">
        <w:rPr>
          <w:rFonts w:asciiTheme="minorHAnsi" w:hAnsiTheme="minorHAnsi"/>
          <w:bCs/>
          <w:sz w:val="22"/>
          <w:szCs w:val="22"/>
        </w:rPr>
        <w:t>ku:</w:t>
      </w:r>
    </w:p>
    <w:p w:rsidR="00E807F8" w:rsidRPr="00E84532" w:rsidRDefault="00E807F8" w:rsidP="00E807F8">
      <w:pPr>
        <w:pStyle w:val="Header"/>
        <w:tabs>
          <w:tab w:val="clear" w:pos="4320"/>
          <w:tab w:val="clear" w:pos="8640"/>
        </w:tabs>
        <w:rPr>
          <w:rFonts w:asciiTheme="minorHAnsi" w:hAnsiTheme="minorHAnsi"/>
          <w:b/>
          <w:bCs/>
          <w:sz w:val="28"/>
          <w:szCs w:val="28"/>
        </w:rPr>
      </w:pPr>
      <w:r w:rsidRPr="00E84532">
        <w:rPr>
          <w:rFonts w:asciiTheme="minorHAnsi" w:hAnsiTheme="minorHAnsi"/>
          <w:b/>
          <w:bCs/>
          <w:sz w:val="28"/>
          <w:szCs w:val="28"/>
        </w:rPr>
        <w:t xml:space="preserve">t          </w:t>
      </w:r>
      <w:r w:rsidRPr="00E84532">
        <w:rPr>
          <w:rFonts w:asciiTheme="minorHAnsi" w:hAnsiTheme="minorHAnsi"/>
          <w:bCs/>
          <w:sz w:val="22"/>
          <w:szCs w:val="22"/>
        </w:rPr>
        <w:t>Shkalla e tatimit në fitimin e kompanive</w:t>
      </w:r>
      <w:r w:rsidRPr="00E84532">
        <w:rPr>
          <w:rFonts w:asciiTheme="minorHAnsi" w:hAnsiTheme="minorHAnsi"/>
          <w:b/>
          <w:bCs/>
          <w:sz w:val="28"/>
          <w:szCs w:val="28"/>
        </w:rPr>
        <w:t xml:space="preserve"> </w:t>
      </w:r>
    </w:p>
    <w:p w:rsidR="00E807F8" w:rsidRPr="00E84532" w:rsidRDefault="00E807F8" w:rsidP="00E807F8">
      <w:pPr>
        <w:pStyle w:val="Header"/>
        <w:tabs>
          <w:tab w:val="clear" w:pos="4320"/>
          <w:tab w:val="clear" w:pos="8640"/>
        </w:tabs>
        <w:rPr>
          <w:rFonts w:asciiTheme="minorHAnsi" w:hAnsiTheme="minorHAnsi"/>
          <w:b/>
          <w:bCs/>
          <w:sz w:val="22"/>
          <w:szCs w:val="22"/>
        </w:rPr>
      </w:pPr>
    </w:p>
    <w:p w:rsidR="00E807F8" w:rsidRPr="00E84532" w:rsidRDefault="00E807F8" w:rsidP="00E807F8">
      <w:pPr>
        <w:pStyle w:val="Header"/>
        <w:tabs>
          <w:tab w:val="clear" w:pos="4320"/>
          <w:tab w:val="clear" w:pos="8640"/>
        </w:tabs>
        <w:rPr>
          <w:rFonts w:asciiTheme="minorHAnsi" w:hAnsiTheme="minorHAnsi"/>
          <w:bCs/>
          <w:sz w:val="22"/>
          <w:szCs w:val="22"/>
        </w:rPr>
      </w:pPr>
      <w:r w:rsidRPr="00E84532">
        <w:rPr>
          <w:rFonts w:asciiTheme="minorHAnsi" w:hAnsiTheme="minorHAnsi"/>
          <w:bCs/>
          <w:sz w:val="22"/>
          <w:szCs w:val="22"/>
        </w:rPr>
        <w:t xml:space="preserve">Tatimi në fitim (t) në Kosovë është 10% dhe relacioni që e konsideron tatimin (“tax wedge”) është: </w:t>
      </w:r>
    </w:p>
    <w:p w:rsidR="00E807F8" w:rsidRPr="00E84532" w:rsidRDefault="00E807F8" w:rsidP="00E807F8">
      <w:pPr>
        <w:pStyle w:val="Header"/>
        <w:tabs>
          <w:tab w:val="clear" w:pos="4320"/>
          <w:tab w:val="clear" w:pos="8640"/>
        </w:tabs>
        <w:rPr>
          <w:rFonts w:asciiTheme="minorHAnsi" w:hAnsiTheme="minorHAnsi"/>
          <w:bCs/>
          <w:sz w:val="22"/>
          <w:szCs w:val="22"/>
        </w:rPr>
      </w:pPr>
    </w:p>
    <w:p w:rsidR="00E807F8" w:rsidRPr="00E84532" w:rsidRDefault="00E807F8" w:rsidP="00E807F8">
      <w:pPr>
        <w:pStyle w:val="Header"/>
        <w:tabs>
          <w:tab w:val="clear" w:pos="4320"/>
          <w:tab w:val="clear" w:pos="8640"/>
        </w:tabs>
        <w:rPr>
          <w:rFonts w:asciiTheme="minorHAnsi" w:hAnsiTheme="minorHAnsi"/>
          <w:b/>
          <w:bCs/>
          <w:sz w:val="28"/>
          <w:szCs w:val="28"/>
        </w:rPr>
      </w:pPr>
      <w:r w:rsidRPr="00E84532">
        <w:rPr>
          <w:rFonts w:asciiTheme="minorHAnsi" w:hAnsiTheme="minorHAnsi"/>
          <w:b/>
          <w:bCs/>
          <w:sz w:val="28"/>
          <w:szCs w:val="28"/>
        </w:rPr>
        <w:t>1/(1-0.10)= 1.11</w:t>
      </w:r>
    </w:p>
    <w:p w:rsidR="00E807F8" w:rsidRPr="00E84532" w:rsidRDefault="00E807F8" w:rsidP="00E807F8">
      <w:pPr>
        <w:pStyle w:val="Header"/>
        <w:tabs>
          <w:tab w:val="clear" w:pos="4320"/>
          <w:tab w:val="clear" w:pos="8640"/>
        </w:tabs>
        <w:rPr>
          <w:rFonts w:asciiTheme="minorHAnsi" w:hAnsiTheme="minorHAnsi"/>
          <w:b/>
          <w:bCs/>
          <w:sz w:val="22"/>
          <w:szCs w:val="22"/>
        </w:rPr>
      </w:pPr>
    </w:p>
    <w:p w:rsidR="00E807F8" w:rsidRPr="00E84532" w:rsidRDefault="00E807F8" w:rsidP="00E807F8">
      <w:pPr>
        <w:pStyle w:val="Header"/>
        <w:tabs>
          <w:tab w:val="clear" w:pos="4320"/>
          <w:tab w:val="clear" w:pos="8640"/>
        </w:tabs>
        <w:rPr>
          <w:rFonts w:asciiTheme="minorHAnsi" w:hAnsiTheme="minorHAnsi"/>
          <w:bCs/>
          <w:sz w:val="22"/>
          <w:szCs w:val="22"/>
        </w:rPr>
      </w:pPr>
      <w:r w:rsidRPr="00E84532">
        <w:rPr>
          <w:rFonts w:asciiTheme="minorHAnsi" w:hAnsiTheme="minorHAnsi"/>
          <w:bCs/>
          <w:sz w:val="22"/>
          <w:szCs w:val="22"/>
        </w:rPr>
        <w:t>Kostoja e ekuitetit para tatimeve është:</w:t>
      </w:r>
    </w:p>
    <w:p w:rsidR="00E807F8" w:rsidRPr="00E84532" w:rsidRDefault="00E807F8" w:rsidP="00E807F8">
      <w:pPr>
        <w:pStyle w:val="Header"/>
        <w:tabs>
          <w:tab w:val="clear" w:pos="4320"/>
          <w:tab w:val="clear" w:pos="8640"/>
        </w:tabs>
        <w:jc w:val="center"/>
        <w:rPr>
          <w:rFonts w:asciiTheme="minorHAnsi" w:hAnsiTheme="minorHAnsi"/>
          <w:b/>
          <w:bCs/>
          <w:sz w:val="28"/>
          <w:szCs w:val="28"/>
          <w:highlight w:val="yellow"/>
          <w:bdr w:val="single" w:sz="4" w:space="0" w:color="auto"/>
        </w:rPr>
      </w:pPr>
    </w:p>
    <w:p w:rsidR="00E807F8" w:rsidRPr="00E84532" w:rsidRDefault="00E807F8" w:rsidP="00E807F8">
      <w:pPr>
        <w:pStyle w:val="Header"/>
        <w:tabs>
          <w:tab w:val="clear" w:pos="4320"/>
          <w:tab w:val="clear" w:pos="8640"/>
        </w:tabs>
        <w:jc w:val="center"/>
        <w:rPr>
          <w:rFonts w:asciiTheme="minorHAnsi" w:hAnsiTheme="minorHAnsi"/>
          <w:b/>
          <w:bCs/>
          <w:sz w:val="28"/>
          <w:szCs w:val="28"/>
          <w:bdr w:val="single" w:sz="4" w:space="0" w:color="auto"/>
        </w:rPr>
      </w:pPr>
      <w:r w:rsidRPr="00E84532">
        <w:rPr>
          <w:rFonts w:asciiTheme="minorHAnsi" w:hAnsiTheme="minorHAnsi"/>
          <w:b/>
          <w:bCs/>
          <w:sz w:val="28"/>
          <w:szCs w:val="28"/>
          <w:bdr w:val="single" w:sz="4" w:space="0" w:color="auto"/>
        </w:rPr>
        <w:t xml:space="preserve">    k</w:t>
      </w:r>
      <w:r w:rsidRPr="00E84532">
        <w:rPr>
          <w:rFonts w:asciiTheme="minorHAnsi" w:hAnsiTheme="minorHAnsi"/>
          <w:b/>
          <w:bCs/>
          <w:sz w:val="28"/>
          <w:szCs w:val="28"/>
          <w:bdr w:val="single" w:sz="4" w:space="0" w:color="auto"/>
          <w:vertAlign w:val="subscript"/>
        </w:rPr>
        <w:t>e pre-tax</w:t>
      </w:r>
      <w:r w:rsidRPr="00E84532">
        <w:rPr>
          <w:rFonts w:asciiTheme="minorHAnsi" w:hAnsiTheme="minorHAnsi"/>
          <w:b/>
          <w:bCs/>
          <w:sz w:val="28"/>
          <w:szCs w:val="28"/>
          <w:bdr w:val="single" w:sz="4" w:space="0" w:color="auto"/>
        </w:rPr>
        <w:t xml:space="preserve"> = 6.80% * 1.11 = 7.55 %   </w:t>
      </w:r>
    </w:p>
    <w:p w:rsidR="00E807F8" w:rsidRPr="00E84532" w:rsidRDefault="00E807F8" w:rsidP="00E807F8">
      <w:pPr>
        <w:pStyle w:val="Header"/>
        <w:tabs>
          <w:tab w:val="clear" w:pos="4320"/>
          <w:tab w:val="clear" w:pos="8640"/>
        </w:tabs>
        <w:jc w:val="center"/>
        <w:rPr>
          <w:rFonts w:asciiTheme="minorHAnsi" w:hAnsiTheme="minorHAnsi"/>
          <w:b/>
          <w:bCs/>
          <w:i/>
          <w:color w:val="FF0000"/>
          <w:sz w:val="22"/>
          <w:szCs w:val="22"/>
          <w:bdr w:val="single" w:sz="4" w:space="0" w:color="auto"/>
        </w:rPr>
      </w:pPr>
    </w:p>
    <w:p w:rsidR="00E807F8" w:rsidRPr="00E84532" w:rsidRDefault="00E807F8" w:rsidP="00E807F8">
      <w:pPr>
        <w:pStyle w:val="Header"/>
        <w:tabs>
          <w:tab w:val="clear" w:pos="4320"/>
          <w:tab w:val="clear" w:pos="8640"/>
        </w:tabs>
        <w:rPr>
          <w:rFonts w:asciiTheme="minorHAnsi" w:hAnsiTheme="minorHAnsi"/>
          <w:bCs/>
          <w:sz w:val="22"/>
          <w:szCs w:val="22"/>
        </w:rPr>
      </w:pPr>
      <w:r w:rsidRPr="00E84532">
        <w:rPr>
          <w:rFonts w:asciiTheme="minorHAnsi" w:hAnsiTheme="minorHAnsi"/>
          <w:bCs/>
          <w:sz w:val="22"/>
          <w:szCs w:val="22"/>
        </w:rPr>
        <w:t>Si rrjedhim i llogarive më lartë llogaritet WACC-u para tatimeve – i rrumbullakuar në  dy decimale – si më poshtë:</w:t>
      </w:r>
    </w:p>
    <w:p w:rsidR="00E807F8" w:rsidRPr="00E84532" w:rsidRDefault="00E807F8" w:rsidP="00E807F8">
      <w:pPr>
        <w:pStyle w:val="Header"/>
        <w:tabs>
          <w:tab w:val="clear" w:pos="4320"/>
          <w:tab w:val="clear" w:pos="8640"/>
        </w:tabs>
        <w:rPr>
          <w:rFonts w:asciiTheme="minorHAnsi" w:hAnsiTheme="minorHAnsi"/>
          <w:bCs/>
          <w:sz w:val="22"/>
          <w:szCs w:val="22"/>
        </w:rPr>
      </w:pPr>
    </w:p>
    <w:p w:rsidR="00E807F8" w:rsidRPr="00E84532" w:rsidRDefault="00E807F8" w:rsidP="00E807F8">
      <w:pPr>
        <w:pStyle w:val="Header"/>
        <w:tabs>
          <w:tab w:val="clear" w:pos="4320"/>
          <w:tab w:val="clear" w:pos="8640"/>
        </w:tabs>
        <w:jc w:val="center"/>
        <w:rPr>
          <w:rFonts w:asciiTheme="minorHAnsi" w:hAnsiTheme="minorHAnsi"/>
          <w:b/>
          <w:sz w:val="36"/>
          <w:szCs w:val="36"/>
          <w:bdr w:val="single" w:sz="4" w:space="0" w:color="auto"/>
        </w:rPr>
      </w:pPr>
      <w:r w:rsidRPr="00E84532">
        <w:rPr>
          <w:rFonts w:asciiTheme="minorHAnsi" w:hAnsiTheme="minorHAnsi"/>
          <w:b/>
          <w:sz w:val="36"/>
          <w:szCs w:val="36"/>
          <w:bdr w:val="single" w:sz="4" w:space="0" w:color="auto"/>
        </w:rPr>
        <w:t xml:space="preserve">    WACC</w:t>
      </w:r>
      <w:r w:rsidRPr="00E84532">
        <w:rPr>
          <w:rFonts w:asciiTheme="minorHAnsi" w:hAnsiTheme="minorHAnsi"/>
          <w:b/>
          <w:sz w:val="36"/>
          <w:szCs w:val="36"/>
          <w:bdr w:val="single" w:sz="4" w:space="0" w:color="auto"/>
          <w:vertAlign w:val="subscript"/>
        </w:rPr>
        <w:t>pre-tax</w:t>
      </w:r>
      <w:r w:rsidRPr="00E84532">
        <w:rPr>
          <w:rFonts w:asciiTheme="minorHAnsi" w:hAnsiTheme="minorHAnsi"/>
          <w:b/>
          <w:sz w:val="36"/>
          <w:szCs w:val="36"/>
          <w:bdr w:val="single" w:sz="4" w:space="0" w:color="auto"/>
        </w:rPr>
        <w:t xml:space="preserve">= [8.79% * 0.6 ] + [7.55% * 0.4 ] = 8.30% </w:t>
      </w:r>
    </w:p>
    <w:p w:rsidR="00E807F8" w:rsidRPr="00E84532" w:rsidRDefault="00E807F8" w:rsidP="00E807F8">
      <w:pPr>
        <w:pStyle w:val="Header"/>
        <w:tabs>
          <w:tab w:val="clear" w:pos="4320"/>
          <w:tab w:val="clear" w:pos="8640"/>
        </w:tabs>
        <w:jc w:val="center"/>
        <w:rPr>
          <w:rFonts w:asciiTheme="minorHAnsi" w:hAnsiTheme="minorHAnsi"/>
          <w:b/>
          <w:sz w:val="22"/>
          <w:szCs w:val="22"/>
        </w:rPr>
      </w:pPr>
    </w:p>
    <w:p w:rsidR="00222D84" w:rsidRDefault="00222D84" w:rsidP="00E807F8">
      <w:pPr>
        <w:rPr>
          <w:rFonts w:asciiTheme="minorHAnsi" w:hAnsiTheme="minorHAnsi" w:cs="Calibri"/>
          <w:sz w:val="22"/>
          <w:szCs w:val="22"/>
          <w:u w:val="single"/>
        </w:rPr>
      </w:pPr>
      <w:bookmarkStart w:id="125" w:name="_Toc339538673"/>
      <w:bookmarkStart w:id="126" w:name="_Toc339539132"/>
    </w:p>
    <w:p w:rsidR="00E807F8" w:rsidRPr="00E84532" w:rsidRDefault="00E807F8" w:rsidP="00E807F8">
      <w:pPr>
        <w:rPr>
          <w:rFonts w:asciiTheme="minorHAnsi" w:hAnsiTheme="minorHAnsi" w:cs="Calibri"/>
          <w:sz w:val="22"/>
          <w:szCs w:val="22"/>
          <w:u w:val="single"/>
        </w:rPr>
      </w:pPr>
      <w:r w:rsidRPr="00E84532">
        <w:rPr>
          <w:rFonts w:asciiTheme="minorHAnsi" w:hAnsiTheme="minorHAnsi" w:cs="Calibri"/>
          <w:sz w:val="22"/>
          <w:szCs w:val="22"/>
          <w:u w:val="single"/>
        </w:rPr>
        <w:t>Llogaritja e Kthimit të Lejuar në RABf për NQ Termokos</w:t>
      </w:r>
      <w:bookmarkEnd w:id="125"/>
      <w:bookmarkEnd w:id="126"/>
    </w:p>
    <w:p w:rsidR="00E807F8" w:rsidRPr="00E84532" w:rsidRDefault="00E807F8" w:rsidP="00E807F8">
      <w:pPr>
        <w:jc w:val="both"/>
        <w:rPr>
          <w:rFonts w:asciiTheme="minorHAnsi" w:hAnsiTheme="minorHAnsi"/>
          <w:b/>
          <w:bCs/>
          <w:sz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Bazuar në WACC</w:t>
      </w:r>
      <w:r w:rsidRPr="00E84532">
        <w:rPr>
          <w:rFonts w:asciiTheme="minorHAnsi" w:hAnsiTheme="minorHAnsi"/>
          <w:sz w:val="22"/>
          <w:szCs w:val="22"/>
          <w:vertAlign w:val="subscript"/>
        </w:rPr>
        <w:t xml:space="preserve">pre-tax </w:t>
      </w:r>
      <w:r w:rsidR="00CF3C2C">
        <w:rPr>
          <w:rFonts w:asciiTheme="minorHAnsi" w:hAnsiTheme="minorHAnsi"/>
          <w:sz w:val="22"/>
          <w:szCs w:val="22"/>
        </w:rPr>
        <w:t xml:space="preserve"> e llogaritur prej 8</w:t>
      </w:r>
      <w:r w:rsidRPr="00E84532">
        <w:rPr>
          <w:rFonts w:asciiTheme="minorHAnsi" w:hAnsiTheme="minorHAnsi"/>
          <w:sz w:val="22"/>
          <w:szCs w:val="22"/>
        </w:rPr>
        <w:t>.</w:t>
      </w:r>
      <w:r w:rsidR="00CF3C2C">
        <w:rPr>
          <w:rFonts w:asciiTheme="minorHAnsi" w:hAnsiTheme="minorHAnsi"/>
          <w:sz w:val="22"/>
          <w:szCs w:val="22"/>
        </w:rPr>
        <w:t>30</w:t>
      </w:r>
      <w:r w:rsidRPr="00E84532">
        <w:rPr>
          <w:rFonts w:asciiTheme="minorHAnsi" w:hAnsiTheme="minorHAnsi"/>
          <w:sz w:val="22"/>
          <w:szCs w:val="22"/>
        </w:rPr>
        <w:t>% në 3.4.1, llogaritet Kthimi i lejuar apo Profiti i lejuar për NQ Termokos, sipas formulës më poshtë:</w:t>
      </w:r>
    </w:p>
    <w:p w:rsidR="00E807F8" w:rsidRPr="009732A4" w:rsidRDefault="00E807F8" w:rsidP="00E807F8">
      <w:pPr>
        <w:pStyle w:val="BodyText2"/>
        <w:jc w:val="both"/>
        <w:rPr>
          <w:rFonts w:asciiTheme="minorHAnsi" w:hAnsiTheme="minorHAnsi"/>
          <w:b w:val="0"/>
          <w:bCs/>
          <w:sz w:val="22"/>
          <w:szCs w:val="22"/>
        </w:rPr>
      </w:pPr>
    </w:p>
    <w:p w:rsidR="00E807F8" w:rsidRPr="00E84532" w:rsidRDefault="00E807F8" w:rsidP="00E807F8">
      <w:pPr>
        <w:pStyle w:val="BodyText2"/>
        <w:jc w:val="center"/>
        <w:rPr>
          <w:rFonts w:asciiTheme="minorHAnsi" w:hAnsiTheme="minorHAnsi"/>
          <w:szCs w:val="28"/>
        </w:rPr>
      </w:pPr>
      <w:r w:rsidRPr="00E84532">
        <w:rPr>
          <w:rFonts w:asciiTheme="minorHAnsi" w:hAnsiTheme="minorHAnsi"/>
          <w:bCs/>
          <w:szCs w:val="28"/>
        </w:rPr>
        <w:t>RET = RoR x RAB</w:t>
      </w:r>
      <w:r w:rsidRPr="00E84532">
        <w:rPr>
          <w:rFonts w:asciiTheme="minorHAnsi" w:hAnsiTheme="minorHAnsi"/>
          <w:bCs/>
          <w:szCs w:val="28"/>
          <w:vertAlign w:val="subscript"/>
        </w:rPr>
        <w:t>f</w:t>
      </w:r>
      <w:r w:rsidRPr="00E84532">
        <w:rPr>
          <w:rFonts w:asciiTheme="minorHAnsi" w:hAnsiTheme="minorHAnsi"/>
          <w:bCs/>
          <w:szCs w:val="28"/>
        </w:rPr>
        <w:t xml:space="preserve"> </w:t>
      </w:r>
    </w:p>
    <w:p w:rsidR="00E807F8" w:rsidRPr="009732A4" w:rsidRDefault="00E807F8" w:rsidP="00E807F8">
      <w:pPr>
        <w:jc w:val="center"/>
        <w:rPr>
          <w:rFonts w:asciiTheme="minorHAnsi" w:hAnsiTheme="minorHAnsi"/>
          <w:sz w:val="22"/>
          <w:szCs w:val="22"/>
        </w:rPr>
      </w:pPr>
    </w:p>
    <w:p w:rsidR="00E807F8" w:rsidRPr="00E84532" w:rsidRDefault="00E807F8" w:rsidP="00E807F8">
      <w:pPr>
        <w:pStyle w:val="BodyText2"/>
        <w:ind w:left="0" w:firstLine="0"/>
        <w:jc w:val="both"/>
        <w:rPr>
          <w:rFonts w:asciiTheme="minorHAnsi" w:hAnsiTheme="minorHAnsi"/>
          <w:bCs/>
          <w:sz w:val="22"/>
          <w:szCs w:val="22"/>
        </w:rPr>
      </w:pPr>
      <w:r w:rsidRPr="00E84532">
        <w:rPr>
          <w:rFonts w:asciiTheme="minorHAnsi" w:hAnsiTheme="minorHAnsi"/>
          <w:bCs/>
          <w:sz w:val="22"/>
          <w:szCs w:val="22"/>
        </w:rPr>
        <w:t>Pra Kthimi i lejuar në RAB</w:t>
      </w:r>
      <w:r w:rsidRPr="00E84532">
        <w:rPr>
          <w:rFonts w:asciiTheme="minorHAnsi" w:hAnsiTheme="minorHAnsi"/>
          <w:bCs/>
          <w:sz w:val="22"/>
          <w:szCs w:val="22"/>
          <w:vertAlign w:val="subscript"/>
        </w:rPr>
        <w:t>f</w:t>
      </w:r>
      <w:r w:rsidRPr="00E84532">
        <w:rPr>
          <w:rFonts w:asciiTheme="minorHAnsi" w:hAnsiTheme="minorHAnsi"/>
          <w:bCs/>
          <w:sz w:val="22"/>
          <w:szCs w:val="22"/>
        </w:rPr>
        <w:t xml:space="preserve"> është </w:t>
      </w:r>
      <w:r w:rsidR="00CF3C2C">
        <w:rPr>
          <w:rFonts w:asciiTheme="minorHAnsi" w:hAnsiTheme="minorHAnsi"/>
          <w:sz w:val="22"/>
          <w:szCs w:val="22"/>
        </w:rPr>
        <w:t>i barabartë me 10</w:t>
      </w:r>
      <w:r w:rsidRPr="00E84532">
        <w:rPr>
          <w:rFonts w:asciiTheme="minorHAnsi" w:hAnsiTheme="minorHAnsi"/>
          <w:sz w:val="22"/>
          <w:szCs w:val="22"/>
        </w:rPr>
        <w:t>,</w:t>
      </w:r>
      <w:r w:rsidR="00572CEE">
        <w:rPr>
          <w:rFonts w:asciiTheme="minorHAnsi" w:hAnsiTheme="minorHAnsi"/>
          <w:sz w:val="22"/>
          <w:szCs w:val="22"/>
        </w:rPr>
        <w:t>791</w:t>
      </w:r>
      <w:r w:rsidRPr="00E84532">
        <w:rPr>
          <w:rFonts w:asciiTheme="minorHAnsi" w:hAnsiTheme="minorHAnsi"/>
          <w:sz w:val="22"/>
          <w:szCs w:val="22"/>
        </w:rPr>
        <w:t>,</w:t>
      </w:r>
      <w:r w:rsidR="00CF3C2C">
        <w:rPr>
          <w:rFonts w:asciiTheme="minorHAnsi" w:hAnsiTheme="minorHAnsi"/>
          <w:sz w:val="22"/>
          <w:szCs w:val="22"/>
        </w:rPr>
        <w:t>3</w:t>
      </w:r>
      <w:r w:rsidR="00572CEE">
        <w:rPr>
          <w:rFonts w:asciiTheme="minorHAnsi" w:hAnsiTheme="minorHAnsi"/>
          <w:sz w:val="22"/>
          <w:szCs w:val="22"/>
        </w:rPr>
        <w:t>49</w:t>
      </w:r>
      <w:r w:rsidR="00CF3C2C">
        <w:rPr>
          <w:rFonts w:asciiTheme="minorHAnsi" w:hAnsiTheme="minorHAnsi"/>
          <w:sz w:val="22"/>
          <w:szCs w:val="22"/>
        </w:rPr>
        <w:t xml:space="preserve">€ * 8.30% = </w:t>
      </w:r>
      <w:r w:rsidRPr="00E84532">
        <w:rPr>
          <w:rFonts w:asciiTheme="minorHAnsi" w:hAnsiTheme="minorHAnsi"/>
          <w:sz w:val="22"/>
          <w:szCs w:val="22"/>
        </w:rPr>
        <w:t>8</w:t>
      </w:r>
      <w:r w:rsidR="00572CEE">
        <w:rPr>
          <w:rFonts w:asciiTheme="minorHAnsi" w:hAnsiTheme="minorHAnsi"/>
          <w:sz w:val="22"/>
          <w:szCs w:val="22"/>
        </w:rPr>
        <w:t>95</w:t>
      </w:r>
      <w:r w:rsidRPr="00E84532">
        <w:rPr>
          <w:rFonts w:asciiTheme="minorHAnsi" w:hAnsiTheme="minorHAnsi"/>
          <w:bCs/>
          <w:sz w:val="22"/>
          <w:szCs w:val="22"/>
        </w:rPr>
        <w:t>,</w:t>
      </w:r>
      <w:r w:rsidR="00CF3C2C">
        <w:rPr>
          <w:rFonts w:asciiTheme="minorHAnsi" w:hAnsiTheme="minorHAnsi"/>
          <w:bCs/>
          <w:sz w:val="22"/>
          <w:szCs w:val="22"/>
        </w:rPr>
        <w:t>2</w:t>
      </w:r>
      <w:r w:rsidR="00572CEE">
        <w:rPr>
          <w:rFonts w:asciiTheme="minorHAnsi" w:hAnsiTheme="minorHAnsi"/>
          <w:bCs/>
          <w:sz w:val="22"/>
          <w:szCs w:val="22"/>
        </w:rPr>
        <w:t>74</w:t>
      </w:r>
      <w:r w:rsidRPr="00E84532">
        <w:rPr>
          <w:rFonts w:asciiTheme="minorHAnsi" w:hAnsiTheme="minorHAnsi"/>
          <w:bCs/>
          <w:sz w:val="22"/>
          <w:szCs w:val="22"/>
        </w:rPr>
        <w:t xml:space="preserve"> </w:t>
      </w:r>
      <w:r w:rsidRPr="00E84532">
        <w:rPr>
          <w:rFonts w:asciiTheme="minorHAnsi" w:hAnsiTheme="minorHAnsi"/>
          <w:sz w:val="22"/>
          <w:szCs w:val="22"/>
        </w:rPr>
        <w:t>€</w:t>
      </w:r>
      <w:r w:rsidRPr="00E84532">
        <w:rPr>
          <w:rFonts w:asciiTheme="minorHAnsi" w:hAnsiTheme="minorHAnsi"/>
          <w:bCs/>
          <w:sz w:val="22"/>
          <w:szCs w:val="22"/>
        </w:rPr>
        <w:t>.</w:t>
      </w:r>
    </w:p>
    <w:p w:rsidR="00F90B33" w:rsidRDefault="00F90B33" w:rsidP="00F90B33"/>
    <w:p w:rsidR="00E807F8" w:rsidRPr="00997440" w:rsidRDefault="00E807F8" w:rsidP="006122E6">
      <w:pPr>
        <w:pStyle w:val="Heading3"/>
      </w:pPr>
      <w:bookmarkStart w:id="127" w:name="_Toc21514384"/>
      <w:bookmarkStart w:id="128" w:name="_Toc21514868"/>
      <w:bookmarkStart w:id="129" w:name="_Toc21515568"/>
      <w:bookmarkStart w:id="130" w:name="_Toc21521391"/>
      <w:r w:rsidRPr="00997440">
        <w:t>Tabela 5: Kthimi i Lejuar (Profiti i Lejuar) në RAB</w:t>
      </w:r>
      <w:r w:rsidRPr="00997440">
        <w:rPr>
          <w:vertAlign w:val="subscript"/>
        </w:rPr>
        <w:t>f</w:t>
      </w:r>
      <w:r w:rsidRPr="00997440">
        <w:t xml:space="preserve"> për sezonin e ngrohjes 20</w:t>
      </w:r>
      <w:r w:rsidR="00572CEE">
        <w:t>20</w:t>
      </w:r>
      <w:r w:rsidRPr="00997440">
        <w:t>/20</w:t>
      </w:r>
      <w:r w:rsidR="00CF3C2C" w:rsidRPr="00997440">
        <w:t>2</w:t>
      </w:r>
      <w:bookmarkEnd w:id="127"/>
      <w:bookmarkEnd w:id="128"/>
      <w:bookmarkEnd w:id="129"/>
      <w:bookmarkEnd w:id="130"/>
      <w:r w:rsidR="00572CEE">
        <w:t>1</w:t>
      </w:r>
    </w:p>
    <w:tbl>
      <w:tblPr>
        <w:tblW w:w="8620" w:type="dxa"/>
        <w:tblInd w:w="98" w:type="dxa"/>
        <w:tblLook w:val="04A0" w:firstRow="1" w:lastRow="0" w:firstColumn="1" w:lastColumn="0" w:noHBand="0" w:noVBand="1"/>
      </w:tblPr>
      <w:tblGrid>
        <w:gridCol w:w="1320"/>
        <w:gridCol w:w="4680"/>
        <w:gridCol w:w="2620"/>
      </w:tblGrid>
      <w:tr w:rsidR="00E807F8" w:rsidRPr="00E84532" w:rsidTr="00E807F8">
        <w:trPr>
          <w:trHeight w:val="315"/>
        </w:trPr>
        <w:tc>
          <w:tcPr>
            <w:tcW w:w="6000" w:type="dxa"/>
            <w:gridSpan w:val="2"/>
            <w:tcBorders>
              <w:top w:val="single" w:sz="8" w:space="0" w:color="auto"/>
              <w:left w:val="single" w:sz="8" w:space="0" w:color="auto"/>
              <w:bottom w:val="nil"/>
              <w:right w:val="single" w:sz="8" w:space="0" w:color="000000"/>
            </w:tcBorders>
            <w:shd w:val="clear" w:color="000000" w:fill="B8CCE4"/>
            <w:hideMark/>
          </w:tcPr>
          <w:p w:rsidR="00E807F8" w:rsidRPr="00797A55" w:rsidRDefault="00E807F8" w:rsidP="00412F72">
            <w:pPr>
              <w:jc w:val="center"/>
              <w:rPr>
                <w:rFonts w:asciiTheme="minorHAnsi" w:eastAsia="Times New Roman" w:hAnsiTheme="minorHAnsi"/>
                <w:b/>
                <w:bCs/>
                <w:color w:val="000000"/>
              </w:rPr>
            </w:pPr>
            <w:r w:rsidRPr="00797A55">
              <w:rPr>
                <w:rFonts w:asciiTheme="minorHAnsi" w:eastAsia="Times New Roman" w:hAnsiTheme="minorHAnsi"/>
                <w:b/>
                <w:bCs/>
                <w:color w:val="000000"/>
              </w:rPr>
              <w:t>Kthimi i Lejuar në RAB</w:t>
            </w:r>
            <w:r w:rsidRPr="00797A55">
              <w:rPr>
                <w:rFonts w:asciiTheme="minorHAnsi" w:eastAsia="Times New Roman" w:hAnsiTheme="minorHAnsi"/>
                <w:b/>
                <w:bCs/>
                <w:color w:val="000000"/>
                <w:sz w:val="20"/>
                <w:szCs w:val="20"/>
              </w:rPr>
              <w:t>f</w:t>
            </w:r>
          </w:p>
        </w:tc>
        <w:tc>
          <w:tcPr>
            <w:tcW w:w="262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E807F8" w:rsidRPr="00797A55" w:rsidRDefault="00E807F8" w:rsidP="00E807F8">
            <w:pPr>
              <w:jc w:val="center"/>
              <w:rPr>
                <w:rFonts w:asciiTheme="minorHAnsi" w:eastAsia="Times New Roman" w:hAnsiTheme="minorHAnsi"/>
                <w:b/>
                <w:bCs/>
                <w:color w:val="000000"/>
              </w:rPr>
            </w:pPr>
            <w:r w:rsidRPr="00797A55">
              <w:rPr>
                <w:rFonts w:asciiTheme="minorHAnsi" w:eastAsia="Times New Roman" w:hAnsiTheme="minorHAnsi"/>
                <w:b/>
                <w:bCs/>
                <w:color w:val="000000"/>
              </w:rPr>
              <w:t xml:space="preserve">Lejuar nga ZRRE </w:t>
            </w:r>
            <w:r w:rsidRPr="00797A55">
              <w:rPr>
                <w:rFonts w:asciiTheme="minorHAnsi" w:eastAsia="Times New Roman" w:hAnsiTheme="minorHAnsi"/>
                <w:b/>
                <w:bCs/>
                <w:color w:val="000000"/>
              </w:rPr>
              <w:br/>
              <w:t>[€]</w:t>
            </w:r>
          </w:p>
        </w:tc>
      </w:tr>
      <w:tr w:rsidR="00E807F8" w:rsidRPr="00E84532" w:rsidTr="00E807F8">
        <w:trPr>
          <w:trHeight w:val="375"/>
        </w:trPr>
        <w:tc>
          <w:tcPr>
            <w:tcW w:w="6000" w:type="dxa"/>
            <w:gridSpan w:val="2"/>
            <w:tcBorders>
              <w:top w:val="nil"/>
              <w:left w:val="single" w:sz="8" w:space="0" w:color="auto"/>
              <w:bottom w:val="single" w:sz="8" w:space="0" w:color="auto"/>
              <w:right w:val="single" w:sz="8" w:space="0" w:color="000000"/>
            </w:tcBorders>
            <w:shd w:val="clear" w:color="000000" w:fill="B8CCE4"/>
            <w:hideMark/>
          </w:tcPr>
          <w:p w:rsidR="00E807F8" w:rsidRPr="00797A55" w:rsidRDefault="00E807F8" w:rsidP="00E807F8">
            <w:pPr>
              <w:jc w:val="center"/>
              <w:rPr>
                <w:rFonts w:asciiTheme="minorHAnsi" w:eastAsia="Times New Roman" w:hAnsiTheme="minorHAnsi"/>
                <w:b/>
                <w:bCs/>
                <w:color w:val="000000"/>
              </w:rPr>
            </w:pPr>
            <w:r w:rsidRPr="00797A55">
              <w:rPr>
                <w:rFonts w:asciiTheme="minorHAnsi" w:eastAsia="Times New Roman" w:hAnsiTheme="minorHAnsi"/>
                <w:b/>
                <w:bCs/>
                <w:color w:val="000000"/>
              </w:rPr>
              <w:t xml:space="preserve">për NQ TERMOKOS </w:t>
            </w:r>
          </w:p>
        </w:tc>
        <w:tc>
          <w:tcPr>
            <w:tcW w:w="2620" w:type="dxa"/>
            <w:vMerge/>
            <w:tcBorders>
              <w:top w:val="single" w:sz="8" w:space="0" w:color="auto"/>
              <w:left w:val="single" w:sz="8" w:space="0" w:color="auto"/>
              <w:bottom w:val="single" w:sz="8" w:space="0" w:color="000000"/>
              <w:right w:val="single" w:sz="8" w:space="0" w:color="auto"/>
            </w:tcBorders>
            <w:vAlign w:val="center"/>
            <w:hideMark/>
          </w:tcPr>
          <w:p w:rsidR="00E807F8" w:rsidRPr="00797A55" w:rsidRDefault="00E807F8" w:rsidP="00E807F8">
            <w:pPr>
              <w:rPr>
                <w:rFonts w:asciiTheme="minorHAnsi" w:eastAsia="Times New Roman" w:hAnsiTheme="minorHAnsi"/>
                <w:b/>
                <w:bCs/>
                <w:color w:val="000000"/>
              </w:rPr>
            </w:pPr>
          </w:p>
        </w:tc>
      </w:tr>
      <w:tr w:rsidR="00E807F8" w:rsidRPr="00E84532" w:rsidTr="00E807F8">
        <w:trPr>
          <w:trHeight w:val="555"/>
        </w:trPr>
        <w:tc>
          <w:tcPr>
            <w:tcW w:w="1320" w:type="dxa"/>
            <w:tcBorders>
              <w:top w:val="nil"/>
              <w:left w:val="single" w:sz="8" w:space="0" w:color="auto"/>
              <w:bottom w:val="nil"/>
              <w:right w:val="single" w:sz="8" w:space="0" w:color="auto"/>
            </w:tcBorders>
            <w:shd w:val="clear" w:color="000000" w:fill="FFFF99"/>
            <w:vAlign w:val="center"/>
            <w:hideMark/>
          </w:tcPr>
          <w:p w:rsidR="00E807F8" w:rsidRPr="00797A55" w:rsidRDefault="00E807F8" w:rsidP="00E807F8">
            <w:pPr>
              <w:jc w:val="center"/>
              <w:rPr>
                <w:rFonts w:asciiTheme="minorHAnsi" w:eastAsia="Times New Roman" w:hAnsiTheme="minorHAnsi"/>
                <w:b/>
                <w:bCs/>
                <w:color w:val="000000"/>
              </w:rPr>
            </w:pPr>
            <w:r w:rsidRPr="00797A55">
              <w:rPr>
                <w:rFonts w:asciiTheme="minorHAnsi" w:eastAsia="Times New Roman" w:hAnsiTheme="minorHAnsi"/>
                <w:b/>
                <w:bCs/>
                <w:color w:val="000000"/>
              </w:rPr>
              <w:t>RAB</w:t>
            </w:r>
            <w:r w:rsidRPr="00797A55">
              <w:rPr>
                <w:rFonts w:asciiTheme="minorHAnsi" w:eastAsia="Times New Roman" w:hAnsiTheme="minorHAnsi"/>
                <w:b/>
                <w:bCs/>
                <w:color w:val="000000"/>
                <w:sz w:val="20"/>
                <w:szCs w:val="20"/>
              </w:rPr>
              <w:t>f</w:t>
            </w:r>
          </w:p>
        </w:tc>
        <w:tc>
          <w:tcPr>
            <w:tcW w:w="4680" w:type="dxa"/>
            <w:tcBorders>
              <w:top w:val="nil"/>
              <w:left w:val="nil"/>
              <w:bottom w:val="nil"/>
              <w:right w:val="single" w:sz="8" w:space="0" w:color="auto"/>
            </w:tcBorders>
            <w:shd w:val="clear" w:color="000000" w:fill="FFFF99"/>
            <w:vAlign w:val="center"/>
            <w:hideMark/>
          </w:tcPr>
          <w:p w:rsidR="00E807F8" w:rsidRPr="00797A55" w:rsidRDefault="00E807F8" w:rsidP="00E807F8">
            <w:pPr>
              <w:rPr>
                <w:rFonts w:asciiTheme="minorHAnsi" w:eastAsia="Times New Roman" w:hAnsiTheme="minorHAnsi"/>
                <w:b/>
                <w:bCs/>
                <w:color w:val="000000"/>
              </w:rPr>
            </w:pPr>
            <w:r w:rsidRPr="00797A55">
              <w:rPr>
                <w:rFonts w:asciiTheme="minorHAnsi" w:eastAsia="Times New Roman" w:hAnsiTheme="minorHAnsi"/>
                <w:b/>
                <w:bCs/>
                <w:color w:val="000000"/>
              </w:rPr>
              <w:t>Baza e Rregulluar e Aseteve - vetëfinancuar</w:t>
            </w:r>
          </w:p>
        </w:tc>
        <w:tc>
          <w:tcPr>
            <w:tcW w:w="2620" w:type="dxa"/>
            <w:tcBorders>
              <w:top w:val="nil"/>
              <w:left w:val="nil"/>
              <w:bottom w:val="nil"/>
              <w:right w:val="single" w:sz="8" w:space="0" w:color="auto"/>
            </w:tcBorders>
            <w:shd w:val="clear" w:color="000000" w:fill="FFFF99"/>
            <w:vAlign w:val="center"/>
            <w:hideMark/>
          </w:tcPr>
          <w:p w:rsidR="00E807F8" w:rsidRPr="00797A55" w:rsidRDefault="00CF3C2C" w:rsidP="00572CEE">
            <w:pPr>
              <w:jc w:val="right"/>
              <w:rPr>
                <w:rFonts w:asciiTheme="minorHAnsi" w:eastAsia="Times New Roman" w:hAnsiTheme="minorHAnsi"/>
                <w:b/>
                <w:bCs/>
                <w:color w:val="000000"/>
              </w:rPr>
            </w:pPr>
            <w:r>
              <w:rPr>
                <w:rFonts w:asciiTheme="minorHAnsi" w:eastAsia="Times New Roman" w:hAnsiTheme="minorHAnsi"/>
                <w:b/>
                <w:bCs/>
                <w:color w:val="000000"/>
              </w:rPr>
              <w:t>10</w:t>
            </w:r>
            <w:r w:rsidR="00E807F8" w:rsidRPr="00797A55">
              <w:rPr>
                <w:rFonts w:asciiTheme="minorHAnsi" w:eastAsia="Times New Roman" w:hAnsiTheme="minorHAnsi"/>
                <w:b/>
                <w:bCs/>
                <w:color w:val="000000"/>
              </w:rPr>
              <w:t>,</w:t>
            </w:r>
            <w:r w:rsidR="00572CEE">
              <w:rPr>
                <w:rFonts w:asciiTheme="minorHAnsi" w:eastAsia="Times New Roman" w:hAnsiTheme="minorHAnsi"/>
                <w:b/>
                <w:bCs/>
                <w:color w:val="000000"/>
              </w:rPr>
              <w:t>79</w:t>
            </w:r>
            <w:r>
              <w:rPr>
                <w:rFonts w:asciiTheme="minorHAnsi" w:eastAsia="Times New Roman" w:hAnsiTheme="minorHAnsi"/>
                <w:b/>
                <w:bCs/>
                <w:color w:val="000000"/>
              </w:rPr>
              <w:t>1</w:t>
            </w:r>
            <w:r w:rsidR="00E807F8" w:rsidRPr="00797A55">
              <w:rPr>
                <w:rFonts w:asciiTheme="minorHAnsi" w:eastAsia="Times New Roman" w:hAnsiTheme="minorHAnsi"/>
                <w:b/>
                <w:bCs/>
                <w:color w:val="000000"/>
              </w:rPr>
              <w:t>,3</w:t>
            </w:r>
            <w:r w:rsidR="00572CEE">
              <w:rPr>
                <w:rFonts w:asciiTheme="minorHAnsi" w:eastAsia="Times New Roman" w:hAnsiTheme="minorHAnsi"/>
                <w:b/>
                <w:bCs/>
                <w:color w:val="000000"/>
              </w:rPr>
              <w:t>49</w:t>
            </w:r>
          </w:p>
        </w:tc>
      </w:tr>
      <w:tr w:rsidR="00E807F8" w:rsidRPr="00E84532" w:rsidTr="00E807F8">
        <w:trPr>
          <w:trHeight w:val="540"/>
        </w:trPr>
        <w:tc>
          <w:tcPr>
            <w:tcW w:w="1320" w:type="dxa"/>
            <w:tcBorders>
              <w:top w:val="single" w:sz="8" w:space="0" w:color="auto"/>
              <w:left w:val="single" w:sz="8" w:space="0" w:color="auto"/>
              <w:bottom w:val="nil"/>
              <w:right w:val="single" w:sz="8" w:space="0" w:color="auto"/>
            </w:tcBorders>
            <w:shd w:val="clear" w:color="000000" w:fill="FFFF99"/>
            <w:vAlign w:val="center"/>
            <w:hideMark/>
          </w:tcPr>
          <w:p w:rsidR="00E807F8" w:rsidRPr="00797A55" w:rsidRDefault="00E807F8" w:rsidP="00E807F8">
            <w:pPr>
              <w:jc w:val="center"/>
              <w:rPr>
                <w:rFonts w:asciiTheme="minorHAnsi" w:eastAsia="Times New Roman" w:hAnsiTheme="minorHAnsi"/>
                <w:b/>
                <w:bCs/>
                <w:color w:val="000000"/>
              </w:rPr>
            </w:pPr>
            <w:r w:rsidRPr="00797A55">
              <w:rPr>
                <w:rFonts w:asciiTheme="minorHAnsi" w:eastAsia="Times New Roman" w:hAnsiTheme="minorHAnsi"/>
                <w:b/>
                <w:bCs/>
                <w:color w:val="000000"/>
              </w:rPr>
              <w:t>RoR</w:t>
            </w:r>
          </w:p>
        </w:tc>
        <w:tc>
          <w:tcPr>
            <w:tcW w:w="4680" w:type="dxa"/>
            <w:tcBorders>
              <w:top w:val="single" w:sz="8" w:space="0" w:color="auto"/>
              <w:left w:val="nil"/>
              <w:bottom w:val="nil"/>
              <w:right w:val="single" w:sz="8" w:space="0" w:color="auto"/>
            </w:tcBorders>
            <w:shd w:val="clear" w:color="000000" w:fill="FFFF99"/>
            <w:vAlign w:val="center"/>
            <w:hideMark/>
          </w:tcPr>
          <w:p w:rsidR="00E807F8" w:rsidRPr="00797A55" w:rsidRDefault="00E807F8" w:rsidP="00E807F8">
            <w:pPr>
              <w:rPr>
                <w:rFonts w:asciiTheme="minorHAnsi" w:eastAsia="Times New Roman" w:hAnsiTheme="minorHAnsi"/>
                <w:b/>
                <w:bCs/>
                <w:color w:val="000000"/>
              </w:rPr>
            </w:pPr>
            <w:r w:rsidRPr="00797A55">
              <w:rPr>
                <w:rFonts w:asciiTheme="minorHAnsi" w:eastAsia="Times New Roman" w:hAnsiTheme="minorHAnsi"/>
                <w:b/>
                <w:bCs/>
                <w:color w:val="000000"/>
              </w:rPr>
              <w:t xml:space="preserve">Norma e Kthimit në vlerën e WACC </w:t>
            </w:r>
          </w:p>
        </w:tc>
        <w:tc>
          <w:tcPr>
            <w:tcW w:w="2620" w:type="dxa"/>
            <w:tcBorders>
              <w:top w:val="single" w:sz="8" w:space="0" w:color="auto"/>
              <w:left w:val="nil"/>
              <w:bottom w:val="nil"/>
              <w:right w:val="single" w:sz="8" w:space="0" w:color="auto"/>
            </w:tcBorders>
            <w:shd w:val="clear" w:color="000000" w:fill="FFFF99"/>
            <w:vAlign w:val="center"/>
            <w:hideMark/>
          </w:tcPr>
          <w:p w:rsidR="00E807F8" w:rsidRPr="00797A55" w:rsidRDefault="00E807F8" w:rsidP="00E807F8">
            <w:pPr>
              <w:jc w:val="right"/>
              <w:rPr>
                <w:rFonts w:asciiTheme="minorHAnsi" w:eastAsia="Times New Roman" w:hAnsiTheme="minorHAnsi"/>
                <w:b/>
                <w:bCs/>
                <w:color w:val="000000"/>
              </w:rPr>
            </w:pPr>
            <w:r w:rsidRPr="00797A55">
              <w:rPr>
                <w:rFonts w:asciiTheme="minorHAnsi" w:eastAsia="Times New Roman" w:hAnsiTheme="minorHAnsi"/>
                <w:b/>
                <w:bCs/>
                <w:color w:val="000000"/>
              </w:rPr>
              <w:t>8.30%</w:t>
            </w:r>
          </w:p>
        </w:tc>
      </w:tr>
      <w:tr w:rsidR="00E807F8" w:rsidRPr="00E84532" w:rsidTr="00E807F8">
        <w:trPr>
          <w:trHeight w:val="480"/>
        </w:trPr>
        <w:tc>
          <w:tcPr>
            <w:tcW w:w="1320" w:type="dxa"/>
            <w:tcBorders>
              <w:top w:val="single" w:sz="8" w:space="0" w:color="auto"/>
              <w:left w:val="single" w:sz="8" w:space="0" w:color="auto"/>
              <w:bottom w:val="single" w:sz="8" w:space="0" w:color="auto"/>
              <w:right w:val="single" w:sz="8" w:space="0" w:color="auto"/>
            </w:tcBorders>
            <w:shd w:val="clear" w:color="000000" w:fill="DBE5F1"/>
            <w:hideMark/>
          </w:tcPr>
          <w:p w:rsidR="00E807F8" w:rsidRPr="00797A55" w:rsidRDefault="00E807F8" w:rsidP="00E807F8">
            <w:pPr>
              <w:jc w:val="both"/>
              <w:rPr>
                <w:rFonts w:asciiTheme="minorHAnsi" w:eastAsia="Times New Roman" w:hAnsiTheme="minorHAnsi"/>
                <w:color w:val="000000"/>
              </w:rPr>
            </w:pPr>
            <w:r w:rsidRPr="00797A55">
              <w:rPr>
                <w:rFonts w:asciiTheme="minorHAnsi" w:eastAsia="Times New Roman" w:hAnsiTheme="minorHAnsi"/>
                <w:color w:val="000000"/>
              </w:rPr>
              <w:t> </w:t>
            </w:r>
          </w:p>
        </w:tc>
        <w:tc>
          <w:tcPr>
            <w:tcW w:w="4680" w:type="dxa"/>
            <w:tcBorders>
              <w:top w:val="single" w:sz="8" w:space="0" w:color="auto"/>
              <w:left w:val="nil"/>
              <w:bottom w:val="single" w:sz="8" w:space="0" w:color="auto"/>
              <w:right w:val="single" w:sz="8" w:space="0" w:color="auto"/>
            </w:tcBorders>
            <w:shd w:val="clear" w:color="000000" w:fill="DBE5F1"/>
            <w:vAlign w:val="center"/>
            <w:hideMark/>
          </w:tcPr>
          <w:p w:rsidR="00E807F8" w:rsidRPr="00797A55" w:rsidRDefault="00E807F8" w:rsidP="00412F72">
            <w:pPr>
              <w:rPr>
                <w:rFonts w:asciiTheme="minorHAnsi" w:eastAsia="Times New Roman" w:hAnsiTheme="minorHAnsi"/>
                <w:b/>
                <w:bCs/>
                <w:color w:val="000000"/>
              </w:rPr>
            </w:pPr>
            <w:r w:rsidRPr="00797A55">
              <w:rPr>
                <w:rFonts w:asciiTheme="minorHAnsi" w:eastAsia="Times New Roman" w:hAnsiTheme="minorHAnsi"/>
                <w:b/>
                <w:bCs/>
                <w:color w:val="000000"/>
              </w:rPr>
              <w:t xml:space="preserve">Kthimi i Lejuar </w:t>
            </w:r>
            <w:r w:rsidR="00412F72">
              <w:rPr>
                <w:rFonts w:asciiTheme="minorHAnsi" w:eastAsia="Times New Roman" w:hAnsiTheme="minorHAnsi"/>
                <w:b/>
                <w:bCs/>
                <w:color w:val="000000"/>
              </w:rPr>
              <w:t>në RAB</w:t>
            </w:r>
            <w:r w:rsidR="00412F72" w:rsidRPr="00412F72">
              <w:rPr>
                <w:rFonts w:asciiTheme="minorHAnsi" w:eastAsia="Times New Roman" w:hAnsiTheme="minorHAnsi"/>
                <w:b/>
                <w:bCs/>
                <w:color w:val="000000"/>
                <w:vertAlign w:val="subscript"/>
              </w:rPr>
              <w:t>f</w:t>
            </w:r>
          </w:p>
        </w:tc>
        <w:tc>
          <w:tcPr>
            <w:tcW w:w="2620" w:type="dxa"/>
            <w:tcBorders>
              <w:top w:val="single" w:sz="8" w:space="0" w:color="auto"/>
              <w:left w:val="nil"/>
              <w:bottom w:val="single" w:sz="8" w:space="0" w:color="auto"/>
              <w:right w:val="single" w:sz="8" w:space="0" w:color="auto"/>
            </w:tcBorders>
            <w:shd w:val="clear" w:color="000000" w:fill="DBE5F1"/>
            <w:vAlign w:val="center"/>
            <w:hideMark/>
          </w:tcPr>
          <w:p w:rsidR="00E807F8" w:rsidRPr="00797A55" w:rsidRDefault="00542D27" w:rsidP="00572CEE">
            <w:pPr>
              <w:jc w:val="right"/>
              <w:rPr>
                <w:rFonts w:asciiTheme="minorHAnsi" w:eastAsia="Times New Roman" w:hAnsiTheme="minorHAnsi"/>
                <w:b/>
                <w:bCs/>
                <w:color w:val="000000"/>
              </w:rPr>
            </w:pPr>
            <w:r>
              <w:rPr>
                <w:rFonts w:asciiTheme="minorHAnsi" w:eastAsia="Times New Roman" w:hAnsiTheme="minorHAnsi"/>
                <w:b/>
                <w:bCs/>
                <w:color w:val="000000"/>
              </w:rPr>
              <w:t>8</w:t>
            </w:r>
            <w:r w:rsidR="00572CEE">
              <w:rPr>
                <w:rFonts w:asciiTheme="minorHAnsi" w:eastAsia="Times New Roman" w:hAnsiTheme="minorHAnsi"/>
                <w:b/>
                <w:bCs/>
                <w:color w:val="000000"/>
              </w:rPr>
              <w:t>95</w:t>
            </w:r>
            <w:r w:rsidR="00E807F8" w:rsidRPr="00797A55">
              <w:rPr>
                <w:rFonts w:asciiTheme="minorHAnsi" w:eastAsia="Times New Roman" w:hAnsiTheme="minorHAnsi"/>
                <w:b/>
                <w:bCs/>
                <w:color w:val="000000"/>
              </w:rPr>
              <w:t>,</w:t>
            </w:r>
            <w:r w:rsidR="00CF3C2C">
              <w:rPr>
                <w:rFonts w:asciiTheme="minorHAnsi" w:eastAsia="Times New Roman" w:hAnsiTheme="minorHAnsi"/>
                <w:b/>
                <w:bCs/>
                <w:color w:val="000000"/>
              </w:rPr>
              <w:t>2</w:t>
            </w:r>
            <w:r w:rsidR="00572CEE">
              <w:rPr>
                <w:rFonts w:asciiTheme="minorHAnsi" w:eastAsia="Times New Roman" w:hAnsiTheme="minorHAnsi"/>
                <w:b/>
                <w:bCs/>
                <w:color w:val="000000"/>
              </w:rPr>
              <w:t>74</w:t>
            </w:r>
          </w:p>
        </w:tc>
      </w:tr>
    </w:tbl>
    <w:p w:rsidR="00E807F8" w:rsidRDefault="00F53E76" w:rsidP="00021732">
      <w:pPr>
        <w:pStyle w:val="Heading2"/>
        <w:rPr>
          <w:color w:val="auto"/>
        </w:rPr>
      </w:pPr>
      <w:bookmarkStart w:id="131" w:name="_Toc21513556"/>
      <w:bookmarkStart w:id="132" w:name="_Toc21514385"/>
      <w:bookmarkStart w:id="133" w:name="_Toc21521392"/>
      <w:r w:rsidRPr="00021732">
        <w:rPr>
          <w:color w:val="auto"/>
        </w:rPr>
        <w:lastRenderedPageBreak/>
        <w:t>P</w:t>
      </w:r>
      <w:r w:rsidR="00E807F8" w:rsidRPr="00021732">
        <w:rPr>
          <w:color w:val="auto"/>
        </w:rPr>
        <w:t>ërcaktimi i Kostos së Humbjeve në Rrjet</w:t>
      </w:r>
      <w:bookmarkEnd w:id="131"/>
      <w:bookmarkEnd w:id="132"/>
      <w:bookmarkEnd w:id="133"/>
    </w:p>
    <w:p w:rsidR="00E807F8" w:rsidRPr="00E84532" w:rsidRDefault="00E807F8" w:rsidP="00E807F8">
      <w:pPr>
        <w:jc w:val="both"/>
        <w:rPr>
          <w:rFonts w:asciiTheme="minorHAnsi" w:hAnsiTheme="minorHAnsi"/>
          <w:b/>
          <w:sz w:val="22"/>
          <w:szCs w:val="22"/>
        </w:rPr>
      </w:pPr>
    </w:p>
    <w:p w:rsidR="00E807F8" w:rsidRPr="00E84532" w:rsidRDefault="00E807F8" w:rsidP="00E807F8">
      <w:pPr>
        <w:autoSpaceDE w:val="0"/>
        <w:autoSpaceDN w:val="0"/>
        <w:adjustRightInd w:val="0"/>
        <w:contextualSpacing/>
        <w:jc w:val="both"/>
        <w:rPr>
          <w:rFonts w:asciiTheme="minorHAnsi" w:hAnsiTheme="minorHAnsi" w:cs="Calibri"/>
          <w:bCs/>
          <w:sz w:val="22"/>
          <w:szCs w:val="22"/>
        </w:rPr>
      </w:pPr>
      <w:r w:rsidRPr="00E84532">
        <w:rPr>
          <w:rFonts w:asciiTheme="minorHAnsi" w:hAnsiTheme="minorHAnsi"/>
          <w:sz w:val="22"/>
          <w:szCs w:val="22"/>
        </w:rPr>
        <w:t xml:space="preserve">Kostoja e lejuar e humbjeve të rrjetit shërben për të mbuluar kostot që i shkaktohen ndërmarrjes për shkak të humbjeve të energjisë termike gjatë transportit dhe shpërndarjes. Në përputhje me Shtojcën 1 të Rregullës për Vendosjes e Çmimeve të Energjisë Termike kjo kosto llogaritet </w:t>
      </w:r>
      <w:r w:rsidRPr="00E84532">
        <w:rPr>
          <w:rFonts w:asciiTheme="minorHAnsi" w:hAnsiTheme="minorHAnsi" w:cs="Calibri"/>
          <w:bCs/>
          <w:sz w:val="22"/>
          <w:szCs w:val="22"/>
        </w:rPr>
        <w:t>si herësi në mes të humbjeve sasiore të rrjetit dhe gjenerimit të energjisë termike që hyn në rrjet (niveli në përqindje i humbjeve të tërësishme në rrjet), kjo e shumëzuar me koston e përgjithshme variabile të gjenerimit.</w:t>
      </w:r>
    </w:p>
    <w:p w:rsidR="00E807F8" w:rsidRPr="00DF5564" w:rsidRDefault="00E807F8" w:rsidP="00E807F8">
      <w:pPr>
        <w:autoSpaceDE w:val="0"/>
        <w:autoSpaceDN w:val="0"/>
        <w:adjustRightInd w:val="0"/>
        <w:contextualSpacing/>
        <w:jc w:val="both"/>
        <w:rPr>
          <w:rFonts w:asciiTheme="minorHAnsi" w:hAnsiTheme="minorHAnsi" w:cs="Calibri"/>
          <w:bCs/>
          <w:sz w:val="20"/>
          <w:szCs w:val="20"/>
        </w:rPr>
      </w:pPr>
    </w:p>
    <w:p w:rsidR="00E807F8" w:rsidRPr="0039769A" w:rsidRDefault="00E807F8" w:rsidP="00E807F8">
      <w:pPr>
        <w:autoSpaceDE w:val="0"/>
        <w:autoSpaceDN w:val="0"/>
        <w:adjustRightInd w:val="0"/>
        <w:contextualSpacing/>
        <w:jc w:val="both"/>
        <w:rPr>
          <w:rFonts w:asciiTheme="minorHAnsi" w:hAnsiTheme="minorHAnsi" w:cs="Calibri"/>
          <w:bCs/>
          <w:sz w:val="22"/>
          <w:szCs w:val="22"/>
        </w:rPr>
      </w:pPr>
      <w:r w:rsidRPr="00E84532">
        <w:rPr>
          <w:rFonts w:asciiTheme="minorHAnsi" w:hAnsiTheme="minorHAnsi" w:cs="Calibri"/>
          <w:bCs/>
          <w:sz w:val="22"/>
          <w:szCs w:val="22"/>
        </w:rPr>
        <w:t>Nga sa u tha më lartë ZRRE, ka zhvilluar Bilancin e energjisë termik</w:t>
      </w:r>
      <w:r w:rsidR="00572CEE">
        <w:rPr>
          <w:rFonts w:asciiTheme="minorHAnsi" w:hAnsiTheme="minorHAnsi" w:cs="Calibri"/>
          <w:bCs/>
          <w:sz w:val="22"/>
          <w:szCs w:val="22"/>
        </w:rPr>
        <w:t>e të NQ Termokos për sezonin 2020</w:t>
      </w:r>
      <w:r w:rsidRPr="00E84532">
        <w:rPr>
          <w:rFonts w:asciiTheme="minorHAnsi" w:hAnsiTheme="minorHAnsi" w:cs="Calibri"/>
          <w:bCs/>
          <w:sz w:val="22"/>
          <w:szCs w:val="22"/>
        </w:rPr>
        <w:t>/20</w:t>
      </w:r>
      <w:r w:rsidR="00572CEE">
        <w:rPr>
          <w:rFonts w:asciiTheme="minorHAnsi" w:hAnsiTheme="minorHAnsi" w:cs="Calibri"/>
          <w:bCs/>
          <w:sz w:val="22"/>
          <w:szCs w:val="22"/>
        </w:rPr>
        <w:t>21</w:t>
      </w:r>
      <w:r w:rsidRPr="00E84532">
        <w:rPr>
          <w:rFonts w:asciiTheme="minorHAnsi" w:hAnsiTheme="minorHAnsi" w:cs="Calibri"/>
          <w:bCs/>
          <w:sz w:val="22"/>
          <w:szCs w:val="22"/>
        </w:rPr>
        <w:t xml:space="preserve">, përmes së cilit ka përcaktuar humbjet sasiore të rrjetit </w:t>
      </w:r>
      <w:r w:rsidRPr="00E84532">
        <w:rPr>
          <w:rFonts w:asciiTheme="minorHAnsi" w:hAnsiTheme="minorHAnsi" w:cs="Calibri"/>
          <w:b/>
          <w:bCs/>
          <w:sz w:val="22"/>
          <w:szCs w:val="22"/>
        </w:rPr>
        <w:t>2</w:t>
      </w:r>
      <w:r w:rsidR="00572CEE">
        <w:rPr>
          <w:rFonts w:asciiTheme="minorHAnsi" w:hAnsiTheme="minorHAnsi" w:cs="Calibri"/>
          <w:b/>
          <w:bCs/>
          <w:sz w:val="22"/>
          <w:szCs w:val="22"/>
        </w:rPr>
        <w:t>7</w:t>
      </w:r>
      <w:r w:rsidRPr="00E84532">
        <w:rPr>
          <w:rFonts w:asciiTheme="minorHAnsi" w:hAnsiTheme="minorHAnsi" w:cs="Calibri"/>
          <w:b/>
          <w:bCs/>
          <w:sz w:val="22"/>
          <w:szCs w:val="22"/>
        </w:rPr>
        <w:t>,</w:t>
      </w:r>
      <w:r w:rsidR="00572CEE">
        <w:rPr>
          <w:rFonts w:asciiTheme="minorHAnsi" w:hAnsiTheme="minorHAnsi" w:cs="Calibri"/>
          <w:b/>
          <w:bCs/>
          <w:sz w:val="22"/>
          <w:szCs w:val="22"/>
        </w:rPr>
        <w:t>624</w:t>
      </w:r>
      <w:r w:rsidRPr="00E84532">
        <w:rPr>
          <w:rFonts w:asciiTheme="minorHAnsi" w:hAnsiTheme="minorHAnsi" w:cs="Calibri"/>
          <w:b/>
          <w:bCs/>
          <w:sz w:val="22"/>
          <w:szCs w:val="22"/>
        </w:rPr>
        <w:t xml:space="preserve"> MWh</w:t>
      </w:r>
      <w:r w:rsidRPr="00E84532">
        <w:rPr>
          <w:rFonts w:asciiTheme="minorHAnsi" w:hAnsiTheme="minorHAnsi" w:cs="Calibri"/>
          <w:bCs/>
          <w:sz w:val="22"/>
          <w:szCs w:val="22"/>
        </w:rPr>
        <w:t xml:space="preserve"> – që është shuma e humbjeve sasiore në rrjetin e transportit TC Kosova B – NQ Termokos (</w:t>
      </w:r>
      <w:r w:rsidR="0039769A">
        <w:rPr>
          <w:rFonts w:asciiTheme="minorHAnsi" w:hAnsiTheme="minorHAnsi" w:cs="Calibri"/>
          <w:bCs/>
          <w:sz w:val="22"/>
          <w:szCs w:val="22"/>
        </w:rPr>
        <w:t>5</w:t>
      </w:r>
      <w:r w:rsidRPr="00E84532">
        <w:rPr>
          <w:rFonts w:asciiTheme="minorHAnsi" w:hAnsiTheme="minorHAnsi" w:cs="Calibri"/>
          <w:bCs/>
          <w:sz w:val="22"/>
          <w:szCs w:val="22"/>
        </w:rPr>
        <w:t>,</w:t>
      </w:r>
      <w:r w:rsidR="00572CEE">
        <w:rPr>
          <w:rFonts w:asciiTheme="minorHAnsi" w:hAnsiTheme="minorHAnsi" w:cs="Calibri"/>
          <w:bCs/>
          <w:sz w:val="22"/>
          <w:szCs w:val="22"/>
        </w:rPr>
        <w:t>3</w:t>
      </w:r>
      <w:r w:rsidR="00ED1C6D">
        <w:rPr>
          <w:rFonts w:asciiTheme="minorHAnsi" w:hAnsiTheme="minorHAnsi" w:cs="Calibri"/>
          <w:bCs/>
          <w:sz w:val="22"/>
          <w:szCs w:val="22"/>
        </w:rPr>
        <w:t>5</w:t>
      </w:r>
      <w:r w:rsidR="00572CEE">
        <w:rPr>
          <w:rFonts w:asciiTheme="minorHAnsi" w:hAnsiTheme="minorHAnsi" w:cs="Calibri"/>
          <w:bCs/>
          <w:sz w:val="22"/>
          <w:szCs w:val="22"/>
        </w:rPr>
        <w:t>3</w:t>
      </w:r>
      <w:r w:rsidRPr="00E84532">
        <w:rPr>
          <w:rFonts w:asciiTheme="minorHAnsi" w:hAnsiTheme="minorHAnsi" w:cs="Calibri"/>
          <w:bCs/>
          <w:sz w:val="22"/>
          <w:szCs w:val="22"/>
        </w:rPr>
        <w:t xml:space="preserve"> MWh) dhe humbjeve sasiore në </w:t>
      </w:r>
      <w:r w:rsidR="00222D84" w:rsidRPr="00E84532">
        <w:rPr>
          <w:rFonts w:asciiTheme="minorHAnsi" w:hAnsiTheme="minorHAnsi" w:cs="Calibri"/>
          <w:bCs/>
          <w:sz w:val="22"/>
          <w:szCs w:val="22"/>
        </w:rPr>
        <w:t>rrjetin</w:t>
      </w:r>
      <w:r w:rsidR="00572CEE">
        <w:rPr>
          <w:rFonts w:asciiTheme="minorHAnsi" w:hAnsiTheme="minorHAnsi" w:cs="Calibri"/>
          <w:bCs/>
          <w:sz w:val="22"/>
          <w:szCs w:val="22"/>
        </w:rPr>
        <w:t xml:space="preserve"> e shpërndarjes (22</w:t>
      </w:r>
      <w:r w:rsidRPr="00E84532">
        <w:rPr>
          <w:rFonts w:asciiTheme="minorHAnsi" w:hAnsiTheme="minorHAnsi" w:cs="Calibri"/>
          <w:bCs/>
          <w:sz w:val="22"/>
          <w:szCs w:val="22"/>
        </w:rPr>
        <w:t>,</w:t>
      </w:r>
      <w:r w:rsidR="00572CEE">
        <w:rPr>
          <w:rFonts w:asciiTheme="minorHAnsi" w:hAnsiTheme="minorHAnsi" w:cs="Calibri"/>
          <w:bCs/>
          <w:sz w:val="22"/>
          <w:szCs w:val="22"/>
        </w:rPr>
        <w:t>271</w:t>
      </w:r>
      <w:r w:rsidRPr="00E84532">
        <w:rPr>
          <w:rFonts w:asciiTheme="minorHAnsi" w:hAnsiTheme="minorHAnsi" w:cs="Calibri"/>
          <w:bCs/>
          <w:sz w:val="22"/>
          <w:szCs w:val="22"/>
        </w:rPr>
        <w:t xml:space="preserve"> MWh). Shprehur në përqindje, niveli i përgjiths</w:t>
      </w:r>
      <w:r w:rsidR="0039769A">
        <w:rPr>
          <w:rFonts w:asciiTheme="minorHAnsi" w:hAnsiTheme="minorHAnsi" w:cs="Calibri"/>
          <w:bCs/>
          <w:sz w:val="22"/>
          <w:szCs w:val="22"/>
        </w:rPr>
        <w:t xml:space="preserve">hëm i humbjeve në rrjet është </w:t>
      </w:r>
      <w:r w:rsidR="00572CEE">
        <w:rPr>
          <w:rFonts w:asciiTheme="minorHAnsi" w:hAnsiTheme="minorHAnsi" w:cs="Calibri"/>
          <w:bCs/>
          <w:sz w:val="22"/>
          <w:szCs w:val="22"/>
        </w:rPr>
        <w:t>10</w:t>
      </w:r>
      <w:r w:rsidRPr="00E84532">
        <w:rPr>
          <w:rFonts w:asciiTheme="minorHAnsi" w:hAnsiTheme="minorHAnsi" w:cs="Calibri"/>
          <w:bCs/>
          <w:sz w:val="22"/>
          <w:szCs w:val="22"/>
        </w:rPr>
        <w:t>.</w:t>
      </w:r>
      <w:r w:rsidR="00572CEE">
        <w:rPr>
          <w:rFonts w:asciiTheme="minorHAnsi" w:hAnsiTheme="minorHAnsi" w:cs="Calibri"/>
          <w:bCs/>
          <w:sz w:val="22"/>
          <w:szCs w:val="22"/>
        </w:rPr>
        <w:t>30</w:t>
      </w:r>
      <w:r w:rsidRPr="00E84532">
        <w:rPr>
          <w:rFonts w:asciiTheme="minorHAnsi" w:hAnsiTheme="minorHAnsi" w:cs="Calibri"/>
          <w:bCs/>
          <w:sz w:val="22"/>
          <w:szCs w:val="22"/>
        </w:rPr>
        <w:t xml:space="preserve">% - niveli i humbjeve në </w:t>
      </w:r>
      <w:r w:rsidR="00222D84" w:rsidRPr="00E84532">
        <w:rPr>
          <w:rFonts w:asciiTheme="minorHAnsi" w:hAnsiTheme="minorHAnsi" w:cs="Calibri"/>
          <w:bCs/>
          <w:sz w:val="22"/>
          <w:szCs w:val="22"/>
        </w:rPr>
        <w:t>rrjetin</w:t>
      </w:r>
      <w:r w:rsidRPr="00E84532">
        <w:rPr>
          <w:rFonts w:asciiTheme="minorHAnsi" w:hAnsiTheme="minorHAnsi" w:cs="Calibri"/>
          <w:bCs/>
          <w:sz w:val="22"/>
          <w:szCs w:val="22"/>
        </w:rPr>
        <w:t xml:space="preserve"> e transportit: </w:t>
      </w:r>
      <w:r w:rsidR="0039769A">
        <w:rPr>
          <w:rFonts w:asciiTheme="minorHAnsi" w:hAnsiTheme="minorHAnsi" w:cs="Calibri"/>
          <w:bCs/>
          <w:sz w:val="22"/>
          <w:szCs w:val="22"/>
        </w:rPr>
        <w:t>2</w:t>
      </w:r>
      <w:r w:rsidRPr="00E84532">
        <w:rPr>
          <w:rFonts w:asciiTheme="minorHAnsi" w:hAnsiTheme="minorHAnsi" w:cs="Calibri"/>
          <w:bCs/>
          <w:sz w:val="22"/>
          <w:szCs w:val="22"/>
        </w:rPr>
        <w:t>.</w:t>
      </w:r>
      <w:r w:rsidR="0039769A">
        <w:rPr>
          <w:rFonts w:asciiTheme="minorHAnsi" w:hAnsiTheme="minorHAnsi" w:cs="Calibri"/>
          <w:bCs/>
          <w:sz w:val="22"/>
          <w:szCs w:val="22"/>
        </w:rPr>
        <w:t>0</w:t>
      </w:r>
      <w:r w:rsidRPr="00E84532">
        <w:rPr>
          <w:rFonts w:asciiTheme="minorHAnsi" w:hAnsiTheme="minorHAnsi" w:cs="Calibri"/>
          <w:bCs/>
          <w:sz w:val="22"/>
          <w:szCs w:val="22"/>
        </w:rPr>
        <w:t xml:space="preserve">% dhe niveli i humbjeve në </w:t>
      </w:r>
      <w:r w:rsidR="00222D84" w:rsidRPr="00E84532">
        <w:rPr>
          <w:rFonts w:asciiTheme="minorHAnsi" w:hAnsiTheme="minorHAnsi" w:cs="Calibri"/>
          <w:bCs/>
          <w:sz w:val="22"/>
          <w:szCs w:val="22"/>
        </w:rPr>
        <w:t>rrjetin</w:t>
      </w:r>
      <w:r w:rsidR="0039769A">
        <w:rPr>
          <w:rFonts w:asciiTheme="minorHAnsi" w:hAnsiTheme="minorHAnsi" w:cs="Calibri"/>
          <w:bCs/>
          <w:sz w:val="22"/>
          <w:szCs w:val="22"/>
        </w:rPr>
        <w:t xml:space="preserve"> e shpërndarjes </w:t>
      </w:r>
      <w:r w:rsidR="00572CEE">
        <w:rPr>
          <w:rFonts w:asciiTheme="minorHAnsi" w:hAnsiTheme="minorHAnsi" w:cs="Calibri"/>
          <w:bCs/>
          <w:sz w:val="22"/>
          <w:szCs w:val="22"/>
        </w:rPr>
        <w:t>8</w:t>
      </w:r>
      <w:r w:rsidRPr="00E84532">
        <w:rPr>
          <w:rFonts w:asciiTheme="minorHAnsi" w:hAnsiTheme="minorHAnsi" w:cs="Calibri"/>
          <w:bCs/>
          <w:sz w:val="22"/>
          <w:szCs w:val="22"/>
        </w:rPr>
        <w:t>.</w:t>
      </w:r>
      <w:r w:rsidR="00572CEE">
        <w:rPr>
          <w:rFonts w:asciiTheme="minorHAnsi" w:hAnsiTheme="minorHAnsi" w:cs="Calibri"/>
          <w:bCs/>
          <w:sz w:val="22"/>
          <w:szCs w:val="22"/>
        </w:rPr>
        <w:t>30</w:t>
      </w:r>
      <w:r w:rsidRPr="00E84532">
        <w:rPr>
          <w:rFonts w:asciiTheme="minorHAnsi" w:hAnsiTheme="minorHAnsi" w:cs="Calibri"/>
          <w:bCs/>
          <w:sz w:val="22"/>
          <w:szCs w:val="22"/>
        </w:rPr>
        <w:t>%. Gjithashtu nga Bilanci i energjisë termike është derivuar sasia e prodhimit (gjenerimit) neto dhe blerjeve neto të energjisë termike – në sasi totale 2</w:t>
      </w:r>
      <w:r w:rsidR="00572CEE">
        <w:rPr>
          <w:rFonts w:asciiTheme="minorHAnsi" w:hAnsiTheme="minorHAnsi" w:cs="Calibri"/>
          <w:bCs/>
          <w:sz w:val="22"/>
          <w:szCs w:val="22"/>
        </w:rPr>
        <w:t>68</w:t>
      </w:r>
      <w:r w:rsidRPr="00E84532">
        <w:rPr>
          <w:rFonts w:asciiTheme="minorHAnsi" w:hAnsiTheme="minorHAnsi" w:cs="Calibri"/>
          <w:bCs/>
          <w:sz w:val="22"/>
          <w:szCs w:val="22"/>
        </w:rPr>
        <w:t>,</w:t>
      </w:r>
      <w:r w:rsidR="0039769A">
        <w:rPr>
          <w:rFonts w:asciiTheme="minorHAnsi" w:hAnsiTheme="minorHAnsi" w:cs="Calibri"/>
          <w:bCs/>
          <w:sz w:val="22"/>
          <w:szCs w:val="22"/>
        </w:rPr>
        <w:t>3</w:t>
      </w:r>
      <w:r w:rsidR="00572CEE">
        <w:rPr>
          <w:rFonts w:asciiTheme="minorHAnsi" w:hAnsiTheme="minorHAnsi" w:cs="Calibri"/>
          <w:bCs/>
          <w:sz w:val="22"/>
          <w:szCs w:val="22"/>
        </w:rPr>
        <w:t>28</w:t>
      </w:r>
      <w:r w:rsidRPr="00E84532">
        <w:rPr>
          <w:rFonts w:asciiTheme="minorHAnsi" w:hAnsiTheme="minorHAnsi" w:cs="Calibri"/>
          <w:bCs/>
          <w:sz w:val="22"/>
          <w:szCs w:val="22"/>
        </w:rPr>
        <w:t xml:space="preserve"> MWh.</w:t>
      </w:r>
    </w:p>
    <w:p w:rsidR="00E807F8" w:rsidRPr="00E84532" w:rsidRDefault="00E807F8" w:rsidP="00E807F8">
      <w:pPr>
        <w:autoSpaceDE w:val="0"/>
        <w:autoSpaceDN w:val="0"/>
        <w:adjustRightInd w:val="0"/>
        <w:contextualSpacing/>
        <w:jc w:val="both"/>
        <w:rPr>
          <w:rFonts w:asciiTheme="minorHAnsi" w:hAnsiTheme="minorHAnsi" w:cs="Calibri"/>
          <w:bCs/>
          <w:sz w:val="22"/>
          <w:szCs w:val="22"/>
        </w:rPr>
      </w:pPr>
    </w:p>
    <w:p w:rsidR="00E807F8" w:rsidRDefault="00E807F8" w:rsidP="00E807F8">
      <w:pPr>
        <w:autoSpaceDE w:val="0"/>
        <w:autoSpaceDN w:val="0"/>
        <w:adjustRightInd w:val="0"/>
        <w:contextualSpacing/>
        <w:jc w:val="both"/>
        <w:rPr>
          <w:rFonts w:asciiTheme="minorHAnsi" w:hAnsiTheme="minorHAnsi" w:cs="Calibri"/>
          <w:bCs/>
          <w:sz w:val="22"/>
          <w:szCs w:val="22"/>
        </w:rPr>
      </w:pPr>
      <w:r w:rsidRPr="00E84532">
        <w:rPr>
          <w:rFonts w:asciiTheme="minorHAnsi" w:hAnsiTheme="minorHAnsi" w:cs="Calibri"/>
          <w:bCs/>
          <w:sz w:val="22"/>
          <w:szCs w:val="22"/>
        </w:rPr>
        <w:t>Bazuar në vlerat më lartë dhe në koston variabile operative</w:t>
      </w:r>
      <w:r w:rsidR="00B81844">
        <w:rPr>
          <w:rFonts w:asciiTheme="minorHAnsi" w:hAnsiTheme="minorHAnsi" w:cs="Calibri"/>
          <w:bCs/>
          <w:sz w:val="22"/>
          <w:szCs w:val="22"/>
        </w:rPr>
        <w:t xml:space="preserve"> </w:t>
      </w:r>
      <w:r w:rsidRPr="00E84532">
        <w:rPr>
          <w:rFonts w:asciiTheme="minorHAnsi" w:hAnsiTheme="minorHAnsi" w:cs="Calibri"/>
          <w:bCs/>
          <w:sz w:val="22"/>
          <w:szCs w:val="22"/>
        </w:rPr>
        <w:t>(2,</w:t>
      </w:r>
      <w:r w:rsidR="001428F0">
        <w:rPr>
          <w:rFonts w:asciiTheme="minorHAnsi" w:hAnsiTheme="minorHAnsi" w:cs="Calibri"/>
          <w:bCs/>
          <w:sz w:val="22"/>
          <w:szCs w:val="22"/>
        </w:rPr>
        <w:t>5</w:t>
      </w:r>
      <w:r w:rsidR="00572CEE">
        <w:rPr>
          <w:rFonts w:asciiTheme="minorHAnsi" w:hAnsiTheme="minorHAnsi" w:cs="Calibri"/>
          <w:bCs/>
          <w:sz w:val="22"/>
          <w:szCs w:val="22"/>
        </w:rPr>
        <w:t>99</w:t>
      </w:r>
      <w:r w:rsidR="0039769A">
        <w:rPr>
          <w:rFonts w:asciiTheme="minorHAnsi" w:hAnsiTheme="minorHAnsi" w:cs="Calibri"/>
          <w:bCs/>
          <w:sz w:val="22"/>
          <w:szCs w:val="22"/>
        </w:rPr>
        <w:t>,</w:t>
      </w:r>
      <w:r w:rsidR="00572CEE">
        <w:rPr>
          <w:rFonts w:asciiTheme="minorHAnsi" w:hAnsiTheme="minorHAnsi" w:cs="Calibri"/>
          <w:bCs/>
          <w:sz w:val="22"/>
          <w:szCs w:val="22"/>
        </w:rPr>
        <w:t>468</w:t>
      </w:r>
      <w:r w:rsidRPr="00E84532">
        <w:rPr>
          <w:rFonts w:asciiTheme="minorHAnsi" w:hAnsiTheme="minorHAnsi" w:cs="Calibri"/>
          <w:bCs/>
          <w:sz w:val="22"/>
          <w:szCs w:val="22"/>
        </w:rPr>
        <w:t xml:space="preserve"> €) llogaritet </w:t>
      </w:r>
      <w:r w:rsidRPr="00E84532">
        <w:rPr>
          <w:rFonts w:asciiTheme="minorHAnsi" w:hAnsiTheme="minorHAnsi" w:cs="Calibri"/>
          <w:b/>
          <w:bCs/>
          <w:sz w:val="22"/>
          <w:szCs w:val="22"/>
        </w:rPr>
        <w:t>Kostoja e humbjeve</w:t>
      </w:r>
      <w:r w:rsidRPr="00E84532">
        <w:rPr>
          <w:rFonts w:asciiTheme="minorHAnsi" w:hAnsiTheme="minorHAnsi" w:cs="Calibri"/>
          <w:bCs/>
          <w:sz w:val="22"/>
          <w:szCs w:val="22"/>
        </w:rPr>
        <w:t xml:space="preserve"> në rrjet në vlerën </w:t>
      </w:r>
      <w:r w:rsidR="001428F0">
        <w:rPr>
          <w:rFonts w:asciiTheme="minorHAnsi" w:hAnsiTheme="minorHAnsi" w:cs="Calibri"/>
          <w:b/>
          <w:bCs/>
          <w:sz w:val="22"/>
          <w:szCs w:val="22"/>
        </w:rPr>
        <w:t>2</w:t>
      </w:r>
      <w:r w:rsidR="00572CEE">
        <w:rPr>
          <w:rFonts w:asciiTheme="minorHAnsi" w:hAnsiTheme="minorHAnsi" w:cs="Calibri"/>
          <w:b/>
          <w:bCs/>
          <w:sz w:val="22"/>
          <w:szCs w:val="22"/>
        </w:rPr>
        <w:t>67</w:t>
      </w:r>
      <w:r w:rsidRPr="00E84532">
        <w:rPr>
          <w:rFonts w:asciiTheme="minorHAnsi" w:hAnsiTheme="minorHAnsi" w:cs="Calibri"/>
          <w:b/>
          <w:bCs/>
          <w:sz w:val="22"/>
          <w:szCs w:val="22"/>
        </w:rPr>
        <w:t>,</w:t>
      </w:r>
      <w:r w:rsidR="001428F0">
        <w:rPr>
          <w:rFonts w:asciiTheme="minorHAnsi" w:hAnsiTheme="minorHAnsi" w:cs="Calibri"/>
          <w:b/>
          <w:bCs/>
          <w:sz w:val="22"/>
          <w:szCs w:val="22"/>
        </w:rPr>
        <w:t>61</w:t>
      </w:r>
      <w:r w:rsidR="00572CEE">
        <w:rPr>
          <w:rFonts w:asciiTheme="minorHAnsi" w:hAnsiTheme="minorHAnsi" w:cs="Calibri"/>
          <w:b/>
          <w:bCs/>
          <w:sz w:val="22"/>
          <w:szCs w:val="22"/>
        </w:rPr>
        <w:t>4</w:t>
      </w:r>
      <w:r w:rsidRPr="00E84532">
        <w:rPr>
          <w:rFonts w:asciiTheme="minorHAnsi" w:hAnsiTheme="minorHAnsi" w:cs="Calibri"/>
          <w:b/>
          <w:bCs/>
          <w:sz w:val="22"/>
          <w:szCs w:val="22"/>
        </w:rPr>
        <w:t xml:space="preserve"> €.</w:t>
      </w:r>
      <w:r w:rsidRPr="00E84532">
        <w:rPr>
          <w:rFonts w:asciiTheme="minorHAnsi" w:hAnsiTheme="minorHAnsi" w:cs="Calibri"/>
          <w:bCs/>
          <w:sz w:val="22"/>
          <w:szCs w:val="22"/>
        </w:rPr>
        <w:t xml:space="preserve">   </w:t>
      </w:r>
    </w:p>
    <w:p w:rsidR="00021732" w:rsidRPr="00E84532" w:rsidRDefault="00021732" w:rsidP="00E807F8">
      <w:pPr>
        <w:autoSpaceDE w:val="0"/>
        <w:autoSpaceDN w:val="0"/>
        <w:adjustRightInd w:val="0"/>
        <w:contextualSpacing/>
        <w:jc w:val="both"/>
        <w:rPr>
          <w:rFonts w:asciiTheme="minorHAnsi" w:hAnsiTheme="minorHAnsi" w:cs="Calibri"/>
          <w:bCs/>
          <w:sz w:val="22"/>
          <w:szCs w:val="22"/>
        </w:rPr>
      </w:pPr>
    </w:p>
    <w:p w:rsidR="00E807F8" w:rsidRPr="00021732" w:rsidRDefault="00E807F8" w:rsidP="00021732">
      <w:pPr>
        <w:pStyle w:val="Heading2"/>
        <w:rPr>
          <w:color w:val="auto"/>
        </w:rPr>
      </w:pPr>
      <w:bookmarkStart w:id="134" w:name="_Toc21513557"/>
      <w:bookmarkStart w:id="135" w:name="_Toc21514386"/>
      <w:bookmarkStart w:id="136" w:name="_Toc21521393"/>
      <w:r w:rsidRPr="00021732">
        <w:rPr>
          <w:color w:val="auto"/>
        </w:rPr>
        <w:t>Përshtatja (Axhustimi)</w:t>
      </w:r>
      <w:bookmarkEnd w:id="134"/>
      <w:bookmarkEnd w:id="135"/>
      <w:bookmarkEnd w:id="136"/>
    </w:p>
    <w:p w:rsidR="00E807F8" w:rsidRPr="00E84532" w:rsidRDefault="00E807F8" w:rsidP="00E807F8">
      <w:pPr>
        <w:jc w:val="both"/>
        <w:rPr>
          <w:rFonts w:asciiTheme="minorHAnsi" w:hAnsiTheme="minorHAnsi"/>
          <w:b/>
          <w:sz w:val="22"/>
          <w:szCs w:val="22"/>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Përshtatja (axhustimi) shërben për të korrigjuar ndryshimet eventuale mes planifikimeve të shqyrtimit tarifor për periudhën (sezonin) ‘n</w:t>
      </w:r>
      <w:r w:rsidR="0039769A">
        <w:rPr>
          <w:rFonts w:asciiTheme="minorHAnsi" w:hAnsiTheme="minorHAnsi"/>
          <w:sz w:val="22"/>
          <w:szCs w:val="22"/>
        </w:rPr>
        <w:t>-1</w:t>
      </w:r>
      <w:r w:rsidRPr="00E84532">
        <w:rPr>
          <w:rFonts w:asciiTheme="minorHAnsi" w:hAnsiTheme="minorHAnsi"/>
          <w:sz w:val="22"/>
          <w:szCs w:val="22"/>
        </w:rPr>
        <w:t>’</w:t>
      </w:r>
      <w:r w:rsidRPr="00E84532">
        <w:rPr>
          <w:rFonts w:asciiTheme="minorHAnsi" w:hAnsiTheme="minorHAnsi"/>
          <w:b/>
          <w:sz w:val="22"/>
          <w:szCs w:val="22"/>
        </w:rPr>
        <w:t xml:space="preserve"> </w:t>
      </w:r>
      <w:r w:rsidRPr="00E84532">
        <w:rPr>
          <w:rFonts w:asciiTheme="minorHAnsi" w:hAnsiTheme="minorHAnsi"/>
          <w:sz w:val="22"/>
          <w:szCs w:val="22"/>
        </w:rPr>
        <w:t>dhe realizimeve që faktikisht kanë ndodhur në atë periudhë (</w:t>
      </w:r>
      <w:r w:rsidR="00222D84" w:rsidRPr="00E84532">
        <w:rPr>
          <w:rFonts w:asciiTheme="minorHAnsi" w:hAnsiTheme="minorHAnsi"/>
          <w:sz w:val="22"/>
          <w:szCs w:val="22"/>
        </w:rPr>
        <w:t>sezon</w:t>
      </w:r>
      <w:r w:rsidRPr="00E84532">
        <w:rPr>
          <w:rFonts w:asciiTheme="minorHAnsi" w:hAnsiTheme="minorHAnsi"/>
          <w:sz w:val="22"/>
          <w:szCs w:val="22"/>
        </w:rPr>
        <w:t>) dhe ato ndryshime përfshihen (korrigjohen) në shqyrtimin e ardhshëm.</w:t>
      </w:r>
    </w:p>
    <w:p w:rsidR="00E807F8" w:rsidRPr="00DF5564" w:rsidRDefault="00E807F8" w:rsidP="00E807F8">
      <w:pPr>
        <w:jc w:val="both"/>
        <w:rPr>
          <w:rFonts w:asciiTheme="minorHAnsi" w:hAnsiTheme="minorHAnsi"/>
          <w:b/>
          <w:sz w:val="20"/>
          <w:szCs w:val="20"/>
        </w:rPr>
      </w:pPr>
    </w:p>
    <w:p w:rsidR="00E807F8" w:rsidRPr="00E84532" w:rsidRDefault="00E807F8" w:rsidP="00E807F8">
      <w:pPr>
        <w:jc w:val="both"/>
        <w:rPr>
          <w:rFonts w:asciiTheme="minorHAnsi" w:hAnsiTheme="minorHAnsi"/>
          <w:sz w:val="22"/>
          <w:szCs w:val="22"/>
        </w:rPr>
      </w:pPr>
      <w:r w:rsidRPr="00E84532">
        <w:rPr>
          <w:rFonts w:asciiTheme="minorHAnsi" w:hAnsiTheme="minorHAnsi"/>
          <w:sz w:val="22"/>
          <w:szCs w:val="22"/>
        </w:rPr>
        <w:t>Konkretisht axhustimi përfshinë ndryshimin mes planifikimit dhe realizimit faktik të këtyre komponentëve: i) Të hyrave</w:t>
      </w:r>
      <w:r w:rsidR="00A61C6F">
        <w:rPr>
          <w:rFonts w:asciiTheme="minorHAnsi" w:hAnsiTheme="minorHAnsi"/>
          <w:sz w:val="22"/>
          <w:szCs w:val="22"/>
        </w:rPr>
        <w:t xml:space="preserve"> (të rregulluara dhe të parreguluara)</w:t>
      </w:r>
      <w:r w:rsidRPr="00E84532">
        <w:rPr>
          <w:rFonts w:asciiTheme="minorHAnsi" w:hAnsiTheme="minorHAnsi"/>
          <w:sz w:val="22"/>
          <w:szCs w:val="22"/>
        </w:rPr>
        <w:t>; Kostove Operative; Zhvlerësimit vjetorë; dhe kthimit në RAB</w:t>
      </w:r>
      <w:r w:rsidRPr="00E84532">
        <w:rPr>
          <w:rFonts w:asciiTheme="minorHAnsi" w:hAnsiTheme="minorHAnsi"/>
          <w:sz w:val="22"/>
          <w:szCs w:val="22"/>
          <w:vertAlign w:val="subscript"/>
        </w:rPr>
        <w:t>f</w:t>
      </w:r>
      <w:r w:rsidRPr="00E84532">
        <w:rPr>
          <w:rFonts w:asciiTheme="minorHAnsi" w:hAnsiTheme="minorHAnsi"/>
          <w:sz w:val="22"/>
          <w:szCs w:val="22"/>
        </w:rPr>
        <w:t>.</w:t>
      </w:r>
    </w:p>
    <w:p w:rsidR="00E807F8" w:rsidRPr="00DF5564" w:rsidRDefault="00E807F8" w:rsidP="00E807F8">
      <w:pPr>
        <w:jc w:val="both"/>
        <w:rPr>
          <w:rFonts w:asciiTheme="minorHAnsi" w:hAnsiTheme="minorHAnsi"/>
          <w:sz w:val="20"/>
          <w:szCs w:val="20"/>
        </w:rPr>
      </w:pPr>
    </w:p>
    <w:p w:rsidR="00021732" w:rsidRDefault="00E807F8" w:rsidP="00E807F8">
      <w:pPr>
        <w:jc w:val="both"/>
        <w:rPr>
          <w:rFonts w:asciiTheme="minorHAnsi" w:hAnsiTheme="minorHAnsi"/>
          <w:sz w:val="22"/>
          <w:szCs w:val="22"/>
        </w:rPr>
      </w:pPr>
      <w:r w:rsidRPr="00E84532">
        <w:rPr>
          <w:rFonts w:asciiTheme="minorHAnsi" w:hAnsiTheme="minorHAnsi"/>
          <w:sz w:val="22"/>
          <w:szCs w:val="22"/>
        </w:rPr>
        <w:t xml:space="preserve">Vlera totale e axhustimit për </w:t>
      </w:r>
      <w:r w:rsidR="0039769A">
        <w:rPr>
          <w:rFonts w:asciiTheme="minorHAnsi" w:hAnsiTheme="minorHAnsi"/>
          <w:sz w:val="22"/>
          <w:szCs w:val="22"/>
        </w:rPr>
        <w:t xml:space="preserve">sezonin </w:t>
      </w:r>
      <w:r w:rsidRPr="00E84532">
        <w:rPr>
          <w:rFonts w:asciiTheme="minorHAnsi" w:hAnsiTheme="minorHAnsi"/>
          <w:sz w:val="22"/>
          <w:szCs w:val="22"/>
        </w:rPr>
        <w:t>paraprak</w:t>
      </w:r>
      <w:r w:rsidR="00133E11">
        <w:rPr>
          <w:rFonts w:asciiTheme="minorHAnsi" w:hAnsiTheme="minorHAnsi"/>
          <w:sz w:val="22"/>
          <w:szCs w:val="22"/>
        </w:rPr>
        <w:t xml:space="preserve"> 201</w:t>
      </w:r>
      <w:r w:rsidR="00572CEE">
        <w:rPr>
          <w:rFonts w:asciiTheme="minorHAnsi" w:hAnsiTheme="minorHAnsi"/>
          <w:sz w:val="22"/>
          <w:szCs w:val="22"/>
        </w:rPr>
        <w:t>9</w:t>
      </w:r>
      <w:r w:rsidR="00133E11">
        <w:rPr>
          <w:rFonts w:asciiTheme="minorHAnsi" w:hAnsiTheme="minorHAnsi"/>
          <w:sz w:val="22"/>
          <w:szCs w:val="22"/>
        </w:rPr>
        <w:t>/</w:t>
      </w:r>
      <w:r w:rsidR="00572CEE">
        <w:rPr>
          <w:rFonts w:asciiTheme="minorHAnsi" w:hAnsiTheme="minorHAnsi"/>
          <w:sz w:val="22"/>
          <w:szCs w:val="22"/>
        </w:rPr>
        <w:t>20</w:t>
      </w:r>
      <w:r w:rsidRPr="00E84532">
        <w:rPr>
          <w:rFonts w:asciiTheme="minorHAnsi" w:hAnsiTheme="minorHAnsi"/>
          <w:sz w:val="22"/>
          <w:szCs w:val="22"/>
        </w:rPr>
        <w:t xml:space="preserve"> është llogaritur: </w:t>
      </w:r>
      <w:r w:rsidRPr="00E84532">
        <w:rPr>
          <w:rFonts w:asciiTheme="minorHAnsi" w:hAnsiTheme="minorHAnsi"/>
          <w:b/>
          <w:sz w:val="22"/>
          <w:szCs w:val="22"/>
        </w:rPr>
        <w:t>-</w:t>
      </w:r>
      <w:r w:rsidR="00572CEE">
        <w:rPr>
          <w:rFonts w:asciiTheme="minorHAnsi" w:hAnsiTheme="minorHAnsi"/>
          <w:b/>
          <w:sz w:val="22"/>
          <w:szCs w:val="22"/>
        </w:rPr>
        <w:t>311</w:t>
      </w:r>
      <w:r w:rsidR="00133E11">
        <w:rPr>
          <w:rFonts w:asciiTheme="minorHAnsi" w:hAnsiTheme="minorHAnsi"/>
          <w:b/>
          <w:sz w:val="22"/>
          <w:szCs w:val="22"/>
        </w:rPr>
        <w:t>,</w:t>
      </w:r>
      <w:r w:rsidR="00572CEE">
        <w:rPr>
          <w:rFonts w:asciiTheme="minorHAnsi" w:hAnsiTheme="minorHAnsi"/>
          <w:b/>
          <w:sz w:val="22"/>
          <w:szCs w:val="22"/>
        </w:rPr>
        <w:t>4</w:t>
      </w:r>
      <w:r w:rsidR="00133E11">
        <w:rPr>
          <w:rFonts w:asciiTheme="minorHAnsi" w:hAnsiTheme="minorHAnsi"/>
          <w:b/>
          <w:sz w:val="22"/>
          <w:szCs w:val="22"/>
        </w:rPr>
        <w:t>1</w:t>
      </w:r>
      <w:r w:rsidR="00572CEE">
        <w:rPr>
          <w:rFonts w:asciiTheme="minorHAnsi" w:hAnsiTheme="minorHAnsi"/>
          <w:b/>
          <w:sz w:val="22"/>
          <w:szCs w:val="22"/>
        </w:rPr>
        <w:t>8</w:t>
      </w:r>
      <w:r w:rsidRPr="00E84532">
        <w:rPr>
          <w:rFonts w:asciiTheme="minorHAnsi" w:hAnsiTheme="minorHAnsi"/>
          <w:b/>
          <w:sz w:val="22"/>
          <w:szCs w:val="22"/>
        </w:rPr>
        <w:t xml:space="preserve"> €</w:t>
      </w:r>
      <w:r w:rsidR="00133E11">
        <w:rPr>
          <w:rFonts w:asciiTheme="minorHAnsi" w:hAnsiTheme="minorHAnsi"/>
          <w:b/>
          <w:sz w:val="22"/>
          <w:szCs w:val="22"/>
        </w:rPr>
        <w:t>.</w:t>
      </w:r>
      <w:r w:rsidRPr="00E84532">
        <w:rPr>
          <w:rFonts w:asciiTheme="minorHAnsi" w:hAnsiTheme="minorHAnsi"/>
          <w:sz w:val="22"/>
          <w:szCs w:val="22"/>
        </w:rPr>
        <w:t xml:space="preserve"> Pra vlera totale  e axhustimit pre</w:t>
      </w:r>
      <w:r w:rsidR="00B320DD">
        <w:rPr>
          <w:rFonts w:asciiTheme="minorHAnsi" w:hAnsiTheme="minorHAnsi"/>
          <w:sz w:val="22"/>
          <w:szCs w:val="22"/>
        </w:rPr>
        <w:t>j</w:t>
      </w:r>
      <w:r w:rsidRPr="00E84532">
        <w:rPr>
          <w:rFonts w:asciiTheme="minorHAnsi" w:hAnsiTheme="minorHAnsi"/>
          <w:sz w:val="22"/>
          <w:szCs w:val="22"/>
        </w:rPr>
        <w:t xml:space="preserve"> -</w:t>
      </w:r>
      <w:r w:rsidR="00572CEE">
        <w:rPr>
          <w:rFonts w:asciiTheme="minorHAnsi" w:hAnsiTheme="minorHAnsi"/>
          <w:sz w:val="22"/>
          <w:szCs w:val="22"/>
        </w:rPr>
        <w:t>311</w:t>
      </w:r>
      <w:r w:rsidRPr="00E84532">
        <w:rPr>
          <w:rFonts w:asciiTheme="minorHAnsi" w:hAnsiTheme="minorHAnsi"/>
          <w:sz w:val="22"/>
          <w:szCs w:val="22"/>
        </w:rPr>
        <w:t>,</w:t>
      </w:r>
      <w:r w:rsidR="00572CEE">
        <w:rPr>
          <w:rFonts w:asciiTheme="minorHAnsi" w:hAnsiTheme="minorHAnsi"/>
          <w:sz w:val="22"/>
          <w:szCs w:val="22"/>
        </w:rPr>
        <w:t>418</w:t>
      </w:r>
      <w:r w:rsidRPr="00E84532">
        <w:rPr>
          <w:rFonts w:asciiTheme="minorHAnsi" w:hAnsiTheme="minorHAnsi"/>
          <w:sz w:val="22"/>
          <w:szCs w:val="22"/>
        </w:rPr>
        <w:t xml:space="preserve"> € zbritet nga vlera e të Hyrave të lejuara për sezonin 20</w:t>
      </w:r>
      <w:r w:rsidR="00572CEE">
        <w:rPr>
          <w:rFonts w:asciiTheme="minorHAnsi" w:hAnsiTheme="minorHAnsi"/>
          <w:sz w:val="22"/>
          <w:szCs w:val="22"/>
        </w:rPr>
        <w:t>20</w:t>
      </w:r>
      <w:r w:rsidRPr="00E84532">
        <w:rPr>
          <w:rFonts w:asciiTheme="minorHAnsi" w:hAnsiTheme="minorHAnsi"/>
          <w:sz w:val="22"/>
          <w:szCs w:val="22"/>
        </w:rPr>
        <w:t>/20</w:t>
      </w:r>
      <w:r w:rsidR="00133E11">
        <w:rPr>
          <w:rFonts w:asciiTheme="minorHAnsi" w:hAnsiTheme="minorHAnsi"/>
          <w:sz w:val="22"/>
          <w:szCs w:val="22"/>
        </w:rPr>
        <w:t>2</w:t>
      </w:r>
      <w:r w:rsidR="00572CEE">
        <w:rPr>
          <w:rFonts w:asciiTheme="minorHAnsi" w:hAnsiTheme="minorHAnsi"/>
          <w:sz w:val="22"/>
          <w:szCs w:val="22"/>
        </w:rPr>
        <w:t>1</w:t>
      </w:r>
      <w:r w:rsidRPr="00E84532">
        <w:rPr>
          <w:rFonts w:asciiTheme="minorHAnsi" w:hAnsiTheme="minorHAnsi"/>
          <w:sz w:val="22"/>
          <w:szCs w:val="22"/>
        </w:rPr>
        <w:t xml:space="preserve">  </w:t>
      </w:r>
    </w:p>
    <w:p w:rsidR="00021732" w:rsidRDefault="00021732" w:rsidP="00E807F8">
      <w:pPr>
        <w:jc w:val="both"/>
        <w:rPr>
          <w:rFonts w:asciiTheme="minorHAnsi" w:hAnsiTheme="minorHAnsi"/>
          <w:sz w:val="22"/>
          <w:szCs w:val="22"/>
        </w:rPr>
      </w:pPr>
    </w:p>
    <w:p w:rsidR="00E807F8" w:rsidRPr="00E84532" w:rsidRDefault="00E807F8" w:rsidP="00E807F8">
      <w:pPr>
        <w:jc w:val="both"/>
        <w:rPr>
          <w:rFonts w:asciiTheme="minorHAnsi" w:hAnsiTheme="minorHAnsi"/>
          <w:b/>
          <w:sz w:val="22"/>
          <w:szCs w:val="22"/>
        </w:rPr>
      </w:pPr>
      <w:r w:rsidRPr="00E84532">
        <w:rPr>
          <w:rFonts w:asciiTheme="minorHAnsi" w:hAnsiTheme="minorHAnsi"/>
          <w:sz w:val="22"/>
          <w:szCs w:val="22"/>
        </w:rPr>
        <w:t xml:space="preserve">  </w:t>
      </w:r>
    </w:p>
    <w:p w:rsidR="00E807F8" w:rsidRPr="000C6431" w:rsidRDefault="00E807F8" w:rsidP="00021732">
      <w:pPr>
        <w:pStyle w:val="Heading2"/>
        <w:rPr>
          <w:rStyle w:val="Strong"/>
          <w:b/>
          <w:bCs/>
          <w:color w:val="000000" w:themeColor="text1"/>
        </w:rPr>
      </w:pPr>
      <w:bookmarkStart w:id="137" w:name="_Toc21513558"/>
      <w:bookmarkStart w:id="138" w:name="_Toc21514387"/>
      <w:bookmarkStart w:id="139" w:name="_Toc21515571"/>
      <w:bookmarkStart w:id="140" w:name="_Toc21521394"/>
      <w:bookmarkStart w:id="141" w:name="_Toc339538674"/>
      <w:bookmarkStart w:id="142" w:name="_Toc339539133"/>
      <w:r w:rsidRPr="000C6431">
        <w:rPr>
          <w:rStyle w:val="Strong"/>
          <w:b/>
          <w:bCs/>
          <w:color w:val="000000" w:themeColor="text1"/>
        </w:rPr>
        <w:t xml:space="preserve">Llogaritja e të Hyrave </w:t>
      </w:r>
      <w:r w:rsidR="00726E0F">
        <w:rPr>
          <w:rStyle w:val="Strong"/>
          <w:b/>
          <w:bCs/>
          <w:color w:val="000000" w:themeColor="text1"/>
        </w:rPr>
        <w:t xml:space="preserve">Maksimale </w:t>
      </w:r>
      <w:r w:rsidRPr="000C6431">
        <w:rPr>
          <w:rStyle w:val="Strong"/>
          <w:b/>
          <w:bCs/>
          <w:color w:val="000000" w:themeColor="text1"/>
        </w:rPr>
        <w:t>të Lejuara - Përmbledhje</w:t>
      </w:r>
      <w:bookmarkEnd w:id="137"/>
      <w:bookmarkEnd w:id="138"/>
      <w:bookmarkEnd w:id="139"/>
      <w:bookmarkEnd w:id="140"/>
      <w:r w:rsidRPr="000C6431">
        <w:rPr>
          <w:rStyle w:val="Strong"/>
          <w:b/>
          <w:bCs/>
          <w:color w:val="000000" w:themeColor="text1"/>
        </w:rPr>
        <w:t xml:space="preserve"> </w:t>
      </w:r>
      <w:bookmarkEnd w:id="141"/>
      <w:bookmarkEnd w:id="142"/>
    </w:p>
    <w:p w:rsidR="00E807F8" w:rsidRPr="00E84532" w:rsidRDefault="00E807F8" w:rsidP="00E807F8">
      <w:pPr>
        <w:pStyle w:val="Heading7"/>
        <w:jc w:val="both"/>
        <w:rPr>
          <w:rFonts w:asciiTheme="minorHAnsi" w:hAnsiTheme="minorHAnsi"/>
          <w:bCs w:val="0"/>
        </w:rPr>
      </w:pPr>
    </w:p>
    <w:p w:rsidR="00E807F8" w:rsidRPr="00E84532" w:rsidRDefault="00E807F8" w:rsidP="00E807F8">
      <w:pPr>
        <w:pStyle w:val="Heading7"/>
        <w:jc w:val="both"/>
        <w:rPr>
          <w:rFonts w:asciiTheme="minorHAnsi" w:hAnsiTheme="minorHAnsi"/>
        </w:rPr>
      </w:pPr>
      <w:r w:rsidRPr="00E84532">
        <w:rPr>
          <w:rFonts w:asciiTheme="minorHAnsi" w:hAnsiTheme="minorHAnsi"/>
          <w:b w:val="0"/>
          <w:bCs w:val="0"/>
        </w:rPr>
        <w:t>Të hyrat e lejuara totale janë llogaritur sipas formulës:</w:t>
      </w:r>
      <w:r w:rsidRPr="00E84532">
        <w:rPr>
          <w:rFonts w:asciiTheme="minorHAnsi" w:hAnsiTheme="minorHAnsi"/>
        </w:rPr>
        <w:t xml:space="preserve">  </w:t>
      </w:r>
    </w:p>
    <w:p w:rsidR="00E807F8" w:rsidRPr="00DF5564" w:rsidRDefault="00E807F8" w:rsidP="00E807F8">
      <w:pPr>
        <w:jc w:val="both"/>
        <w:rPr>
          <w:rFonts w:asciiTheme="minorHAnsi" w:hAnsiTheme="minorHAnsi"/>
          <w:sz w:val="20"/>
          <w:szCs w:val="20"/>
        </w:rPr>
      </w:pPr>
      <w:r w:rsidRPr="00E84532">
        <w:rPr>
          <w:rFonts w:asciiTheme="minorHAnsi" w:hAnsiTheme="minorHAnsi"/>
          <w:sz w:val="22"/>
        </w:rPr>
        <w:t xml:space="preserve"> </w:t>
      </w:r>
    </w:p>
    <w:p w:rsidR="00E807F8" w:rsidRDefault="00E807F8" w:rsidP="00E649E1">
      <w:pPr>
        <w:jc w:val="both"/>
        <w:rPr>
          <w:rFonts w:asciiTheme="minorHAnsi" w:hAnsiTheme="minorHAnsi" w:cs="Calibri"/>
          <w:b/>
        </w:rPr>
      </w:pPr>
      <w:r w:rsidRPr="00E84532">
        <w:rPr>
          <w:rFonts w:asciiTheme="minorHAnsi" w:hAnsiTheme="minorHAnsi" w:cs="Calibri"/>
          <w:b/>
        </w:rPr>
        <w:t>MAR = OC + DEP + RTN + LOS +/- ADJ</w:t>
      </w:r>
      <w:bookmarkStart w:id="143" w:name="_Toc526514497"/>
      <w:bookmarkEnd w:id="143"/>
    </w:p>
    <w:p w:rsidR="00E649E1" w:rsidRPr="00DF5564" w:rsidRDefault="00E649E1" w:rsidP="00E649E1">
      <w:pPr>
        <w:jc w:val="both"/>
        <w:rPr>
          <w:rFonts w:asciiTheme="minorHAnsi" w:hAnsiTheme="minorHAnsi" w:cs="Calibri"/>
          <w:b/>
          <w:sz w:val="20"/>
          <w:szCs w:val="20"/>
        </w:rPr>
      </w:pPr>
    </w:p>
    <w:p w:rsidR="00726E0F" w:rsidRDefault="00A71E16" w:rsidP="00E807F8">
      <w:pPr>
        <w:rPr>
          <w:rFonts w:asciiTheme="minorHAnsi" w:hAnsiTheme="minorHAnsi" w:cs="Calibri"/>
          <w:sz w:val="22"/>
          <w:szCs w:val="22"/>
        </w:rPr>
      </w:pPr>
      <w:bookmarkStart w:id="144" w:name="_Toc339537369"/>
      <w:bookmarkStart w:id="145" w:name="_Toc339537730"/>
      <w:bookmarkStart w:id="146" w:name="_Toc339538676"/>
      <w:bookmarkStart w:id="147" w:name="_Toc339539135"/>
      <w:bookmarkStart w:id="148" w:name="_Toc339539768"/>
      <w:bookmarkStart w:id="149" w:name="_Toc339540004"/>
      <w:r>
        <w:rPr>
          <w:rFonts w:asciiTheme="minorHAnsi" w:hAnsiTheme="minorHAnsi" w:cs="Calibri"/>
          <w:sz w:val="22"/>
          <w:szCs w:val="22"/>
        </w:rPr>
        <w:t>Fillimisht d</w:t>
      </w:r>
      <w:r w:rsidR="00726E0F">
        <w:rPr>
          <w:rFonts w:asciiTheme="minorHAnsi" w:hAnsiTheme="minorHAnsi" w:cs="Calibri"/>
          <w:sz w:val="22"/>
          <w:szCs w:val="22"/>
        </w:rPr>
        <w:t xml:space="preserve">uhet theksuar se në llogaritjen e të Hyrave maksimale të lejuara </w:t>
      </w:r>
      <w:r w:rsidR="000B74CA">
        <w:rPr>
          <w:rFonts w:asciiTheme="minorHAnsi" w:hAnsiTheme="minorHAnsi" w:cs="Calibri"/>
          <w:sz w:val="22"/>
          <w:szCs w:val="22"/>
        </w:rPr>
        <w:t>merren</w:t>
      </w:r>
      <w:r w:rsidR="00726E0F">
        <w:rPr>
          <w:rFonts w:asciiTheme="minorHAnsi" w:hAnsiTheme="minorHAnsi" w:cs="Calibri"/>
          <w:sz w:val="22"/>
          <w:szCs w:val="22"/>
        </w:rPr>
        <w:t xml:space="preserve"> Kostot operative të zbritura për koston e lejuar të humbjeve (kostot operative të ashtuquajtura neto në vlerë prej</w:t>
      </w:r>
      <w:r w:rsidR="000B74CA">
        <w:rPr>
          <w:rFonts w:asciiTheme="minorHAnsi" w:hAnsiTheme="minorHAnsi" w:cs="Calibri"/>
          <w:sz w:val="22"/>
          <w:szCs w:val="22"/>
        </w:rPr>
        <w:t xml:space="preserve"> </w:t>
      </w:r>
      <w:r w:rsidR="000B74CA" w:rsidRPr="00986558">
        <w:rPr>
          <w:rFonts w:asciiTheme="minorHAnsi" w:hAnsiTheme="minorHAnsi" w:cs="Calibri"/>
          <w:b/>
          <w:sz w:val="22"/>
          <w:szCs w:val="22"/>
        </w:rPr>
        <w:t>4,39</w:t>
      </w:r>
      <w:r w:rsidR="00986558" w:rsidRPr="00986558">
        <w:rPr>
          <w:rFonts w:asciiTheme="minorHAnsi" w:hAnsiTheme="minorHAnsi" w:cs="Calibri"/>
          <w:b/>
          <w:sz w:val="22"/>
          <w:szCs w:val="22"/>
        </w:rPr>
        <w:t>8</w:t>
      </w:r>
      <w:r w:rsidR="000B74CA" w:rsidRPr="00986558">
        <w:rPr>
          <w:rFonts w:asciiTheme="minorHAnsi" w:hAnsiTheme="minorHAnsi" w:cs="Calibri"/>
          <w:b/>
          <w:sz w:val="22"/>
          <w:szCs w:val="22"/>
        </w:rPr>
        <w:t>,</w:t>
      </w:r>
      <w:r w:rsidR="00986558" w:rsidRPr="00986558">
        <w:rPr>
          <w:rFonts w:asciiTheme="minorHAnsi" w:hAnsiTheme="minorHAnsi" w:cs="Calibri"/>
          <w:b/>
          <w:sz w:val="22"/>
          <w:szCs w:val="22"/>
        </w:rPr>
        <w:t>9</w:t>
      </w:r>
      <w:r w:rsidR="000B74CA" w:rsidRPr="00986558">
        <w:rPr>
          <w:rFonts w:asciiTheme="minorHAnsi" w:hAnsiTheme="minorHAnsi" w:cs="Calibri"/>
          <w:b/>
          <w:sz w:val="22"/>
          <w:szCs w:val="22"/>
        </w:rPr>
        <w:t>0</w:t>
      </w:r>
      <w:r w:rsidR="00986558" w:rsidRPr="00986558">
        <w:rPr>
          <w:rFonts w:asciiTheme="minorHAnsi" w:hAnsiTheme="minorHAnsi" w:cs="Calibri"/>
          <w:b/>
          <w:sz w:val="22"/>
          <w:szCs w:val="22"/>
        </w:rPr>
        <w:t>2</w:t>
      </w:r>
      <w:r w:rsidR="000B74CA" w:rsidRPr="00986558">
        <w:rPr>
          <w:rFonts w:asciiTheme="minorHAnsi" w:hAnsiTheme="minorHAnsi" w:cs="Calibri"/>
          <w:b/>
          <w:sz w:val="22"/>
          <w:szCs w:val="22"/>
        </w:rPr>
        <w:t xml:space="preserve"> €</w:t>
      </w:r>
      <w:r w:rsidR="00726E0F" w:rsidRPr="00986558">
        <w:rPr>
          <w:rFonts w:asciiTheme="minorHAnsi" w:hAnsiTheme="minorHAnsi" w:cs="Calibri"/>
          <w:sz w:val="22"/>
          <w:szCs w:val="22"/>
        </w:rPr>
        <w:t>)</w:t>
      </w:r>
      <w:r w:rsidR="00726E0F">
        <w:rPr>
          <w:rFonts w:asciiTheme="minorHAnsi" w:hAnsiTheme="minorHAnsi" w:cs="Calibri"/>
          <w:sz w:val="22"/>
          <w:szCs w:val="22"/>
        </w:rPr>
        <w:t xml:space="preserve"> </w:t>
      </w:r>
    </w:p>
    <w:p w:rsidR="00726E0F" w:rsidRDefault="00726E0F" w:rsidP="00E807F8">
      <w:pPr>
        <w:rPr>
          <w:rFonts w:asciiTheme="minorHAnsi" w:hAnsiTheme="minorHAnsi" w:cs="Calibri"/>
          <w:sz w:val="22"/>
          <w:szCs w:val="22"/>
        </w:rPr>
      </w:pPr>
    </w:p>
    <w:p w:rsidR="00E807F8" w:rsidRPr="00E84532" w:rsidRDefault="00726E0F" w:rsidP="00E807F8">
      <w:pPr>
        <w:rPr>
          <w:rFonts w:asciiTheme="minorHAnsi" w:hAnsiTheme="minorHAnsi" w:cs="Calibri"/>
          <w:sz w:val="22"/>
          <w:szCs w:val="22"/>
        </w:rPr>
      </w:pPr>
      <w:r>
        <w:rPr>
          <w:rFonts w:asciiTheme="minorHAnsi" w:hAnsiTheme="minorHAnsi" w:cs="Calibri"/>
          <w:sz w:val="22"/>
          <w:szCs w:val="22"/>
        </w:rPr>
        <w:t xml:space="preserve">Rrjedhimisht vlera e MAR </w:t>
      </w:r>
      <w:r w:rsidR="00E807F8" w:rsidRPr="00E84532">
        <w:rPr>
          <w:rFonts w:asciiTheme="minorHAnsi" w:hAnsiTheme="minorHAnsi" w:cs="Calibri"/>
          <w:sz w:val="22"/>
          <w:szCs w:val="22"/>
        </w:rPr>
        <w:t xml:space="preserve">është e barabartë me </w:t>
      </w:r>
      <w:r w:rsidR="00E807F8" w:rsidRPr="000B74CA">
        <w:rPr>
          <w:rFonts w:asciiTheme="minorHAnsi" w:hAnsiTheme="minorHAnsi" w:cs="Calibri"/>
          <w:b/>
          <w:sz w:val="22"/>
          <w:szCs w:val="22"/>
        </w:rPr>
        <w:t>6,</w:t>
      </w:r>
      <w:r w:rsidR="00986558">
        <w:rPr>
          <w:rFonts w:asciiTheme="minorHAnsi" w:hAnsiTheme="minorHAnsi" w:cs="Calibri"/>
          <w:b/>
          <w:sz w:val="22"/>
          <w:szCs w:val="22"/>
        </w:rPr>
        <w:t>960</w:t>
      </w:r>
      <w:r w:rsidR="00E807F8" w:rsidRPr="000B74CA">
        <w:rPr>
          <w:rFonts w:asciiTheme="minorHAnsi" w:hAnsiTheme="minorHAnsi" w:cs="Calibri"/>
          <w:b/>
          <w:sz w:val="22"/>
          <w:szCs w:val="22"/>
        </w:rPr>
        <w:t>,</w:t>
      </w:r>
      <w:r w:rsidR="00986558">
        <w:rPr>
          <w:rFonts w:asciiTheme="minorHAnsi" w:hAnsiTheme="minorHAnsi" w:cs="Calibri"/>
          <w:b/>
          <w:sz w:val="22"/>
          <w:szCs w:val="22"/>
        </w:rPr>
        <w:t>8</w:t>
      </w:r>
      <w:r w:rsidR="000B74CA" w:rsidRPr="000B74CA">
        <w:rPr>
          <w:rFonts w:asciiTheme="minorHAnsi" w:hAnsiTheme="minorHAnsi" w:cs="Calibri"/>
          <w:b/>
          <w:sz w:val="22"/>
          <w:szCs w:val="22"/>
        </w:rPr>
        <w:t>0</w:t>
      </w:r>
      <w:r w:rsidR="00FD03F7">
        <w:rPr>
          <w:rFonts w:asciiTheme="minorHAnsi" w:hAnsiTheme="minorHAnsi" w:cs="Calibri"/>
          <w:b/>
          <w:sz w:val="22"/>
          <w:szCs w:val="22"/>
        </w:rPr>
        <w:t>2</w:t>
      </w:r>
      <w:r w:rsidR="00E807F8" w:rsidRPr="000B74CA">
        <w:rPr>
          <w:rFonts w:asciiTheme="minorHAnsi" w:hAnsiTheme="minorHAnsi" w:cs="Calibri"/>
          <w:b/>
          <w:sz w:val="22"/>
          <w:szCs w:val="22"/>
        </w:rPr>
        <w:t xml:space="preserve"> €</w:t>
      </w:r>
      <w:r w:rsidR="00E807F8" w:rsidRPr="00E84532">
        <w:rPr>
          <w:rFonts w:asciiTheme="minorHAnsi" w:hAnsiTheme="minorHAnsi" w:cs="Calibri"/>
          <w:sz w:val="22"/>
          <w:szCs w:val="22"/>
        </w:rPr>
        <w:t xml:space="preserve"> siç paraqitet detalisht në tabelën 6.</w:t>
      </w:r>
      <w:bookmarkEnd w:id="144"/>
      <w:bookmarkEnd w:id="145"/>
      <w:bookmarkEnd w:id="146"/>
      <w:bookmarkEnd w:id="147"/>
      <w:bookmarkEnd w:id="148"/>
      <w:bookmarkEnd w:id="149"/>
    </w:p>
    <w:p w:rsidR="00BE3EA5" w:rsidRDefault="00BE3EA5" w:rsidP="006122E6">
      <w:pPr>
        <w:pStyle w:val="Heading3"/>
      </w:pPr>
    </w:p>
    <w:p w:rsidR="00986558" w:rsidRDefault="00986558" w:rsidP="00986558">
      <w:pPr>
        <w:rPr>
          <w:lang w:val="de-DE"/>
        </w:rPr>
      </w:pPr>
    </w:p>
    <w:p w:rsidR="00986558" w:rsidRDefault="00986558" w:rsidP="00986558">
      <w:pPr>
        <w:rPr>
          <w:lang w:val="de-DE"/>
        </w:rPr>
      </w:pPr>
    </w:p>
    <w:p w:rsidR="00986558" w:rsidRDefault="00986558" w:rsidP="00986558">
      <w:pPr>
        <w:rPr>
          <w:lang w:val="de-DE"/>
        </w:rPr>
      </w:pPr>
    </w:p>
    <w:p w:rsidR="00986558" w:rsidRPr="00986558" w:rsidRDefault="00986558" w:rsidP="00986558">
      <w:pPr>
        <w:rPr>
          <w:lang w:val="de-DE"/>
        </w:rPr>
      </w:pPr>
    </w:p>
    <w:p w:rsidR="00E807F8" w:rsidRPr="00770890" w:rsidRDefault="00E807F8" w:rsidP="006122E6">
      <w:pPr>
        <w:pStyle w:val="Heading3"/>
      </w:pPr>
      <w:bookmarkStart w:id="150" w:name="_Toc21514388"/>
      <w:bookmarkStart w:id="151" w:name="_Toc21514465"/>
      <w:bookmarkStart w:id="152" w:name="_Toc21514872"/>
      <w:bookmarkStart w:id="153" w:name="_Toc21515572"/>
      <w:bookmarkStart w:id="154" w:name="_Toc21521395"/>
      <w:r w:rsidRPr="00986558">
        <w:lastRenderedPageBreak/>
        <w:t>Tabela 6: Të Hyrat e lejuara për NQ Termokos sezoni i ngrohjes 20</w:t>
      </w:r>
      <w:r w:rsidR="00986558" w:rsidRPr="00986558">
        <w:t>20</w:t>
      </w:r>
      <w:r w:rsidRPr="00986558">
        <w:t>/20</w:t>
      </w:r>
      <w:r w:rsidR="00CF3C2C" w:rsidRPr="00986558">
        <w:t>2</w:t>
      </w:r>
      <w:bookmarkEnd w:id="150"/>
      <w:bookmarkEnd w:id="151"/>
      <w:bookmarkEnd w:id="152"/>
      <w:bookmarkEnd w:id="153"/>
      <w:bookmarkEnd w:id="154"/>
      <w:r w:rsidR="00986558" w:rsidRPr="00986558">
        <w:t>1</w:t>
      </w:r>
      <w:r w:rsidRPr="00770890">
        <w:t xml:space="preserve"> </w:t>
      </w:r>
    </w:p>
    <w:tbl>
      <w:tblPr>
        <w:tblW w:w="8581" w:type="dxa"/>
        <w:tblInd w:w="98" w:type="dxa"/>
        <w:tblLook w:val="04A0" w:firstRow="1" w:lastRow="0" w:firstColumn="1" w:lastColumn="0" w:noHBand="0" w:noVBand="1"/>
      </w:tblPr>
      <w:tblGrid>
        <w:gridCol w:w="1173"/>
        <w:gridCol w:w="5199"/>
        <w:gridCol w:w="2209"/>
      </w:tblGrid>
      <w:tr w:rsidR="00E807F8" w:rsidRPr="00E84532" w:rsidTr="00E77D7B">
        <w:trPr>
          <w:trHeight w:val="283"/>
        </w:trPr>
        <w:tc>
          <w:tcPr>
            <w:tcW w:w="6372" w:type="dxa"/>
            <w:gridSpan w:val="2"/>
            <w:tcBorders>
              <w:top w:val="single" w:sz="8" w:space="0" w:color="auto"/>
              <w:left w:val="single" w:sz="8" w:space="0" w:color="auto"/>
              <w:bottom w:val="nil"/>
              <w:right w:val="single" w:sz="8" w:space="0" w:color="000000"/>
            </w:tcBorders>
            <w:shd w:val="clear" w:color="000000" w:fill="B8CCE4"/>
            <w:hideMark/>
          </w:tcPr>
          <w:p w:rsidR="00E807F8" w:rsidRPr="00222D84" w:rsidRDefault="00E807F8" w:rsidP="00E807F8">
            <w:pPr>
              <w:jc w:val="center"/>
              <w:rPr>
                <w:rFonts w:asciiTheme="minorHAnsi" w:eastAsia="Times New Roman" w:hAnsiTheme="minorHAnsi"/>
                <w:b/>
                <w:bCs/>
                <w:color w:val="000000"/>
              </w:rPr>
            </w:pPr>
            <w:r w:rsidRPr="00222D84">
              <w:rPr>
                <w:rFonts w:asciiTheme="minorHAnsi" w:eastAsia="Times New Roman" w:hAnsiTheme="minorHAnsi"/>
                <w:b/>
                <w:bCs/>
                <w:color w:val="000000"/>
              </w:rPr>
              <w:t>Të Hyrat e Lejuara</w:t>
            </w:r>
          </w:p>
        </w:tc>
        <w:tc>
          <w:tcPr>
            <w:tcW w:w="2209"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E807F8" w:rsidRPr="00222D84" w:rsidRDefault="00E807F8" w:rsidP="00E807F8">
            <w:pPr>
              <w:jc w:val="center"/>
              <w:rPr>
                <w:rFonts w:asciiTheme="minorHAnsi" w:eastAsia="Times New Roman" w:hAnsiTheme="minorHAnsi"/>
                <w:b/>
                <w:bCs/>
                <w:color w:val="000000"/>
              </w:rPr>
            </w:pPr>
            <w:r w:rsidRPr="00222D84">
              <w:rPr>
                <w:rFonts w:asciiTheme="minorHAnsi" w:eastAsia="Times New Roman" w:hAnsiTheme="minorHAnsi"/>
                <w:b/>
                <w:bCs/>
                <w:color w:val="000000"/>
              </w:rPr>
              <w:t xml:space="preserve">Lejuar nga ZRRE </w:t>
            </w:r>
            <w:r w:rsidRPr="00222D84">
              <w:rPr>
                <w:rFonts w:asciiTheme="minorHAnsi" w:eastAsia="Times New Roman" w:hAnsiTheme="minorHAnsi"/>
                <w:b/>
                <w:bCs/>
                <w:color w:val="000000"/>
              </w:rPr>
              <w:br/>
              <w:t>[€]</w:t>
            </w:r>
          </w:p>
        </w:tc>
      </w:tr>
      <w:tr w:rsidR="00E807F8" w:rsidRPr="00E84532" w:rsidTr="00E77D7B">
        <w:trPr>
          <w:trHeight w:val="297"/>
        </w:trPr>
        <w:tc>
          <w:tcPr>
            <w:tcW w:w="6372" w:type="dxa"/>
            <w:gridSpan w:val="2"/>
            <w:tcBorders>
              <w:top w:val="nil"/>
              <w:left w:val="single" w:sz="8" w:space="0" w:color="auto"/>
              <w:bottom w:val="nil"/>
              <w:right w:val="single" w:sz="8" w:space="0" w:color="000000"/>
            </w:tcBorders>
            <w:shd w:val="clear" w:color="000000" w:fill="B8CCE4"/>
            <w:hideMark/>
          </w:tcPr>
          <w:p w:rsidR="00E807F8" w:rsidRPr="00986558" w:rsidRDefault="00E807F8" w:rsidP="00986558">
            <w:pPr>
              <w:jc w:val="center"/>
              <w:rPr>
                <w:rFonts w:asciiTheme="minorHAnsi" w:eastAsia="Times New Roman" w:hAnsiTheme="minorHAnsi"/>
                <w:b/>
                <w:bCs/>
                <w:color w:val="000000"/>
              </w:rPr>
            </w:pPr>
            <w:r w:rsidRPr="00986558">
              <w:rPr>
                <w:rFonts w:asciiTheme="minorHAnsi" w:eastAsia="Times New Roman" w:hAnsiTheme="minorHAnsi"/>
                <w:b/>
                <w:bCs/>
                <w:color w:val="000000"/>
              </w:rPr>
              <w:t>NQ TERMOKOS për sezonin 20</w:t>
            </w:r>
            <w:r w:rsidR="00986558" w:rsidRPr="00986558">
              <w:rPr>
                <w:rFonts w:asciiTheme="minorHAnsi" w:eastAsia="Times New Roman" w:hAnsiTheme="minorHAnsi"/>
                <w:b/>
                <w:bCs/>
                <w:color w:val="000000"/>
              </w:rPr>
              <w:t>20</w:t>
            </w:r>
            <w:r w:rsidRPr="00986558">
              <w:rPr>
                <w:rFonts w:asciiTheme="minorHAnsi" w:eastAsia="Times New Roman" w:hAnsiTheme="minorHAnsi"/>
                <w:b/>
                <w:bCs/>
                <w:color w:val="000000"/>
              </w:rPr>
              <w:t>/20</w:t>
            </w:r>
            <w:r w:rsidR="00DF5564" w:rsidRPr="00986558">
              <w:rPr>
                <w:rFonts w:asciiTheme="minorHAnsi" w:eastAsia="Times New Roman" w:hAnsiTheme="minorHAnsi"/>
                <w:b/>
                <w:bCs/>
                <w:color w:val="000000"/>
              </w:rPr>
              <w:t>2</w:t>
            </w:r>
            <w:r w:rsidR="00986558" w:rsidRPr="00986558">
              <w:rPr>
                <w:rFonts w:asciiTheme="minorHAnsi" w:eastAsia="Times New Roman" w:hAnsiTheme="minorHAnsi"/>
                <w:b/>
                <w:bCs/>
                <w:color w:val="000000"/>
              </w:rPr>
              <w:t>1</w:t>
            </w:r>
          </w:p>
        </w:tc>
        <w:tc>
          <w:tcPr>
            <w:tcW w:w="2209" w:type="dxa"/>
            <w:vMerge/>
            <w:tcBorders>
              <w:top w:val="single" w:sz="8" w:space="0" w:color="auto"/>
              <w:left w:val="single" w:sz="8" w:space="0" w:color="auto"/>
              <w:bottom w:val="single" w:sz="8" w:space="0" w:color="000000"/>
              <w:right w:val="single" w:sz="8" w:space="0" w:color="auto"/>
            </w:tcBorders>
            <w:vAlign w:val="center"/>
            <w:hideMark/>
          </w:tcPr>
          <w:p w:rsidR="00E807F8" w:rsidRPr="00222D84" w:rsidRDefault="00E807F8" w:rsidP="00E807F8">
            <w:pPr>
              <w:rPr>
                <w:rFonts w:asciiTheme="minorHAnsi" w:eastAsia="Times New Roman" w:hAnsiTheme="minorHAnsi"/>
                <w:b/>
                <w:bCs/>
                <w:color w:val="000000"/>
              </w:rPr>
            </w:pPr>
          </w:p>
        </w:tc>
      </w:tr>
      <w:tr w:rsidR="00E807F8" w:rsidRPr="00E84532" w:rsidTr="00E77D7B">
        <w:trPr>
          <w:trHeight w:val="362"/>
        </w:trPr>
        <w:tc>
          <w:tcPr>
            <w:tcW w:w="1173" w:type="dxa"/>
            <w:tcBorders>
              <w:top w:val="single" w:sz="8" w:space="0" w:color="auto"/>
              <w:left w:val="single" w:sz="8" w:space="0" w:color="auto"/>
              <w:bottom w:val="single" w:sz="8" w:space="0" w:color="000000"/>
              <w:right w:val="nil"/>
            </w:tcBorders>
            <w:shd w:val="clear" w:color="000000" w:fill="FFFF99"/>
            <w:vAlign w:val="center"/>
            <w:hideMark/>
          </w:tcPr>
          <w:p w:rsidR="00E807F8" w:rsidRPr="00222D84" w:rsidRDefault="00E807F8" w:rsidP="00E807F8">
            <w:pPr>
              <w:jc w:val="center"/>
              <w:rPr>
                <w:rFonts w:asciiTheme="minorHAnsi" w:eastAsia="Times New Roman" w:hAnsiTheme="minorHAnsi"/>
                <w:b/>
                <w:bCs/>
                <w:color w:val="000000"/>
              </w:rPr>
            </w:pPr>
            <w:r w:rsidRPr="00222D84">
              <w:rPr>
                <w:rFonts w:asciiTheme="minorHAnsi" w:eastAsia="Times New Roman" w:hAnsiTheme="minorHAnsi"/>
                <w:b/>
                <w:bCs/>
                <w:color w:val="000000"/>
              </w:rPr>
              <w:t>OC</w:t>
            </w:r>
          </w:p>
        </w:tc>
        <w:tc>
          <w:tcPr>
            <w:tcW w:w="5198" w:type="dxa"/>
            <w:tcBorders>
              <w:top w:val="single" w:sz="8" w:space="0" w:color="000000"/>
              <w:left w:val="single" w:sz="8" w:space="0" w:color="000000"/>
              <w:bottom w:val="single" w:sz="8" w:space="0" w:color="000000"/>
              <w:right w:val="single" w:sz="8" w:space="0" w:color="000000"/>
            </w:tcBorders>
            <w:shd w:val="clear" w:color="000000" w:fill="FFFF99"/>
            <w:vAlign w:val="center"/>
            <w:hideMark/>
          </w:tcPr>
          <w:p w:rsidR="00E807F8" w:rsidRPr="00222D84" w:rsidRDefault="00E807F8" w:rsidP="00E807F8">
            <w:pPr>
              <w:rPr>
                <w:rFonts w:asciiTheme="minorHAnsi" w:eastAsia="Times New Roman" w:hAnsiTheme="minorHAnsi"/>
                <w:b/>
                <w:bCs/>
                <w:color w:val="000000"/>
              </w:rPr>
            </w:pPr>
            <w:r w:rsidRPr="00222D84">
              <w:rPr>
                <w:rFonts w:asciiTheme="minorHAnsi" w:eastAsia="Times New Roman" w:hAnsiTheme="minorHAnsi"/>
                <w:b/>
                <w:bCs/>
                <w:color w:val="000000"/>
              </w:rPr>
              <w:t>Kostot Operacionale të Lejuara</w:t>
            </w:r>
          </w:p>
        </w:tc>
        <w:tc>
          <w:tcPr>
            <w:tcW w:w="2209" w:type="dxa"/>
            <w:tcBorders>
              <w:top w:val="nil"/>
              <w:left w:val="nil"/>
              <w:bottom w:val="nil"/>
              <w:right w:val="single" w:sz="8" w:space="0" w:color="auto"/>
            </w:tcBorders>
            <w:shd w:val="clear" w:color="000000" w:fill="FFFF99"/>
            <w:vAlign w:val="center"/>
            <w:hideMark/>
          </w:tcPr>
          <w:p w:rsidR="00E807F8" w:rsidRPr="00222D84" w:rsidRDefault="00E807F8" w:rsidP="00986558">
            <w:pPr>
              <w:jc w:val="right"/>
              <w:rPr>
                <w:rFonts w:asciiTheme="minorHAnsi" w:eastAsia="Times New Roman" w:hAnsiTheme="minorHAnsi"/>
                <w:b/>
                <w:bCs/>
                <w:color w:val="000000"/>
              </w:rPr>
            </w:pPr>
            <w:r w:rsidRPr="00222D84">
              <w:rPr>
                <w:rFonts w:asciiTheme="minorHAnsi" w:eastAsia="Times New Roman" w:hAnsiTheme="minorHAnsi"/>
                <w:b/>
                <w:bCs/>
                <w:color w:val="000000"/>
              </w:rPr>
              <w:t>4,</w:t>
            </w:r>
            <w:r w:rsidR="00FD03F7">
              <w:rPr>
                <w:rFonts w:asciiTheme="minorHAnsi" w:eastAsia="Times New Roman" w:hAnsiTheme="minorHAnsi"/>
                <w:b/>
                <w:bCs/>
                <w:color w:val="000000"/>
              </w:rPr>
              <w:t>39</w:t>
            </w:r>
            <w:r w:rsidR="00986558">
              <w:rPr>
                <w:rFonts w:asciiTheme="minorHAnsi" w:eastAsia="Times New Roman" w:hAnsiTheme="minorHAnsi"/>
                <w:b/>
                <w:bCs/>
                <w:color w:val="000000"/>
              </w:rPr>
              <w:t>8</w:t>
            </w:r>
            <w:r w:rsidRPr="00222D84">
              <w:rPr>
                <w:rFonts w:asciiTheme="minorHAnsi" w:eastAsia="Times New Roman" w:hAnsiTheme="minorHAnsi"/>
                <w:b/>
                <w:bCs/>
                <w:color w:val="000000"/>
              </w:rPr>
              <w:t>,</w:t>
            </w:r>
            <w:r w:rsidR="00986558">
              <w:rPr>
                <w:rFonts w:asciiTheme="minorHAnsi" w:eastAsia="Times New Roman" w:hAnsiTheme="minorHAnsi"/>
                <w:b/>
                <w:bCs/>
                <w:color w:val="000000"/>
              </w:rPr>
              <w:t>9</w:t>
            </w:r>
            <w:r w:rsidR="00FD03F7">
              <w:rPr>
                <w:rFonts w:asciiTheme="minorHAnsi" w:eastAsia="Times New Roman" w:hAnsiTheme="minorHAnsi"/>
                <w:b/>
                <w:bCs/>
                <w:color w:val="000000"/>
              </w:rPr>
              <w:t>0</w:t>
            </w:r>
            <w:r w:rsidR="00986558">
              <w:rPr>
                <w:rFonts w:asciiTheme="minorHAnsi" w:eastAsia="Times New Roman" w:hAnsiTheme="minorHAnsi"/>
                <w:b/>
                <w:bCs/>
                <w:color w:val="000000"/>
              </w:rPr>
              <w:t>2</w:t>
            </w:r>
          </w:p>
        </w:tc>
      </w:tr>
      <w:tr w:rsidR="00E807F8" w:rsidRPr="00E84532" w:rsidTr="00E77D7B">
        <w:trPr>
          <w:trHeight w:val="313"/>
        </w:trPr>
        <w:tc>
          <w:tcPr>
            <w:tcW w:w="1173" w:type="dxa"/>
            <w:tcBorders>
              <w:top w:val="nil"/>
              <w:left w:val="single" w:sz="8" w:space="0" w:color="auto"/>
              <w:bottom w:val="single" w:sz="8" w:space="0" w:color="auto"/>
              <w:right w:val="single" w:sz="8" w:space="0" w:color="auto"/>
            </w:tcBorders>
            <w:shd w:val="clear" w:color="000000" w:fill="FFFF99"/>
            <w:hideMark/>
          </w:tcPr>
          <w:p w:rsidR="00E807F8" w:rsidRPr="00222D84" w:rsidRDefault="00E807F8" w:rsidP="00E807F8">
            <w:pPr>
              <w:jc w:val="center"/>
              <w:rPr>
                <w:rFonts w:asciiTheme="minorHAnsi" w:eastAsia="Times New Roman" w:hAnsiTheme="minorHAnsi"/>
                <w:b/>
                <w:bCs/>
                <w:color w:val="000000"/>
              </w:rPr>
            </w:pPr>
            <w:r w:rsidRPr="00222D84">
              <w:rPr>
                <w:rFonts w:asciiTheme="minorHAnsi" w:eastAsia="Times New Roman" w:hAnsiTheme="minorHAnsi"/>
                <w:b/>
                <w:bCs/>
                <w:color w:val="000000"/>
              </w:rPr>
              <w:t>DEP</w:t>
            </w:r>
          </w:p>
        </w:tc>
        <w:tc>
          <w:tcPr>
            <w:tcW w:w="5198" w:type="dxa"/>
            <w:tcBorders>
              <w:top w:val="nil"/>
              <w:left w:val="nil"/>
              <w:bottom w:val="single" w:sz="8" w:space="0" w:color="auto"/>
              <w:right w:val="single" w:sz="8" w:space="0" w:color="auto"/>
            </w:tcBorders>
            <w:shd w:val="clear" w:color="000000" w:fill="FFFF99"/>
            <w:vAlign w:val="center"/>
            <w:hideMark/>
          </w:tcPr>
          <w:p w:rsidR="00E807F8" w:rsidRPr="00222D84" w:rsidRDefault="00E807F8" w:rsidP="00E807F8">
            <w:pPr>
              <w:rPr>
                <w:rFonts w:asciiTheme="minorHAnsi" w:eastAsia="Times New Roman" w:hAnsiTheme="minorHAnsi"/>
                <w:b/>
                <w:bCs/>
                <w:color w:val="000000"/>
              </w:rPr>
            </w:pPr>
            <w:r w:rsidRPr="00222D84">
              <w:rPr>
                <w:rFonts w:asciiTheme="minorHAnsi" w:eastAsia="Times New Roman" w:hAnsiTheme="minorHAnsi"/>
                <w:b/>
                <w:bCs/>
                <w:color w:val="000000"/>
              </w:rPr>
              <w:t>Zhvlerësimi Vjetor</w:t>
            </w:r>
          </w:p>
        </w:tc>
        <w:tc>
          <w:tcPr>
            <w:tcW w:w="2209" w:type="dxa"/>
            <w:tcBorders>
              <w:top w:val="single" w:sz="8" w:space="0" w:color="auto"/>
              <w:left w:val="nil"/>
              <w:bottom w:val="single" w:sz="8" w:space="0" w:color="auto"/>
              <w:right w:val="single" w:sz="8" w:space="0" w:color="auto"/>
            </w:tcBorders>
            <w:shd w:val="clear" w:color="000000" w:fill="FFFF99"/>
            <w:vAlign w:val="center"/>
            <w:hideMark/>
          </w:tcPr>
          <w:p w:rsidR="00E807F8" w:rsidRPr="00222D84" w:rsidRDefault="00E807F8" w:rsidP="00986558">
            <w:pPr>
              <w:jc w:val="right"/>
              <w:rPr>
                <w:rFonts w:asciiTheme="minorHAnsi" w:eastAsia="Times New Roman" w:hAnsiTheme="minorHAnsi"/>
                <w:b/>
                <w:bCs/>
                <w:color w:val="000000"/>
              </w:rPr>
            </w:pPr>
            <w:r w:rsidRPr="00222D84">
              <w:rPr>
                <w:rFonts w:asciiTheme="minorHAnsi" w:hAnsiTheme="minorHAnsi"/>
                <w:b/>
              </w:rPr>
              <w:t>1,</w:t>
            </w:r>
            <w:r w:rsidR="00986558">
              <w:rPr>
                <w:rFonts w:asciiTheme="minorHAnsi" w:hAnsiTheme="minorHAnsi"/>
                <w:b/>
              </w:rPr>
              <w:t>710</w:t>
            </w:r>
            <w:r w:rsidRPr="00222D84">
              <w:rPr>
                <w:rFonts w:asciiTheme="minorHAnsi" w:hAnsiTheme="minorHAnsi"/>
                <w:b/>
              </w:rPr>
              <w:t>,</w:t>
            </w:r>
            <w:r w:rsidR="00CF3C2C">
              <w:rPr>
                <w:rFonts w:asciiTheme="minorHAnsi" w:hAnsiTheme="minorHAnsi"/>
                <w:b/>
              </w:rPr>
              <w:t>4</w:t>
            </w:r>
            <w:r w:rsidR="00986558">
              <w:rPr>
                <w:rFonts w:asciiTheme="minorHAnsi" w:hAnsiTheme="minorHAnsi"/>
                <w:b/>
              </w:rPr>
              <w:t>30</w:t>
            </w:r>
          </w:p>
        </w:tc>
      </w:tr>
      <w:tr w:rsidR="00E807F8" w:rsidRPr="00E84532" w:rsidTr="00E77D7B">
        <w:trPr>
          <w:trHeight w:val="364"/>
        </w:trPr>
        <w:tc>
          <w:tcPr>
            <w:tcW w:w="1173" w:type="dxa"/>
            <w:tcBorders>
              <w:top w:val="nil"/>
              <w:left w:val="single" w:sz="8" w:space="0" w:color="auto"/>
              <w:bottom w:val="single" w:sz="8" w:space="0" w:color="auto"/>
              <w:right w:val="single" w:sz="8" w:space="0" w:color="auto"/>
            </w:tcBorders>
            <w:shd w:val="clear" w:color="000000" w:fill="FFFF99"/>
            <w:hideMark/>
          </w:tcPr>
          <w:p w:rsidR="00E807F8" w:rsidRPr="00222D84" w:rsidRDefault="00E807F8" w:rsidP="00E807F8">
            <w:pPr>
              <w:jc w:val="center"/>
              <w:rPr>
                <w:rFonts w:asciiTheme="minorHAnsi" w:eastAsia="Times New Roman" w:hAnsiTheme="minorHAnsi"/>
                <w:b/>
                <w:bCs/>
                <w:color w:val="000000"/>
              </w:rPr>
            </w:pPr>
            <w:r w:rsidRPr="00222D84">
              <w:rPr>
                <w:rFonts w:asciiTheme="minorHAnsi" w:eastAsia="Times New Roman" w:hAnsiTheme="minorHAnsi"/>
                <w:b/>
                <w:bCs/>
                <w:color w:val="000000"/>
              </w:rPr>
              <w:t>RTN</w:t>
            </w:r>
          </w:p>
        </w:tc>
        <w:tc>
          <w:tcPr>
            <w:tcW w:w="5198" w:type="dxa"/>
            <w:tcBorders>
              <w:top w:val="nil"/>
              <w:left w:val="nil"/>
              <w:bottom w:val="single" w:sz="8" w:space="0" w:color="auto"/>
              <w:right w:val="single" w:sz="8" w:space="0" w:color="auto"/>
            </w:tcBorders>
            <w:shd w:val="clear" w:color="000000" w:fill="FFFF99"/>
            <w:vAlign w:val="center"/>
            <w:hideMark/>
          </w:tcPr>
          <w:p w:rsidR="00E807F8" w:rsidRPr="00222D84" w:rsidRDefault="00E807F8" w:rsidP="00E807F8">
            <w:pPr>
              <w:rPr>
                <w:rFonts w:asciiTheme="minorHAnsi" w:eastAsia="Times New Roman" w:hAnsiTheme="minorHAnsi"/>
                <w:b/>
                <w:bCs/>
                <w:color w:val="000000"/>
              </w:rPr>
            </w:pPr>
            <w:r w:rsidRPr="00222D84">
              <w:rPr>
                <w:rFonts w:asciiTheme="minorHAnsi" w:eastAsia="Times New Roman" w:hAnsiTheme="minorHAnsi"/>
                <w:b/>
                <w:bCs/>
                <w:color w:val="000000"/>
              </w:rPr>
              <w:t>Kthimi i Lejuar në RAB</w:t>
            </w:r>
            <w:r w:rsidRPr="00222D84">
              <w:rPr>
                <w:rFonts w:asciiTheme="minorHAnsi" w:eastAsia="Times New Roman" w:hAnsiTheme="minorHAnsi"/>
                <w:b/>
                <w:bCs/>
                <w:color w:val="000000"/>
                <w:vertAlign w:val="subscript"/>
              </w:rPr>
              <w:t>f</w:t>
            </w:r>
          </w:p>
        </w:tc>
        <w:tc>
          <w:tcPr>
            <w:tcW w:w="2209" w:type="dxa"/>
            <w:tcBorders>
              <w:top w:val="nil"/>
              <w:left w:val="nil"/>
              <w:bottom w:val="single" w:sz="8" w:space="0" w:color="auto"/>
              <w:right w:val="single" w:sz="8" w:space="0" w:color="auto"/>
            </w:tcBorders>
            <w:shd w:val="clear" w:color="000000" w:fill="FFFF99"/>
            <w:vAlign w:val="center"/>
            <w:hideMark/>
          </w:tcPr>
          <w:p w:rsidR="00E807F8" w:rsidRPr="00222D84" w:rsidRDefault="00E807F8" w:rsidP="00986558">
            <w:pPr>
              <w:jc w:val="right"/>
              <w:rPr>
                <w:rFonts w:asciiTheme="minorHAnsi" w:eastAsia="Times New Roman" w:hAnsiTheme="minorHAnsi"/>
                <w:b/>
                <w:bCs/>
                <w:color w:val="000000"/>
              </w:rPr>
            </w:pPr>
            <w:r w:rsidRPr="00222D84">
              <w:rPr>
                <w:rFonts w:asciiTheme="minorHAnsi" w:eastAsia="Times New Roman" w:hAnsiTheme="minorHAnsi"/>
                <w:b/>
                <w:bCs/>
                <w:color w:val="000000"/>
              </w:rPr>
              <w:t>8</w:t>
            </w:r>
            <w:r w:rsidR="00986558">
              <w:rPr>
                <w:rFonts w:asciiTheme="minorHAnsi" w:eastAsia="Times New Roman" w:hAnsiTheme="minorHAnsi"/>
                <w:b/>
                <w:bCs/>
                <w:color w:val="000000"/>
              </w:rPr>
              <w:t>95</w:t>
            </w:r>
            <w:r w:rsidRPr="00222D84">
              <w:rPr>
                <w:rFonts w:asciiTheme="minorHAnsi" w:eastAsia="Times New Roman" w:hAnsiTheme="minorHAnsi"/>
                <w:b/>
                <w:bCs/>
                <w:color w:val="000000"/>
              </w:rPr>
              <w:t>,</w:t>
            </w:r>
            <w:r w:rsidR="00101A59">
              <w:rPr>
                <w:rFonts w:asciiTheme="minorHAnsi" w:eastAsia="Times New Roman" w:hAnsiTheme="minorHAnsi"/>
                <w:b/>
                <w:bCs/>
                <w:color w:val="000000"/>
              </w:rPr>
              <w:t>2</w:t>
            </w:r>
            <w:r w:rsidR="00986558">
              <w:rPr>
                <w:rFonts w:asciiTheme="minorHAnsi" w:eastAsia="Times New Roman" w:hAnsiTheme="minorHAnsi"/>
                <w:b/>
                <w:bCs/>
                <w:color w:val="000000"/>
              </w:rPr>
              <w:t>74</w:t>
            </w:r>
          </w:p>
        </w:tc>
      </w:tr>
      <w:tr w:rsidR="00E807F8" w:rsidRPr="00E84532" w:rsidTr="00E77D7B">
        <w:trPr>
          <w:trHeight w:val="378"/>
        </w:trPr>
        <w:tc>
          <w:tcPr>
            <w:tcW w:w="1173" w:type="dxa"/>
            <w:tcBorders>
              <w:top w:val="nil"/>
              <w:left w:val="single" w:sz="8" w:space="0" w:color="auto"/>
              <w:bottom w:val="single" w:sz="8" w:space="0" w:color="auto"/>
              <w:right w:val="single" w:sz="8" w:space="0" w:color="auto"/>
            </w:tcBorders>
            <w:shd w:val="clear" w:color="000000" w:fill="FFFF99"/>
            <w:hideMark/>
          </w:tcPr>
          <w:p w:rsidR="00E807F8" w:rsidRPr="00222D84" w:rsidRDefault="00E807F8" w:rsidP="00E807F8">
            <w:pPr>
              <w:jc w:val="center"/>
              <w:rPr>
                <w:rFonts w:asciiTheme="minorHAnsi" w:eastAsia="Times New Roman" w:hAnsiTheme="minorHAnsi"/>
                <w:b/>
                <w:bCs/>
                <w:color w:val="000000"/>
              </w:rPr>
            </w:pPr>
            <w:r w:rsidRPr="00222D84">
              <w:rPr>
                <w:rFonts w:asciiTheme="minorHAnsi" w:eastAsia="Times New Roman" w:hAnsiTheme="minorHAnsi"/>
                <w:b/>
                <w:bCs/>
                <w:color w:val="000000"/>
              </w:rPr>
              <w:t>LOS</w:t>
            </w:r>
          </w:p>
        </w:tc>
        <w:tc>
          <w:tcPr>
            <w:tcW w:w="5198" w:type="dxa"/>
            <w:tcBorders>
              <w:top w:val="nil"/>
              <w:left w:val="nil"/>
              <w:bottom w:val="single" w:sz="8" w:space="0" w:color="auto"/>
              <w:right w:val="single" w:sz="8" w:space="0" w:color="auto"/>
            </w:tcBorders>
            <w:shd w:val="clear" w:color="000000" w:fill="FFFF99"/>
            <w:vAlign w:val="center"/>
            <w:hideMark/>
          </w:tcPr>
          <w:p w:rsidR="00E807F8" w:rsidRPr="00222D84" w:rsidRDefault="00E807F8" w:rsidP="00E807F8">
            <w:pPr>
              <w:rPr>
                <w:rFonts w:asciiTheme="minorHAnsi" w:eastAsia="Times New Roman" w:hAnsiTheme="minorHAnsi"/>
                <w:b/>
                <w:bCs/>
                <w:color w:val="000000"/>
              </w:rPr>
            </w:pPr>
            <w:r w:rsidRPr="00222D84">
              <w:rPr>
                <w:rFonts w:asciiTheme="minorHAnsi" w:eastAsia="Times New Roman" w:hAnsiTheme="minorHAnsi"/>
                <w:b/>
                <w:bCs/>
                <w:color w:val="000000"/>
              </w:rPr>
              <w:t>Kostot e lejuara te humbjeve</w:t>
            </w:r>
          </w:p>
        </w:tc>
        <w:tc>
          <w:tcPr>
            <w:tcW w:w="2209" w:type="dxa"/>
            <w:tcBorders>
              <w:top w:val="nil"/>
              <w:left w:val="nil"/>
              <w:bottom w:val="single" w:sz="8" w:space="0" w:color="auto"/>
              <w:right w:val="single" w:sz="8" w:space="0" w:color="auto"/>
            </w:tcBorders>
            <w:shd w:val="clear" w:color="000000" w:fill="FFFF99"/>
            <w:vAlign w:val="center"/>
            <w:hideMark/>
          </w:tcPr>
          <w:p w:rsidR="00E807F8" w:rsidRPr="00222D84" w:rsidRDefault="000B3EF3" w:rsidP="00986558">
            <w:pPr>
              <w:jc w:val="right"/>
              <w:rPr>
                <w:rFonts w:asciiTheme="minorHAnsi" w:eastAsia="Times New Roman" w:hAnsiTheme="minorHAnsi"/>
                <w:b/>
                <w:bCs/>
                <w:color w:val="000000"/>
              </w:rPr>
            </w:pPr>
            <w:r>
              <w:rPr>
                <w:rFonts w:asciiTheme="minorHAnsi" w:hAnsiTheme="minorHAnsi" w:cs="Calibri"/>
                <w:b/>
                <w:bCs/>
              </w:rPr>
              <w:t>2</w:t>
            </w:r>
            <w:r w:rsidR="00986558">
              <w:rPr>
                <w:rFonts w:asciiTheme="minorHAnsi" w:hAnsiTheme="minorHAnsi" w:cs="Calibri"/>
                <w:b/>
                <w:bCs/>
              </w:rPr>
              <w:t>67</w:t>
            </w:r>
            <w:r w:rsidR="00E807F8" w:rsidRPr="00222D84">
              <w:rPr>
                <w:rFonts w:asciiTheme="minorHAnsi" w:hAnsiTheme="minorHAnsi" w:cs="Calibri"/>
                <w:b/>
                <w:bCs/>
              </w:rPr>
              <w:t>,</w:t>
            </w:r>
            <w:r w:rsidR="00FD03F7">
              <w:rPr>
                <w:rFonts w:asciiTheme="minorHAnsi" w:hAnsiTheme="minorHAnsi" w:cs="Calibri"/>
                <w:b/>
                <w:bCs/>
              </w:rPr>
              <w:t>61</w:t>
            </w:r>
            <w:r w:rsidR="00986558">
              <w:rPr>
                <w:rFonts w:asciiTheme="minorHAnsi" w:hAnsiTheme="minorHAnsi" w:cs="Calibri"/>
                <w:b/>
                <w:bCs/>
              </w:rPr>
              <w:t>4</w:t>
            </w:r>
          </w:p>
        </w:tc>
      </w:tr>
      <w:tr w:rsidR="00E807F8" w:rsidRPr="00E84532" w:rsidTr="00E77D7B">
        <w:trPr>
          <w:trHeight w:val="378"/>
        </w:trPr>
        <w:tc>
          <w:tcPr>
            <w:tcW w:w="1173" w:type="dxa"/>
            <w:tcBorders>
              <w:top w:val="nil"/>
              <w:left w:val="single" w:sz="8" w:space="0" w:color="auto"/>
              <w:bottom w:val="single" w:sz="8" w:space="0" w:color="auto"/>
              <w:right w:val="single" w:sz="8" w:space="0" w:color="auto"/>
            </w:tcBorders>
            <w:shd w:val="clear" w:color="000000" w:fill="FFFF99"/>
            <w:hideMark/>
          </w:tcPr>
          <w:p w:rsidR="00E807F8" w:rsidRPr="00222D84" w:rsidRDefault="00E807F8" w:rsidP="00E807F8">
            <w:pPr>
              <w:jc w:val="center"/>
              <w:rPr>
                <w:rFonts w:asciiTheme="minorHAnsi" w:eastAsia="Times New Roman" w:hAnsiTheme="minorHAnsi"/>
                <w:b/>
                <w:bCs/>
                <w:color w:val="000000"/>
              </w:rPr>
            </w:pPr>
            <w:r w:rsidRPr="00222D84">
              <w:rPr>
                <w:rFonts w:asciiTheme="minorHAnsi" w:eastAsia="Times New Roman" w:hAnsiTheme="minorHAnsi"/>
                <w:b/>
                <w:bCs/>
                <w:color w:val="000000"/>
              </w:rPr>
              <w:t>ADJ</w:t>
            </w:r>
          </w:p>
        </w:tc>
        <w:tc>
          <w:tcPr>
            <w:tcW w:w="5198" w:type="dxa"/>
            <w:tcBorders>
              <w:top w:val="nil"/>
              <w:left w:val="nil"/>
              <w:bottom w:val="single" w:sz="8" w:space="0" w:color="auto"/>
              <w:right w:val="single" w:sz="8" w:space="0" w:color="auto"/>
            </w:tcBorders>
            <w:shd w:val="clear" w:color="000000" w:fill="FFFF99"/>
            <w:vAlign w:val="center"/>
            <w:hideMark/>
          </w:tcPr>
          <w:p w:rsidR="00E807F8" w:rsidRPr="00222D84" w:rsidRDefault="00E807F8" w:rsidP="00E807F8">
            <w:pPr>
              <w:rPr>
                <w:rFonts w:asciiTheme="minorHAnsi" w:eastAsia="Times New Roman" w:hAnsiTheme="minorHAnsi"/>
                <w:b/>
                <w:bCs/>
                <w:color w:val="000000"/>
              </w:rPr>
            </w:pPr>
            <w:r w:rsidRPr="00222D84">
              <w:rPr>
                <w:rFonts w:asciiTheme="minorHAnsi" w:eastAsia="Times New Roman" w:hAnsiTheme="minorHAnsi"/>
                <w:b/>
                <w:bCs/>
                <w:color w:val="000000"/>
              </w:rPr>
              <w:t xml:space="preserve">Axhustimi – </w:t>
            </w:r>
            <w:r w:rsidRPr="00222D84">
              <w:rPr>
                <w:rFonts w:asciiTheme="minorHAnsi" w:eastAsia="Times New Roman" w:hAnsiTheme="minorHAnsi"/>
                <w:b/>
                <w:bCs/>
                <w:color w:val="000000"/>
                <w:sz w:val="22"/>
                <w:szCs w:val="22"/>
              </w:rPr>
              <w:t>ndryshimi mes lejimeve dhe realizimeve</w:t>
            </w:r>
            <w:r w:rsidRPr="00222D84">
              <w:rPr>
                <w:rFonts w:asciiTheme="minorHAnsi" w:eastAsia="Times New Roman" w:hAnsiTheme="minorHAnsi"/>
                <w:b/>
                <w:bCs/>
                <w:color w:val="000000"/>
              </w:rPr>
              <w:t xml:space="preserve"> </w:t>
            </w:r>
          </w:p>
        </w:tc>
        <w:tc>
          <w:tcPr>
            <w:tcW w:w="2209" w:type="dxa"/>
            <w:tcBorders>
              <w:top w:val="nil"/>
              <w:left w:val="nil"/>
              <w:bottom w:val="single" w:sz="8" w:space="0" w:color="auto"/>
              <w:right w:val="single" w:sz="8" w:space="0" w:color="auto"/>
            </w:tcBorders>
            <w:shd w:val="clear" w:color="000000" w:fill="FFFF99"/>
            <w:vAlign w:val="center"/>
            <w:hideMark/>
          </w:tcPr>
          <w:p w:rsidR="00E807F8" w:rsidRPr="00222D84" w:rsidRDefault="00E807F8" w:rsidP="00986558">
            <w:pPr>
              <w:jc w:val="right"/>
              <w:rPr>
                <w:rFonts w:asciiTheme="minorHAnsi" w:hAnsiTheme="minorHAnsi" w:cs="Calibri"/>
                <w:b/>
                <w:bCs/>
              </w:rPr>
            </w:pPr>
            <w:r w:rsidRPr="00222D84">
              <w:rPr>
                <w:rFonts w:asciiTheme="minorHAnsi" w:hAnsiTheme="minorHAnsi" w:cs="Calibri"/>
                <w:b/>
                <w:bCs/>
              </w:rPr>
              <w:t>-</w:t>
            </w:r>
            <w:r w:rsidR="00986558">
              <w:rPr>
                <w:rFonts w:asciiTheme="minorHAnsi" w:hAnsiTheme="minorHAnsi" w:cs="Calibri"/>
                <w:b/>
                <w:bCs/>
              </w:rPr>
              <w:t>311</w:t>
            </w:r>
            <w:r w:rsidRPr="00222D84">
              <w:rPr>
                <w:rFonts w:asciiTheme="minorHAnsi" w:hAnsiTheme="minorHAnsi"/>
                <w:b/>
              </w:rPr>
              <w:t>,</w:t>
            </w:r>
            <w:r w:rsidR="00986558">
              <w:rPr>
                <w:rFonts w:asciiTheme="minorHAnsi" w:hAnsiTheme="minorHAnsi"/>
                <w:b/>
              </w:rPr>
              <w:t>418</w:t>
            </w:r>
          </w:p>
        </w:tc>
      </w:tr>
      <w:tr w:rsidR="00E807F8" w:rsidRPr="00E84532" w:rsidTr="00E77D7B">
        <w:trPr>
          <w:trHeight w:val="298"/>
        </w:trPr>
        <w:tc>
          <w:tcPr>
            <w:tcW w:w="1173" w:type="dxa"/>
            <w:vMerge w:val="restart"/>
            <w:tcBorders>
              <w:top w:val="nil"/>
              <w:left w:val="single" w:sz="8" w:space="0" w:color="auto"/>
              <w:bottom w:val="single" w:sz="8" w:space="0" w:color="000000"/>
              <w:right w:val="single" w:sz="8" w:space="0" w:color="auto"/>
            </w:tcBorders>
            <w:shd w:val="clear" w:color="000000" w:fill="DBE5F1"/>
            <w:vAlign w:val="center"/>
            <w:hideMark/>
          </w:tcPr>
          <w:p w:rsidR="00E807F8" w:rsidRPr="00222D84" w:rsidRDefault="00E807F8" w:rsidP="00DF5564">
            <w:pPr>
              <w:jc w:val="center"/>
              <w:rPr>
                <w:rFonts w:asciiTheme="minorHAnsi" w:eastAsia="Times New Roman" w:hAnsiTheme="minorHAnsi"/>
                <w:b/>
                <w:bCs/>
                <w:color w:val="000000"/>
              </w:rPr>
            </w:pPr>
            <w:r w:rsidRPr="00222D84">
              <w:rPr>
                <w:rFonts w:asciiTheme="minorHAnsi" w:eastAsia="Times New Roman" w:hAnsiTheme="minorHAnsi"/>
                <w:b/>
                <w:bCs/>
                <w:color w:val="000000"/>
              </w:rPr>
              <w:t>MAR</w:t>
            </w:r>
          </w:p>
        </w:tc>
        <w:tc>
          <w:tcPr>
            <w:tcW w:w="5198" w:type="dxa"/>
            <w:vMerge w:val="restart"/>
            <w:tcBorders>
              <w:top w:val="nil"/>
              <w:left w:val="single" w:sz="8" w:space="0" w:color="auto"/>
              <w:bottom w:val="single" w:sz="8" w:space="0" w:color="000000"/>
              <w:right w:val="single" w:sz="8" w:space="0" w:color="auto"/>
            </w:tcBorders>
            <w:shd w:val="clear" w:color="000000" w:fill="DBE5F1"/>
            <w:vAlign w:val="center"/>
            <w:hideMark/>
          </w:tcPr>
          <w:p w:rsidR="00E807F8" w:rsidRPr="00222D84" w:rsidRDefault="00E807F8" w:rsidP="00DF5564">
            <w:pPr>
              <w:rPr>
                <w:rFonts w:asciiTheme="minorHAnsi" w:eastAsia="Times New Roman" w:hAnsiTheme="minorHAnsi"/>
                <w:b/>
                <w:bCs/>
                <w:color w:val="000000"/>
              </w:rPr>
            </w:pPr>
            <w:r w:rsidRPr="00222D84">
              <w:rPr>
                <w:rFonts w:asciiTheme="minorHAnsi" w:eastAsia="Times New Roman" w:hAnsiTheme="minorHAnsi"/>
                <w:b/>
                <w:bCs/>
                <w:color w:val="000000"/>
              </w:rPr>
              <w:t xml:space="preserve">Të Hyrat Maksimale të Lejuara </w:t>
            </w:r>
          </w:p>
        </w:tc>
        <w:tc>
          <w:tcPr>
            <w:tcW w:w="2209" w:type="dxa"/>
            <w:vMerge w:val="restart"/>
            <w:tcBorders>
              <w:top w:val="nil"/>
              <w:left w:val="single" w:sz="8" w:space="0" w:color="auto"/>
              <w:bottom w:val="single" w:sz="8" w:space="0" w:color="000000"/>
              <w:right w:val="single" w:sz="8" w:space="0" w:color="auto"/>
            </w:tcBorders>
            <w:shd w:val="clear" w:color="000000" w:fill="DBE5F1"/>
            <w:vAlign w:val="center"/>
            <w:hideMark/>
          </w:tcPr>
          <w:p w:rsidR="00E807F8" w:rsidRPr="00222D84" w:rsidRDefault="000B3EF3" w:rsidP="00986558">
            <w:pPr>
              <w:jc w:val="right"/>
              <w:rPr>
                <w:rFonts w:asciiTheme="minorHAnsi" w:eastAsia="Times New Roman" w:hAnsiTheme="minorHAnsi"/>
                <w:b/>
                <w:bCs/>
                <w:color w:val="000000"/>
              </w:rPr>
            </w:pPr>
            <w:r>
              <w:rPr>
                <w:rFonts w:asciiTheme="minorHAnsi" w:eastAsia="Times New Roman" w:hAnsiTheme="minorHAnsi"/>
                <w:b/>
                <w:bCs/>
                <w:color w:val="000000"/>
              </w:rPr>
              <w:fldChar w:fldCharType="begin"/>
            </w:r>
            <w:r>
              <w:rPr>
                <w:rFonts w:asciiTheme="minorHAnsi" w:eastAsia="Times New Roman" w:hAnsiTheme="minorHAnsi"/>
                <w:b/>
                <w:bCs/>
                <w:color w:val="000000"/>
              </w:rPr>
              <w:instrText xml:space="preserve"> =SUM(ABOVE) </w:instrText>
            </w:r>
            <w:r>
              <w:rPr>
                <w:rFonts w:asciiTheme="minorHAnsi" w:eastAsia="Times New Roman" w:hAnsiTheme="minorHAnsi"/>
                <w:b/>
                <w:bCs/>
                <w:color w:val="000000"/>
              </w:rPr>
              <w:fldChar w:fldCharType="separate"/>
            </w:r>
            <w:r>
              <w:rPr>
                <w:rFonts w:asciiTheme="minorHAnsi" w:eastAsia="Times New Roman" w:hAnsiTheme="minorHAnsi"/>
                <w:b/>
                <w:bCs/>
                <w:noProof/>
                <w:color w:val="000000"/>
              </w:rPr>
              <w:t>6,</w:t>
            </w:r>
            <w:r w:rsidR="00986558">
              <w:rPr>
                <w:rFonts w:asciiTheme="minorHAnsi" w:eastAsia="Times New Roman" w:hAnsiTheme="minorHAnsi"/>
                <w:b/>
                <w:bCs/>
                <w:noProof/>
                <w:color w:val="000000"/>
              </w:rPr>
              <w:t>960</w:t>
            </w:r>
            <w:r>
              <w:rPr>
                <w:rFonts w:asciiTheme="minorHAnsi" w:eastAsia="Times New Roman" w:hAnsiTheme="minorHAnsi"/>
                <w:b/>
                <w:bCs/>
                <w:noProof/>
                <w:color w:val="000000"/>
              </w:rPr>
              <w:t>,</w:t>
            </w:r>
            <w:r w:rsidR="00986558">
              <w:rPr>
                <w:rFonts w:asciiTheme="minorHAnsi" w:eastAsia="Times New Roman" w:hAnsiTheme="minorHAnsi"/>
                <w:b/>
                <w:bCs/>
                <w:noProof/>
                <w:color w:val="000000"/>
              </w:rPr>
              <w:t>8</w:t>
            </w:r>
            <w:r>
              <w:rPr>
                <w:rFonts w:asciiTheme="minorHAnsi" w:eastAsia="Times New Roman" w:hAnsiTheme="minorHAnsi"/>
                <w:b/>
                <w:bCs/>
                <w:noProof/>
                <w:color w:val="000000"/>
              </w:rPr>
              <w:t>02</w:t>
            </w:r>
            <w:r>
              <w:rPr>
                <w:rFonts w:asciiTheme="minorHAnsi" w:eastAsia="Times New Roman" w:hAnsiTheme="minorHAnsi"/>
                <w:b/>
                <w:bCs/>
                <w:color w:val="000000"/>
              </w:rPr>
              <w:fldChar w:fldCharType="end"/>
            </w:r>
          </w:p>
        </w:tc>
      </w:tr>
      <w:tr w:rsidR="00E807F8" w:rsidRPr="00E84532" w:rsidTr="00E77D7B">
        <w:trPr>
          <w:trHeight w:val="298"/>
        </w:trPr>
        <w:tc>
          <w:tcPr>
            <w:tcW w:w="1173" w:type="dxa"/>
            <w:vMerge/>
            <w:tcBorders>
              <w:top w:val="nil"/>
              <w:left w:val="single" w:sz="8" w:space="0" w:color="auto"/>
              <w:bottom w:val="single" w:sz="8" w:space="0" w:color="000000"/>
              <w:right w:val="single" w:sz="8" w:space="0" w:color="auto"/>
            </w:tcBorders>
            <w:vAlign w:val="center"/>
            <w:hideMark/>
          </w:tcPr>
          <w:p w:rsidR="00E807F8" w:rsidRPr="00E84532" w:rsidRDefault="00E807F8" w:rsidP="00E807F8">
            <w:pPr>
              <w:rPr>
                <w:rFonts w:asciiTheme="minorHAnsi" w:eastAsia="Times New Roman" w:hAnsiTheme="minorHAnsi"/>
                <w:b/>
                <w:bCs/>
                <w:color w:val="000000"/>
                <w:lang w:val="en-US"/>
              </w:rPr>
            </w:pPr>
          </w:p>
        </w:tc>
        <w:tc>
          <w:tcPr>
            <w:tcW w:w="5198" w:type="dxa"/>
            <w:vMerge/>
            <w:tcBorders>
              <w:top w:val="nil"/>
              <w:left w:val="single" w:sz="8" w:space="0" w:color="auto"/>
              <w:bottom w:val="single" w:sz="8" w:space="0" w:color="000000"/>
              <w:right w:val="single" w:sz="8" w:space="0" w:color="auto"/>
            </w:tcBorders>
            <w:vAlign w:val="center"/>
            <w:hideMark/>
          </w:tcPr>
          <w:p w:rsidR="00E807F8" w:rsidRPr="00E84532" w:rsidRDefault="00E807F8" w:rsidP="00E807F8">
            <w:pPr>
              <w:rPr>
                <w:rFonts w:asciiTheme="minorHAnsi" w:eastAsia="Times New Roman" w:hAnsiTheme="minorHAnsi"/>
                <w:b/>
                <w:bCs/>
                <w:color w:val="000000"/>
                <w:lang w:val="en-US"/>
              </w:rPr>
            </w:pPr>
          </w:p>
        </w:tc>
        <w:tc>
          <w:tcPr>
            <w:tcW w:w="2209" w:type="dxa"/>
            <w:vMerge/>
            <w:tcBorders>
              <w:top w:val="nil"/>
              <w:left w:val="single" w:sz="8" w:space="0" w:color="auto"/>
              <w:bottom w:val="single" w:sz="8" w:space="0" w:color="000000"/>
              <w:right w:val="single" w:sz="8" w:space="0" w:color="auto"/>
            </w:tcBorders>
            <w:vAlign w:val="center"/>
            <w:hideMark/>
          </w:tcPr>
          <w:p w:rsidR="00E807F8" w:rsidRPr="00E84532" w:rsidRDefault="00E807F8" w:rsidP="00E807F8">
            <w:pPr>
              <w:rPr>
                <w:rFonts w:asciiTheme="minorHAnsi" w:eastAsia="Times New Roman" w:hAnsiTheme="minorHAnsi"/>
                <w:b/>
                <w:bCs/>
                <w:color w:val="000000"/>
                <w:lang w:val="en-US"/>
              </w:rPr>
            </w:pPr>
          </w:p>
        </w:tc>
      </w:tr>
    </w:tbl>
    <w:p w:rsidR="00E807F8" w:rsidRPr="00E84532" w:rsidRDefault="00E807F8" w:rsidP="00E807F8">
      <w:pPr>
        <w:pStyle w:val="Header"/>
        <w:tabs>
          <w:tab w:val="clear" w:pos="4320"/>
          <w:tab w:val="clear" w:pos="8640"/>
        </w:tabs>
        <w:jc w:val="both"/>
        <w:rPr>
          <w:rFonts w:asciiTheme="minorHAnsi" w:hAnsiTheme="minorHAnsi"/>
          <w:sz w:val="22"/>
          <w:szCs w:val="22"/>
        </w:rPr>
      </w:pPr>
    </w:p>
    <w:p w:rsidR="00E807F8" w:rsidRPr="00E84532" w:rsidRDefault="00E807F8" w:rsidP="00B8207D">
      <w:pPr>
        <w:pStyle w:val="Header"/>
        <w:tabs>
          <w:tab w:val="clear" w:pos="4320"/>
          <w:tab w:val="clear" w:pos="8640"/>
        </w:tabs>
        <w:spacing w:after="120"/>
        <w:jc w:val="both"/>
        <w:rPr>
          <w:rFonts w:asciiTheme="minorHAnsi" w:hAnsiTheme="minorHAnsi"/>
          <w:sz w:val="22"/>
        </w:rPr>
      </w:pPr>
      <w:r w:rsidRPr="00E84532">
        <w:rPr>
          <w:rFonts w:asciiTheme="minorHAnsi" w:hAnsiTheme="minorHAnsi"/>
          <w:sz w:val="22"/>
        </w:rPr>
        <w:t>Për të qenë në përputhshmëri me strukturën tarifore, që parasheh ndarjen në komponentën për kapacitetin termik (komponent</w:t>
      </w:r>
      <w:r w:rsidR="00797A55">
        <w:rPr>
          <w:rFonts w:asciiTheme="minorHAnsi" w:hAnsiTheme="minorHAnsi"/>
          <w:sz w:val="22"/>
        </w:rPr>
        <w:t>i</w:t>
      </w:r>
      <w:r w:rsidRPr="00E84532">
        <w:rPr>
          <w:rFonts w:asciiTheme="minorHAnsi" w:hAnsiTheme="minorHAnsi"/>
          <w:sz w:val="22"/>
        </w:rPr>
        <w:t xml:space="preserve"> fiks) dhe në komponentën e sasisë së energjisë termike (komponent</w:t>
      </w:r>
      <w:r w:rsidR="00797A55">
        <w:rPr>
          <w:rFonts w:asciiTheme="minorHAnsi" w:hAnsiTheme="minorHAnsi"/>
          <w:sz w:val="22"/>
        </w:rPr>
        <w:t>i</w:t>
      </w:r>
      <w:r w:rsidRPr="00E84532">
        <w:rPr>
          <w:rFonts w:asciiTheme="minorHAnsi" w:hAnsiTheme="minorHAnsi"/>
          <w:sz w:val="22"/>
        </w:rPr>
        <w:t xml:space="preserve"> variabil), ndarja e MAR-it bëhet sipas proporcionit: pjesa fikse 15% dhe pjesa variabile 85%. Rrjedhimisht ndarja e MAR-it në pjesën fikse dhe variabile për sezonin e ngrohjes 20</w:t>
      </w:r>
      <w:r w:rsidR="00986558">
        <w:rPr>
          <w:rFonts w:asciiTheme="minorHAnsi" w:hAnsiTheme="minorHAnsi"/>
          <w:sz w:val="22"/>
        </w:rPr>
        <w:t>20</w:t>
      </w:r>
      <w:r w:rsidRPr="00E84532">
        <w:rPr>
          <w:rFonts w:asciiTheme="minorHAnsi" w:hAnsiTheme="minorHAnsi"/>
          <w:sz w:val="22"/>
        </w:rPr>
        <w:t>/20</w:t>
      </w:r>
      <w:r w:rsidR="00BE3EA5">
        <w:rPr>
          <w:rFonts w:asciiTheme="minorHAnsi" w:hAnsiTheme="minorHAnsi"/>
          <w:sz w:val="22"/>
        </w:rPr>
        <w:t>2</w:t>
      </w:r>
      <w:r w:rsidR="00986558">
        <w:rPr>
          <w:rFonts w:asciiTheme="minorHAnsi" w:hAnsiTheme="minorHAnsi"/>
          <w:sz w:val="22"/>
        </w:rPr>
        <w:t>1</w:t>
      </w:r>
      <w:r w:rsidRPr="00E84532">
        <w:rPr>
          <w:rFonts w:asciiTheme="minorHAnsi" w:hAnsiTheme="minorHAnsi"/>
          <w:sz w:val="22"/>
        </w:rPr>
        <w:t xml:space="preserve"> është si vijon:</w:t>
      </w:r>
    </w:p>
    <w:p w:rsidR="00E807F8" w:rsidRPr="00745B89" w:rsidRDefault="00E807F8" w:rsidP="00E807F8">
      <w:pPr>
        <w:pStyle w:val="Header"/>
        <w:tabs>
          <w:tab w:val="clear" w:pos="4320"/>
          <w:tab w:val="clear" w:pos="8640"/>
        </w:tabs>
        <w:rPr>
          <w:rFonts w:asciiTheme="minorHAnsi" w:hAnsiTheme="minorHAnsi"/>
          <w:bCs/>
        </w:rPr>
      </w:pPr>
      <w:r w:rsidRPr="00745B89">
        <w:rPr>
          <w:rFonts w:asciiTheme="minorHAnsi" w:hAnsiTheme="minorHAnsi"/>
          <w:b/>
          <w:bCs/>
        </w:rPr>
        <w:t>Pjesa fikse e të Hyrave Maksimale të Lejuara (MAR</w:t>
      </w:r>
      <w:r w:rsidRPr="00745B89">
        <w:rPr>
          <w:rFonts w:asciiTheme="minorHAnsi" w:hAnsiTheme="minorHAnsi"/>
          <w:b/>
          <w:bCs/>
          <w:vertAlign w:val="subscript"/>
        </w:rPr>
        <w:t>F</w:t>
      </w:r>
      <w:r w:rsidRPr="00745B89">
        <w:rPr>
          <w:rFonts w:asciiTheme="minorHAnsi" w:hAnsiTheme="minorHAnsi"/>
          <w:b/>
          <w:bCs/>
        </w:rPr>
        <w:t>)</w:t>
      </w:r>
      <w:r w:rsidRPr="00745B89">
        <w:rPr>
          <w:rFonts w:asciiTheme="minorHAnsi" w:hAnsiTheme="minorHAnsi"/>
          <w:b/>
          <w:bCs/>
        </w:rPr>
        <w:tab/>
      </w:r>
      <w:r w:rsidR="00FD03F7" w:rsidRPr="00745B89">
        <w:rPr>
          <w:rFonts w:asciiTheme="minorHAnsi" w:hAnsiTheme="minorHAnsi"/>
          <w:b/>
          <w:bCs/>
        </w:rPr>
        <w:t xml:space="preserve">   </w:t>
      </w:r>
      <w:r w:rsidR="00986558" w:rsidRPr="00745B89">
        <w:rPr>
          <w:rFonts w:asciiTheme="minorHAnsi" w:hAnsiTheme="minorHAnsi"/>
          <w:b/>
          <w:bCs/>
        </w:rPr>
        <w:t>1,</w:t>
      </w:r>
      <w:r w:rsidR="00B4402D" w:rsidRPr="00745B89">
        <w:rPr>
          <w:rFonts w:asciiTheme="minorHAnsi" w:hAnsiTheme="minorHAnsi"/>
          <w:b/>
          <w:bCs/>
        </w:rPr>
        <w:t>0</w:t>
      </w:r>
      <w:r w:rsidR="00986558" w:rsidRPr="00745B89">
        <w:rPr>
          <w:rFonts w:asciiTheme="minorHAnsi" w:hAnsiTheme="minorHAnsi"/>
          <w:b/>
          <w:bCs/>
        </w:rPr>
        <w:t>44</w:t>
      </w:r>
      <w:r w:rsidR="00133E11" w:rsidRPr="00745B89">
        <w:rPr>
          <w:rFonts w:asciiTheme="minorHAnsi" w:hAnsiTheme="minorHAnsi"/>
          <w:b/>
          <w:bCs/>
        </w:rPr>
        <w:t>,</w:t>
      </w:r>
      <w:r w:rsidR="00986558" w:rsidRPr="00745B89">
        <w:rPr>
          <w:rFonts w:asciiTheme="minorHAnsi" w:hAnsiTheme="minorHAnsi"/>
          <w:b/>
          <w:bCs/>
        </w:rPr>
        <w:t>120</w:t>
      </w:r>
      <w:r w:rsidRPr="00745B89">
        <w:rPr>
          <w:rFonts w:asciiTheme="minorHAnsi" w:hAnsiTheme="minorHAnsi"/>
          <w:b/>
          <w:bCs/>
        </w:rPr>
        <w:t xml:space="preserve"> €</w:t>
      </w:r>
      <w:r w:rsidRPr="00745B89">
        <w:rPr>
          <w:rFonts w:asciiTheme="minorHAnsi" w:hAnsiTheme="minorHAnsi"/>
          <w:bCs/>
        </w:rPr>
        <w:t>; dhe</w:t>
      </w:r>
    </w:p>
    <w:p w:rsidR="00E807F8" w:rsidRPr="00E84532" w:rsidRDefault="00E807F8" w:rsidP="00E807F8">
      <w:pPr>
        <w:pStyle w:val="Header"/>
        <w:tabs>
          <w:tab w:val="clear" w:pos="4320"/>
          <w:tab w:val="clear" w:pos="8640"/>
        </w:tabs>
        <w:rPr>
          <w:rFonts w:asciiTheme="minorHAnsi" w:hAnsiTheme="minorHAnsi"/>
          <w:b/>
        </w:rPr>
      </w:pPr>
      <w:r w:rsidRPr="00745B89">
        <w:rPr>
          <w:rFonts w:asciiTheme="minorHAnsi" w:hAnsiTheme="minorHAnsi"/>
          <w:b/>
        </w:rPr>
        <w:t xml:space="preserve">Pjesa variabile e </w:t>
      </w:r>
      <w:r w:rsidRPr="00745B89">
        <w:rPr>
          <w:rFonts w:asciiTheme="minorHAnsi" w:hAnsiTheme="minorHAnsi"/>
          <w:b/>
          <w:bCs/>
        </w:rPr>
        <w:t xml:space="preserve">të Hyrave të Lejuara </w:t>
      </w:r>
      <w:r w:rsidRPr="00745B89">
        <w:rPr>
          <w:rFonts w:asciiTheme="minorHAnsi" w:hAnsiTheme="minorHAnsi"/>
          <w:b/>
        </w:rPr>
        <w:t xml:space="preserve">(MARv)           </w:t>
      </w:r>
      <w:r w:rsidRPr="00745B89">
        <w:rPr>
          <w:rFonts w:asciiTheme="minorHAnsi" w:hAnsiTheme="minorHAnsi"/>
          <w:b/>
        </w:rPr>
        <w:tab/>
      </w:r>
      <w:r w:rsidR="00745B89" w:rsidRPr="00745B89">
        <w:rPr>
          <w:rFonts w:asciiTheme="minorHAnsi" w:hAnsiTheme="minorHAnsi"/>
          <w:b/>
        </w:rPr>
        <w:t xml:space="preserve">   </w:t>
      </w:r>
      <w:r w:rsidRPr="00745B89">
        <w:rPr>
          <w:rFonts w:asciiTheme="minorHAnsi" w:hAnsiTheme="minorHAnsi"/>
          <w:b/>
        </w:rPr>
        <w:t>5,</w:t>
      </w:r>
      <w:r w:rsidR="00745B89" w:rsidRPr="00745B89">
        <w:rPr>
          <w:rFonts w:asciiTheme="minorHAnsi" w:hAnsiTheme="minorHAnsi"/>
          <w:b/>
        </w:rPr>
        <w:t>9</w:t>
      </w:r>
      <w:r w:rsidR="00B4402D" w:rsidRPr="00745B89">
        <w:rPr>
          <w:rFonts w:asciiTheme="minorHAnsi" w:hAnsiTheme="minorHAnsi"/>
          <w:b/>
        </w:rPr>
        <w:t>1</w:t>
      </w:r>
      <w:r w:rsidR="00745B89" w:rsidRPr="00745B89">
        <w:rPr>
          <w:rFonts w:asciiTheme="minorHAnsi" w:hAnsiTheme="minorHAnsi"/>
          <w:b/>
        </w:rPr>
        <w:t>6</w:t>
      </w:r>
      <w:r w:rsidR="00101A59" w:rsidRPr="00745B89">
        <w:rPr>
          <w:rFonts w:asciiTheme="minorHAnsi" w:hAnsiTheme="minorHAnsi"/>
          <w:b/>
        </w:rPr>
        <w:t>,</w:t>
      </w:r>
      <w:r w:rsidR="00FD03F7" w:rsidRPr="00745B89">
        <w:rPr>
          <w:rFonts w:asciiTheme="minorHAnsi" w:hAnsiTheme="minorHAnsi"/>
          <w:b/>
        </w:rPr>
        <w:t>6</w:t>
      </w:r>
      <w:r w:rsidR="00745B89" w:rsidRPr="00745B89">
        <w:rPr>
          <w:rFonts w:asciiTheme="minorHAnsi" w:hAnsiTheme="minorHAnsi"/>
          <w:b/>
        </w:rPr>
        <w:t>82</w:t>
      </w:r>
      <w:r w:rsidRPr="00745B89">
        <w:rPr>
          <w:rFonts w:asciiTheme="minorHAnsi" w:hAnsiTheme="minorHAnsi"/>
          <w:b/>
        </w:rPr>
        <w:t xml:space="preserve"> €.</w:t>
      </w:r>
      <w:r w:rsidRPr="00E84532">
        <w:rPr>
          <w:rFonts w:asciiTheme="minorHAnsi" w:hAnsiTheme="minorHAnsi"/>
          <w:sz w:val="22"/>
          <w:szCs w:val="22"/>
        </w:rPr>
        <w:tab/>
        <w:t xml:space="preserve"> </w:t>
      </w:r>
    </w:p>
    <w:p w:rsidR="00E807F8" w:rsidRPr="000C6431" w:rsidRDefault="00954DC8" w:rsidP="00E77D7B">
      <w:pPr>
        <w:pStyle w:val="Heading1"/>
        <w:tabs>
          <w:tab w:val="clear" w:pos="2340"/>
          <w:tab w:val="num" w:pos="1620"/>
        </w:tabs>
        <w:ind w:left="720"/>
        <w:rPr>
          <w:color w:val="000000" w:themeColor="text1"/>
        </w:rPr>
      </w:pPr>
      <w:r w:rsidRPr="000C6431">
        <w:rPr>
          <w:color w:val="000000" w:themeColor="text1"/>
        </w:rPr>
        <w:t xml:space="preserve"> </w:t>
      </w:r>
      <w:bookmarkStart w:id="155" w:name="_Toc21513559"/>
      <w:bookmarkStart w:id="156" w:name="_Toc21514389"/>
      <w:bookmarkStart w:id="157" w:name="_Toc21521396"/>
      <w:r w:rsidR="00E807F8" w:rsidRPr="000C6431">
        <w:rPr>
          <w:color w:val="000000" w:themeColor="text1"/>
        </w:rPr>
        <w:t>Bilanci i Energjisë Termike</w:t>
      </w:r>
      <w:bookmarkEnd w:id="155"/>
      <w:bookmarkEnd w:id="156"/>
      <w:bookmarkEnd w:id="157"/>
    </w:p>
    <w:p w:rsidR="00E807F8" w:rsidRPr="00E84532" w:rsidRDefault="00E807F8" w:rsidP="00E807F8">
      <w:pPr>
        <w:pStyle w:val="Header"/>
        <w:tabs>
          <w:tab w:val="clear" w:pos="4320"/>
          <w:tab w:val="clear" w:pos="8640"/>
        </w:tabs>
        <w:rPr>
          <w:rFonts w:asciiTheme="minorHAnsi" w:hAnsiTheme="minorHAnsi"/>
          <w:b/>
          <w:sz w:val="22"/>
          <w:szCs w:val="22"/>
        </w:rPr>
      </w:pPr>
    </w:p>
    <w:p w:rsidR="00E807F8" w:rsidRPr="00E84532" w:rsidRDefault="00E807F8" w:rsidP="00E807F8">
      <w:pPr>
        <w:pStyle w:val="Header"/>
        <w:tabs>
          <w:tab w:val="clear" w:pos="4320"/>
          <w:tab w:val="clear" w:pos="8640"/>
        </w:tabs>
        <w:jc w:val="both"/>
        <w:rPr>
          <w:rFonts w:asciiTheme="minorHAnsi" w:hAnsiTheme="minorHAnsi"/>
          <w:sz w:val="22"/>
          <w:szCs w:val="22"/>
        </w:rPr>
      </w:pPr>
      <w:r w:rsidRPr="00E84532">
        <w:rPr>
          <w:rFonts w:asciiTheme="minorHAnsi" w:hAnsiTheme="minorHAnsi"/>
          <w:sz w:val="22"/>
          <w:szCs w:val="22"/>
        </w:rPr>
        <w:t xml:space="preserve">Bilanci i energjisë termike është një komponentë </w:t>
      </w:r>
      <w:r w:rsidR="004A2B83" w:rsidRPr="00E84532">
        <w:rPr>
          <w:rFonts w:asciiTheme="minorHAnsi" w:hAnsiTheme="minorHAnsi"/>
          <w:sz w:val="22"/>
          <w:szCs w:val="22"/>
        </w:rPr>
        <w:t>mjaft</w:t>
      </w:r>
      <w:r w:rsidRPr="00E84532">
        <w:rPr>
          <w:rFonts w:asciiTheme="minorHAnsi" w:hAnsiTheme="minorHAnsi"/>
          <w:sz w:val="22"/>
          <w:szCs w:val="22"/>
        </w:rPr>
        <w:t xml:space="preserve"> e rëndësishme në shqyrtimin tarifor sepse përcakt</w:t>
      </w:r>
      <w:r w:rsidR="00B8207D">
        <w:rPr>
          <w:rFonts w:asciiTheme="minorHAnsi" w:hAnsiTheme="minorHAnsi"/>
          <w:sz w:val="22"/>
          <w:szCs w:val="22"/>
        </w:rPr>
        <w:t>ohen projeksionet për prodhimin</w:t>
      </w:r>
      <w:r w:rsidRPr="00E84532">
        <w:rPr>
          <w:rFonts w:asciiTheme="minorHAnsi" w:hAnsiTheme="minorHAnsi"/>
          <w:sz w:val="22"/>
          <w:szCs w:val="22"/>
        </w:rPr>
        <w:t xml:space="preserve">/blerjet e energjisë termike, humbjet në rrjet dhe përfundimisht furnizimin e konsumatorëve. Për këtë arsye projeksionet në Bilanc janë me ndikim në planifikimin e kostove respektive, dhe rrjedhimisht me ndikim në përcaktimin e të Hyrave të lejuara dhe tarifave. </w:t>
      </w:r>
    </w:p>
    <w:p w:rsidR="00E807F8" w:rsidRPr="00E84532" w:rsidRDefault="00E807F8" w:rsidP="00E807F8">
      <w:pPr>
        <w:pStyle w:val="Header"/>
        <w:tabs>
          <w:tab w:val="clear" w:pos="4320"/>
          <w:tab w:val="clear" w:pos="8640"/>
        </w:tabs>
        <w:jc w:val="both"/>
        <w:rPr>
          <w:rFonts w:asciiTheme="minorHAnsi" w:hAnsiTheme="minorHAnsi"/>
          <w:sz w:val="22"/>
          <w:szCs w:val="22"/>
        </w:rPr>
      </w:pPr>
      <w:r w:rsidRPr="00E84532">
        <w:rPr>
          <w:rFonts w:asciiTheme="minorHAnsi" w:hAnsiTheme="minorHAnsi"/>
          <w:sz w:val="22"/>
          <w:szCs w:val="22"/>
        </w:rPr>
        <w:t xml:space="preserve">Në vijim në forma tabelare dhe grafike janë paraqitur të përmbledhur </w:t>
      </w:r>
      <w:r w:rsidR="004A2B83" w:rsidRPr="00E84532">
        <w:rPr>
          <w:rFonts w:asciiTheme="minorHAnsi" w:hAnsiTheme="minorHAnsi"/>
          <w:sz w:val="22"/>
          <w:szCs w:val="22"/>
        </w:rPr>
        <w:t>komponentët</w:t>
      </w:r>
      <w:r w:rsidRPr="00E84532">
        <w:rPr>
          <w:rFonts w:asciiTheme="minorHAnsi" w:hAnsiTheme="minorHAnsi"/>
          <w:sz w:val="22"/>
          <w:szCs w:val="22"/>
        </w:rPr>
        <w:t xml:space="preserve"> e Bilancit të energjisë termike për NQ Termokos për sezonin 20</w:t>
      </w:r>
      <w:r w:rsidR="001302E4">
        <w:rPr>
          <w:rFonts w:asciiTheme="minorHAnsi" w:hAnsiTheme="minorHAnsi"/>
          <w:sz w:val="22"/>
          <w:szCs w:val="22"/>
        </w:rPr>
        <w:t>20</w:t>
      </w:r>
      <w:r w:rsidRPr="00E84532">
        <w:rPr>
          <w:rFonts w:asciiTheme="minorHAnsi" w:hAnsiTheme="minorHAnsi"/>
          <w:sz w:val="22"/>
          <w:szCs w:val="22"/>
        </w:rPr>
        <w:t>/20</w:t>
      </w:r>
      <w:r w:rsidR="001302E4">
        <w:rPr>
          <w:rFonts w:asciiTheme="minorHAnsi" w:hAnsiTheme="minorHAnsi"/>
          <w:sz w:val="22"/>
          <w:szCs w:val="22"/>
        </w:rPr>
        <w:t>21</w:t>
      </w:r>
      <w:r w:rsidRPr="00E84532">
        <w:rPr>
          <w:rFonts w:asciiTheme="minorHAnsi" w:hAnsiTheme="minorHAnsi"/>
          <w:sz w:val="22"/>
          <w:szCs w:val="22"/>
        </w:rPr>
        <w:t>.</w:t>
      </w:r>
    </w:p>
    <w:p w:rsidR="00D93ED4" w:rsidRDefault="00D93ED4" w:rsidP="00E807F8">
      <w:pPr>
        <w:pStyle w:val="Header"/>
        <w:tabs>
          <w:tab w:val="clear" w:pos="4320"/>
          <w:tab w:val="clear" w:pos="8640"/>
        </w:tabs>
        <w:jc w:val="both"/>
        <w:rPr>
          <w:rFonts w:asciiTheme="minorHAnsi" w:hAnsiTheme="minorHAnsi"/>
          <w:sz w:val="22"/>
          <w:szCs w:val="22"/>
        </w:rPr>
      </w:pPr>
    </w:p>
    <w:p w:rsidR="00E807F8" w:rsidRPr="00DE5B8F" w:rsidRDefault="00E807F8" w:rsidP="006122E6">
      <w:pPr>
        <w:pStyle w:val="Heading3"/>
      </w:pPr>
      <w:bookmarkStart w:id="158" w:name="_Toc21513178"/>
      <w:bookmarkStart w:id="159" w:name="_Toc21514390"/>
      <w:bookmarkStart w:id="160" w:name="_Toc21514467"/>
      <w:bookmarkStart w:id="161" w:name="_Toc21514874"/>
      <w:bookmarkStart w:id="162" w:name="_Toc21515574"/>
      <w:bookmarkStart w:id="163" w:name="_Toc21521397"/>
      <w:r w:rsidRPr="00DE5B8F">
        <w:t xml:space="preserve">Tabela </w:t>
      </w:r>
      <w:r w:rsidR="00745B89">
        <w:t>7</w:t>
      </w:r>
      <w:r w:rsidRPr="00DE5B8F">
        <w:t>: Përmbledhje e Bilancit të energjisë termike</w:t>
      </w:r>
      <w:bookmarkEnd w:id="158"/>
      <w:bookmarkEnd w:id="159"/>
      <w:bookmarkEnd w:id="160"/>
      <w:bookmarkEnd w:id="161"/>
      <w:bookmarkEnd w:id="162"/>
      <w:bookmarkEnd w:id="163"/>
    </w:p>
    <w:tbl>
      <w:tblPr>
        <w:tblW w:w="9094" w:type="dxa"/>
        <w:tblCellMar>
          <w:left w:w="0" w:type="dxa"/>
          <w:right w:w="0" w:type="dxa"/>
        </w:tblCellMar>
        <w:tblLook w:val="04A0" w:firstRow="1" w:lastRow="0" w:firstColumn="1" w:lastColumn="0" w:noHBand="0" w:noVBand="1"/>
      </w:tblPr>
      <w:tblGrid>
        <w:gridCol w:w="5751"/>
        <w:gridCol w:w="682"/>
        <w:gridCol w:w="1443"/>
        <w:gridCol w:w="1218"/>
      </w:tblGrid>
      <w:tr w:rsidR="00E807F8" w:rsidRPr="00E84532" w:rsidTr="00406802">
        <w:trPr>
          <w:trHeight w:val="442"/>
        </w:trPr>
        <w:tc>
          <w:tcPr>
            <w:tcW w:w="6433" w:type="dxa"/>
            <w:gridSpan w:val="2"/>
            <w:tcBorders>
              <w:top w:val="single" w:sz="8" w:space="0" w:color="000000"/>
              <w:left w:val="single" w:sz="8" w:space="0" w:color="000000"/>
              <w:bottom w:val="single" w:sz="8" w:space="0" w:color="000000"/>
              <w:right w:val="single" w:sz="8" w:space="0" w:color="000000"/>
            </w:tcBorders>
            <w:shd w:val="clear" w:color="000000" w:fill="B8CCE4"/>
            <w:noWrap/>
            <w:vAlign w:val="center"/>
            <w:hideMark/>
          </w:tcPr>
          <w:p w:rsidR="00E807F8" w:rsidRPr="00E84532" w:rsidRDefault="00E807F8" w:rsidP="001D2628">
            <w:pPr>
              <w:jc w:val="center"/>
              <w:rPr>
                <w:rFonts w:asciiTheme="minorHAnsi" w:hAnsiTheme="minorHAnsi"/>
                <w:b/>
                <w:bCs/>
                <w:color w:val="000000"/>
                <w:sz w:val="22"/>
                <w:szCs w:val="22"/>
              </w:rPr>
            </w:pPr>
            <w:r w:rsidRPr="00E84532">
              <w:rPr>
                <w:rFonts w:asciiTheme="minorHAnsi" w:hAnsiTheme="minorHAnsi"/>
                <w:b/>
                <w:bCs/>
                <w:color w:val="000000"/>
                <w:sz w:val="22"/>
                <w:szCs w:val="22"/>
              </w:rPr>
              <w:t>Balanca e Energjise Termike - NQ Termokos sez. 20</w:t>
            </w:r>
            <w:r w:rsidR="001D2628">
              <w:rPr>
                <w:rFonts w:asciiTheme="minorHAnsi" w:hAnsiTheme="minorHAnsi"/>
                <w:b/>
                <w:bCs/>
                <w:color w:val="000000"/>
                <w:sz w:val="22"/>
                <w:szCs w:val="22"/>
              </w:rPr>
              <w:t>20</w:t>
            </w:r>
            <w:r w:rsidRPr="00E84532">
              <w:rPr>
                <w:rFonts w:asciiTheme="minorHAnsi" w:hAnsiTheme="minorHAnsi"/>
                <w:b/>
                <w:bCs/>
                <w:color w:val="000000"/>
                <w:sz w:val="22"/>
                <w:szCs w:val="22"/>
              </w:rPr>
              <w:t>/20</w:t>
            </w:r>
            <w:r w:rsidR="00D030E1">
              <w:rPr>
                <w:rFonts w:asciiTheme="minorHAnsi" w:hAnsiTheme="minorHAnsi"/>
                <w:b/>
                <w:bCs/>
                <w:color w:val="000000"/>
                <w:sz w:val="22"/>
                <w:szCs w:val="22"/>
              </w:rPr>
              <w:t>2</w:t>
            </w:r>
            <w:r w:rsidR="001D2628">
              <w:rPr>
                <w:rFonts w:asciiTheme="minorHAnsi" w:hAnsiTheme="minorHAnsi"/>
                <w:b/>
                <w:bCs/>
                <w:color w:val="000000"/>
                <w:sz w:val="22"/>
                <w:szCs w:val="22"/>
              </w:rPr>
              <w:t>1</w:t>
            </w:r>
          </w:p>
        </w:tc>
        <w:tc>
          <w:tcPr>
            <w:tcW w:w="1443" w:type="dxa"/>
            <w:tcBorders>
              <w:top w:val="single" w:sz="8" w:space="0" w:color="000000"/>
              <w:left w:val="nil"/>
              <w:bottom w:val="single" w:sz="8" w:space="0" w:color="000000"/>
              <w:right w:val="single" w:sz="8" w:space="0" w:color="000000"/>
            </w:tcBorders>
            <w:shd w:val="clear" w:color="000000" w:fill="B8CCE4"/>
            <w:vAlign w:val="bottom"/>
            <w:hideMark/>
          </w:tcPr>
          <w:p w:rsidR="00E807F8" w:rsidRPr="00E84532" w:rsidRDefault="00E807F8" w:rsidP="00E807F8">
            <w:pPr>
              <w:jc w:val="center"/>
              <w:rPr>
                <w:rFonts w:asciiTheme="minorHAnsi" w:hAnsiTheme="minorHAnsi"/>
                <w:b/>
                <w:bCs/>
                <w:color w:val="000000"/>
                <w:sz w:val="22"/>
                <w:szCs w:val="22"/>
              </w:rPr>
            </w:pPr>
            <w:r w:rsidRPr="00E84532">
              <w:rPr>
                <w:rFonts w:asciiTheme="minorHAnsi" w:hAnsiTheme="minorHAnsi"/>
                <w:b/>
                <w:bCs/>
                <w:color w:val="000000"/>
                <w:sz w:val="22"/>
                <w:szCs w:val="22"/>
              </w:rPr>
              <w:t xml:space="preserve">Propozuar nga NQ Termokos </w:t>
            </w:r>
          </w:p>
        </w:tc>
        <w:tc>
          <w:tcPr>
            <w:tcW w:w="1218" w:type="dxa"/>
            <w:tcBorders>
              <w:top w:val="single" w:sz="8" w:space="0" w:color="000000"/>
              <w:left w:val="nil"/>
              <w:bottom w:val="single" w:sz="8" w:space="0" w:color="000000"/>
              <w:right w:val="single" w:sz="8" w:space="0" w:color="000000"/>
            </w:tcBorders>
            <w:shd w:val="clear" w:color="000000" w:fill="B8CCE4"/>
            <w:vAlign w:val="bottom"/>
            <w:hideMark/>
          </w:tcPr>
          <w:p w:rsidR="00E807F8" w:rsidRPr="00E84532" w:rsidRDefault="00E807F8" w:rsidP="00E807F8">
            <w:pPr>
              <w:jc w:val="center"/>
              <w:rPr>
                <w:rFonts w:asciiTheme="minorHAnsi" w:hAnsiTheme="minorHAnsi"/>
                <w:b/>
                <w:bCs/>
                <w:color w:val="000000"/>
                <w:sz w:val="22"/>
                <w:szCs w:val="22"/>
              </w:rPr>
            </w:pPr>
            <w:r w:rsidRPr="00E84532">
              <w:rPr>
                <w:rFonts w:asciiTheme="minorHAnsi" w:hAnsiTheme="minorHAnsi"/>
                <w:b/>
                <w:bCs/>
                <w:color w:val="000000"/>
                <w:sz w:val="22"/>
                <w:szCs w:val="22"/>
              </w:rPr>
              <w:t>Lejuar  nga ZRRE</w:t>
            </w:r>
          </w:p>
        </w:tc>
      </w:tr>
      <w:tr w:rsidR="00E807F8" w:rsidRPr="00E84532" w:rsidTr="00406802">
        <w:trPr>
          <w:trHeight w:val="236"/>
        </w:trPr>
        <w:tc>
          <w:tcPr>
            <w:tcW w:w="0" w:type="auto"/>
            <w:tcBorders>
              <w:top w:val="nil"/>
              <w:left w:val="single" w:sz="8" w:space="0" w:color="000000"/>
              <w:bottom w:val="single" w:sz="8" w:space="0" w:color="000000"/>
              <w:right w:val="single" w:sz="8" w:space="0" w:color="000000"/>
            </w:tcBorders>
            <w:shd w:val="clear" w:color="000000" w:fill="FFFFCC"/>
            <w:noWrap/>
            <w:vAlign w:val="center"/>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Bruto Prodhimi i En. Term.</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807F8" w:rsidP="00D030E1">
            <w:pPr>
              <w:jc w:val="right"/>
              <w:rPr>
                <w:rFonts w:asciiTheme="minorHAnsi" w:hAnsiTheme="minorHAnsi"/>
                <w:color w:val="000000"/>
                <w:sz w:val="22"/>
                <w:szCs w:val="22"/>
              </w:rPr>
            </w:pPr>
            <w:r w:rsidRPr="00E84532">
              <w:rPr>
                <w:rFonts w:asciiTheme="minorHAnsi" w:hAnsiTheme="minorHAnsi"/>
                <w:color w:val="000000"/>
                <w:sz w:val="22"/>
                <w:szCs w:val="22"/>
              </w:rPr>
              <w:t xml:space="preserve">                </w:t>
            </w:r>
            <w:r w:rsidR="00D030E1">
              <w:rPr>
                <w:rFonts w:asciiTheme="minorHAnsi" w:hAnsiTheme="minorHAnsi"/>
                <w:color w:val="000000"/>
                <w:sz w:val="22"/>
                <w:szCs w:val="22"/>
              </w:rPr>
              <w:t>6</w:t>
            </w:r>
            <w:r w:rsidRPr="00E84532">
              <w:rPr>
                <w:rFonts w:asciiTheme="minorHAnsi" w:hAnsiTheme="minorHAnsi"/>
                <w:color w:val="000000"/>
                <w:sz w:val="22"/>
                <w:szCs w:val="22"/>
              </w:rPr>
              <w:t>,</w:t>
            </w:r>
            <w:r w:rsidR="00D030E1">
              <w:rPr>
                <w:rFonts w:asciiTheme="minorHAnsi" w:hAnsiTheme="minorHAnsi"/>
                <w:color w:val="000000"/>
                <w:sz w:val="22"/>
                <w:szCs w:val="22"/>
              </w:rPr>
              <w:t>82</w:t>
            </w:r>
            <w:r w:rsidRPr="00E84532">
              <w:rPr>
                <w:rFonts w:asciiTheme="minorHAnsi" w:hAnsiTheme="minorHAnsi"/>
                <w:color w:val="000000"/>
                <w:sz w:val="22"/>
                <w:szCs w:val="22"/>
              </w:rPr>
              <w:t xml:space="preserve">0 </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D030E1" w:rsidP="00D030E1">
            <w:pPr>
              <w:jc w:val="right"/>
              <w:rPr>
                <w:rFonts w:asciiTheme="minorHAnsi" w:hAnsiTheme="minorHAnsi"/>
                <w:color w:val="000000"/>
                <w:sz w:val="22"/>
                <w:szCs w:val="22"/>
              </w:rPr>
            </w:pPr>
            <w:r>
              <w:rPr>
                <w:rFonts w:asciiTheme="minorHAnsi" w:hAnsiTheme="minorHAnsi"/>
                <w:color w:val="000000"/>
                <w:sz w:val="22"/>
                <w:szCs w:val="22"/>
              </w:rPr>
              <w:t>6</w:t>
            </w:r>
            <w:r w:rsidR="00E807F8" w:rsidRPr="00E84532">
              <w:rPr>
                <w:rFonts w:asciiTheme="minorHAnsi" w:hAnsiTheme="minorHAnsi"/>
                <w:color w:val="000000"/>
                <w:sz w:val="22"/>
                <w:szCs w:val="22"/>
              </w:rPr>
              <w:t xml:space="preserve">, </w:t>
            </w:r>
            <w:r>
              <w:rPr>
                <w:rFonts w:asciiTheme="minorHAnsi" w:hAnsiTheme="minorHAnsi"/>
                <w:color w:val="000000"/>
                <w:sz w:val="22"/>
                <w:szCs w:val="22"/>
              </w:rPr>
              <w:t>820</w:t>
            </w:r>
          </w:p>
        </w:tc>
      </w:tr>
      <w:tr w:rsidR="00E807F8" w:rsidRPr="00E84532" w:rsidTr="00406802">
        <w:trPr>
          <w:trHeight w:val="288"/>
        </w:trPr>
        <w:tc>
          <w:tcPr>
            <w:tcW w:w="0" w:type="auto"/>
            <w:tcBorders>
              <w:top w:val="nil"/>
              <w:left w:val="single" w:sz="8" w:space="0" w:color="000000"/>
              <w:bottom w:val="single" w:sz="8" w:space="0" w:color="000000"/>
              <w:right w:val="single" w:sz="8" w:space="0" w:color="000000"/>
            </w:tcBorders>
            <w:shd w:val="clear" w:color="000000" w:fill="FFFFCC"/>
            <w:noWrap/>
            <w:vAlign w:val="center"/>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Bruto Blerjet e En. Term. (Hyrja në Rrjet. Transp.)</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D030E1" w:rsidP="00406802">
            <w:pPr>
              <w:jc w:val="right"/>
              <w:rPr>
                <w:rFonts w:asciiTheme="minorHAnsi" w:hAnsiTheme="minorHAnsi"/>
                <w:color w:val="000000"/>
                <w:sz w:val="22"/>
                <w:szCs w:val="22"/>
              </w:rPr>
            </w:pPr>
            <w:r>
              <w:rPr>
                <w:rFonts w:asciiTheme="minorHAnsi" w:hAnsiTheme="minorHAnsi"/>
                <w:color w:val="000000"/>
                <w:sz w:val="22"/>
                <w:szCs w:val="22"/>
              </w:rPr>
              <w:t xml:space="preserve">              2</w:t>
            </w:r>
            <w:r w:rsidR="00406802">
              <w:rPr>
                <w:rFonts w:asciiTheme="minorHAnsi" w:hAnsiTheme="minorHAnsi"/>
                <w:color w:val="000000"/>
                <w:sz w:val="22"/>
                <w:szCs w:val="22"/>
              </w:rPr>
              <w:t>67</w:t>
            </w:r>
            <w:r w:rsidR="00E807F8" w:rsidRPr="00E84532">
              <w:rPr>
                <w:rFonts w:asciiTheme="minorHAnsi" w:hAnsiTheme="minorHAnsi"/>
                <w:color w:val="000000"/>
                <w:sz w:val="22"/>
                <w:szCs w:val="22"/>
              </w:rPr>
              <w:t>,</w:t>
            </w:r>
            <w:r w:rsidR="00406802">
              <w:rPr>
                <w:rFonts w:asciiTheme="minorHAnsi" w:hAnsiTheme="minorHAnsi"/>
                <w:color w:val="000000"/>
                <w:sz w:val="22"/>
                <w:szCs w:val="22"/>
              </w:rPr>
              <w:t>6</w:t>
            </w:r>
            <w:r>
              <w:rPr>
                <w:rFonts w:asciiTheme="minorHAnsi" w:hAnsiTheme="minorHAnsi"/>
                <w:color w:val="000000"/>
                <w:sz w:val="22"/>
                <w:szCs w:val="22"/>
              </w:rPr>
              <w:t>48</w:t>
            </w:r>
            <w:r w:rsidR="00E807F8" w:rsidRPr="00E84532">
              <w:rPr>
                <w:rFonts w:asciiTheme="minorHAnsi" w:hAnsiTheme="minorHAnsi"/>
                <w:color w:val="000000"/>
                <w:sz w:val="22"/>
                <w:szCs w:val="22"/>
              </w:rPr>
              <w:t xml:space="preserve"> </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2</w:t>
            </w:r>
            <w:r w:rsidR="00406802">
              <w:rPr>
                <w:rFonts w:asciiTheme="minorHAnsi" w:hAnsiTheme="minorHAnsi"/>
                <w:color w:val="000000"/>
                <w:sz w:val="22"/>
                <w:szCs w:val="22"/>
              </w:rPr>
              <w:t>67</w:t>
            </w:r>
            <w:r w:rsidRPr="00E84532">
              <w:rPr>
                <w:rFonts w:asciiTheme="minorHAnsi" w:hAnsiTheme="minorHAnsi"/>
                <w:color w:val="000000"/>
                <w:sz w:val="22"/>
                <w:szCs w:val="22"/>
              </w:rPr>
              <w:t>,</w:t>
            </w:r>
            <w:r w:rsidR="00406802">
              <w:rPr>
                <w:rFonts w:asciiTheme="minorHAnsi" w:hAnsiTheme="minorHAnsi"/>
                <w:color w:val="000000"/>
                <w:sz w:val="22"/>
                <w:szCs w:val="22"/>
              </w:rPr>
              <w:t>6</w:t>
            </w:r>
            <w:r w:rsidR="00D030E1">
              <w:rPr>
                <w:rFonts w:asciiTheme="minorHAnsi" w:hAnsiTheme="minorHAnsi"/>
                <w:color w:val="000000"/>
                <w:sz w:val="22"/>
                <w:szCs w:val="22"/>
              </w:rPr>
              <w:t>48</w:t>
            </w:r>
            <w:r w:rsidRPr="00E84532">
              <w:rPr>
                <w:rFonts w:asciiTheme="minorHAnsi" w:hAnsiTheme="minorHAnsi"/>
                <w:color w:val="000000"/>
                <w:sz w:val="22"/>
                <w:szCs w:val="22"/>
              </w:rPr>
              <w:t xml:space="preserve"> </w:t>
            </w:r>
          </w:p>
        </w:tc>
      </w:tr>
      <w:tr w:rsidR="00E807F8" w:rsidRPr="00E84532" w:rsidTr="00406802">
        <w:trPr>
          <w:trHeight w:val="288"/>
        </w:trPr>
        <w:tc>
          <w:tcPr>
            <w:tcW w:w="0" w:type="auto"/>
            <w:tcBorders>
              <w:top w:val="nil"/>
              <w:left w:val="single" w:sz="8" w:space="0" w:color="000000"/>
              <w:bottom w:val="nil"/>
              <w:right w:val="single" w:sz="8" w:space="0" w:color="000000"/>
            </w:tcBorders>
            <w:shd w:val="clear" w:color="000000" w:fill="DBE5F1"/>
            <w:noWrap/>
            <w:vAlign w:val="center"/>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Neto Blerjet e En. Term. (Dalja nga Rrjet. Transp.)</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2</w:t>
            </w:r>
            <w:r w:rsidR="00D030E1">
              <w:rPr>
                <w:rFonts w:asciiTheme="minorHAnsi" w:hAnsiTheme="minorHAnsi"/>
                <w:color w:val="000000"/>
                <w:sz w:val="22"/>
                <w:szCs w:val="22"/>
              </w:rPr>
              <w:t>6</w:t>
            </w:r>
            <w:r w:rsidR="00406802">
              <w:rPr>
                <w:rFonts w:asciiTheme="minorHAnsi" w:hAnsiTheme="minorHAnsi"/>
                <w:color w:val="000000"/>
                <w:sz w:val="22"/>
                <w:szCs w:val="22"/>
              </w:rPr>
              <w:t>2</w:t>
            </w:r>
            <w:r w:rsidRPr="00E84532">
              <w:rPr>
                <w:rFonts w:asciiTheme="minorHAnsi" w:hAnsiTheme="minorHAnsi"/>
                <w:color w:val="000000"/>
                <w:sz w:val="22"/>
                <w:szCs w:val="22"/>
              </w:rPr>
              <w:t>,2</w:t>
            </w:r>
            <w:r w:rsidR="00406802">
              <w:rPr>
                <w:rFonts w:asciiTheme="minorHAnsi" w:hAnsiTheme="minorHAnsi"/>
                <w:color w:val="000000"/>
                <w:sz w:val="22"/>
                <w:szCs w:val="22"/>
              </w:rPr>
              <w:t>95</w:t>
            </w:r>
            <w:r w:rsidRPr="00E84532">
              <w:rPr>
                <w:rFonts w:asciiTheme="minorHAnsi" w:hAnsiTheme="minorHAnsi"/>
                <w:color w:val="000000"/>
                <w:sz w:val="22"/>
                <w:szCs w:val="22"/>
              </w:rPr>
              <w:t xml:space="preserve"> </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2</w:t>
            </w:r>
            <w:r w:rsidR="00D030E1">
              <w:rPr>
                <w:rFonts w:asciiTheme="minorHAnsi" w:hAnsiTheme="minorHAnsi"/>
                <w:color w:val="000000"/>
                <w:sz w:val="22"/>
                <w:szCs w:val="22"/>
              </w:rPr>
              <w:t>6</w:t>
            </w:r>
            <w:r w:rsidR="00406802">
              <w:rPr>
                <w:rFonts w:asciiTheme="minorHAnsi" w:hAnsiTheme="minorHAnsi"/>
                <w:color w:val="000000"/>
                <w:sz w:val="22"/>
                <w:szCs w:val="22"/>
              </w:rPr>
              <w:t>2</w:t>
            </w:r>
            <w:r w:rsidRPr="00E84532">
              <w:rPr>
                <w:rFonts w:asciiTheme="minorHAnsi" w:hAnsiTheme="minorHAnsi"/>
                <w:color w:val="000000"/>
                <w:sz w:val="22"/>
                <w:szCs w:val="22"/>
              </w:rPr>
              <w:t>,2</w:t>
            </w:r>
            <w:r w:rsidR="00406802">
              <w:rPr>
                <w:rFonts w:asciiTheme="minorHAnsi" w:hAnsiTheme="minorHAnsi"/>
                <w:color w:val="000000"/>
                <w:sz w:val="22"/>
                <w:szCs w:val="22"/>
              </w:rPr>
              <w:t>95</w:t>
            </w:r>
            <w:r w:rsidRPr="00E84532">
              <w:rPr>
                <w:rFonts w:asciiTheme="minorHAnsi" w:hAnsiTheme="minorHAnsi"/>
                <w:color w:val="000000"/>
                <w:sz w:val="22"/>
                <w:szCs w:val="22"/>
              </w:rPr>
              <w:t xml:space="preserve"> </w:t>
            </w:r>
          </w:p>
        </w:tc>
      </w:tr>
      <w:tr w:rsidR="00E807F8" w:rsidRPr="00E84532" w:rsidTr="00406802">
        <w:trPr>
          <w:trHeight w:val="384"/>
        </w:trPr>
        <w:tc>
          <w:tcPr>
            <w:tcW w:w="0" w:type="auto"/>
            <w:tcBorders>
              <w:top w:val="single" w:sz="8" w:space="0" w:color="auto"/>
              <w:left w:val="single" w:sz="8" w:space="0" w:color="auto"/>
              <w:bottom w:val="single" w:sz="8" w:space="0" w:color="auto"/>
              <w:right w:val="single" w:sz="8" w:space="0" w:color="auto"/>
            </w:tcBorders>
            <w:shd w:val="clear" w:color="000000" w:fill="FFFFCC"/>
            <w:noWrap/>
            <w:vAlign w:val="center"/>
            <w:hideMark/>
          </w:tcPr>
          <w:p w:rsidR="00E807F8" w:rsidRPr="00E84532" w:rsidRDefault="00E807F8" w:rsidP="00406802">
            <w:pPr>
              <w:rPr>
                <w:rFonts w:asciiTheme="minorHAnsi" w:hAnsiTheme="minorHAnsi"/>
                <w:color w:val="000000"/>
                <w:sz w:val="22"/>
                <w:szCs w:val="22"/>
              </w:rPr>
            </w:pPr>
            <w:r w:rsidRPr="00E84532">
              <w:rPr>
                <w:rFonts w:asciiTheme="minorHAnsi" w:hAnsiTheme="minorHAnsi"/>
                <w:color w:val="000000"/>
                <w:sz w:val="22"/>
                <w:szCs w:val="22"/>
              </w:rPr>
              <w:t>Humbjet sasiore në Rrjetin e Transportit</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77D7B" w:rsidP="00406802">
            <w:pPr>
              <w:jc w:val="right"/>
              <w:rPr>
                <w:rFonts w:asciiTheme="minorHAnsi" w:hAnsiTheme="minorHAnsi"/>
                <w:color w:val="000000"/>
                <w:sz w:val="22"/>
                <w:szCs w:val="22"/>
              </w:rPr>
            </w:pPr>
            <w:r>
              <w:rPr>
                <w:rFonts w:asciiTheme="minorHAnsi" w:hAnsiTheme="minorHAnsi"/>
                <w:color w:val="000000"/>
                <w:sz w:val="22"/>
                <w:szCs w:val="22"/>
              </w:rPr>
              <w:t xml:space="preserve">                  </w:t>
            </w:r>
            <w:r w:rsidR="00D030E1">
              <w:rPr>
                <w:rFonts w:asciiTheme="minorHAnsi" w:hAnsiTheme="minorHAnsi"/>
                <w:color w:val="000000"/>
                <w:sz w:val="22"/>
                <w:szCs w:val="22"/>
              </w:rPr>
              <w:t>5</w:t>
            </w:r>
            <w:r w:rsidR="00E807F8" w:rsidRPr="00E84532">
              <w:rPr>
                <w:rFonts w:asciiTheme="minorHAnsi" w:hAnsiTheme="minorHAnsi"/>
                <w:color w:val="000000"/>
                <w:sz w:val="22"/>
                <w:szCs w:val="22"/>
              </w:rPr>
              <w:t>,</w:t>
            </w:r>
            <w:r w:rsidR="00406802">
              <w:rPr>
                <w:rFonts w:asciiTheme="minorHAnsi" w:hAnsiTheme="minorHAnsi"/>
                <w:color w:val="000000"/>
                <w:sz w:val="22"/>
                <w:szCs w:val="22"/>
              </w:rPr>
              <w:t>3</w:t>
            </w:r>
            <w:r w:rsidR="00E807F8" w:rsidRPr="00E84532">
              <w:rPr>
                <w:rFonts w:asciiTheme="minorHAnsi" w:hAnsiTheme="minorHAnsi"/>
                <w:color w:val="000000"/>
                <w:sz w:val="22"/>
                <w:szCs w:val="22"/>
              </w:rPr>
              <w:t>5</w:t>
            </w:r>
            <w:r w:rsidR="00406802">
              <w:rPr>
                <w:rFonts w:asciiTheme="minorHAnsi" w:hAnsiTheme="minorHAnsi"/>
                <w:color w:val="000000"/>
                <w:sz w:val="22"/>
                <w:szCs w:val="22"/>
              </w:rPr>
              <w:t>3</w:t>
            </w:r>
            <w:r w:rsidR="00E807F8" w:rsidRPr="00E84532">
              <w:rPr>
                <w:rFonts w:asciiTheme="minorHAnsi" w:hAnsiTheme="minorHAnsi"/>
                <w:color w:val="000000"/>
                <w:sz w:val="22"/>
                <w:szCs w:val="22"/>
              </w:rPr>
              <w:t xml:space="preserve"> </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77D7B" w:rsidP="00406802">
            <w:pPr>
              <w:jc w:val="right"/>
              <w:rPr>
                <w:rFonts w:asciiTheme="minorHAnsi" w:hAnsiTheme="minorHAnsi"/>
                <w:color w:val="000000"/>
                <w:sz w:val="22"/>
                <w:szCs w:val="22"/>
              </w:rPr>
            </w:pPr>
            <w:r>
              <w:rPr>
                <w:rFonts w:asciiTheme="minorHAnsi" w:hAnsiTheme="minorHAnsi"/>
                <w:color w:val="000000"/>
                <w:sz w:val="22"/>
                <w:szCs w:val="22"/>
              </w:rPr>
              <w:t xml:space="preserve">            </w:t>
            </w:r>
            <w:r w:rsidR="00D030E1">
              <w:rPr>
                <w:rFonts w:asciiTheme="minorHAnsi" w:hAnsiTheme="minorHAnsi"/>
                <w:color w:val="000000"/>
                <w:sz w:val="22"/>
                <w:szCs w:val="22"/>
              </w:rPr>
              <w:t>5</w:t>
            </w:r>
            <w:r w:rsidR="00E807F8" w:rsidRPr="00E84532">
              <w:rPr>
                <w:rFonts w:asciiTheme="minorHAnsi" w:hAnsiTheme="minorHAnsi"/>
                <w:color w:val="000000"/>
                <w:sz w:val="22"/>
                <w:szCs w:val="22"/>
              </w:rPr>
              <w:t>,</w:t>
            </w:r>
            <w:r w:rsidR="00406802">
              <w:rPr>
                <w:rFonts w:asciiTheme="minorHAnsi" w:hAnsiTheme="minorHAnsi"/>
                <w:color w:val="000000"/>
                <w:sz w:val="22"/>
                <w:szCs w:val="22"/>
              </w:rPr>
              <w:t>3</w:t>
            </w:r>
            <w:r w:rsidR="00E807F8" w:rsidRPr="00E84532">
              <w:rPr>
                <w:rFonts w:asciiTheme="minorHAnsi" w:hAnsiTheme="minorHAnsi"/>
                <w:color w:val="000000"/>
                <w:sz w:val="22"/>
                <w:szCs w:val="22"/>
              </w:rPr>
              <w:t>5</w:t>
            </w:r>
            <w:r w:rsidR="00406802">
              <w:rPr>
                <w:rFonts w:asciiTheme="minorHAnsi" w:hAnsiTheme="minorHAnsi"/>
                <w:color w:val="000000"/>
                <w:sz w:val="22"/>
                <w:szCs w:val="22"/>
              </w:rPr>
              <w:t>3</w:t>
            </w:r>
            <w:r w:rsidR="00E807F8" w:rsidRPr="00E84532">
              <w:rPr>
                <w:rFonts w:asciiTheme="minorHAnsi" w:hAnsiTheme="minorHAnsi"/>
                <w:color w:val="000000"/>
                <w:sz w:val="22"/>
                <w:szCs w:val="22"/>
              </w:rPr>
              <w:t xml:space="preserve"> </w:t>
            </w:r>
          </w:p>
        </w:tc>
      </w:tr>
      <w:tr w:rsidR="00E807F8" w:rsidRPr="00E84532" w:rsidTr="00406802">
        <w:trPr>
          <w:trHeight w:val="228"/>
        </w:trPr>
        <w:tc>
          <w:tcPr>
            <w:tcW w:w="0" w:type="auto"/>
            <w:tcBorders>
              <w:top w:val="nil"/>
              <w:left w:val="single" w:sz="8" w:space="0" w:color="auto"/>
              <w:bottom w:val="single" w:sz="8" w:space="0" w:color="auto"/>
              <w:right w:val="single" w:sz="8" w:space="0" w:color="auto"/>
            </w:tcBorders>
            <w:shd w:val="clear" w:color="000000" w:fill="FFFFCC"/>
            <w:noWrap/>
            <w:vAlign w:val="bottom"/>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Humbjet në përqindje në Rrjetin e Transportit</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D030E1" w:rsidP="00D030E1">
            <w:pPr>
              <w:jc w:val="right"/>
              <w:rPr>
                <w:rFonts w:asciiTheme="minorHAnsi" w:hAnsiTheme="minorHAnsi"/>
                <w:color w:val="000000"/>
                <w:sz w:val="22"/>
                <w:szCs w:val="22"/>
              </w:rPr>
            </w:pPr>
            <w:r>
              <w:rPr>
                <w:rFonts w:asciiTheme="minorHAnsi" w:hAnsiTheme="minorHAnsi"/>
                <w:color w:val="000000"/>
                <w:sz w:val="22"/>
                <w:szCs w:val="22"/>
              </w:rPr>
              <w:t>2</w:t>
            </w:r>
            <w:r w:rsidR="00E807F8" w:rsidRPr="00E84532">
              <w:rPr>
                <w:rFonts w:asciiTheme="minorHAnsi" w:hAnsiTheme="minorHAnsi"/>
                <w:color w:val="000000"/>
                <w:sz w:val="22"/>
                <w:szCs w:val="22"/>
              </w:rPr>
              <w:t>.</w:t>
            </w:r>
            <w:r>
              <w:rPr>
                <w:rFonts w:asciiTheme="minorHAnsi" w:hAnsiTheme="minorHAnsi"/>
                <w:color w:val="000000"/>
                <w:sz w:val="22"/>
                <w:szCs w:val="22"/>
              </w:rPr>
              <w:t>00</w:t>
            </w:r>
            <w:r w:rsidR="00E807F8" w:rsidRPr="00E84532">
              <w:rPr>
                <w:rFonts w:asciiTheme="minorHAnsi" w:hAnsiTheme="minorHAnsi"/>
                <w:color w:val="000000"/>
                <w:sz w:val="22"/>
                <w:szCs w:val="22"/>
              </w:rPr>
              <w:t>%</w:t>
            </w:r>
          </w:p>
        </w:tc>
        <w:tc>
          <w:tcPr>
            <w:tcW w:w="0" w:type="auto"/>
            <w:tcBorders>
              <w:top w:val="nil"/>
              <w:left w:val="nil"/>
              <w:bottom w:val="single" w:sz="8" w:space="0" w:color="000000"/>
              <w:right w:val="single" w:sz="8" w:space="0" w:color="000000"/>
            </w:tcBorders>
            <w:shd w:val="clear" w:color="000000" w:fill="FFFFCC"/>
            <w:noWrap/>
            <w:vAlign w:val="center"/>
            <w:hideMark/>
          </w:tcPr>
          <w:p w:rsidR="00E807F8" w:rsidRPr="00E84532" w:rsidRDefault="00D030E1" w:rsidP="00D030E1">
            <w:pPr>
              <w:jc w:val="right"/>
              <w:rPr>
                <w:rFonts w:asciiTheme="minorHAnsi" w:hAnsiTheme="minorHAnsi"/>
                <w:color w:val="000000"/>
                <w:sz w:val="22"/>
                <w:szCs w:val="22"/>
              </w:rPr>
            </w:pPr>
            <w:r>
              <w:rPr>
                <w:rFonts w:asciiTheme="minorHAnsi" w:hAnsiTheme="minorHAnsi"/>
                <w:color w:val="000000"/>
                <w:sz w:val="22"/>
                <w:szCs w:val="22"/>
              </w:rPr>
              <w:t>2</w:t>
            </w:r>
            <w:r w:rsidR="00E807F8" w:rsidRPr="00E84532">
              <w:rPr>
                <w:rFonts w:asciiTheme="minorHAnsi" w:hAnsiTheme="minorHAnsi"/>
                <w:color w:val="000000"/>
                <w:sz w:val="22"/>
                <w:szCs w:val="22"/>
              </w:rPr>
              <w:t>.</w:t>
            </w:r>
            <w:r>
              <w:rPr>
                <w:rFonts w:asciiTheme="minorHAnsi" w:hAnsiTheme="minorHAnsi"/>
                <w:color w:val="000000"/>
                <w:sz w:val="22"/>
                <w:szCs w:val="22"/>
              </w:rPr>
              <w:t>00</w:t>
            </w:r>
            <w:r w:rsidR="00E807F8" w:rsidRPr="00E84532">
              <w:rPr>
                <w:rFonts w:asciiTheme="minorHAnsi" w:hAnsiTheme="minorHAnsi"/>
                <w:color w:val="000000"/>
                <w:sz w:val="22"/>
                <w:szCs w:val="22"/>
              </w:rPr>
              <w:t>%</w:t>
            </w:r>
          </w:p>
        </w:tc>
      </w:tr>
      <w:tr w:rsidR="00E807F8" w:rsidRPr="00E84532" w:rsidTr="00406802">
        <w:trPr>
          <w:trHeight w:val="261"/>
        </w:trPr>
        <w:tc>
          <w:tcPr>
            <w:tcW w:w="0" w:type="auto"/>
            <w:tcBorders>
              <w:top w:val="nil"/>
              <w:left w:val="single" w:sz="8" w:space="0" w:color="000000"/>
              <w:bottom w:val="single" w:sz="8" w:space="0" w:color="000000"/>
              <w:right w:val="single" w:sz="8" w:space="0" w:color="000000"/>
            </w:tcBorders>
            <w:shd w:val="clear" w:color="000000" w:fill="DBE5F1"/>
            <w:noWrap/>
            <w:vAlign w:val="center"/>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Bruto Prodhimi + Bruto Blerjet e En. Term.</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2</w:t>
            </w:r>
            <w:r w:rsidR="00406802">
              <w:rPr>
                <w:rFonts w:asciiTheme="minorHAnsi" w:hAnsiTheme="minorHAnsi"/>
                <w:color w:val="000000"/>
                <w:sz w:val="22"/>
                <w:szCs w:val="22"/>
              </w:rPr>
              <w:t>74</w:t>
            </w:r>
            <w:r w:rsidRPr="00E84532">
              <w:rPr>
                <w:rFonts w:asciiTheme="minorHAnsi" w:hAnsiTheme="minorHAnsi"/>
                <w:color w:val="000000"/>
                <w:sz w:val="22"/>
                <w:szCs w:val="22"/>
              </w:rPr>
              <w:t>,</w:t>
            </w:r>
            <w:r w:rsidR="00406802">
              <w:rPr>
                <w:rFonts w:asciiTheme="minorHAnsi" w:hAnsiTheme="minorHAnsi"/>
                <w:color w:val="000000"/>
                <w:sz w:val="22"/>
                <w:szCs w:val="22"/>
              </w:rPr>
              <w:t>4</w:t>
            </w:r>
            <w:r w:rsidRPr="00E84532">
              <w:rPr>
                <w:rFonts w:asciiTheme="minorHAnsi" w:hAnsiTheme="minorHAnsi"/>
                <w:color w:val="000000"/>
                <w:sz w:val="22"/>
                <w:szCs w:val="22"/>
              </w:rPr>
              <w:t>6</w:t>
            </w:r>
            <w:r w:rsidR="00D030E1">
              <w:rPr>
                <w:rFonts w:asciiTheme="minorHAnsi" w:hAnsiTheme="minorHAnsi"/>
                <w:color w:val="000000"/>
                <w:sz w:val="22"/>
                <w:szCs w:val="22"/>
              </w:rPr>
              <w:t>8</w:t>
            </w:r>
            <w:r w:rsidRPr="00E84532">
              <w:rPr>
                <w:rFonts w:asciiTheme="minorHAnsi" w:hAnsiTheme="minorHAnsi"/>
                <w:color w:val="000000"/>
                <w:sz w:val="22"/>
                <w:szCs w:val="22"/>
              </w:rPr>
              <w:t xml:space="preserve"> </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w:t>
            </w:r>
            <w:r w:rsidR="00D030E1">
              <w:rPr>
                <w:rFonts w:asciiTheme="minorHAnsi" w:hAnsiTheme="minorHAnsi"/>
                <w:color w:val="000000"/>
                <w:sz w:val="22"/>
                <w:szCs w:val="22"/>
              </w:rPr>
              <w:t xml:space="preserve">        2</w:t>
            </w:r>
            <w:r w:rsidR="00406802">
              <w:rPr>
                <w:rFonts w:asciiTheme="minorHAnsi" w:hAnsiTheme="minorHAnsi"/>
                <w:color w:val="000000"/>
                <w:sz w:val="22"/>
                <w:szCs w:val="22"/>
              </w:rPr>
              <w:t>74</w:t>
            </w:r>
            <w:r w:rsidRPr="00E84532">
              <w:rPr>
                <w:rFonts w:asciiTheme="minorHAnsi" w:hAnsiTheme="minorHAnsi"/>
                <w:color w:val="000000"/>
                <w:sz w:val="22"/>
                <w:szCs w:val="22"/>
              </w:rPr>
              <w:t>,</w:t>
            </w:r>
            <w:r w:rsidR="00406802">
              <w:rPr>
                <w:rFonts w:asciiTheme="minorHAnsi" w:hAnsiTheme="minorHAnsi"/>
                <w:color w:val="000000"/>
                <w:sz w:val="22"/>
                <w:szCs w:val="22"/>
              </w:rPr>
              <w:t>4</w:t>
            </w:r>
            <w:r w:rsidRPr="00E84532">
              <w:rPr>
                <w:rFonts w:asciiTheme="minorHAnsi" w:hAnsiTheme="minorHAnsi"/>
                <w:color w:val="000000"/>
                <w:sz w:val="22"/>
                <w:szCs w:val="22"/>
              </w:rPr>
              <w:t>6</w:t>
            </w:r>
            <w:r w:rsidR="00D030E1">
              <w:rPr>
                <w:rFonts w:asciiTheme="minorHAnsi" w:hAnsiTheme="minorHAnsi"/>
                <w:color w:val="000000"/>
                <w:sz w:val="22"/>
                <w:szCs w:val="22"/>
              </w:rPr>
              <w:t>8</w:t>
            </w:r>
            <w:r w:rsidRPr="00E84532">
              <w:rPr>
                <w:rFonts w:asciiTheme="minorHAnsi" w:hAnsiTheme="minorHAnsi"/>
                <w:color w:val="000000"/>
                <w:sz w:val="22"/>
                <w:szCs w:val="22"/>
              </w:rPr>
              <w:t xml:space="preserve"> </w:t>
            </w:r>
          </w:p>
        </w:tc>
      </w:tr>
      <w:tr w:rsidR="00E807F8" w:rsidRPr="00E84532" w:rsidTr="00406802">
        <w:trPr>
          <w:trHeight w:val="288"/>
        </w:trPr>
        <w:tc>
          <w:tcPr>
            <w:tcW w:w="0" w:type="auto"/>
            <w:tcBorders>
              <w:top w:val="nil"/>
              <w:left w:val="single" w:sz="8" w:space="0" w:color="000000"/>
              <w:bottom w:val="single" w:sz="8" w:space="0" w:color="000000"/>
              <w:right w:val="single" w:sz="8" w:space="0" w:color="000000"/>
            </w:tcBorders>
            <w:shd w:val="clear" w:color="000000" w:fill="FCF6C8"/>
            <w:noWrap/>
            <w:vAlign w:val="center"/>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Humbjet sasiore në Rrjet. Transp. + Konsumi vetanak</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w:t>
            </w:r>
            <w:r w:rsidR="00406802">
              <w:rPr>
                <w:rFonts w:asciiTheme="minorHAnsi" w:hAnsiTheme="minorHAnsi"/>
                <w:color w:val="000000"/>
                <w:sz w:val="22"/>
                <w:szCs w:val="22"/>
              </w:rPr>
              <w:t>6</w:t>
            </w:r>
            <w:r w:rsidRPr="00E84532">
              <w:rPr>
                <w:rFonts w:asciiTheme="minorHAnsi" w:hAnsiTheme="minorHAnsi"/>
                <w:color w:val="000000"/>
                <w:sz w:val="22"/>
                <w:szCs w:val="22"/>
              </w:rPr>
              <w:t>,</w:t>
            </w:r>
            <w:r w:rsidR="00406802">
              <w:rPr>
                <w:rFonts w:asciiTheme="minorHAnsi" w:hAnsiTheme="minorHAnsi"/>
                <w:color w:val="000000"/>
                <w:sz w:val="22"/>
                <w:szCs w:val="22"/>
              </w:rPr>
              <w:t>140</w:t>
            </w:r>
            <w:r w:rsidRPr="00E84532">
              <w:rPr>
                <w:rFonts w:asciiTheme="minorHAnsi" w:hAnsiTheme="minorHAnsi"/>
                <w:color w:val="000000"/>
                <w:sz w:val="22"/>
                <w:szCs w:val="22"/>
              </w:rPr>
              <w:t xml:space="preserve"> </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w:t>
            </w:r>
            <w:r w:rsidR="00406802">
              <w:rPr>
                <w:rFonts w:asciiTheme="minorHAnsi" w:hAnsiTheme="minorHAnsi"/>
                <w:color w:val="000000"/>
                <w:sz w:val="22"/>
                <w:szCs w:val="22"/>
              </w:rPr>
              <w:t>6</w:t>
            </w:r>
            <w:r w:rsidRPr="00E84532">
              <w:rPr>
                <w:rFonts w:asciiTheme="minorHAnsi" w:hAnsiTheme="minorHAnsi"/>
                <w:color w:val="000000"/>
                <w:sz w:val="22"/>
                <w:szCs w:val="22"/>
              </w:rPr>
              <w:t>,</w:t>
            </w:r>
            <w:r w:rsidR="00406802">
              <w:rPr>
                <w:rFonts w:asciiTheme="minorHAnsi" w:hAnsiTheme="minorHAnsi"/>
                <w:color w:val="000000"/>
                <w:sz w:val="22"/>
                <w:szCs w:val="22"/>
              </w:rPr>
              <w:t>1</w:t>
            </w:r>
            <w:r w:rsidR="00D030E1">
              <w:rPr>
                <w:rFonts w:asciiTheme="minorHAnsi" w:hAnsiTheme="minorHAnsi"/>
                <w:color w:val="000000"/>
                <w:sz w:val="22"/>
                <w:szCs w:val="22"/>
              </w:rPr>
              <w:t>4</w:t>
            </w:r>
            <w:r w:rsidR="00406802">
              <w:rPr>
                <w:rFonts w:asciiTheme="minorHAnsi" w:hAnsiTheme="minorHAnsi"/>
                <w:color w:val="000000"/>
                <w:sz w:val="22"/>
                <w:szCs w:val="22"/>
              </w:rPr>
              <w:t>0</w:t>
            </w:r>
            <w:r w:rsidRPr="00E84532">
              <w:rPr>
                <w:rFonts w:asciiTheme="minorHAnsi" w:hAnsiTheme="minorHAnsi"/>
                <w:color w:val="000000"/>
                <w:sz w:val="22"/>
                <w:szCs w:val="22"/>
              </w:rPr>
              <w:t xml:space="preserve"> </w:t>
            </w:r>
          </w:p>
        </w:tc>
      </w:tr>
      <w:tr w:rsidR="00E807F8" w:rsidRPr="00E84532" w:rsidTr="00406802">
        <w:trPr>
          <w:trHeight w:val="252"/>
        </w:trPr>
        <w:tc>
          <w:tcPr>
            <w:tcW w:w="5751" w:type="dxa"/>
            <w:tcBorders>
              <w:top w:val="nil"/>
              <w:left w:val="single" w:sz="8" w:space="0" w:color="000000"/>
              <w:bottom w:val="single" w:sz="8" w:space="0" w:color="000000"/>
              <w:right w:val="single" w:sz="8" w:space="0" w:color="000000"/>
            </w:tcBorders>
            <w:shd w:val="clear" w:color="000000" w:fill="DBE5F1"/>
            <w:vAlign w:val="center"/>
            <w:hideMark/>
          </w:tcPr>
          <w:p w:rsidR="00E807F8" w:rsidRPr="00E84532" w:rsidRDefault="00E807F8" w:rsidP="00E807F8">
            <w:pPr>
              <w:rPr>
                <w:rFonts w:asciiTheme="minorHAnsi" w:hAnsiTheme="minorHAnsi"/>
                <w:color w:val="000000"/>
                <w:sz w:val="21"/>
                <w:szCs w:val="21"/>
              </w:rPr>
            </w:pPr>
            <w:r w:rsidRPr="00E84532">
              <w:rPr>
                <w:rFonts w:asciiTheme="minorHAnsi" w:hAnsiTheme="minorHAnsi"/>
                <w:color w:val="000000"/>
                <w:sz w:val="21"/>
                <w:szCs w:val="21"/>
              </w:rPr>
              <w:t>Neto Prodhimi + Neto Blerjet e En. Term. (Hyrja në Rrjet. Shpërnd.)</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2</w:t>
            </w:r>
            <w:r w:rsidR="00406802">
              <w:rPr>
                <w:rFonts w:asciiTheme="minorHAnsi" w:hAnsiTheme="minorHAnsi"/>
                <w:color w:val="000000"/>
                <w:sz w:val="22"/>
                <w:szCs w:val="22"/>
              </w:rPr>
              <w:t>68</w:t>
            </w:r>
            <w:r w:rsidRPr="00E84532">
              <w:rPr>
                <w:rFonts w:asciiTheme="minorHAnsi" w:hAnsiTheme="minorHAnsi"/>
                <w:color w:val="000000"/>
                <w:sz w:val="22"/>
                <w:szCs w:val="22"/>
              </w:rPr>
              <w:t>,</w:t>
            </w:r>
            <w:r w:rsidR="00D030E1">
              <w:rPr>
                <w:rFonts w:asciiTheme="minorHAnsi" w:hAnsiTheme="minorHAnsi"/>
                <w:color w:val="000000"/>
                <w:sz w:val="22"/>
                <w:szCs w:val="22"/>
              </w:rPr>
              <w:t>3</w:t>
            </w:r>
            <w:r w:rsidR="00406802">
              <w:rPr>
                <w:rFonts w:asciiTheme="minorHAnsi" w:hAnsiTheme="minorHAnsi"/>
                <w:color w:val="000000"/>
                <w:sz w:val="22"/>
                <w:szCs w:val="22"/>
              </w:rPr>
              <w:t>28</w:t>
            </w:r>
            <w:r w:rsidRPr="00E84532">
              <w:rPr>
                <w:rFonts w:asciiTheme="minorHAnsi" w:hAnsiTheme="minorHAnsi"/>
                <w:color w:val="000000"/>
                <w:sz w:val="22"/>
                <w:szCs w:val="22"/>
              </w:rPr>
              <w:t xml:space="preserve"> </w:t>
            </w:r>
          </w:p>
        </w:tc>
        <w:tc>
          <w:tcPr>
            <w:tcW w:w="0" w:type="auto"/>
            <w:tcBorders>
              <w:top w:val="nil"/>
              <w:left w:val="nil"/>
              <w:bottom w:val="single" w:sz="8" w:space="0" w:color="000000"/>
              <w:right w:val="single" w:sz="8" w:space="0" w:color="000000"/>
            </w:tcBorders>
            <w:shd w:val="clear" w:color="000000" w:fill="DBE5F1"/>
            <w:noWrap/>
            <w:vAlign w:val="center"/>
            <w:hideMark/>
          </w:tcPr>
          <w:p w:rsidR="00E807F8" w:rsidRPr="00E84532" w:rsidRDefault="00E807F8" w:rsidP="00406802">
            <w:pPr>
              <w:jc w:val="right"/>
              <w:rPr>
                <w:rFonts w:asciiTheme="minorHAnsi" w:hAnsiTheme="minorHAnsi"/>
                <w:color w:val="000000"/>
                <w:sz w:val="22"/>
                <w:szCs w:val="22"/>
              </w:rPr>
            </w:pPr>
            <w:r w:rsidRPr="00E84532">
              <w:rPr>
                <w:rFonts w:asciiTheme="minorHAnsi" w:hAnsiTheme="minorHAnsi"/>
                <w:color w:val="000000"/>
                <w:sz w:val="22"/>
                <w:szCs w:val="22"/>
              </w:rPr>
              <w:t xml:space="preserve">         2</w:t>
            </w:r>
            <w:r w:rsidR="00406802">
              <w:rPr>
                <w:rFonts w:asciiTheme="minorHAnsi" w:hAnsiTheme="minorHAnsi"/>
                <w:color w:val="000000"/>
                <w:sz w:val="22"/>
                <w:szCs w:val="22"/>
              </w:rPr>
              <w:t>68</w:t>
            </w:r>
            <w:r w:rsidRPr="00E84532">
              <w:rPr>
                <w:rFonts w:asciiTheme="minorHAnsi" w:hAnsiTheme="minorHAnsi"/>
                <w:color w:val="000000"/>
                <w:sz w:val="22"/>
                <w:szCs w:val="22"/>
              </w:rPr>
              <w:t>,</w:t>
            </w:r>
            <w:r w:rsidR="00406802">
              <w:rPr>
                <w:rFonts w:asciiTheme="minorHAnsi" w:hAnsiTheme="minorHAnsi"/>
                <w:color w:val="000000"/>
                <w:sz w:val="22"/>
                <w:szCs w:val="22"/>
              </w:rPr>
              <w:t>3</w:t>
            </w:r>
            <w:r w:rsidR="00D030E1">
              <w:rPr>
                <w:rFonts w:asciiTheme="minorHAnsi" w:hAnsiTheme="minorHAnsi"/>
                <w:color w:val="000000"/>
                <w:sz w:val="22"/>
                <w:szCs w:val="22"/>
              </w:rPr>
              <w:t>2</w:t>
            </w:r>
            <w:r w:rsidR="00406802">
              <w:rPr>
                <w:rFonts w:asciiTheme="minorHAnsi" w:hAnsiTheme="minorHAnsi"/>
                <w:color w:val="000000"/>
                <w:sz w:val="22"/>
                <w:szCs w:val="22"/>
              </w:rPr>
              <w:t>8</w:t>
            </w:r>
            <w:r w:rsidRPr="00E84532">
              <w:rPr>
                <w:rFonts w:asciiTheme="minorHAnsi" w:hAnsiTheme="minorHAnsi"/>
                <w:color w:val="000000"/>
                <w:sz w:val="22"/>
                <w:szCs w:val="22"/>
              </w:rPr>
              <w:t xml:space="preserve"> </w:t>
            </w:r>
          </w:p>
        </w:tc>
      </w:tr>
      <w:tr w:rsidR="00E807F8" w:rsidRPr="00E84532" w:rsidTr="00406802">
        <w:trPr>
          <w:trHeight w:val="288"/>
        </w:trPr>
        <w:tc>
          <w:tcPr>
            <w:tcW w:w="0" w:type="auto"/>
            <w:tcBorders>
              <w:top w:val="nil"/>
              <w:left w:val="single" w:sz="8" w:space="0" w:color="000000"/>
              <w:bottom w:val="single" w:sz="8" w:space="0" w:color="000000"/>
              <w:right w:val="single" w:sz="8" w:space="0" w:color="000000"/>
            </w:tcBorders>
            <w:shd w:val="clear" w:color="000000" w:fill="FCF6C8"/>
            <w:noWrap/>
            <w:vAlign w:val="center"/>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Humbjet sasiore në Rrjetin e Shpërndarjes</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MWh</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E807F8" w:rsidP="001D2628">
            <w:pPr>
              <w:jc w:val="right"/>
              <w:rPr>
                <w:rFonts w:asciiTheme="minorHAnsi" w:hAnsiTheme="minorHAnsi"/>
                <w:color w:val="000000"/>
                <w:sz w:val="22"/>
                <w:szCs w:val="22"/>
              </w:rPr>
            </w:pPr>
            <w:r w:rsidRPr="00E84532">
              <w:rPr>
                <w:rFonts w:asciiTheme="minorHAnsi" w:hAnsiTheme="minorHAnsi"/>
                <w:color w:val="000000"/>
                <w:sz w:val="22"/>
                <w:szCs w:val="22"/>
              </w:rPr>
              <w:t xml:space="preserve">                </w:t>
            </w:r>
            <w:r w:rsidR="001D2628">
              <w:rPr>
                <w:rFonts w:asciiTheme="minorHAnsi" w:hAnsiTheme="minorHAnsi"/>
                <w:color w:val="000000"/>
                <w:sz w:val="22"/>
                <w:szCs w:val="22"/>
              </w:rPr>
              <w:t>22</w:t>
            </w:r>
            <w:r w:rsidRPr="00E84532">
              <w:rPr>
                <w:rFonts w:asciiTheme="minorHAnsi" w:hAnsiTheme="minorHAnsi"/>
                <w:color w:val="000000"/>
                <w:sz w:val="22"/>
                <w:szCs w:val="22"/>
              </w:rPr>
              <w:t>,</w:t>
            </w:r>
            <w:r w:rsidR="001D2628">
              <w:rPr>
                <w:rFonts w:asciiTheme="minorHAnsi" w:hAnsiTheme="minorHAnsi"/>
                <w:color w:val="000000"/>
                <w:sz w:val="22"/>
                <w:szCs w:val="22"/>
              </w:rPr>
              <w:t>271</w:t>
            </w:r>
            <w:r w:rsidRPr="00E84532">
              <w:rPr>
                <w:rFonts w:asciiTheme="minorHAnsi" w:hAnsiTheme="minorHAnsi"/>
                <w:color w:val="000000"/>
                <w:sz w:val="22"/>
                <w:szCs w:val="22"/>
              </w:rPr>
              <w:t xml:space="preserve"> </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E807F8" w:rsidP="001D2628">
            <w:pPr>
              <w:jc w:val="right"/>
              <w:rPr>
                <w:rFonts w:asciiTheme="minorHAnsi" w:hAnsiTheme="minorHAnsi"/>
                <w:color w:val="000000"/>
                <w:sz w:val="22"/>
                <w:szCs w:val="22"/>
              </w:rPr>
            </w:pPr>
            <w:r w:rsidRPr="00E84532">
              <w:rPr>
                <w:rFonts w:asciiTheme="minorHAnsi" w:hAnsiTheme="minorHAnsi"/>
                <w:color w:val="000000"/>
                <w:sz w:val="22"/>
                <w:szCs w:val="22"/>
              </w:rPr>
              <w:t xml:space="preserve">           </w:t>
            </w:r>
            <w:r w:rsidR="001D2628">
              <w:rPr>
                <w:rFonts w:asciiTheme="minorHAnsi" w:hAnsiTheme="minorHAnsi"/>
                <w:color w:val="000000"/>
                <w:sz w:val="22"/>
                <w:szCs w:val="22"/>
              </w:rPr>
              <w:t>22</w:t>
            </w:r>
            <w:r w:rsidRPr="00E84532">
              <w:rPr>
                <w:rFonts w:asciiTheme="minorHAnsi" w:hAnsiTheme="minorHAnsi"/>
                <w:color w:val="000000"/>
                <w:sz w:val="22"/>
                <w:szCs w:val="22"/>
              </w:rPr>
              <w:t>,</w:t>
            </w:r>
            <w:r w:rsidR="001D2628">
              <w:rPr>
                <w:rFonts w:asciiTheme="minorHAnsi" w:hAnsiTheme="minorHAnsi"/>
                <w:color w:val="000000"/>
                <w:sz w:val="22"/>
                <w:szCs w:val="22"/>
              </w:rPr>
              <w:t>271</w:t>
            </w:r>
            <w:r w:rsidRPr="00E84532">
              <w:rPr>
                <w:rFonts w:asciiTheme="minorHAnsi" w:hAnsiTheme="minorHAnsi"/>
                <w:color w:val="000000"/>
                <w:sz w:val="22"/>
                <w:szCs w:val="22"/>
              </w:rPr>
              <w:t xml:space="preserve"> </w:t>
            </w:r>
          </w:p>
        </w:tc>
      </w:tr>
      <w:tr w:rsidR="00E807F8" w:rsidRPr="00E84532" w:rsidTr="00406802">
        <w:trPr>
          <w:trHeight w:val="288"/>
        </w:trPr>
        <w:tc>
          <w:tcPr>
            <w:tcW w:w="0" w:type="auto"/>
            <w:tcBorders>
              <w:top w:val="nil"/>
              <w:left w:val="single" w:sz="8" w:space="0" w:color="000000"/>
              <w:bottom w:val="single" w:sz="8" w:space="0" w:color="000000"/>
              <w:right w:val="single" w:sz="8" w:space="0" w:color="000000"/>
            </w:tcBorders>
            <w:shd w:val="clear" w:color="000000" w:fill="FCF6C8"/>
            <w:noWrap/>
            <w:vAlign w:val="center"/>
            <w:hideMark/>
          </w:tcPr>
          <w:p w:rsidR="00E807F8" w:rsidRPr="00E84532" w:rsidRDefault="00E807F8" w:rsidP="00E807F8">
            <w:pPr>
              <w:rPr>
                <w:rFonts w:asciiTheme="minorHAnsi" w:hAnsiTheme="minorHAnsi"/>
                <w:color w:val="000000"/>
                <w:sz w:val="22"/>
                <w:szCs w:val="22"/>
              </w:rPr>
            </w:pPr>
            <w:r w:rsidRPr="00E84532">
              <w:rPr>
                <w:rFonts w:asciiTheme="minorHAnsi" w:hAnsiTheme="minorHAnsi"/>
                <w:color w:val="000000"/>
                <w:sz w:val="22"/>
                <w:szCs w:val="22"/>
              </w:rPr>
              <w:t>Humbjet në përqindje në Rrjetin e Shpërndarjes</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E807F8" w:rsidP="00E807F8">
            <w:pPr>
              <w:jc w:val="center"/>
              <w:rPr>
                <w:rFonts w:asciiTheme="minorHAnsi" w:hAnsiTheme="minorHAnsi"/>
                <w:color w:val="000000"/>
                <w:sz w:val="22"/>
                <w:szCs w:val="22"/>
              </w:rPr>
            </w:pPr>
            <w:r w:rsidRPr="00E84532">
              <w:rPr>
                <w:rFonts w:asciiTheme="minorHAnsi" w:hAnsiTheme="minorHAnsi"/>
                <w:color w:val="000000"/>
                <w:sz w:val="22"/>
                <w:szCs w:val="22"/>
              </w:rPr>
              <w:t>%</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1D2628" w:rsidP="001D2628">
            <w:pPr>
              <w:jc w:val="right"/>
              <w:rPr>
                <w:rFonts w:asciiTheme="minorHAnsi" w:hAnsiTheme="minorHAnsi"/>
                <w:color w:val="000000"/>
                <w:sz w:val="22"/>
                <w:szCs w:val="22"/>
              </w:rPr>
            </w:pPr>
            <w:r>
              <w:rPr>
                <w:rFonts w:asciiTheme="minorHAnsi" w:hAnsiTheme="minorHAnsi"/>
                <w:color w:val="000000"/>
                <w:sz w:val="22"/>
                <w:szCs w:val="22"/>
              </w:rPr>
              <w:t>8</w:t>
            </w:r>
            <w:r w:rsidR="00E807F8" w:rsidRPr="00E84532">
              <w:rPr>
                <w:rFonts w:asciiTheme="minorHAnsi" w:hAnsiTheme="minorHAnsi"/>
                <w:color w:val="000000"/>
                <w:sz w:val="22"/>
                <w:szCs w:val="22"/>
              </w:rPr>
              <w:t>.</w:t>
            </w:r>
            <w:r>
              <w:rPr>
                <w:rFonts w:asciiTheme="minorHAnsi" w:hAnsiTheme="minorHAnsi"/>
                <w:color w:val="000000"/>
                <w:sz w:val="22"/>
                <w:szCs w:val="22"/>
              </w:rPr>
              <w:t>30</w:t>
            </w:r>
            <w:r w:rsidR="00E807F8" w:rsidRPr="00E84532">
              <w:rPr>
                <w:rFonts w:asciiTheme="minorHAnsi" w:hAnsiTheme="minorHAnsi"/>
                <w:color w:val="000000"/>
                <w:sz w:val="22"/>
                <w:szCs w:val="22"/>
              </w:rPr>
              <w:t>%</w:t>
            </w:r>
          </w:p>
        </w:tc>
        <w:tc>
          <w:tcPr>
            <w:tcW w:w="0" w:type="auto"/>
            <w:tcBorders>
              <w:top w:val="nil"/>
              <w:left w:val="nil"/>
              <w:bottom w:val="single" w:sz="8" w:space="0" w:color="000000"/>
              <w:right w:val="single" w:sz="8" w:space="0" w:color="000000"/>
            </w:tcBorders>
            <w:shd w:val="clear" w:color="000000" w:fill="FCF6C8"/>
            <w:noWrap/>
            <w:vAlign w:val="center"/>
            <w:hideMark/>
          </w:tcPr>
          <w:p w:rsidR="00E807F8" w:rsidRPr="00E84532" w:rsidRDefault="001D2628" w:rsidP="001D2628">
            <w:pPr>
              <w:jc w:val="right"/>
              <w:rPr>
                <w:rFonts w:asciiTheme="minorHAnsi" w:hAnsiTheme="minorHAnsi"/>
                <w:color w:val="000000"/>
                <w:sz w:val="22"/>
                <w:szCs w:val="22"/>
              </w:rPr>
            </w:pPr>
            <w:r>
              <w:rPr>
                <w:rFonts w:asciiTheme="minorHAnsi" w:hAnsiTheme="minorHAnsi"/>
                <w:color w:val="000000"/>
                <w:sz w:val="22"/>
                <w:szCs w:val="22"/>
              </w:rPr>
              <w:t>8</w:t>
            </w:r>
            <w:r w:rsidR="00E807F8" w:rsidRPr="00E84532">
              <w:rPr>
                <w:rFonts w:asciiTheme="minorHAnsi" w:hAnsiTheme="minorHAnsi"/>
                <w:color w:val="000000"/>
                <w:sz w:val="22"/>
                <w:szCs w:val="22"/>
              </w:rPr>
              <w:t>.</w:t>
            </w:r>
            <w:r>
              <w:rPr>
                <w:rFonts w:asciiTheme="minorHAnsi" w:hAnsiTheme="minorHAnsi"/>
                <w:color w:val="000000"/>
                <w:sz w:val="22"/>
                <w:szCs w:val="22"/>
              </w:rPr>
              <w:t>30</w:t>
            </w:r>
            <w:r w:rsidR="00E807F8" w:rsidRPr="00E84532">
              <w:rPr>
                <w:rFonts w:asciiTheme="minorHAnsi" w:hAnsiTheme="minorHAnsi"/>
                <w:color w:val="000000"/>
                <w:sz w:val="22"/>
                <w:szCs w:val="22"/>
              </w:rPr>
              <w:t>%</w:t>
            </w:r>
          </w:p>
        </w:tc>
      </w:tr>
      <w:tr w:rsidR="00E807F8" w:rsidRPr="00E84532" w:rsidTr="00406802">
        <w:trPr>
          <w:trHeight w:val="442"/>
        </w:trPr>
        <w:tc>
          <w:tcPr>
            <w:tcW w:w="0" w:type="auto"/>
            <w:tcBorders>
              <w:top w:val="nil"/>
              <w:left w:val="single" w:sz="8" w:space="0" w:color="000000"/>
              <w:bottom w:val="single" w:sz="4" w:space="0" w:color="auto"/>
              <w:right w:val="single" w:sz="8" w:space="0" w:color="000000"/>
            </w:tcBorders>
            <w:shd w:val="clear" w:color="000000" w:fill="DBE5F1"/>
            <w:noWrap/>
            <w:vAlign w:val="center"/>
            <w:hideMark/>
          </w:tcPr>
          <w:p w:rsidR="00E807F8" w:rsidRPr="00E84532" w:rsidRDefault="00E807F8" w:rsidP="00E807F8">
            <w:pPr>
              <w:rPr>
                <w:rFonts w:asciiTheme="minorHAnsi" w:hAnsiTheme="minorHAnsi"/>
                <w:b/>
                <w:bCs/>
                <w:color w:val="000000"/>
                <w:sz w:val="22"/>
                <w:szCs w:val="22"/>
              </w:rPr>
            </w:pPr>
            <w:r w:rsidRPr="00E84532">
              <w:rPr>
                <w:rFonts w:asciiTheme="minorHAnsi" w:hAnsiTheme="minorHAnsi"/>
                <w:b/>
                <w:bCs/>
                <w:color w:val="000000"/>
                <w:sz w:val="22"/>
                <w:szCs w:val="22"/>
              </w:rPr>
              <w:t>Furnizimi / Konsumi i En. Term.</w:t>
            </w:r>
          </w:p>
        </w:tc>
        <w:tc>
          <w:tcPr>
            <w:tcW w:w="0" w:type="auto"/>
            <w:tcBorders>
              <w:top w:val="nil"/>
              <w:left w:val="nil"/>
              <w:bottom w:val="single" w:sz="4" w:space="0" w:color="auto"/>
              <w:right w:val="single" w:sz="8" w:space="0" w:color="000000"/>
            </w:tcBorders>
            <w:shd w:val="clear" w:color="000000" w:fill="DBE5F1"/>
            <w:noWrap/>
            <w:vAlign w:val="center"/>
            <w:hideMark/>
          </w:tcPr>
          <w:p w:rsidR="00E807F8" w:rsidRPr="00E84532" w:rsidRDefault="00E807F8" w:rsidP="00E807F8">
            <w:pPr>
              <w:jc w:val="center"/>
              <w:rPr>
                <w:rFonts w:asciiTheme="minorHAnsi" w:hAnsiTheme="minorHAnsi"/>
                <w:b/>
                <w:bCs/>
                <w:color w:val="000000"/>
                <w:sz w:val="22"/>
                <w:szCs w:val="22"/>
              </w:rPr>
            </w:pPr>
            <w:r w:rsidRPr="00E84532">
              <w:rPr>
                <w:rFonts w:asciiTheme="minorHAnsi" w:hAnsiTheme="minorHAnsi"/>
                <w:b/>
                <w:bCs/>
                <w:color w:val="000000"/>
                <w:sz w:val="22"/>
                <w:szCs w:val="22"/>
              </w:rPr>
              <w:t>MWh</w:t>
            </w:r>
          </w:p>
        </w:tc>
        <w:tc>
          <w:tcPr>
            <w:tcW w:w="0" w:type="auto"/>
            <w:tcBorders>
              <w:top w:val="nil"/>
              <w:left w:val="nil"/>
              <w:bottom w:val="single" w:sz="4" w:space="0" w:color="auto"/>
              <w:right w:val="single" w:sz="8" w:space="0" w:color="000000"/>
            </w:tcBorders>
            <w:shd w:val="clear" w:color="000000" w:fill="DBE5F1"/>
            <w:noWrap/>
            <w:vAlign w:val="center"/>
            <w:hideMark/>
          </w:tcPr>
          <w:p w:rsidR="00E807F8" w:rsidRPr="00E84532" w:rsidRDefault="007B08BE" w:rsidP="001D2628">
            <w:pPr>
              <w:jc w:val="right"/>
              <w:rPr>
                <w:rFonts w:asciiTheme="minorHAnsi" w:hAnsiTheme="minorHAnsi"/>
                <w:b/>
                <w:bCs/>
                <w:color w:val="000000"/>
                <w:sz w:val="22"/>
                <w:szCs w:val="22"/>
              </w:rPr>
            </w:pPr>
            <w:r>
              <w:rPr>
                <w:rFonts w:asciiTheme="minorHAnsi" w:hAnsiTheme="minorHAnsi"/>
                <w:b/>
                <w:bCs/>
                <w:color w:val="000000"/>
                <w:sz w:val="22"/>
                <w:szCs w:val="22"/>
              </w:rPr>
              <w:t xml:space="preserve">              2</w:t>
            </w:r>
            <w:r w:rsidR="001D2628">
              <w:rPr>
                <w:rFonts w:asciiTheme="minorHAnsi" w:hAnsiTheme="minorHAnsi"/>
                <w:b/>
                <w:bCs/>
                <w:color w:val="000000"/>
                <w:sz w:val="22"/>
                <w:szCs w:val="22"/>
              </w:rPr>
              <w:t>46</w:t>
            </w:r>
            <w:r w:rsidR="00E807F8" w:rsidRPr="00E84532">
              <w:rPr>
                <w:rFonts w:asciiTheme="minorHAnsi" w:hAnsiTheme="minorHAnsi"/>
                <w:b/>
                <w:bCs/>
                <w:color w:val="000000"/>
                <w:sz w:val="22"/>
                <w:szCs w:val="22"/>
              </w:rPr>
              <w:t>,</w:t>
            </w:r>
            <w:r w:rsidR="001D2628">
              <w:rPr>
                <w:rFonts w:asciiTheme="minorHAnsi" w:hAnsiTheme="minorHAnsi"/>
                <w:b/>
                <w:bCs/>
                <w:color w:val="000000"/>
                <w:sz w:val="22"/>
                <w:szCs w:val="22"/>
              </w:rPr>
              <w:t>056</w:t>
            </w:r>
            <w:r w:rsidR="00E807F8" w:rsidRPr="00E84532">
              <w:rPr>
                <w:rFonts w:asciiTheme="minorHAnsi" w:hAnsiTheme="minorHAnsi"/>
                <w:b/>
                <w:bCs/>
                <w:color w:val="000000"/>
                <w:sz w:val="22"/>
                <w:szCs w:val="22"/>
              </w:rPr>
              <w:t xml:space="preserve"> </w:t>
            </w:r>
          </w:p>
        </w:tc>
        <w:tc>
          <w:tcPr>
            <w:tcW w:w="0" w:type="auto"/>
            <w:tcBorders>
              <w:top w:val="nil"/>
              <w:left w:val="nil"/>
              <w:bottom w:val="single" w:sz="4" w:space="0" w:color="auto"/>
              <w:right w:val="single" w:sz="8" w:space="0" w:color="000000"/>
            </w:tcBorders>
            <w:shd w:val="clear" w:color="000000" w:fill="DBE5F1"/>
            <w:noWrap/>
            <w:vAlign w:val="center"/>
            <w:hideMark/>
          </w:tcPr>
          <w:p w:rsidR="00E807F8" w:rsidRPr="00E84532" w:rsidRDefault="00E807F8" w:rsidP="001D2628">
            <w:pPr>
              <w:jc w:val="right"/>
              <w:rPr>
                <w:rFonts w:asciiTheme="minorHAnsi" w:hAnsiTheme="minorHAnsi"/>
                <w:b/>
                <w:bCs/>
                <w:color w:val="000000"/>
                <w:sz w:val="22"/>
                <w:szCs w:val="22"/>
              </w:rPr>
            </w:pPr>
            <w:r w:rsidRPr="00E84532">
              <w:rPr>
                <w:rFonts w:asciiTheme="minorHAnsi" w:hAnsiTheme="minorHAnsi"/>
                <w:b/>
                <w:bCs/>
                <w:color w:val="000000"/>
                <w:sz w:val="22"/>
                <w:szCs w:val="22"/>
              </w:rPr>
              <w:t xml:space="preserve">         2</w:t>
            </w:r>
            <w:r w:rsidR="001D2628">
              <w:rPr>
                <w:rFonts w:asciiTheme="minorHAnsi" w:hAnsiTheme="minorHAnsi"/>
                <w:b/>
                <w:bCs/>
                <w:color w:val="000000"/>
                <w:sz w:val="22"/>
                <w:szCs w:val="22"/>
              </w:rPr>
              <w:t>46</w:t>
            </w:r>
            <w:r w:rsidRPr="00E84532">
              <w:rPr>
                <w:rFonts w:asciiTheme="minorHAnsi" w:hAnsiTheme="minorHAnsi"/>
                <w:b/>
                <w:bCs/>
                <w:color w:val="000000"/>
                <w:sz w:val="22"/>
                <w:szCs w:val="22"/>
              </w:rPr>
              <w:t>,</w:t>
            </w:r>
            <w:r w:rsidR="001D2628">
              <w:rPr>
                <w:rFonts w:asciiTheme="minorHAnsi" w:hAnsiTheme="minorHAnsi"/>
                <w:b/>
                <w:bCs/>
                <w:color w:val="000000"/>
                <w:sz w:val="22"/>
                <w:szCs w:val="22"/>
              </w:rPr>
              <w:t>056</w:t>
            </w:r>
            <w:r w:rsidRPr="00E84532">
              <w:rPr>
                <w:rFonts w:asciiTheme="minorHAnsi" w:hAnsiTheme="minorHAnsi"/>
                <w:b/>
                <w:bCs/>
                <w:color w:val="000000"/>
                <w:sz w:val="22"/>
                <w:szCs w:val="22"/>
              </w:rPr>
              <w:t xml:space="preserve"> </w:t>
            </w:r>
          </w:p>
        </w:tc>
      </w:tr>
    </w:tbl>
    <w:p w:rsidR="00C32914" w:rsidRPr="00E84532" w:rsidRDefault="00C32914" w:rsidP="006122E6">
      <w:pPr>
        <w:pStyle w:val="Heading3"/>
      </w:pPr>
    </w:p>
    <w:sectPr w:rsidR="00C32914" w:rsidRPr="00E84532" w:rsidSect="0085259A">
      <w:headerReference w:type="default" r:id="rId18"/>
      <w:footerReference w:type="default" r:id="rId19"/>
      <w:headerReference w:type="first" r:id="rId20"/>
      <w:footerReference w:type="first" r:id="rId21"/>
      <w:pgSz w:w="11909" w:h="16834" w:code="9"/>
      <w:pgMar w:top="1765" w:right="1418" w:bottom="1418" w:left="1418" w:header="45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B4" w:rsidRDefault="001D30B4">
      <w:r>
        <w:separator/>
      </w:r>
    </w:p>
  </w:endnote>
  <w:endnote w:type="continuationSeparator" w:id="0">
    <w:p w:rsidR="001D30B4" w:rsidRDefault="001D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EF" w:rsidRPr="00954DC8" w:rsidRDefault="004A64EF">
    <w:pPr>
      <w:pStyle w:val="Footer"/>
      <w:jc w:val="right"/>
      <w:rPr>
        <w:rFonts w:asciiTheme="minorHAnsi" w:hAnsiTheme="minorHAnsi"/>
        <w:sz w:val="22"/>
        <w:szCs w:val="22"/>
      </w:rPr>
    </w:pPr>
    <w:r w:rsidRPr="00954DC8">
      <w:rPr>
        <w:rFonts w:asciiTheme="minorHAnsi" w:hAnsiTheme="minorHAnsi"/>
        <w:sz w:val="22"/>
        <w:szCs w:val="22"/>
      </w:rPr>
      <w:fldChar w:fldCharType="begin"/>
    </w:r>
    <w:r w:rsidRPr="00954DC8">
      <w:rPr>
        <w:rFonts w:asciiTheme="minorHAnsi" w:hAnsiTheme="minorHAnsi"/>
        <w:sz w:val="22"/>
        <w:szCs w:val="22"/>
      </w:rPr>
      <w:instrText xml:space="preserve"> PAGE   \* MERGEFORMAT </w:instrText>
    </w:r>
    <w:r w:rsidRPr="00954DC8">
      <w:rPr>
        <w:rFonts w:asciiTheme="minorHAnsi" w:hAnsiTheme="minorHAnsi"/>
        <w:sz w:val="22"/>
        <w:szCs w:val="22"/>
      </w:rPr>
      <w:fldChar w:fldCharType="separate"/>
    </w:r>
    <w:r w:rsidR="0064283F">
      <w:rPr>
        <w:rFonts w:asciiTheme="minorHAnsi" w:hAnsiTheme="minorHAnsi"/>
        <w:noProof/>
        <w:sz w:val="22"/>
        <w:szCs w:val="22"/>
      </w:rPr>
      <w:t>4</w:t>
    </w:r>
    <w:r w:rsidRPr="00954DC8">
      <w:rPr>
        <w:rFonts w:asciiTheme="minorHAnsi" w:hAnsiTheme="minorHAnsi"/>
        <w:sz w:val="22"/>
        <w:szCs w:val="22"/>
      </w:rPr>
      <w:fldChar w:fldCharType="end"/>
    </w:r>
  </w:p>
  <w:p w:rsidR="004A64EF" w:rsidRDefault="004A64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EF" w:rsidRPr="00F65B6C" w:rsidRDefault="004A64EF" w:rsidP="00CC5C73">
    <w:pPr>
      <w:pStyle w:val="Footer"/>
      <w:tabs>
        <w:tab w:val="clear" w:pos="8640"/>
        <w:tab w:val="left" w:pos="6240"/>
      </w:tabs>
      <w:ind w:left="-57"/>
      <w:jc w:val="right"/>
      <w:rPr>
        <w:rFonts w:ascii="Calibri" w:hAnsi="Calibri"/>
        <w:color w:val="FFFFFF"/>
        <w:sz w:val="18"/>
        <w:szCs w:val="18"/>
      </w:rPr>
    </w:pPr>
    <w:r>
      <w:rPr>
        <w:rFonts w:ascii="Calibri" w:hAnsi="Calibri"/>
        <w:noProof/>
        <w:color w:val="FFFFFF"/>
        <w:sz w:val="18"/>
        <w:szCs w:val="18"/>
        <w:lang w:val="en-US"/>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31750</wp:posOffset>
              </wp:positionV>
              <wp:extent cx="5702300" cy="635"/>
              <wp:effectExtent l="0" t="0" r="12700" b="184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635"/>
                      </a:xfrm>
                      <a:prstGeom prst="straightConnector1">
                        <a:avLst/>
                      </a:prstGeom>
                      <a:noFill/>
                      <a:ln w="9525">
                        <a:solidFill>
                          <a:srgbClr val="00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E0007F" id="_x0000_t32" coordsize="21600,21600" o:spt="32" o:oned="t" path="m,l21600,21600e" filled="f">
              <v:path arrowok="t" fillok="f" o:connecttype="none"/>
              <o:lock v:ext="edit" shapetype="t"/>
            </v:shapetype>
            <v:shape id="AutoShape 1" o:spid="_x0000_s1026" type="#_x0000_t32" style="position:absolute;margin-left:2.25pt;margin-top:2.5pt;width:44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" strokecolor="#005f91"/>
          </w:pict>
        </mc:Fallback>
      </mc:AlternateContent>
    </w:r>
    <w:r w:rsidRPr="00F65B6C">
      <w:rPr>
        <w:color w:val="FFFFFF"/>
      </w:rPr>
      <w:fldChar w:fldCharType="begin"/>
    </w:r>
    <w:r w:rsidRPr="00F65B6C">
      <w:rPr>
        <w:color w:val="FFFFFF"/>
      </w:rPr>
      <w:instrText xml:space="preserve"> PAGE   \* MERGEFORMAT </w:instrText>
    </w:r>
    <w:r w:rsidRPr="00F65B6C">
      <w:rPr>
        <w:color w:val="FFFFFF"/>
      </w:rPr>
      <w:fldChar w:fldCharType="separate"/>
    </w:r>
    <w:r w:rsidR="0064283F">
      <w:rPr>
        <w:noProof/>
        <w:color w:val="FFFFFF"/>
      </w:rPr>
      <w:t>1</w:t>
    </w:r>
    <w:r w:rsidRPr="00F65B6C">
      <w:rPr>
        <w:color w:val="FFFFFF"/>
      </w:rPr>
      <w:fldChar w:fldCharType="end"/>
    </w:r>
  </w:p>
  <w:p w:rsidR="004A64EF" w:rsidRDefault="004A64EF" w:rsidP="00CC5C73">
    <w:pPr>
      <w:pStyle w:val="Footer"/>
      <w:tabs>
        <w:tab w:val="clear" w:pos="8640"/>
        <w:tab w:val="left" w:pos="6240"/>
      </w:tabs>
      <w:ind w:left="-57"/>
      <w:rPr>
        <w:rFonts w:ascii="Calibri" w:hAnsi="Calibri"/>
        <w:color w:val="005F91"/>
        <w:sz w:val="18"/>
        <w:szCs w:val="18"/>
      </w:rPr>
    </w:pPr>
    <w:r w:rsidRPr="00661073">
      <w:rPr>
        <w:rFonts w:ascii="Calibri" w:hAnsi="Calibri"/>
        <w:color w:val="005F91"/>
        <w:sz w:val="18"/>
        <w:szCs w:val="18"/>
      </w:rPr>
      <w:t xml:space="preserve">Adresa: Rr. </w:t>
    </w:r>
    <w:r>
      <w:rPr>
        <w:rFonts w:ascii="Calibri" w:hAnsi="Calibri"/>
        <w:color w:val="005F91"/>
        <w:sz w:val="18"/>
        <w:szCs w:val="18"/>
      </w:rPr>
      <w:t>Dervish Rozhaja</w:t>
    </w:r>
    <w:r w:rsidRPr="00661073">
      <w:rPr>
        <w:rFonts w:ascii="Calibri" w:hAnsi="Calibri"/>
        <w:color w:val="005F91"/>
        <w:sz w:val="18"/>
        <w:szCs w:val="18"/>
      </w:rPr>
      <w:t xml:space="preserve"> nr. 1</w:t>
    </w:r>
    <w:r>
      <w:rPr>
        <w:rFonts w:ascii="Calibri" w:hAnsi="Calibri"/>
        <w:color w:val="005F91"/>
        <w:sz w:val="18"/>
        <w:szCs w:val="18"/>
      </w:rPr>
      <w:t>2</w:t>
    </w:r>
    <w:r w:rsidRPr="00661073">
      <w:rPr>
        <w:rFonts w:ascii="Calibri" w:hAnsi="Calibri"/>
        <w:color w:val="005F91"/>
        <w:sz w:val="18"/>
        <w:szCs w:val="18"/>
      </w:rPr>
      <w:t>, 10000 Prishtinë, Kosovë</w:t>
    </w:r>
  </w:p>
  <w:p w:rsidR="004A64EF" w:rsidRPr="00CC5C73" w:rsidRDefault="004A64EF" w:rsidP="00CC5C73">
    <w:pPr>
      <w:pStyle w:val="Footer"/>
      <w:tabs>
        <w:tab w:val="clear" w:pos="8640"/>
        <w:tab w:val="left" w:pos="6240"/>
      </w:tabs>
      <w:ind w:left="-57"/>
      <w:rPr>
        <w:rFonts w:ascii="Calibri" w:hAnsi="Calibri"/>
        <w:color w:val="005F91"/>
        <w:sz w:val="18"/>
        <w:szCs w:val="18"/>
      </w:rPr>
    </w:pPr>
    <w:r w:rsidRPr="00661073">
      <w:rPr>
        <w:rFonts w:ascii="Calibri" w:hAnsi="Calibri"/>
        <w:color w:val="005F91"/>
        <w:sz w:val="18"/>
        <w:szCs w:val="18"/>
      </w:rPr>
      <w:t>Tel: 038 247 615 lok. 101, Fax: 038 247 620, E-mail: info@ero-ks.org, web: www.ero-ks.org</w:t>
    </w:r>
  </w:p>
  <w:p w:rsidR="004A64EF" w:rsidRDefault="004A64EF" w:rsidP="00CC5C73">
    <w:pPr>
      <w:pStyle w:val="Footer"/>
      <w:tabs>
        <w:tab w:val="clear" w:pos="4320"/>
        <w:tab w:val="clear" w:pos="8640"/>
        <w:tab w:val="left" w:pos="109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B4" w:rsidRDefault="001D30B4">
      <w:r>
        <w:separator/>
      </w:r>
    </w:p>
  </w:footnote>
  <w:footnote w:type="continuationSeparator" w:id="0">
    <w:p w:rsidR="001D30B4" w:rsidRDefault="001D30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EF" w:rsidRPr="00E075FD" w:rsidRDefault="004A64EF" w:rsidP="00F2047B">
    <w:pPr>
      <w:pStyle w:val="Header"/>
      <w:tabs>
        <w:tab w:val="clear" w:pos="4320"/>
        <w:tab w:val="clear" w:pos="8640"/>
        <w:tab w:val="left" w:pos="810"/>
      </w:tabs>
      <w:ind w:left="-993" w:firstLine="223"/>
      <w:rPr>
        <w:szCs w:val="22"/>
      </w:rPr>
    </w:pPr>
    <w:r>
      <w:object w:dxaOrig="1171"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58.25pt">
          <v:imagedata r:id="rId1" o:title=""/>
        </v:shape>
        <o:OLEObject Type="Embed" ProgID="CorelDRAW.Graphic.14" ShapeID="_x0000_i1025" DrawAspect="Content" ObjectID="_1662191218" r:id="rId2"/>
      </w:object>
    </w:r>
    <w:r>
      <w:rPr>
        <w:noProof/>
        <w:szCs w:val="22"/>
        <w:lang w:eastAsia="sq-AL"/>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4EF" w:rsidRPr="00C54EA0" w:rsidRDefault="004A64EF" w:rsidP="00974BC8">
    <w:pPr>
      <w:pStyle w:val="Header"/>
      <w:tabs>
        <w:tab w:val="clear" w:pos="4320"/>
        <w:tab w:val="clear" w:pos="8640"/>
        <w:tab w:val="center" w:pos="4500"/>
        <w:tab w:val="right" w:pos="9000"/>
      </w:tabs>
      <w:ind w:right="73"/>
      <w:rPr>
        <w:b/>
      </w:rPr>
    </w:pPr>
    <w:r w:rsidRPr="00C54EA0">
      <w:rPr>
        <w:b/>
        <w:noProof/>
        <w:lang w:val="en-US"/>
      </w:rPr>
      <w:drawing>
        <wp:inline distT="0" distB="0" distL="0" distR="0">
          <wp:extent cx="5762625" cy="11811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762625" cy="1181100"/>
                  </a:xfrm>
                  <a:prstGeom prst="rect">
                    <a:avLst/>
                  </a:prstGeom>
                  <a:noFill/>
                  <a:ln w="9525">
                    <a:noFill/>
                    <a:miter lim="800000"/>
                    <a:headEnd/>
                    <a:tailEnd/>
                  </a:ln>
                </pic:spPr>
              </pic:pic>
            </a:graphicData>
          </a:graphic>
        </wp:inline>
      </w:drawing>
    </w:r>
  </w:p>
  <w:p w:rsidR="004A64EF" w:rsidRPr="0085259A" w:rsidRDefault="004A64EF" w:rsidP="00974BC8">
    <w:pPr>
      <w:pStyle w:val="Header"/>
      <w:tabs>
        <w:tab w:val="clear" w:pos="4320"/>
        <w:tab w:val="clear" w:pos="8640"/>
        <w:tab w:val="center" w:pos="4500"/>
        <w:tab w:val="right" w:pos="9000"/>
      </w:tabs>
      <w:ind w:right="73"/>
      <w:rPr>
        <w:b/>
        <w:u w:val="dotte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C05"/>
    <w:multiLevelType w:val="hybridMultilevel"/>
    <w:tmpl w:val="50DA0A90"/>
    <w:lvl w:ilvl="0" w:tplc="0F185A5E">
      <w:start w:val="3"/>
      <w:numFmt w:val="bullet"/>
      <w:lvlText w:val="-"/>
      <w:lvlJc w:val="left"/>
      <w:pPr>
        <w:tabs>
          <w:tab w:val="num" w:pos="720"/>
        </w:tabs>
        <w:ind w:left="720" w:hanging="360"/>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3">
      <w:start w:val="1"/>
      <w:numFmt w:val="bullet"/>
      <w:lvlText w:val="o"/>
      <w:lvlJc w:val="left"/>
      <w:pPr>
        <w:tabs>
          <w:tab w:val="num" w:pos="4320"/>
        </w:tabs>
        <w:ind w:left="4320" w:hanging="360"/>
      </w:pPr>
      <w:rPr>
        <w:rFonts w:ascii="Courier New" w:hAnsi="Courier New" w:cs="Courier Ne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F0619"/>
    <w:multiLevelType w:val="hybridMultilevel"/>
    <w:tmpl w:val="BEDEC3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80A46"/>
    <w:multiLevelType w:val="hybridMultilevel"/>
    <w:tmpl w:val="B70247E0"/>
    <w:lvl w:ilvl="0" w:tplc="B9602E30">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874CF1"/>
    <w:multiLevelType w:val="hybridMultilevel"/>
    <w:tmpl w:val="E19489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D11EE2"/>
    <w:multiLevelType w:val="hybridMultilevel"/>
    <w:tmpl w:val="61EC365A"/>
    <w:lvl w:ilvl="0" w:tplc="0F185A5E">
      <w:start w:val="3"/>
      <w:numFmt w:val="bullet"/>
      <w:lvlText w:val="-"/>
      <w:lvlJc w:val="left"/>
      <w:pPr>
        <w:tabs>
          <w:tab w:val="num" w:pos="720"/>
        </w:tabs>
        <w:ind w:left="720" w:hanging="360"/>
      </w:pPr>
      <w:rPr>
        <w:rFonts w:ascii="Calibri" w:eastAsia="Times New Roman" w:hAnsi="Calibri"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145DB"/>
    <w:multiLevelType w:val="hybridMultilevel"/>
    <w:tmpl w:val="0EC26C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DCA5B45"/>
    <w:multiLevelType w:val="hybridMultilevel"/>
    <w:tmpl w:val="549073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6A20DF"/>
    <w:multiLevelType w:val="hybridMultilevel"/>
    <w:tmpl w:val="0ED69FB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83AB4"/>
    <w:multiLevelType w:val="multilevel"/>
    <w:tmpl w:val="E34A50A8"/>
    <w:lvl w:ilvl="0">
      <w:start w:val="1"/>
      <w:numFmt w:val="decimal"/>
      <w:lvlText w:val="%1."/>
      <w:lvlJc w:val="left"/>
      <w:pPr>
        <w:ind w:left="720" w:hanging="360"/>
      </w:pPr>
      <w:rPr>
        <w:rFonts w:hint="default"/>
        <w:b/>
        <w:color w:val="auto"/>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5DD1224"/>
    <w:multiLevelType w:val="multilevel"/>
    <w:tmpl w:val="451A4D0A"/>
    <w:lvl w:ilvl="0">
      <w:start w:val="17"/>
      <w:numFmt w:val="decimal"/>
      <w:pStyle w:val="ParagraphNumbering"/>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15:restartNumberingAfterBreak="0">
    <w:nsid w:val="3983157E"/>
    <w:multiLevelType w:val="hybridMultilevel"/>
    <w:tmpl w:val="2D9C194A"/>
    <w:lvl w:ilvl="0" w:tplc="F454DA16">
      <w:start w:val="1"/>
      <w:numFmt w:val="bullet"/>
      <w:pStyle w:val="ListBullet"/>
      <w:lvlText w:val=""/>
      <w:lvlJc w:val="left"/>
      <w:pPr>
        <w:tabs>
          <w:tab w:val="num" w:pos="720"/>
        </w:tabs>
        <w:ind w:left="720" w:hanging="360"/>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D18FE"/>
    <w:multiLevelType w:val="hybridMultilevel"/>
    <w:tmpl w:val="59629A0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BD074F"/>
    <w:multiLevelType w:val="multilevel"/>
    <w:tmpl w:val="3A369DB8"/>
    <w:lvl w:ilvl="0">
      <w:start w:val="1"/>
      <w:numFmt w:val="decimal"/>
      <w:pStyle w:val="Heading1"/>
      <w:lvlText w:val="%1"/>
      <w:lvlJc w:val="left"/>
      <w:pPr>
        <w:tabs>
          <w:tab w:val="num" w:pos="2340"/>
        </w:tabs>
        <w:ind w:left="2340" w:hanging="720"/>
      </w:pPr>
      <w:rPr>
        <w:rFonts w:cs="Times New Roman"/>
        <w:b/>
        <w:bCs w:val="0"/>
        <w:i w:val="0"/>
        <w:iCs w:val="0"/>
        <w:caps w:val="0"/>
        <w:smallCaps w:val="0"/>
        <w:strike w:val="0"/>
        <w:dstrike w:val="0"/>
        <w:noProof w:val="0"/>
        <w:vanish w:val="0"/>
        <w:color w:val="auto"/>
        <w:spacing w:val="0"/>
        <w:kern w:val="0"/>
        <w:position w:val="0"/>
        <w:u w:val="none"/>
        <w:vertAlign w:val="baseline"/>
        <w:em w:val="none"/>
      </w:rPr>
    </w:lvl>
    <w:lvl w:ilvl="1">
      <w:start w:val="1"/>
      <w:numFmt w:val="decimal"/>
      <w:pStyle w:val="Heading2"/>
      <w:lvlText w:val="%1.%2"/>
      <w:lvlJc w:val="left"/>
      <w:pPr>
        <w:tabs>
          <w:tab w:val="num" w:pos="720"/>
        </w:tabs>
        <w:ind w:left="720" w:hanging="720"/>
      </w:pPr>
      <w:rPr>
        <w:rFonts w:ascii="Calibri" w:hAnsi="Calibri" w:hint="default"/>
        <w:b/>
        <w:i w:val="0"/>
        <w:sz w:val="24"/>
      </w:rPr>
    </w:lvl>
    <w:lvl w:ilvl="2">
      <w:start w:val="1"/>
      <w:numFmt w:val="decimal"/>
      <w:lvlText w:val="%1.%2.%3"/>
      <w:lvlJc w:val="left"/>
      <w:pPr>
        <w:tabs>
          <w:tab w:val="num" w:pos="1080"/>
        </w:tabs>
        <w:ind w:left="794" w:hanging="794"/>
      </w:pPr>
      <w:rPr>
        <w:rFonts w:hint="default"/>
      </w:rPr>
    </w:lvl>
    <w:lvl w:ilvl="3">
      <w:start w:val="1"/>
      <w:numFmt w:val="decimal"/>
      <w:lvlText w:val="%1.%2.%3.%4"/>
      <w:lvlJc w:val="left"/>
      <w:pPr>
        <w:tabs>
          <w:tab w:val="num" w:pos="1440"/>
        </w:tabs>
        <w:ind w:left="907" w:hanging="907"/>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6154F10"/>
    <w:multiLevelType w:val="hybridMultilevel"/>
    <w:tmpl w:val="BF686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27D1D"/>
    <w:multiLevelType w:val="hybridMultilevel"/>
    <w:tmpl w:val="F6EAFC7C"/>
    <w:lvl w:ilvl="0" w:tplc="4948B4C2">
      <w:start w:val="1"/>
      <w:numFmt w:val="decimal"/>
      <w:lvlText w:val="%1"/>
      <w:lvlJc w:val="left"/>
      <w:pPr>
        <w:ind w:left="1080" w:hanging="360"/>
      </w:pPr>
      <w:rPr>
        <w:rFonts w:ascii="Calibri" w:hAnsi="Calibr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DC7835"/>
    <w:multiLevelType w:val="hybridMultilevel"/>
    <w:tmpl w:val="C0FAB2EE"/>
    <w:lvl w:ilvl="0" w:tplc="523418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554FB"/>
    <w:multiLevelType w:val="hybridMultilevel"/>
    <w:tmpl w:val="22D23D5C"/>
    <w:lvl w:ilvl="0" w:tplc="4D6C90E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87593A"/>
    <w:multiLevelType w:val="hybridMultilevel"/>
    <w:tmpl w:val="9044E5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F6B46C7"/>
    <w:multiLevelType w:val="hybridMultilevel"/>
    <w:tmpl w:val="2A323B2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19" w15:restartNumberingAfterBreak="0">
    <w:nsid w:val="682F2202"/>
    <w:multiLevelType w:val="hybridMultilevel"/>
    <w:tmpl w:val="37506FB4"/>
    <w:lvl w:ilvl="0" w:tplc="04090011">
      <w:start w:val="1"/>
      <w:numFmt w:val="decimal"/>
      <w:lvlText w:val="%1)"/>
      <w:lvlJc w:val="left"/>
      <w:pPr>
        <w:tabs>
          <w:tab w:val="num" w:pos="720"/>
        </w:tabs>
        <w:ind w:left="720" w:hanging="360"/>
      </w:pPr>
      <w:rPr>
        <w:rFonts w:hint="default"/>
      </w:rPr>
    </w:lvl>
    <w:lvl w:ilvl="1" w:tplc="D9EA873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8E20620"/>
    <w:multiLevelType w:val="multilevel"/>
    <w:tmpl w:val="19683246"/>
    <w:styleLink w:val="StyleOutlinenumbered"/>
    <w:lvl w:ilvl="0">
      <w:start w:val="4"/>
      <w:numFmt w:val="bullet"/>
      <w:lvlText w:val=""/>
      <w:lvlJc w:val="left"/>
      <w:pPr>
        <w:tabs>
          <w:tab w:val="num" w:pos="720"/>
        </w:tabs>
        <w:ind w:left="720" w:hanging="360"/>
      </w:pPr>
      <w:rPr>
        <w:rFonts w:ascii="Symbol" w:hAnsi="Symbol"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BE45270"/>
    <w:multiLevelType w:val="multilevel"/>
    <w:tmpl w:val="E2E0471A"/>
    <w:lvl w:ilvl="0">
      <w:start w:val="1"/>
      <w:numFmt w:val="decimal"/>
      <w:lvlText w:val="%1"/>
      <w:lvlJc w:val="left"/>
      <w:pPr>
        <w:ind w:left="1530" w:hanging="360"/>
      </w:pPr>
      <w:rPr>
        <w:rFonts w:ascii="Calibri" w:hAnsi="Calibri" w:cs="Times New Roman" w:hint="default"/>
        <w:color w:val="auto"/>
      </w:rPr>
    </w:lvl>
    <w:lvl w:ilvl="1">
      <w:start w:val="1"/>
      <w:numFmt w:val="decimal"/>
      <w:isLgl/>
      <w:lvlText w:val="%1.%2"/>
      <w:lvlJc w:val="left"/>
      <w:pPr>
        <w:ind w:left="1170" w:hanging="360"/>
      </w:pPr>
      <w:rPr>
        <w:rFonts w:hint="default"/>
      </w:rPr>
    </w:lvl>
    <w:lvl w:ilvl="2">
      <w:start w:val="1"/>
      <w:numFmt w:val="decimal"/>
      <w:isLgl/>
      <w:lvlText w:val="%1.%2.%3"/>
      <w:lvlJc w:val="left"/>
      <w:pPr>
        <w:ind w:left="261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690" w:hanging="1080"/>
      </w:pPr>
      <w:rPr>
        <w:rFonts w:hint="default"/>
      </w:rPr>
    </w:lvl>
    <w:lvl w:ilvl="5">
      <w:start w:val="1"/>
      <w:numFmt w:val="decimal"/>
      <w:isLgl/>
      <w:lvlText w:val="%1.%2.%3.%4.%5.%6"/>
      <w:lvlJc w:val="left"/>
      <w:pPr>
        <w:ind w:left="4050"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850" w:hanging="1800"/>
      </w:pPr>
      <w:rPr>
        <w:rFonts w:hint="default"/>
      </w:rPr>
    </w:lvl>
  </w:abstractNum>
  <w:abstractNum w:abstractNumId="22" w15:restartNumberingAfterBreak="0">
    <w:nsid w:val="710F1702"/>
    <w:multiLevelType w:val="hybridMultilevel"/>
    <w:tmpl w:val="C7EAD0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4911F99"/>
    <w:multiLevelType w:val="hybridMultilevel"/>
    <w:tmpl w:val="BEC07A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73DAD1AC">
      <w:start w:val="482"/>
      <w:numFmt w:val="bullet"/>
      <w:lvlText w:val=""/>
      <w:lvlJc w:val="left"/>
      <w:pPr>
        <w:ind w:left="5040" w:hanging="360"/>
      </w:pPr>
      <w:rPr>
        <w:rFonts w:ascii="Wingdings" w:eastAsia="MS Mincho" w:hAnsi="Wingdings" w:cs="Times New Roman" w:hint="default"/>
        <w:u w:val="none"/>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7F6573"/>
    <w:multiLevelType w:val="hybridMultilevel"/>
    <w:tmpl w:val="26A63990"/>
    <w:lvl w:ilvl="0" w:tplc="DA128BEA">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10"/>
  </w:num>
  <w:num w:numId="3">
    <w:abstractNumId w:val="20"/>
  </w:num>
  <w:num w:numId="4">
    <w:abstractNumId w:val="12"/>
  </w:num>
  <w:num w:numId="5">
    <w:abstractNumId w:val="19"/>
  </w:num>
  <w:num w:numId="6">
    <w:abstractNumId w:val="4"/>
  </w:num>
  <w:num w:numId="7">
    <w:abstractNumId w:val="23"/>
  </w:num>
  <w:num w:numId="8">
    <w:abstractNumId w:val="16"/>
  </w:num>
  <w:num w:numId="9">
    <w:abstractNumId w:val="7"/>
  </w:num>
  <w:num w:numId="10">
    <w:abstractNumId w:val="11"/>
  </w:num>
  <w:num w:numId="11">
    <w:abstractNumId w:val="6"/>
  </w:num>
  <w:num w:numId="12">
    <w:abstractNumId w:val="1"/>
  </w:num>
  <w:num w:numId="13">
    <w:abstractNumId w:val="5"/>
  </w:num>
  <w:num w:numId="14">
    <w:abstractNumId w:val="22"/>
  </w:num>
  <w:num w:numId="15">
    <w:abstractNumId w:val="0"/>
  </w:num>
  <w:num w:numId="16">
    <w:abstractNumId w:val="3"/>
  </w:num>
  <w:num w:numId="17">
    <w:abstractNumId w:val="13"/>
  </w:num>
  <w:num w:numId="18">
    <w:abstractNumId w:val="8"/>
  </w:num>
  <w:num w:numId="19">
    <w:abstractNumId w:val="2"/>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1"/>
  </w:num>
  <w:num w:numId="26">
    <w:abstractNumId w:val="18"/>
  </w:num>
  <w:num w:numId="2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17"/>
  </w:num>
  <w:num w:numId="3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3"/>
    </w:lvlOverride>
    <w:lvlOverride w:ilvl="1">
      <w:startOverride w:val="2"/>
    </w:lvlOverride>
    <w:lvlOverride w:ilvl="2">
      <w:startOverride w:val="5"/>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o:colormru v:ext="edit" colors="#005f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32"/>
    <w:rsid w:val="00002250"/>
    <w:rsid w:val="00003D33"/>
    <w:rsid w:val="00004C69"/>
    <w:rsid w:val="00004CC2"/>
    <w:rsid w:val="00005251"/>
    <w:rsid w:val="00005331"/>
    <w:rsid w:val="00005439"/>
    <w:rsid w:val="00007DF6"/>
    <w:rsid w:val="000110F2"/>
    <w:rsid w:val="00011862"/>
    <w:rsid w:val="00011B9A"/>
    <w:rsid w:val="00012C1B"/>
    <w:rsid w:val="00021732"/>
    <w:rsid w:val="000218A7"/>
    <w:rsid w:val="00023141"/>
    <w:rsid w:val="00024980"/>
    <w:rsid w:val="00027D14"/>
    <w:rsid w:val="00027E99"/>
    <w:rsid w:val="000342A2"/>
    <w:rsid w:val="0004249C"/>
    <w:rsid w:val="00042E83"/>
    <w:rsid w:val="0004531B"/>
    <w:rsid w:val="00045FBF"/>
    <w:rsid w:val="00050381"/>
    <w:rsid w:val="00050A80"/>
    <w:rsid w:val="0005216D"/>
    <w:rsid w:val="0005432A"/>
    <w:rsid w:val="00060F0B"/>
    <w:rsid w:val="00062152"/>
    <w:rsid w:val="000656DC"/>
    <w:rsid w:val="0006650C"/>
    <w:rsid w:val="00066B59"/>
    <w:rsid w:val="0007026B"/>
    <w:rsid w:val="00071F93"/>
    <w:rsid w:val="000726EB"/>
    <w:rsid w:val="00073134"/>
    <w:rsid w:val="0007635B"/>
    <w:rsid w:val="00077A77"/>
    <w:rsid w:val="00077F47"/>
    <w:rsid w:val="00080A99"/>
    <w:rsid w:val="000833A7"/>
    <w:rsid w:val="00083512"/>
    <w:rsid w:val="000843DF"/>
    <w:rsid w:val="00085767"/>
    <w:rsid w:val="00092E1D"/>
    <w:rsid w:val="000955E2"/>
    <w:rsid w:val="000A154C"/>
    <w:rsid w:val="000A2821"/>
    <w:rsid w:val="000A28A8"/>
    <w:rsid w:val="000A3719"/>
    <w:rsid w:val="000A44C3"/>
    <w:rsid w:val="000A600F"/>
    <w:rsid w:val="000A6BC1"/>
    <w:rsid w:val="000B110C"/>
    <w:rsid w:val="000B15D4"/>
    <w:rsid w:val="000B2755"/>
    <w:rsid w:val="000B3666"/>
    <w:rsid w:val="000B3EF3"/>
    <w:rsid w:val="000B5CA6"/>
    <w:rsid w:val="000B74CA"/>
    <w:rsid w:val="000C22AA"/>
    <w:rsid w:val="000C57CC"/>
    <w:rsid w:val="000C6431"/>
    <w:rsid w:val="000C723C"/>
    <w:rsid w:val="000D0ED7"/>
    <w:rsid w:val="000D0FD1"/>
    <w:rsid w:val="000D7A54"/>
    <w:rsid w:val="000E0E10"/>
    <w:rsid w:val="000E149B"/>
    <w:rsid w:val="000E4282"/>
    <w:rsid w:val="000E7116"/>
    <w:rsid w:val="000F1941"/>
    <w:rsid w:val="000F4AC2"/>
    <w:rsid w:val="000F6AC3"/>
    <w:rsid w:val="000F70BD"/>
    <w:rsid w:val="00101414"/>
    <w:rsid w:val="00101A59"/>
    <w:rsid w:val="0010289D"/>
    <w:rsid w:val="001037F2"/>
    <w:rsid w:val="00111CBE"/>
    <w:rsid w:val="001128AE"/>
    <w:rsid w:val="00112CD1"/>
    <w:rsid w:val="001138D0"/>
    <w:rsid w:val="001302E4"/>
    <w:rsid w:val="00133E11"/>
    <w:rsid w:val="00135853"/>
    <w:rsid w:val="00137A43"/>
    <w:rsid w:val="0014047E"/>
    <w:rsid w:val="001428F0"/>
    <w:rsid w:val="0014453F"/>
    <w:rsid w:val="00145358"/>
    <w:rsid w:val="0014601B"/>
    <w:rsid w:val="00150D3E"/>
    <w:rsid w:val="00152D91"/>
    <w:rsid w:val="00153A2D"/>
    <w:rsid w:val="00155DB2"/>
    <w:rsid w:val="001576C0"/>
    <w:rsid w:val="00157D83"/>
    <w:rsid w:val="001604CE"/>
    <w:rsid w:val="00162839"/>
    <w:rsid w:val="00165AFE"/>
    <w:rsid w:val="00166396"/>
    <w:rsid w:val="00175E12"/>
    <w:rsid w:val="0017670B"/>
    <w:rsid w:val="0018149C"/>
    <w:rsid w:val="001823C2"/>
    <w:rsid w:val="001845F9"/>
    <w:rsid w:val="001850DD"/>
    <w:rsid w:val="0018590D"/>
    <w:rsid w:val="0018673A"/>
    <w:rsid w:val="00196A61"/>
    <w:rsid w:val="001A2042"/>
    <w:rsid w:val="001A2258"/>
    <w:rsid w:val="001A3657"/>
    <w:rsid w:val="001A7485"/>
    <w:rsid w:val="001A74E6"/>
    <w:rsid w:val="001B060D"/>
    <w:rsid w:val="001B1A2A"/>
    <w:rsid w:val="001B1CF9"/>
    <w:rsid w:val="001B5874"/>
    <w:rsid w:val="001B5E9C"/>
    <w:rsid w:val="001B6D12"/>
    <w:rsid w:val="001C16F5"/>
    <w:rsid w:val="001C43EE"/>
    <w:rsid w:val="001C4925"/>
    <w:rsid w:val="001D156F"/>
    <w:rsid w:val="001D2483"/>
    <w:rsid w:val="001D2628"/>
    <w:rsid w:val="001D30B4"/>
    <w:rsid w:val="001E38F4"/>
    <w:rsid w:val="001F2843"/>
    <w:rsid w:val="001F2B48"/>
    <w:rsid w:val="001F361C"/>
    <w:rsid w:val="001F646D"/>
    <w:rsid w:val="001F6D03"/>
    <w:rsid w:val="001F7EF2"/>
    <w:rsid w:val="002007EE"/>
    <w:rsid w:val="0020082B"/>
    <w:rsid w:val="002021F3"/>
    <w:rsid w:val="00204C02"/>
    <w:rsid w:val="002050CB"/>
    <w:rsid w:val="002072E4"/>
    <w:rsid w:val="0020752C"/>
    <w:rsid w:val="002106EA"/>
    <w:rsid w:val="00212A04"/>
    <w:rsid w:val="0021327A"/>
    <w:rsid w:val="002158B4"/>
    <w:rsid w:val="002209E6"/>
    <w:rsid w:val="00222D84"/>
    <w:rsid w:val="00224FA4"/>
    <w:rsid w:val="0022608D"/>
    <w:rsid w:val="00226A31"/>
    <w:rsid w:val="00232C55"/>
    <w:rsid w:val="002336F8"/>
    <w:rsid w:val="00234B7D"/>
    <w:rsid w:val="002410BB"/>
    <w:rsid w:val="00243487"/>
    <w:rsid w:val="0025037D"/>
    <w:rsid w:val="002505F8"/>
    <w:rsid w:val="00251E37"/>
    <w:rsid w:val="00253113"/>
    <w:rsid w:val="0025775D"/>
    <w:rsid w:val="00261756"/>
    <w:rsid w:val="002666B2"/>
    <w:rsid w:val="00267C88"/>
    <w:rsid w:val="00277C1B"/>
    <w:rsid w:val="00277F79"/>
    <w:rsid w:val="002813B0"/>
    <w:rsid w:val="00282D21"/>
    <w:rsid w:val="00285C15"/>
    <w:rsid w:val="00294453"/>
    <w:rsid w:val="002964ED"/>
    <w:rsid w:val="00296ECD"/>
    <w:rsid w:val="0029721C"/>
    <w:rsid w:val="002A283F"/>
    <w:rsid w:val="002A2B71"/>
    <w:rsid w:val="002A34F5"/>
    <w:rsid w:val="002C5E07"/>
    <w:rsid w:val="002D37B8"/>
    <w:rsid w:val="002D3B8D"/>
    <w:rsid w:val="002D46FC"/>
    <w:rsid w:val="002E0A19"/>
    <w:rsid w:val="002E35FD"/>
    <w:rsid w:val="002E756E"/>
    <w:rsid w:val="002F07DA"/>
    <w:rsid w:val="002F152A"/>
    <w:rsid w:val="002F4A3F"/>
    <w:rsid w:val="002F6ED3"/>
    <w:rsid w:val="00301181"/>
    <w:rsid w:val="00303D46"/>
    <w:rsid w:val="003043CD"/>
    <w:rsid w:val="003043F5"/>
    <w:rsid w:val="003072E2"/>
    <w:rsid w:val="003118CF"/>
    <w:rsid w:val="003134A0"/>
    <w:rsid w:val="00316DAF"/>
    <w:rsid w:val="00317B50"/>
    <w:rsid w:val="00322BC6"/>
    <w:rsid w:val="00323063"/>
    <w:rsid w:val="00326F1F"/>
    <w:rsid w:val="003270FC"/>
    <w:rsid w:val="00332D82"/>
    <w:rsid w:val="00334119"/>
    <w:rsid w:val="003350EA"/>
    <w:rsid w:val="0033750C"/>
    <w:rsid w:val="003468ED"/>
    <w:rsid w:val="003513FC"/>
    <w:rsid w:val="00351D47"/>
    <w:rsid w:val="00352212"/>
    <w:rsid w:val="00356338"/>
    <w:rsid w:val="00356AD0"/>
    <w:rsid w:val="003654CA"/>
    <w:rsid w:val="00367F56"/>
    <w:rsid w:val="003709DE"/>
    <w:rsid w:val="00371C72"/>
    <w:rsid w:val="003736CF"/>
    <w:rsid w:val="00376DB3"/>
    <w:rsid w:val="00382204"/>
    <w:rsid w:val="0038486A"/>
    <w:rsid w:val="0038681D"/>
    <w:rsid w:val="00386836"/>
    <w:rsid w:val="00390090"/>
    <w:rsid w:val="00395296"/>
    <w:rsid w:val="0039769A"/>
    <w:rsid w:val="003A13BC"/>
    <w:rsid w:val="003A59B4"/>
    <w:rsid w:val="003A7C36"/>
    <w:rsid w:val="003B47C4"/>
    <w:rsid w:val="003B612F"/>
    <w:rsid w:val="003C0D66"/>
    <w:rsid w:val="003C3F30"/>
    <w:rsid w:val="003C3F74"/>
    <w:rsid w:val="003C5247"/>
    <w:rsid w:val="003D5EBE"/>
    <w:rsid w:val="003E14D9"/>
    <w:rsid w:val="003E2CC0"/>
    <w:rsid w:val="003E4526"/>
    <w:rsid w:val="003E56E4"/>
    <w:rsid w:val="003F2075"/>
    <w:rsid w:val="003F21FB"/>
    <w:rsid w:val="003F4BA2"/>
    <w:rsid w:val="003F7DEA"/>
    <w:rsid w:val="00405D8C"/>
    <w:rsid w:val="00406802"/>
    <w:rsid w:val="00407A96"/>
    <w:rsid w:val="00407E6E"/>
    <w:rsid w:val="00411B0B"/>
    <w:rsid w:val="00412F72"/>
    <w:rsid w:val="004143C2"/>
    <w:rsid w:val="004158BE"/>
    <w:rsid w:val="00416207"/>
    <w:rsid w:val="00416842"/>
    <w:rsid w:val="0042318A"/>
    <w:rsid w:val="00424D48"/>
    <w:rsid w:val="00427EB8"/>
    <w:rsid w:val="00430C40"/>
    <w:rsid w:val="00430D98"/>
    <w:rsid w:val="00430F8F"/>
    <w:rsid w:val="0043352B"/>
    <w:rsid w:val="0043499B"/>
    <w:rsid w:val="00435EB9"/>
    <w:rsid w:val="00440C6C"/>
    <w:rsid w:val="00442253"/>
    <w:rsid w:val="00445E9C"/>
    <w:rsid w:val="00446A88"/>
    <w:rsid w:val="00450F10"/>
    <w:rsid w:val="004515A1"/>
    <w:rsid w:val="00454435"/>
    <w:rsid w:val="00456B8A"/>
    <w:rsid w:val="0046376D"/>
    <w:rsid w:val="00467049"/>
    <w:rsid w:val="00470196"/>
    <w:rsid w:val="00470B67"/>
    <w:rsid w:val="00475290"/>
    <w:rsid w:val="00477F9E"/>
    <w:rsid w:val="00480BBF"/>
    <w:rsid w:val="00486130"/>
    <w:rsid w:val="00486702"/>
    <w:rsid w:val="004A017B"/>
    <w:rsid w:val="004A2B83"/>
    <w:rsid w:val="004A2DDD"/>
    <w:rsid w:val="004A5384"/>
    <w:rsid w:val="004A64EF"/>
    <w:rsid w:val="004A6E35"/>
    <w:rsid w:val="004B4AC6"/>
    <w:rsid w:val="004B5B28"/>
    <w:rsid w:val="004C1ADE"/>
    <w:rsid w:val="004C2827"/>
    <w:rsid w:val="004C2980"/>
    <w:rsid w:val="004C2B1E"/>
    <w:rsid w:val="004C5A3C"/>
    <w:rsid w:val="004D0853"/>
    <w:rsid w:val="004D0D8D"/>
    <w:rsid w:val="004D35CB"/>
    <w:rsid w:val="004E1106"/>
    <w:rsid w:val="004E1584"/>
    <w:rsid w:val="004E1876"/>
    <w:rsid w:val="004E53B5"/>
    <w:rsid w:val="004E6A7D"/>
    <w:rsid w:val="004F2481"/>
    <w:rsid w:val="004F4D64"/>
    <w:rsid w:val="0050131C"/>
    <w:rsid w:val="00504D96"/>
    <w:rsid w:val="00505393"/>
    <w:rsid w:val="00505BFB"/>
    <w:rsid w:val="00512570"/>
    <w:rsid w:val="00513CA0"/>
    <w:rsid w:val="005140DA"/>
    <w:rsid w:val="00520274"/>
    <w:rsid w:val="00520A4D"/>
    <w:rsid w:val="00523B71"/>
    <w:rsid w:val="0053170C"/>
    <w:rsid w:val="005333AF"/>
    <w:rsid w:val="005342C8"/>
    <w:rsid w:val="005412A4"/>
    <w:rsid w:val="00541FF5"/>
    <w:rsid w:val="00542D27"/>
    <w:rsid w:val="005442DC"/>
    <w:rsid w:val="00545A18"/>
    <w:rsid w:val="005472AE"/>
    <w:rsid w:val="005523DC"/>
    <w:rsid w:val="00552765"/>
    <w:rsid w:val="00557307"/>
    <w:rsid w:val="00557A2C"/>
    <w:rsid w:val="005603CA"/>
    <w:rsid w:val="00561E55"/>
    <w:rsid w:val="00563547"/>
    <w:rsid w:val="00564302"/>
    <w:rsid w:val="00566769"/>
    <w:rsid w:val="00567E78"/>
    <w:rsid w:val="00572CEE"/>
    <w:rsid w:val="00573F16"/>
    <w:rsid w:val="00574271"/>
    <w:rsid w:val="00580081"/>
    <w:rsid w:val="00582514"/>
    <w:rsid w:val="00583210"/>
    <w:rsid w:val="00584C38"/>
    <w:rsid w:val="00584F27"/>
    <w:rsid w:val="005874A4"/>
    <w:rsid w:val="00592CE7"/>
    <w:rsid w:val="005963C1"/>
    <w:rsid w:val="0059648C"/>
    <w:rsid w:val="005A1D60"/>
    <w:rsid w:val="005A4F01"/>
    <w:rsid w:val="005A66D0"/>
    <w:rsid w:val="005A789C"/>
    <w:rsid w:val="005B038E"/>
    <w:rsid w:val="005B29B6"/>
    <w:rsid w:val="005B2FC2"/>
    <w:rsid w:val="005B4C30"/>
    <w:rsid w:val="005B5285"/>
    <w:rsid w:val="005B57AD"/>
    <w:rsid w:val="005B5B59"/>
    <w:rsid w:val="005C0961"/>
    <w:rsid w:val="005D29E7"/>
    <w:rsid w:val="005E0C78"/>
    <w:rsid w:val="005E207C"/>
    <w:rsid w:val="005E4311"/>
    <w:rsid w:val="005E51D2"/>
    <w:rsid w:val="005F0C1C"/>
    <w:rsid w:val="005F128A"/>
    <w:rsid w:val="005F5120"/>
    <w:rsid w:val="005F5EB4"/>
    <w:rsid w:val="005F6AE1"/>
    <w:rsid w:val="005F737A"/>
    <w:rsid w:val="005F7877"/>
    <w:rsid w:val="005F7C2C"/>
    <w:rsid w:val="00600749"/>
    <w:rsid w:val="00602CD9"/>
    <w:rsid w:val="00602E62"/>
    <w:rsid w:val="00605CCA"/>
    <w:rsid w:val="00606207"/>
    <w:rsid w:val="00606D7E"/>
    <w:rsid w:val="00607622"/>
    <w:rsid w:val="00607673"/>
    <w:rsid w:val="00611DF2"/>
    <w:rsid w:val="006122E6"/>
    <w:rsid w:val="006145D4"/>
    <w:rsid w:val="006220B5"/>
    <w:rsid w:val="006223A7"/>
    <w:rsid w:val="00622F48"/>
    <w:rsid w:val="00627F79"/>
    <w:rsid w:val="00630F3E"/>
    <w:rsid w:val="00631BE8"/>
    <w:rsid w:val="00631DD3"/>
    <w:rsid w:val="006324A8"/>
    <w:rsid w:val="006368D7"/>
    <w:rsid w:val="0064056D"/>
    <w:rsid w:val="006411C5"/>
    <w:rsid w:val="006415A1"/>
    <w:rsid w:val="00642719"/>
    <w:rsid w:val="0064283F"/>
    <w:rsid w:val="00642B1A"/>
    <w:rsid w:val="00646304"/>
    <w:rsid w:val="006468D5"/>
    <w:rsid w:val="00650DBF"/>
    <w:rsid w:val="0065155A"/>
    <w:rsid w:val="00661073"/>
    <w:rsid w:val="00667D9B"/>
    <w:rsid w:val="00673A1A"/>
    <w:rsid w:val="00675166"/>
    <w:rsid w:val="00680367"/>
    <w:rsid w:val="00681623"/>
    <w:rsid w:val="006825AE"/>
    <w:rsid w:val="00693924"/>
    <w:rsid w:val="00695CD4"/>
    <w:rsid w:val="00696B36"/>
    <w:rsid w:val="006A0A83"/>
    <w:rsid w:val="006A18FA"/>
    <w:rsid w:val="006A2001"/>
    <w:rsid w:val="006A5709"/>
    <w:rsid w:val="006B1EC9"/>
    <w:rsid w:val="006B49A2"/>
    <w:rsid w:val="006B5D6F"/>
    <w:rsid w:val="006D004B"/>
    <w:rsid w:val="006D7352"/>
    <w:rsid w:val="006D7A8D"/>
    <w:rsid w:val="006E4464"/>
    <w:rsid w:val="006E486B"/>
    <w:rsid w:val="006E696A"/>
    <w:rsid w:val="006F04B6"/>
    <w:rsid w:val="006F0801"/>
    <w:rsid w:val="006F2494"/>
    <w:rsid w:val="006F3EC4"/>
    <w:rsid w:val="006F4D56"/>
    <w:rsid w:val="006F6324"/>
    <w:rsid w:val="006F66D2"/>
    <w:rsid w:val="00710569"/>
    <w:rsid w:val="007110F6"/>
    <w:rsid w:val="0071203F"/>
    <w:rsid w:val="00713738"/>
    <w:rsid w:val="00714EE1"/>
    <w:rsid w:val="00721ECC"/>
    <w:rsid w:val="00724CAA"/>
    <w:rsid w:val="00724F02"/>
    <w:rsid w:val="00726E0F"/>
    <w:rsid w:val="00727101"/>
    <w:rsid w:val="00727726"/>
    <w:rsid w:val="0073299B"/>
    <w:rsid w:val="007353D4"/>
    <w:rsid w:val="00740374"/>
    <w:rsid w:val="007405FF"/>
    <w:rsid w:val="007408F9"/>
    <w:rsid w:val="00745B89"/>
    <w:rsid w:val="00747E71"/>
    <w:rsid w:val="00750BF8"/>
    <w:rsid w:val="007556CB"/>
    <w:rsid w:val="0075686A"/>
    <w:rsid w:val="00763C7F"/>
    <w:rsid w:val="00764B78"/>
    <w:rsid w:val="00767177"/>
    <w:rsid w:val="00770890"/>
    <w:rsid w:val="00776392"/>
    <w:rsid w:val="00783092"/>
    <w:rsid w:val="00784C89"/>
    <w:rsid w:val="00784FC4"/>
    <w:rsid w:val="007918F7"/>
    <w:rsid w:val="00792012"/>
    <w:rsid w:val="007942DC"/>
    <w:rsid w:val="0079745F"/>
    <w:rsid w:val="00797A55"/>
    <w:rsid w:val="007A09E1"/>
    <w:rsid w:val="007A17A0"/>
    <w:rsid w:val="007A22C0"/>
    <w:rsid w:val="007A43DB"/>
    <w:rsid w:val="007A5476"/>
    <w:rsid w:val="007A640E"/>
    <w:rsid w:val="007B08A6"/>
    <w:rsid w:val="007B08BE"/>
    <w:rsid w:val="007B08E6"/>
    <w:rsid w:val="007B1C78"/>
    <w:rsid w:val="007B2086"/>
    <w:rsid w:val="007B2A90"/>
    <w:rsid w:val="007B3A71"/>
    <w:rsid w:val="007B3BE1"/>
    <w:rsid w:val="007B437F"/>
    <w:rsid w:val="007C1316"/>
    <w:rsid w:val="007C16D5"/>
    <w:rsid w:val="007C2A99"/>
    <w:rsid w:val="007D15C5"/>
    <w:rsid w:val="007D4970"/>
    <w:rsid w:val="007D4A9A"/>
    <w:rsid w:val="007D5147"/>
    <w:rsid w:val="007E396E"/>
    <w:rsid w:val="007E5A07"/>
    <w:rsid w:val="007E6998"/>
    <w:rsid w:val="007E702E"/>
    <w:rsid w:val="007F0A6B"/>
    <w:rsid w:val="007F2756"/>
    <w:rsid w:val="007F4EB2"/>
    <w:rsid w:val="007F54E5"/>
    <w:rsid w:val="007F63BD"/>
    <w:rsid w:val="007F7AB0"/>
    <w:rsid w:val="00814195"/>
    <w:rsid w:val="00820334"/>
    <w:rsid w:val="00821EE3"/>
    <w:rsid w:val="00824A6B"/>
    <w:rsid w:val="008256C8"/>
    <w:rsid w:val="00825D02"/>
    <w:rsid w:val="00826F59"/>
    <w:rsid w:val="0083623E"/>
    <w:rsid w:val="00840AD2"/>
    <w:rsid w:val="00844ADB"/>
    <w:rsid w:val="0084631B"/>
    <w:rsid w:val="00851800"/>
    <w:rsid w:val="0085259A"/>
    <w:rsid w:val="00853BBF"/>
    <w:rsid w:val="00854EBD"/>
    <w:rsid w:val="00857223"/>
    <w:rsid w:val="008573C3"/>
    <w:rsid w:val="00860633"/>
    <w:rsid w:val="00861E78"/>
    <w:rsid w:val="00863557"/>
    <w:rsid w:val="008654EF"/>
    <w:rsid w:val="008667EB"/>
    <w:rsid w:val="00866B9E"/>
    <w:rsid w:val="008675BD"/>
    <w:rsid w:val="00870F7F"/>
    <w:rsid w:val="00872F75"/>
    <w:rsid w:val="00874084"/>
    <w:rsid w:val="00876419"/>
    <w:rsid w:val="00880B10"/>
    <w:rsid w:val="00881AF9"/>
    <w:rsid w:val="00885990"/>
    <w:rsid w:val="00887097"/>
    <w:rsid w:val="008873A1"/>
    <w:rsid w:val="00893021"/>
    <w:rsid w:val="00893CF3"/>
    <w:rsid w:val="008A09F9"/>
    <w:rsid w:val="008A242B"/>
    <w:rsid w:val="008A5B5D"/>
    <w:rsid w:val="008A6938"/>
    <w:rsid w:val="008B5F16"/>
    <w:rsid w:val="008B60DE"/>
    <w:rsid w:val="008C02CB"/>
    <w:rsid w:val="008C26EE"/>
    <w:rsid w:val="008C5143"/>
    <w:rsid w:val="008C532D"/>
    <w:rsid w:val="008D1ECF"/>
    <w:rsid w:val="008E09B3"/>
    <w:rsid w:val="008E2746"/>
    <w:rsid w:val="008E4C1F"/>
    <w:rsid w:val="008F5B59"/>
    <w:rsid w:val="009051D3"/>
    <w:rsid w:val="0091187E"/>
    <w:rsid w:val="0091242A"/>
    <w:rsid w:val="00923408"/>
    <w:rsid w:val="009240E0"/>
    <w:rsid w:val="00925947"/>
    <w:rsid w:val="009260FF"/>
    <w:rsid w:val="009318CB"/>
    <w:rsid w:val="00931FD1"/>
    <w:rsid w:val="009341C6"/>
    <w:rsid w:val="0093750B"/>
    <w:rsid w:val="0093769C"/>
    <w:rsid w:val="009413B5"/>
    <w:rsid w:val="0094279C"/>
    <w:rsid w:val="00946074"/>
    <w:rsid w:val="009466A9"/>
    <w:rsid w:val="00946856"/>
    <w:rsid w:val="00946FB7"/>
    <w:rsid w:val="009501B1"/>
    <w:rsid w:val="00950FC4"/>
    <w:rsid w:val="00953CAB"/>
    <w:rsid w:val="00954B3B"/>
    <w:rsid w:val="00954DC8"/>
    <w:rsid w:val="00954E2B"/>
    <w:rsid w:val="00957A8F"/>
    <w:rsid w:val="00957FFB"/>
    <w:rsid w:val="00961454"/>
    <w:rsid w:val="009642C9"/>
    <w:rsid w:val="009644BB"/>
    <w:rsid w:val="00965F15"/>
    <w:rsid w:val="00967FB1"/>
    <w:rsid w:val="009715F0"/>
    <w:rsid w:val="00971815"/>
    <w:rsid w:val="009721EA"/>
    <w:rsid w:val="009732A4"/>
    <w:rsid w:val="00974BC8"/>
    <w:rsid w:val="00974F60"/>
    <w:rsid w:val="00977044"/>
    <w:rsid w:val="009773E0"/>
    <w:rsid w:val="0098314B"/>
    <w:rsid w:val="0098348E"/>
    <w:rsid w:val="009836FD"/>
    <w:rsid w:val="00984553"/>
    <w:rsid w:val="009851EF"/>
    <w:rsid w:val="009857FA"/>
    <w:rsid w:val="00986558"/>
    <w:rsid w:val="00991172"/>
    <w:rsid w:val="00997440"/>
    <w:rsid w:val="009978E8"/>
    <w:rsid w:val="009A7162"/>
    <w:rsid w:val="009B3870"/>
    <w:rsid w:val="009C06E9"/>
    <w:rsid w:val="009C4005"/>
    <w:rsid w:val="009C44A3"/>
    <w:rsid w:val="009C4985"/>
    <w:rsid w:val="009C4ABB"/>
    <w:rsid w:val="009D00CD"/>
    <w:rsid w:val="009E11E5"/>
    <w:rsid w:val="009E15EB"/>
    <w:rsid w:val="009E1C77"/>
    <w:rsid w:val="009E6CB6"/>
    <w:rsid w:val="009F22A2"/>
    <w:rsid w:val="009F3C9E"/>
    <w:rsid w:val="00A03E85"/>
    <w:rsid w:val="00A071EF"/>
    <w:rsid w:val="00A10444"/>
    <w:rsid w:val="00A10EFF"/>
    <w:rsid w:val="00A1104A"/>
    <w:rsid w:val="00A12A15"/>
    <w:rsid w:val="00A2269F"/>
    <w:rsid w:val="00A22A1E"/>
    <w:rsid w:val="00A3265F"/>
    <w:rsid w:val="00A34213"/>
    <w:rsid w:val="00A35218"/>
    <w:rsid w:val="00A368BA"/>
    <w:rsid w:val="00A40132"/>
    <w:rsid w:val="00A40497"/>
    <w:rsid w:val="00A41953"/>
    <w:rsid w:val="00A4260F"/>
    <w:rsid w:val="00A43928"/>
    <w:rsid w:val="00A54217"/>
    <w:rsid w:val="00A5454B"/>
    <w:rsid w:val="00A5506B"/>
    <w:rsid w:val="00A55E04"/>
    <w:rsid w:val="00A55F94"/>
    <w:rsid w:val="00A57092"/>
    <w:rsid w:val="00A60DB4"/>
    <w:rsid w:val="00A61C6F"/>
    <w:rsid w:val="00A62672"/>
    <w:rsid w:val="00A66056"/>
    <w:rsid w:val="00A66EE1"/>
    <w:rsid w:val="00A67350"/>
    <w:rsid w:val="00A704CD"/>
    <w:rsid w:val="00A7135F"/>
    <w:rsid w:val="00A71E16"/>
    <w:rsid w:val="00A72D2D"/>
    <w:rsid w:val="00A74A17"/>
    <w:rsid w:val="00A75C8C"/>
    <w:rsid w:val="00A83D9C"/>
    <w:rsid w:val="00A915A4"/>
    <w:rsid w:val="00A97E27"/>
    <w:rsid w:val="00AA17FD"/>
    <w:rsid w:val="00AA3833"/>
    <w:rsid w:val="00AA4138"/>
    <w:rsid w:val="00AA4D69"/>
    <w:rsid w:val="00AB6FBC"/>
    <w:rsid w:val="00AB778B"/>
    <w:rsid w:val="00AC1F89"/>
    <w:rsid w:val="00AC1FFA"/>
    <w:rsid w:val="00AC36A9"/>
    <w:rsid w:val="00AC4452"/>
    <w:rsid w:val="00AC54C8"/>
    <w:rsid w:val="00AD0112"/>
    <w:rsid w:val="00AD1BD8"/>
    <w:rsid w:val="00AD1F56"/>
    <w:rsid w:val="00AD3F90"/>
    <w:rsid w:val="00AD453A"/>
    <w:rsid w:val="00AD59A3"/>
    <w:rsid w:val="00AD6892"/>
    <w:rsid w:val="00AE04F4"/>
    <w:rsid w:val="00AE17B6"/>
    <w:rsid w:val="00AE63F9"/>
    <w:rsid w:val="00AF3B90"/>
    <w:rsid w:val="00AF3EC3"/>
    <w:rsid w:val="00B02C5C"/>
    <w:rsid w:val="00B046C0"/>
    <w:rsid w:val="00B0672C"/>
    <w:rsid w:val="00B0778C"/>
    <w:rsid w:val="00B10092"/>
    <w:rsid w:val="00B158A9"/>
    <w:rsid w:val="00B1610E"/>
    <w:rsid w:val="00B174BE"/>
    <w:rsid w:val="00B25166"/>
    <w:rsid w:val="00B2796B"/>
    <w:rsid w:val="00B320DD"/>
    <w:rsid w:val="00B35D67"/>
    <w:rsid w:val="00B41BDA"/>
    <w:rsid w:val="00B42597"/>
    <w:rsid w:val="00B42DBB"/>
    <w:rsid w:val="00B42FC8"/>
    <w:rsid w:val="00B4402D"/>
    <w:rsid w:val="00B44274"/>
    <w:rsid w:val="00B5008F"/>
    <w:rsid w:val="00B553B1"/>
    <w:rsid w:val="00B55894"/>
    <w:rsid w:val="00B63F1E"/>
    <w:rsid w:val="00B64DAB"/>
    <w:rsid w:val="00B650B9"/>
    <w:rsid w:val="00B80FF6"/>
    <w:rsid w:val="00B813C5"/>
    <w:rsid w:val="00B81844"/>
    <w:rsid w:val="00B8207D"/>
    <w:rsid w:val="00B82B97"/>
    <w:rsid w:val="00B836CF"/>
    <w:rsid w:val="00B94258"/>
    <w:rsid w:val="00B9439A"/>
    <w:rsid w:val="00B95373"/>
    <w:rsid w:val="00B95AD8"/>
    <w:rsid w:val="00B95E32"/>
    <w:rsid w:val="00BA136C"/>
    <w:rsid w:val="00BA1DD0"/>
    <w:rsid w:val="00BA2669"/>
    <w:rsid w:val="00BB0F40"/>
    <w:rsid w:val="00BB3CD9"/>
    <w:rsid w:val="00BB4CD8"/>
    <w:rsid w:val="00BC2151"/>
    <w:rsid w:val="00BC2A5C"/>
    <w:rsid w:val="00BC2F2A"/>
    <w:rsid w:val="00BC327D"/>
    <w:rsid w:val="00BC3900"/>
    <w:rsid w:val="00BD0875"/>
    <w:rsid w:val="00BD0E3F"/>
    <w:rsid w:val="00BD4EC9"/>
    <w:rsid w:val="00BE3EA5"/>
    <w:rsid w:val="00BE449A"/>
    <w:rsid w:val="00BE46F0"/>
    <w:rsid w:val="00BE51D4"/>
    <w:rsid w:val="00BE5D90"/>
    <w:rsid w:val="00BF0F89"/>
    <w:rsid w:val="00BF2563"/>
    <w:rsid w:val="00BF6BFC"/>
    <w:rsid w:val="00C0130C"/>
    <w:rsid w:val="00C0542C"/>
    <w:rsid w:val="00C05D5D"/>
    <w:rsid w:val="00C1160E"/>
    <w:rsid w:val="00C12747"/>
    <w:rsid w:val="00C133D5"/>
    <w:rsid w:val="00C13CBE"/>
    <w:rsid w:val="00C13D39"/>
    <w:rsid w:val="00C15F77"/>
    <w:rsid w:val="00C17788"/>
    <w:rsid w:val="00C2046A"/>
    <w:rsid w:val="00C22F4C"/>
    <w:rsid w:val="00C24292"/>
    <w:rsid w:val="00C247EA"/>
    <w:rsid w:val="00C27411"/>
    <w:rsid w:val="00C27F4C"/>
    <w:rsid w:val="00C30623"/>
    <w:rsid w:val="00C31636"/>
    <w:rsid w:val="00C32914"/>
    <w:rsid w:val="00C33DF9"/>
    <w:rsid w:val="00C34B6C"/>
    <w:rsid w:val="00C35FEC"/>
    <w:rsid w:val="00C42993"/>
    <w:rsid w:val="00C43D1A"/>
    <w:rsid w:val="00C46BD6"/>
    <w:rsid w:val="00C46C4D"/>
    <w:rsid w:val="00C51657"/>
    <w:rsid w:val="00C520E7"/>
    <w:rsid w:val="00C52B03"/>
    <w:rsid w:val="00C54EA0"/>
    <w:rsid w:val="00C559D5"/>
    <w:rsid w:val="00C562AB"/>
    <w:rsid w:val="00C56590"/>
    <w:rsid w:val="00C57090"/>
    <w:rsid w:val="00C60280"/>
    <w:rsid w:val="00C605FE"/>
    <w:rsid w:val="00C6394A"/>
    <w:rsid w:val="00C63D85"/>
    <w:rsid w:val="00C651FF"/>
    <w:rsid w:val="00C65536"/>
    <w:rsid w:val="00C6668E"/>
    <w:rsid w:val="00C7000E"/>
    <w:rsid w:val="00C70463"/>
    <w:rsid w:val="00C73733"/>
    <w:rsid w:val="00C73E1C"/>
    <w:rsid w:val="00C75D50"/>
    <w:rsid w:val="00C803ED"/>
    <w:rsid w:val="00C80E46"/>
    <w:rsid w:val="00C82811"/>
    <w:rsid w:val="00C82C26"/>
    <w:rsid w:val="00C83CAD"/>
    <w:rsid w:val="00C8423F"/>
    <w:rsid w:val="00C84275"/>
    <w:rsid w:val="00C84CE3"/>
    <w:rsid w:val="00C850DC"/>
    <w:rsid w:val="00C86B65"/>
    <w:rsid w:val="00C86D6C"/>
    <w:rsid w:val="00C871AD"/>
    <w:rsid w:val="00C91FB6"/>
    <w:rsid w:val="00C92411"/>
    <w:rsid w:val="00C928AC"/>
    <w:rsid w:val="00C93565"/>
    <w:rsid w:val="00C95BA4"/>
    <w:rsid w:val="00CA08D2"/>
    <w:rsid w:val="00CA2078"/>
    <w:rsid w:val="00CA285D"/>
    <w:rsid w:val="00CB0217"/>
    <w:rsid w:val="00CB0BD3"/>
    <w:rsid w:val="00CB0C52"/>
    <w:rsid w:val="00CB2633"/>
    <w:rsid w:val="00CB2D15"/>
    <w:rsid w:val="00CB6C95"/>
    <w:rsid w:val="00CB6D1D"/>
    <w:rsid w:val="00CC4FCD"/>
    <w:rsid w:val="00CC5C73"/>
    <w:rsid w:val="00CD187E"/>
    <w:rsid w:val="00CD544B"/>
    <w:rsid w:val="00CD5A33"/>
    <w:rsid w:val="00CD60AF"/>
    <w:rsid w:val="00CD6AE4"/>
    <w:rsid w:val="00CE0F8E"/>
    <w:rsid w:val="00CE3EEC"/>
    <w:rsid w:val="00CE6C40"/>
    <w:rsid w:val="00CE7ED3"/>
    <w:rsid w:val="00CF306C"/>
    <w:rsid w:val="00CF3C2C"/>
    <w:rsid w:val="00CF7096"/>
    <w:rsid w:val="00D01999"/>
    <w:rsid w:val="00D030E1"/>
    <w:rsid w:val="00D04242"/>
    <w:rsid w:val="00D04C76"/>
    <w:rsid w:val="00D1188C"/>
    <w:rsid w:val="00D11995"/>
    <w:rsid w:val="00D12DE0"/>
    <w:rsid w:val="00D136C9"/>
    <w:rsid w:val="00D20417"/>
    <w:rsid w:val="00D21880"/>
    <w:rsid w:val="00D235A0"/>
    <w:rsid w:val="00D23EEE"/>
    <w:rsid w:val="00D25932"/>
    <w:rsid w:val="00D25B5A"/>
    <w:rsid w:val="00D25E6A"/>
    <w:rsid w:val="00D3143E"/>
    <w:rsid w:val="00D32D40"/>
    <w:rsid w:val="00D3307A"/>
    <w:rsid w:val="00D33431"/>
    <w:rsid w:val="00D33BA9"/>
    <w:rsid w:val="00D33EDA"/>
    <w:rsid w:val="00D375EC"/>
    <w:rsid w:val="00D4259A"/>
    <w:rsid w:val="00D43C74"/>
    <w:rsid w:val="00D4473B"/>
    <w:rsid w:val="00D451B7"/>
    <w:rsid w:val="00D57FCA"/>
    <w:rsid w:val="00D60AFA"/>
    <w:rsid w:val="00D6376B"/>
    <w:rsid w:val="00D66CD8"/>
    <w:rsid w:val="00D67D0A"/>
    <w:rsid w:val="00D74A11"/>
    <w:rsid w:val="00D81C7B"/>
    <w:rsid w:val="00D825FC"/>
    <w:rsid w:val="00D82C50"/>
    <w:rsid w:val="00D84227"/>
    <w:rsid w:val="00D92548"/>
    <w:rsid w:val="00D93ACE"/>
    <w:rsid w:val="00D93CDF"/>
    <w:rsid w:val="00D93ED4"/>
    <w:rsid w:val="00D951FD"/>
    <w:rsid w:val="00D96DF5"/>
    <w:rsid w:val="00D973DB"/>
    <w:rsid w:val="00DA1CC6"/>
    <w:rsid w:val="00DB27D8"/>
    <w:rsid w:val="00DB5480"/>
    <w:rsid w:val="00DB765D"/>
    <w:rsid w:val="00DB7FBA"/>
    <w:rsid w:val="00DC050D"/>
    <w:rsid w:val="00DC221E"/>
    <w:rsid w:val="00DC72F7"/>
    <w:rsid w:val="00DD09E1"/>
    <w:rsid w:val="00DD1428"/>
    <w:rsid w:val="00DD2D25"/>
    <w:rsid w:val="00DD2F30"/>
    <w:rsid w:val="00DD31C6"/>
    <w:rsid w:val="00DD4F5E"/>
    <w:rsid w:val="00DD7D3A"/>
    <w:rsid w:val="00DE5B8F"/>
    <w:rsid w:val="00DE7F1D"/>
    <w:rsid w:val="00DF251D"/>
    <w:rsid w:val="00DF4A4A"/>
    <w:rsid w:val="00DF4B83"/>
    <w:rsid w:val="00DF5564"/>
    <w:rsid w:val="00DF5A25"/>
    <w:rsid w:val="00E02821"/>
    <w:rsid w:val="00E04DA8"/>
    <w:rsid w:val="00E06885"/>
    <w:rsid w:val="00E06DA7"/>
    <w:rsid w:val="00E075FD"/>
    <w:rsid w:val="00E07F8D"/>
    <w:rsid w:val="00E12739"/>
    <w:rsid w:val="00E14EED"/>
    <w:rsid w:val="00E15313"/>
    <w:rsid w:val="00E15DE3"/>
    <w:rsid w:val="00E16F37"/>
    <w:rsid w:val="00E20D47"/>
    <w:rsid w:val="00E22267"/>
    <w:rsid w:val="00E22564"/>
    <w:rsid w:val="00E2354E"/>
    <w:rsid w:val="00E247A5"/>
    <w:rsid w:val="00E2500A"/>
    <w:rsid w:val="00E30F03"/>
    <w:rsid w:val="00E33810"/>
    <w:rsid w:val="00E34778"/>
    <w:rsid w:val="00E436C3"/>
    <w:rsid w:val="00E4381F"/>
    <w:rsid w:val="00E524D0"/>
    <w:rsid w:val="00E63798"/>
    <w:rsid w:val="00E649E1"/>
    <w:rsid w:val="00E673F0"/>
    <w:rsid w:val="00E75E28"/>
    <w:rsid w:val="00E7623D"/>
    <w:rsid w:val="00E7760C"/>
    <w:rsid w:val="00E77D7B"/>
    <w:rsid w:val="00E80502"/>
    <w:rsid w:val="00E80781"/>
    <w:rsid w:val="00E807F8"/>
    <w:rsid w:val="00E80DD7"/>
    <w:rsid w:val="00E81D56"/>
    <w:rsid w:val="00E83DF6"/>
    <w:rsid w:val="00E84532"/>
    <w:rsid w:val="00E852A4"/>
    <w:rsid w:val="00E8537B"/>
    <w:rsid w:val="00E94DDD"/>
    <w:rsid w:val="00E978DB"/>
    <w:rsid w:val="00E97E89"/>
    <w:rsid w:val="00EA14E0"/>
    <w:rsid w:val="00EA1A95"/>
    <w:rsid w:val="00EA1D2C"/>
    <w:rsid w:val="00EA24FA"/>
    <w:rsid w:val="00EA333F"/>
    <w:rsid w:val="00EA60AC"/>
    <w:rsid w:val="00EB245E"/>
    <w:rsid w:val="00EB2D08"/>
    <w:rsid w:val="00EB2DE4"/>
    <w:rsid w:val="00EB47DD"/>
    <w:rsid w:val="00EB5731"/>
    <w:rsid w:val="00EB57D1"/>
    <w:rsid w:val="00EC2F75"/>
    <w:rsid w:val="00EC65DA"/>
    <w:rsid w:val="00ED00C3"/>
    <w:rsid w:val="00ED06DA"/>
    <w:rsid w:val="00ED1C6D"/>
    <w:rsid w:val="00ED2628"/>
    <w:rsid w:val="00ED2F3F"/>
    <w:rsid w:val="00ED45AE"/>
    <w:rsid w:val="00ED461C"/>
    <w:rsid w:val="00EE3268"/>
    <w:rsid w:val="00EE738A"/>
    <w:rsid w:val="00EF1A8F"/>
    <w:rsid w:val="00EF2F21"/>
    <w:rsid w:val="00F02724"/>
    <w:rsid w:val="00F02EC6"/>
    <w:rsid w:val="00F03EF6"/>
    <w:rsid w:val="00F04799"/>
    <w:rsid w:val="00F048A0"/>
    <w:rsid w:val="00F10403"/>
    <w:rsid w:val="00F11703"/>
    <w:rsid w:val="00F11F43"/>
    <w:rsid w:val="00F177E5"/>
    <w:rsid w:val="00F20044"/>
    <w:rsid w:val="00F2047B"/>
    <w:rsid w:val="00F2300E"/>
    <w:rsid w:val="00F23BDC"/>
    <w:rsid w:val="00F23C29"/>
    <w:rsid w:val="00F266FA"/>
    <w:rsid w:val="00F312C2"/>
    <w:rsid w:val="00F317E3"/>
    <w:rsid w:val="00F329C8"/>
    <w:rsid w:val="00F32DCB"/>
    <w:rsid w:val="00F33C2D"/>
    <w:rsid w:val="00F37A6C"/>
    <w:rsid w:val="00F4052C"/>
    <w:rsid w:val="00F40687"/>
    <w:rsid w:val="00F4170D"/>
    <w:rsid w:val="00F43BE6"/>
    <w:rsid w:val="00F44BF5"/>
    <w:rsid w:val="00F46897"/>
    <w:rsid w:val="00F50B70"/>
    <w:rsid w:val="00F5214C"/>
    <w:rsid w:val="00F53075"/>
    <w:rsid w:val="00F538EE"/>
    <w:rsid w:val="00F53E76"/>
    <w:rsid w:val="00F5590E"/>
    <w:rsid w:val="00F5721A"/>
    <w:rsid w:val="00F57347"/>
    <w:rsid w:val="00F61D47"/>
    <w:rsid w:val="00F62039"/>
    <w:rsid w:val="00F62FD4"/>
    <w:rsid w:val="00F65B6C"/>
    <w:rsid w:val="00F7259A"/>
    <w:rsid w:val="00F85118"/>
    <w:rsid w:val="00F8525E"/>
    <w:rsid w:val="00F90B33"/>
    <w:rsid w:val="00F91448"/>
    <w:rsid w:val="00F91558"/>
    <w:rsid w:val="00F91880"/>
    <w:rsid w:val="00F93628"/>
    <w:rsid w:val="00F93EF9"/>
    <w:rsid w:val="00F95233"/>
    <w:rsid w:val="00F96267"/>
    <w:rsid w:val="00F97D29"/>
    <w:rsid w:val="00FA0EA1"/>
    <w:rsid w:val="00FA1405"/>
    <w:rsid w:val="00FA3995"/>
    <w:rsid w:val="00FA3D60"/>
    <w:rsid w:val="00FA3F18"/>
    <w:rsid w:val="00FB00C5"/>
    <w:rsid w:val="00FB6166"/>
    <w:rsid w:val="00FC0729"/>
    <w:rsid w:val="00FC0B6C"/>
    <w:rsid w:val="00FC3531"/>
    <w:rsid w:val="00FC4ECD"/>
    <w:rsid w:val="00FC5DFB"/>
    <w:rsid w:val="00FD03F7"/>
    <w:rsid w:val="00FD157B"/>
    <w:rsid w:val="00FD22C2"/>
    <w:rsid w:val="00FD3908"/>
    <w:rsid w:val="00FD3BC4"/>
    <w:rsid w:val="00FD5C96"/>
    <w:rsid w:val="00FD671B"/>
    <w:rsid w:val="00FE01E3"/>
    <w:rsid w:val="00FE3884"/>
    <w:rsid w:val="00FE5A19"/>
    <w:rsid w:val="00FE69F4"/>
    <w:rsid w:val="00FE7097"/>
    <w:rsid w:val="00FF0422"/>
    <w:rsid w:val="00FF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5f91"/>
    </o:shapedefaults>
    <o:shapelayout v:ext="edit">
      <o:idmap v:ext="edit" data="1"/>
    </o:shapelayout>
  </w:shapeDefaults>
  <w:decimalSymbol w:val="."/>
  <w:listSeparator w:val=","/>
  <w14:docId w14:val="7338163B"/>
  <w15:docId w15:val="{40D61476-6AE4-4461-B667-28D318CC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7F8"/>
    <w:rPr>
      <w:rFonts w:eastAsia="MS Mincho"/>
      <w:sz w:val="24"/>
      <w:szCs w:val="24"/>
      <w:lang w:val="sq-AL"/>
    </w:rPr>
  </w:style>
  <w:style w:type="paragraph" w:styleId="Heading1">
    <w:name w:val="heading 1"/>
    <w:basedOn w:val="Normal"/>
    <w:next w:val="Normal"/>
    <w:link w:val="Heading1Char"/>
    <w:qFormat/>
    <w:rsid w:val="006F0801"/>
    <w:pPr>
      <w:keepNext/>
      <w:numPr>
        <w:numId w:val="21"/>
      </w:numPr>
      <w:spacing w:before="360"/>
      <w:outlineLvl w:val="0"/>
    </w:pPr>
    <w:rPr>
      <w:rFonts w:ascii="Calibri" w:hAnsi="Calibri"/>
      <w:b/>
      <w:bCs/>
      <w:color w:val="003366"/>
      <w:sz w:val="28"/>
    </w:rPr>
  </w:style>
  <w:style w:type="paragraph" w:styleId="Heading2">
    <w:name w:val="heading 2"/>
    <w:basedOn w:val="Normal"/>
    <w:next w:val="Normal"/>
    <w:link w:val="Heading2Char"/>
    <w:qFormat/>
    <w:rsid w:val="00512570"/>
    <w:pPr>
      <w:keepNext/>
      <w:numPr>
        <w:ilvl w:val="1"/>
        <w:numId w:val="21"/>
      </w:numPr>
      <w:autoSpaceDE w:val="0"/>
      <w:autoSpaceDN w:val="0"/>
      <w:adjustRightInd w:val="0"/>
      <w:outlineLvl w:val="1"/>
    </w:pPr>
    <w:rPr>
      <w:rFonts w:ascii="Calibri" w:hAnsi="Calibri"/>
      <w:b/>
      <w:bCs/>
      <w:color w:val="003366"/>
      <w:szCs w:val="22"/>
    </w:rPr>
  </w:style>
  <w:style w:type="paragraph" w:styleId="Heading3">
    <w:name w:val="heading 3"/>
    <w:basedOn w:val="Heading2"/>
    <w:next w:val="Normal"/>
    <w:link w:val="Heading3Char"/>
    <w:autoRedefine/>
    <w:qFormat/>
    <w:rsid w:val="006122E6"/>
    <w:pPr>
      <w:numPr>
        <w:ilvl w:val="0"/>
        <w:numId w:val="0"/>
      </w:numPr>
      <w:tabs>
        <w:tab w:val="left" w:pos="720"/>
      </w:tabs>
      <w:outlineLvl w:val="2"/>
    </w:pPr>
    <w:rPr>
      <w:rFonts w:asciiTheme="minorHAnsi" w:hAnsiTheme="minorHAnsi" w:cstheme="minorHAnsi"/>
      <w:i/>
      <w:color w:val="auto"/>
      <w:sz w:val="22"/>
      <w:lang w:val="de-DE"/>
    </w:rPr>
  </w:style>
  <w:style w:type="paragraph" w:styleId="Heading4">
    <w:name w:val="heading 4"/>
    <w:basedOn w:val="Normal"/>
    <w:next w:val="Normal"/>
    <w:qFormat/>
    <w:rsid w:val="00445E9C"/>
    <w:pPr>
      <w:keepNext/>
      <w:overflowPunct w:val="0"/>
      <w:autoSpaceDE w:val="0"/>
      <w:autoSpaceDN w:val="0"/>
      <w:adjustRightInd w:val="0"/>
      <w:ind w:left="1416" w:firstLine="708"/>
      <w:textAlignment w:val="baseline"/>
      <w:outlineLvl w:val="3"/>
    </w:pPr>
    <w:rPr>
      <w:b/>
      <w:sz w:val="32"/>
      <w:szCs w:val="20"/>
      <w:u w:val="single"/>
    </w:rPr>
  </w:style>
  <w:style w:type="paragraph" w:styleId="Heading5">
    <w:name w:val="heading 5"/>
    <w:basedOn w:val="Normal"/>
    <w:next w:val="Normal"/>
    <w:link w:val="Heading5Char"/>
    <w:qFormat/>
    <w:rsid w:val="00E807F8"/>
    <w:pPr>
      <w:keepNext/>
      <w:ind w:firstLine="720"/>
      <w:jc w:val="both"/>
      <w:outlineLvl w:val="4"/>
    </w:pPr>
    <w:rPr>
      <w:sz w:val="22"/>
      <w:u w:val="single"/>
      <w:lang w:val="en-GB"/>
    </w:rPr>
  </w:style>
  <w:style w:type="paragraph" w:styleId="Heading6">
    <w:name w:val="heading 6"/>
    <w:basedOn w:val="Normal"/>
    <w:next w:val="Normal"/>
    <w:qFormat/>
    <w:rsid w:val="00445E9C"/>
    <w:pPr>
      <w:keepNext/>
      <w:overflowPunct w:val="0"/>
      <w:autoSpaceDE w:val="0"/>
      <w:autoSpaceDN w:val="0"/>
      <w:adjustRightInd w:val="0"/>
      <w:jc w:val="center"/>
      <w:textAlignment w:val="baseline"/>
      <w:outlineLvl w:val="5"/>
    </w:pPr>
    <w:rPr>
      <w:b/>
      <w:sz w:val="40"/>
      <w:szCs w:val="20"/>
    </w:rPr>
  </w:style>
  <w:style w:type="paragraph" w:styleId="Heading7">
    <w:name w:val="heading 7"/>
    <w:basedOn w:val="Normal"/>
    <w:next w:val="Normal"/>
    <w:link w:val="Heading7Char"/>
    <w:qFormat/>
    <w:rsid w:val="00E807F8"/>
    <w:pPr>
      <w:keepNext/>
      <w:outlineLvl w:val="6"/>
    </w:pPr>
    <w:rPr>
      <w:b/>
      <w:bCs/>
      <w:sz w:val="22"/>
    </w:rPr>
  </w:style>
  <w:style w:type="paragraph" w:styleId="Heading8">
    <w:name w:val="heading 8"/>
    <w:basedOn w:val="Normal"/>
    <w:next w:val="Normal"/>
    <w:link w:val="Heading8Char"/>
    <w:qFormat/>
    <w:rsid w:val="00E807F8"/>
    <w:pPr>
      <w:keepNext/>
      <w:outlineLvl w:val="7"/>
    </w:pPr>
    <w:rPr>
      <w:rFonts w:ascii="Arial" w:hAnsi="Arial" w:cs="Arial"/>
      <w:b/>
      <w:bCs/>
    </w:rPr>
  </w:style>
  <w:style w:type="paragraph" w:styleId="Heading9">
    <w:name w:val="heading 9"/>
    <w:basedOn w:val="Normal"/>
    <w:next w:val="Normal"/>
    <w:link w:val="Heading9Char"/>
    <w:qFormat/>
    <w:rsid w:val="00E807F8"/>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75FD"/>
    <w:pPr>
      <w:tabs>
        <w:tab w:val="center" w:pos="4320"/>
        <w:tab w:val="right" w:pos="8640"/>
      </w:tabs>
    </w:pPr>
    <w:rPr>
      <w:rFonts w:ascii="Calibri" w:hAnsi="Calibri"/>
    </w:rPr>
  </w:style>
  <w:style w:type="paragraph" w:styleId="Footer">
    <w:name w:val="footer"/>
    <w:basedOn w:val="Normal"/>
    <w:link w:val="FooterChar"/>
    <w:uiPriority w:val="99"/>
    <w:rsid w:val="001A2042"/>
    <w:pPr>
      <w:tabs>
        <w:tab w:val="center" w:pos="4320"/>
        <w:tab w:val="right" w:pos="8640"/>
      </w:tabs>
    </w:pPr>
    <w:rPr>
      <w:rFonts w:ascii="Arial" w:hAnsi="Arial"/>
    </w:rPr>
  </w:style>
  <w:style w:type="character" w:styleId="PageNumber">
    <w:name w:val="page number"/>
    <w:basedOn w:val="DefaultParagraphFont"/>
    <w:rsid w:val="00E075FD"/>
    <w:rPr>
      <w:rFonts w:ascii="Calibri" w:hAnsi="Calibri"/>
      <w:sz w:val="18"/>
    </w:rPr>
  </w:style>
  <w:style w:type="paragraph" w:customStyle="1" w:styleId="ParagraphNumbering">
    <w:name w:val="Paragraph Numbering"/>
    <w:basedOn w:val="Normal"/>
    <w:rsid w:val="00445E9C"/>
    <w:pPr>
      <w:numPr>
        <w:numId w:val="1"/>
      </w:numPr>
    </w:pPr>
    <w:rPr>
      <w:szCs w:val="20"/>
    </w:rPr>
  </w:style>
  <w:style w:type="paragraph" w:styleId="Title">
    <w:name w:val="Title"/>
    <w:basedOn w:val="Normal"/>
    <w:qFormat/>
    <w:rsid w:val="00E075FD"/>
    <w:pPr>
      <w:shd w:val="pct10" w:color="auto" w:fill="auto"/>
      <w:tabs>
        <w:tab w:val="center" w:pos="4320"/>
      </w:tabs>
      <w:spacing w:before="240"/>
    </w:pPr>
    <w:rPr>
      <w:rFonts w:ascii="Calibri" w:hAnsi="Calibri"/>
      <w:b/>
      <w:bCs/>
      <w:sz w:val="32"/>
    </w:rPr>
  </w:style>
  <w:style w:type="paragraph" w:styleId="BodyText2">
    <w:name w:val="Body Text 2"/>
    <w:basedOn w:val="Normal"/>
    <w:rsid w:val="00445E9C"/>
    <w:pPr>
      <w:overflowPunct w:val="0"/>
      <w:autoSpaceDE w:val="0"/>
      <w:autoSpaceDN w:val="0"/>
      <w:adjustRightInd w:val="0"/>
      <w:ind w:left="3686" w:hanging="2977"/>
      <w:textAlignment w:val="baseline"/>
    </w:pPr>
    <w:rPr>
      <w:b/>
      <w:sz w:val="28"/>
      <w:szCs w:val="20"/>
    </w:rPr>
  </w:style>
  <w:style w:type="paragraph" w:styleId="BodyText">
    <w:name w:val="Body Text"/>
    <w:basedOn w:val="Normal"/>
    <w:rsid w:val="00445E9C"/>
    <w:pPr>
      <w:overflowPunct w:val="0"/>
      <w:autoSpaceDE w:val="0"/>
      <w:autoSpaceDN w:val="0"/>
      <w:adjustRightInd w:val="0"/>
      <w:textAlignment w:val="baseline"/>
    </w:pPr>
    <w:rPr>
      <w:szCs w:val="20"/>
    </w:rPr>
  </w:style>
  <w:style w:type="paragraph" w:styleId="BodyText3">
    <w:name w:val="Body Text 3"/>
    <w:basedOn w:val="Normal"/>
    <w:rsid w:val="00445E9C"/>
  </w:style>
  <w:style w:type="paragraph" w:customStyle="1" w:styleId="NormalTimesNewRoman">
    <w:name w:val="Normal + Times New Roman"/>
    <w:basedOn w:val="Normal"/>
    <w:rsid w:val="00445E9C"/>
    <w:rPr>
      <w:b/>
    </w:rPr>
  </w:style>
  <w:style w:type="paragraph" w:styleId="BalloonText">
    <w:name w:val="Balloon Text"/>
    <w:basedOn w:val="Normal"/>
    <w:link w:val="BalloonTextChar"/>
    <w:semiHidden/>
    <w:rsid w:val="005603CA"/>
    <w:rPr>
      <w:rFonts w:ascii="Tahoma" w:hAnsi="Tahoma" w:cs="Tahoma"/>
      <w:sz w:val="16"/>
      <w:szCs w:val="16"/>
    </w:rPr>
  </w:style>
  <w:style w:type="paragraph" w:styleId="Caption">
    <w:name w:val="caption"/>
    <w:aliases w:val="Tabellen"/>
    <w:basedOn w:val="Normal"/>
    <w:next w:val="Normal"/>
    <w:qFormat/>
    <w:rsid w:val="00B95AD8"/>
    <w:pPr>
      <w:keepNext/>
    </w:pPr>
    <w:rPr>
      <w:b/>
      <w:bCs/>
      <w:i/>
      <w:color w:val="003366"/>
    </w:rPr>
  </w:style>
  <w:style w:type="paragraph" w:styleId="FootnoteText">
    <w:name w:val="footnote text"/>
    <w:basedOn w:val="Normal"/>
    <w:semiHidden/>
    <w:rsid w:val="00445E9C"/>
    <w:rPr>
      <w:sz w:val="20"/>
    </w:rPr>
  </w:style>
  <w:style w:type="character" w:styleId="FootnoteReference">
    <w:name w:val="footnote reference"/>
    <w:basedOn w:val="DefaultParagraphFont"/>
    <w:semiHidden/>
    <w:rsid w:val="00445E9C"/>
    <w:rPr>
      <w:vertAlign w:val="superscript"/>
    </w:rPr>
  </w:style>
  <w:style w:type="paragraph" w:customStyle="1" w:styleId="Text">
    <w:name w:val="Text"/>
    <w:basedOn w:val="Normal"/>
    <w:rsid w:val="00445E9C"/>
    <w:pPr>
      <w:spacing w:after="240"/>
    </w:pPr>
  </w:style>
  <w:style w:type="character" w:styleId="Hyperlink">
    <w:name w:val="Hyperlink"/>
    <w:basedOn w:val="DefaultParagraphFont"/>
    <w:uiPriority w:val="99"/>
    <w:rsid w:val="005A66D0"/>
    <w:rPr>
      <w:color w:val="0000FF"/>
      <w:u w:val="single"/>
    </w:rPr>
  </w:style>
  <w:style w:type="paragraph" w:styleId="ListBullet">
    <w:name w:val="List Bullet"/>
    <w:basedOn w:val="Normal"/>
    <w:rsid w:val="003709DE"/>
    <w:pPr>
      <w:numPr>
        <w:numId w:val="2"/>
      </w:numPr>
    </w:pPr>
  </w:style>
  <w:style w:type="numbering" w:customStyle="1" w:styleId="StyleOutlinenumbered">
    <w:name w:val="Style Outline numbered"/>
    <w:basedOn w:val="NoList"/>
    <w:rsid w:val="009240E0"/>
    <w:pPr>
      <w:numPr>
        <w:numId w:val="3"/>
      </w:numPr>
    </w:pPr>
  </w:style>
  <w:style w:type="table" w:styleId="TableGrid">
    <w:name w:val="Table Grid"/>
    <w:basedOn w:val="TableNormal"/>
    <w:rsid w:val="00442253"/>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2072E4"/>
    <w:pPr>
      <w:spacing w:before="60" w:after="60"/>
      <w:outlineLvl w:val="1"/>
    </w:pPr>
    <w:rPr>
      <w:rFonts w:ascii="Arial" w:hAnsi="Arial"/>
      <w:sz w:val="28"/>
    </w:rPr>
  </w:style>
  <w:style w:type="paragraph" w:customStyle="1" w:styleId="KEMANormal">
    <w:name w:val="KEMA Normal"/>
    <w:rsid w:val="00FD22C2"/>
    <w:pPr>
      <w:spacing w:before="240" w:after="120" w:line="312" w:lineRule="auto"/>
      <w:jc w:val="both"/>
    </w:pPr>
    <w:rPr>
      <w:rFonts w:ascii="Arial" w:hAnsi="Arial" w:cs="Arial"/>
      <w:sz w:val="22"/>
      <w:szCs w:val="22"/>
      <w:lang w:val="en-GB"/>
    </w:rPr>
  </w:style>
  <w:style w:type="character" w:customStyle="1" w:styleId="BalloonTextChar">
    <w:name w:val="Balloon Text Char"/>
    <w:basedOn w:val="DefaultParagraphFont"/>
    <w:link w:val="BalloonText"/>
    <w:semiHidden/>
    <w:rsid w:val="00E075FD"/>
    <w:rPr>
      <w:rFonts w:ascii="Tahoma" w:hAnsi="Tahoma" w:cs="Tahoma"/>
      <w:sz w:val="16"/>
      <w:szCs w:val="16"/>
      <w:lang w:val="en-GB" w:eastAsia="en-US" w:bidi="ar-SA"/>
    </w:rPr>
  </w:style>
  <w:style w:type="paragraph" w:styleId="TOC1">
    <w:name w:val="toc 1"/>
    <w:basedOn w:val="Normal"/>
    <w:next w:val="Normal"/>
    <w:link w:val="TOC1Char"/>
    <w:autoRedefine/>
    <w:uiPriority w:val="39"/>
    <w:qFormat/>
    <w:rsid w:val="00382204"/>
    <w:pPr>
      <w:tabs>
        <w:tab w:val="left" w:pos="475"/>
        <w:tab w:val="right" w:leader="dot" w:pos="9063"/>
      </w:tabs>
      <w:jc w:val="center"/>
    </w:pPr>
    <w:rPr>
      <w:rFonts w:asciiTheme="minorHAnsi" w:hAnsiTheme="minorHAnsi" w:cs="Calibri"/>
      <w:noProof/>
      <w:sz w:val="22"/>
      <w:szCs w:val="22"/>
    </w:rPr>
  </w:style>
  <w:style w:type="paragraph" w:styleId="TOC2">
    <w:name w:val="toc 2"/>
    <w:basedOn w:val="Normal"/>
    <w:next w:val="Normal"/>
    <w:autoRedefine/>
    <w:uiPriority w:val="39"/>
    <w:qFormat/>
    <w:rsid w:val="00382204"/>
    <w:pPr>
      <w:tabs>
        <w:tab w:val="left" w:pos="880"/>
        <w:tab w:val="right" w:leader="dot" w:pos="9063"/>
      </w:tabs>
      <w:spacing w:after="100"/>
      <w:ind w:left="245"/>
    </w:pPr>
    <w:rPr>
      <w:rFonts w:asciiTheme="minorHAnsi" w:hAnsiTheme="minorHAnsi" w:cstheme="minorHAnsi"/>
      <w:noProof/>
      <w:sz w:val="22"/>
      <w:szCs w:val="22"/>
    </w:rPr>
  </w:style>
  <w:style w:type="paragraph" w:styleId="TOC3">
    <w:name w:val="toc 3"/>
    <w:basedOn w:val="Normal"/>
    <w:next w:val="Normal"/>
    <w:autoRedefine/>
    <w:uiPriority w:val="39"/>
    <w:qFormat/>
    <w:rsid w:val="00B046C0"/>
    <w:pPr>
      <w:spacing w:after="120"/>
      <w:ind w:left="475"/>
    </w:pPr>
    <w:rPr>
      <w:sz w:val="20"/>
    </w:rPr>
  </w:style>
  <w:style w:type="character" w:customStyle="1" w:styleId="FooterChar">
    <w:name w:val="Footer Char"/>
    <w:basedOn w:val="DefaultParagraphFont"/>
    <w:link w:val="Footer"/>
    <w:uiPriority w:val="99"/>
    <w:rsid w:val="00E075FD"/>
    <w:rPr>
      <w:rFonts w:ascii="Arial" w:hAnsi="Arial" w:cs="Arial"/>
      <w:sz w:val="22"/>
      <w:szCs w:val="24"/>
      <w:lang w:val="en-GB" w:eastAsia="en-US" w:bidi="ar-SA"/>
    </w:rPr>
  </w:style>
  <w:style w:type="character" w:customStyle="1" w:styleId="HeaderChar">
    <w:name w:val="Header Char"/>
    <w:basedOn w:val="DefaultParagraphFont"/>
    <w:link w:val="Header"/>
    <w:uiPriority w:val="99"/>
    <w:rsid w:val="00A2269F"/>
    <w:rPr>
      <w:rFonts w:ascii="Calibri" w:hAnsi="Calibri" w:cs="Arial"/>
      <w:sz w:val="22"/>
      <w:szCs w:val="24"/>
      <w:lang w:val="en-US" w:eastAsia="en-US"/>
    </w:rPr>
  </w:style>
  <w:style w:type="paragraph" w:styleId="ListParagraph">
    <w:name w:val="List Paragraph"/>
    <w:aliases w:val="List Paragraph_Num123"/>
    <w:basedOn w:val="Normal"/>
    <w:uiPriority w:val="34"/>
    <w:qFormat/>
    <w:rsid w:val="00A2269F"/>
    <w:pPr>
      <w:ind w:left="720"/>
      <w:contextualSpacing/>
    </w:pPr>
  </w:style>
  <w:style w:type="paragraph" w:customStyle="1" w:styleId="corbel">
    <w:name w:val="corbel"/>
    <w:basedOn w:val="Normal"/>
    <w:rsid w:val="00A2269F"/>
    <w:pPr>
      <w:autoSpaceDE w:val="0"/>
      <w:autoSpaceDN w:val="0"/>
      <w:adjustRightInd w:val="0"/>
    </w:pPr>
    <w:rPr>
      <w:rFonts w:ascii="Arial" w:hAnsi="Arial"/>
      <w:szCs w:val="22"/>
    </w:rPr>
  </w:style>
  <w:style w:type="character" w:customStyle="1" w:styleId="Heading1Char">
    <w:name w:val="Heading 1 Char"/>
    <w:basedOn w:val="DefaultParagraphFont"/>
    <w:link w:val="Heading1"/>
    <w:rsid w:val="006F0801"/>
    <w:rPr>
      <w:rFonts w:ascii="Calibri" w:eastAsia="MS Mincho" w:hAnsi="Calibri"/>
      <w:b/>
      <w:bCs/>
      <w:color w:val="003366"/>
      <w:sz w:val="28"/>
      <w:szCs w:val="24"/>
      <w:lang w:val="sq-AL"/>
    </w:rPr>
  </w:style>
  <w:style w:type="paragraph" w:styleId="BodyTextIndent">
    <w:name w:val="Body Text Indent"/>
    <w:basedOn w:val="Normal"/>
    <w:link w:val="BodyTextIndentChar"/>
    <w:rsid w:val="0007026B"/>
    <w:pPr>
      <w:spacing w:after="120"/>
      <w:ind w:left="283"/>
    </w:pPr>
  </w:style>
  <w:style w:type="character" w:customStyle="1" w:styleId="BodyTextIndentChar">
    <w:name w:val="Body Text Indent Char"/>
    <w:basedOn w:val="DefaultParagraphFont"/>
    <w:link w:val="BodyTextIndent"/>
    <w:rsid w:val="0007026B"/>
    <w:rPr>
      <w:rFonts w:ascii="Corbel" w:hAnsi="Corbel" w:cs="Arial"/>
      <w:sz w:val="22"/>
      <w:szCs w:val="24"/>
      <w:lang w:val="en-GB" w:eastAsia="en-US"/>
    </w:rPr>
  </w:style>
  <w:style w:type="paragraph" w:styleId="BlockText">
    <w:name w:val="Block Text"/>
    <w:basedOn w:val="Normal"/>
    <w:rsid w:val="0007026B"/>
    <w:pPr>
      <w:spacing w:after="120"/>
      <w:ind w:left="1440" w:right="1440"/>
    </w:pPr>
  </w:style>
  <w:style w:type="character" w:customStyle="1" w:styleId="Heading5Char">
    <w:name w:val="Heading 5 Char"/>
    <w:basedOn w:val="DefaultParagraphFont"/>
    <w:link w:val="Heading5"/>
    <w:rsid w:val="00E807F8"/>
    <w:rPr>
      <w:rFonts w:eastAsia="MS Mincho"/>
      <w:sz w:val="22"/>
      <w:szCs w:val="24"/>
      <w:u w:val="single"/>
      <w:lang w:val="en-GB"/>
    </w:rPr>
  </w:style>
  <w:style w:type="character" w:customStyle="1" w:styleId="Heading7Char">
    <w:name w:val="Heading 7 Char"/>
    <w:basedOn w:val="DefaultParagraphFont"/>
    <w:link w:val="Heading7"/>
    <w:rsid w:val="00E807F8"/>
    <w:rPr>
      <w:rFonts w:eastAsia="MS Mincho"/>
      <w:b/>
      <w:bCs/>
      <w:sz w:val="22"/>
      <w:szCs w:val="24"/>
      <w:lang w:val="sq-AL"/>
    </w:rPr>
  </w:style>
  <w:style w:type="character" w:customStyle="1" w:styleId="Heading8Char">
    <w:name w:val="Heading 8 Char"/>
    <w:basedOn w:val="DefaultParagraphFont"/>
    <w:link w:val="Heading8"/>
    <w:rsid w:val="00E807F8"/>
    <w:rPr>
      <w:rFonts w:ascii="Arial" w:eastAsia="MS Mincho" w:hAnsi="Arial" w:cs="Arial"/>
      <w:b/>
      <w:bCs/>
      <w:sz w:val="24"/>
      <w:szCs w:val="24"/>
      <w:lang w:val="sq-AL"/>
    </w:rPr>
  </w:style>
  <w:style w:type="character" w:customStyle="1" w:styleId="Heading9Char">
    <w:name w:val="Heading 9 Char"/>
    <w:basedOn w:val="DefaultParagraphFont"/>
    <w:link w:val="Heading9"/>
    <w:rsid w:val="00E807F8"/>
    <w:rPr>
      <w:rFonts w:ascii="Arial" w:eastAsia="MS Mincho" w:hAnsi="Arial" w:cs="Arial"/>
      <w:b/>
      <w:bCs/>
      <w:szCs w:val="24"/>
      <w:lang w:val="sq-AL"/>
    </w:rPr>
  </w:style>
  <w:style w:type="paragraph" w:styleId="BodyTextIndent2">
    <w:name w:val="Body Text Indent 2"/>
    <w:basedOn w:val="Normal"/>
    <w:link w:val="BodyTextIndent2Char"/>
    <w:rsid w:val="00E807F8"/>
    <w:pPr>
      <w:ind w:left="1080" w:hanging="360"/>
    </w:pPr>
    <w:rPr>
      <w:sz w:val="22"/>
      <w:szCs w:val="22"/>
      <w:lang w:val="en-GB"/>
    </w:rPr>
  </w:style>
  <w:style w:type="character" w:customStyle="1" w:styleId="BodyTextIndent2Char">
    <w:name w:val="Body Text Indent 2 Char"/>
    <w:basedOn w:val="DefaultParagraphFont"/>
    <w:link w:val="BodyTextIndent2"/>
    <w:rsid w:val="00E807F8"/>
    <w:rPr>
      <w:rFonts w:eastAsia="MS Mincho"/>
      <w:sz w:val="22"/>
      <w:szCs w:val="22"/>
      <w:lang w:val="en-GB"/>
    </w:rPr>
  </w:style>
  <w:style w:type="paragraph" w:styleId="BodyTextIndent3">
    <w:name w:val="Body Text Indent 3"/>
    <w:basedOn w:val="Normal"/>
    <w:link w:val="BodyTextIndent3Char"/>
    <w:rsid w:val="00E807F8"/>
    <w:pPr>
      <w:ind w:left="360"/>
      <w:jc w:val="both"/>
    </w:pPr>
    <w:rPr>
      <w:sz w:val="22"/>
    </w:rPr>
  </w:style>
  <w:style w:type="character" w:customStyle="1" w:styleId="BodyTextIndent3Char">
    <w:name w:val="Body Text Indent 3 Char"/>
    <w:basedOn w:val="DefaultParagraphFont"/>
    <w:link w:val="BodyTextIndent3"/>
    <w:rsid w:val="00E807F8"/>
    <w:rPr>
      <w:rFonts w:eastAsia="MS Mincho"/>
      <w:sz w:val="22"/>
      <w:szCs w:val="24"/>
      <w:lang w:val="sq-AL"/>
    </w:rPr>
  </w:style>
  <w:style w:type="paragraph" w:customStyle="1" w:styleId="font0">
    <w:name w:val="font0"/>
    <w:basedOn w:val="Normal"/>
    <w:rsid w:val="00E807F8"/>
    <w:pPr>
      <w:spacing w:before="100" w:beforeAutospacing="1" w:after="100" w:afterAutospacing="1"/>
    </w:pPr>
    <w:rPr>
      <w:rFonts w:ascii="Arial" w:hAnsi="Arial" w:cs="Arial"/>
      <w:sz w:val="20"/>
      <w:szCs w:val="20"/>
    </w:rPr>
  </w:style>
  <w:style w:type="paragraph" w:customStyle="1" w:styleId="Default">
    <w:name w:val="Default"/>
    <w:rsid w:val="00E807F8"/>
    <w:pPr>
      <w:autoSpaceDE w:val="0"/>
      <w:autoSpaceDN w:val="0"/>
      <w:adjustRightInd w:val="0"/>
    </w:pPr>
    <w:rPr>
      <w:rFonts w:ascii="Calibri" w:eastAsia="MS Mincho" w:hAnsi="Calibri" w:cs="Calibri"/>
      <w:color w:val="000000"/>
      <w:sz w:val="24"/>
      <w:szCs w:val="24"/>
    </w:rPr>
  </w:style>
  <w:style w:type="character" w:styleId="FollowedHyperlink">
    <w:name w:val="FollowedHyperlink"/>
    <w:basedOn w:val="DefaultParagraphFont"/>
    <w:rsid w:val="00E807F8"/>
    <w:rPr>
      <w:color w:val="800080"/>
      <w:u w:val="single"/>
    </w:rPr>
  </w:style>
  <w:style w:type="character" w:styleId="Strong">
    <w:name w:val="Strong"/>
    <w:basedOn w:val="DefaultParagraphFont"/>
    <w:qFormat/>
    <w:rsid w:val="00E807F8"/>
    <w:rPr>
      <w:b/>
      <w:bCs/>
    </w:rPr>
  </w:style>
  <w:style w:type="paragraph" w:customStyle="1" w:styleId="Style1">
    <w:name w:val="Style1"/>
    <w:basedOn w:val="Normal"/>
    <w:link w:val="Style1Char"/>
    <w:qFormat/>
    <w:rsid w:val="00E807F8"/>
    <w:pPr>
      <w:jc w:val="both"/>
    </w:pPr>
    <w:rPr>
      <w:rFonts w:ascii="Calibri" w:hAnsi="Calibri"/>
      <w:b/>
      <w:sz w:val="22"/>
    </w:rPr>
  </w:style>
  <w:style w:type="character" w:customStyle="1" w:styleId="Style1Char">
    <w:name w:val="Style1 Char"/>
    <w:basedOn w:val="DefaultParagraphFont"/>
    <w:link w:val="Style1"/>
    <w:rsid w:val="00E807F8"/>
    <w:rPr>
      <w:rFonts w:ascii="Calibri" w:eastAsia="MS Mincho" w:hAnsi="Calibri"/>
      <w:b/>
      <w:sz w:val="22"/>
      <w:szCs w:val="24"/>
      <w:lang w:val="sq-AL"/>
    </w:rPr>
  </w:style>
  <w:style w:type="paragraph" w:styleId="TOC4">
    <w:name w:val="toc 4"/>
    <w:basedOn w:val="Normal"/>
    <w:next w:val="Normal"/>
    <w:autoRedefine/>
    <w:uiPriority w:val="39"/>
    <w:rsid w:val="00E807F8"/>
    <w:pPr>
      <w:ind w:left="720"/>
    </w:pPr>
  </w:style>
  <w:style w:type="paragraph" w:styleId="TOCHeading">
    <w:name w:val="TOC Heading"/>
    <w:basedOn w:val="Heading1"/>
    <w:next w:val="Normal"/>
    <w:uiPriority w:val="39"/>
    <w:unhideWhenUsed/>
    <w:qFormat/>
    <w:rsid w:val="00E807F8"/>
    <w:pPr>
      <w:keepLines/>
      <w:numPr>
        <w:numId w:val="0"/>
      </w:numPr>
      <w:spacing w:before="480"/>
      <w:outlineLvl w:val="9"/>
    </w:pPr>
    <w:rPr>
      <w:rFonts w:ascii="Cambria" w:hAnsi="Cambria"/>
      <w:color w:val="365F91"/>
      <w:szCs w:val="28"/>
      <w:lang w:val="en-US"/>
    </w:rPr>
  </w:style>
  <w:style w:type="paragraph" w:styleId="TableofFigures">
    <w:name w:val="table of figures"/>
    <w:basedOn w:val="Normal"/>
    <w:next w:val="Normal"/>
    <w:uiPriority w:val="99"/>
    <w:rsid w:val="00B02C5C"/>
    <w:rPr>
      <w:rFonts w:asciiTheme="minorHAnsi" w:hAnsiTheme="minorHAnsi"/>
      <w:i/>
      <w:sz w:val="20"/>
    </w:rPr>
  </w:style>
  <w:style w:type="character" w:styleId="Emphasis">
    <w:name w:val="Emphasis"/>
    <w:basedOn w:val="DefaultParagraphFont"/>
    <w:qFormat/>
    <w:rsid w:val="00E807F8"/>
    <w:rPr>
      <w:rFonts w:asciiTheme="minorHAnsi" w:hAnsiTheme="minorHAnsi"/>
      <w:iCs/>
      <w:sz w:val="22"/>
    </w:rPr>
  </w:style>
  <w:style w:type="paragraph" w:customStyle="1" w:styleId="Style2">
    <w:name w:val="Style2"/>
    <w:basedOn w:val="TOC1"/>
    <w:link w:val="Style2Char"/>
    <w:autoRedefine/>
    <w:qFormat/>
    <w:rsid w:val="00B02C5C"/>
  </w:style>
  <w:style w:type="paragraph" w:customStyle="1" w:styleId="Tabelat">
    <w:name w:val="Tabelat"/>
    <w:basedOn w:val="Subtitle"/>
    <w:link w:val="TabelatChar"/>
    <w:qFormat/>
    <w:rsid w:val="00B02C5C"/>
    <w:rPr>
      <w:rFonts w:asciiTheme="minorHAnsi" w:hAnsiTheme="minorHAnsi"/>
      <w:i/>
      <w:sz w:val="20"/>
      <w:lang w:val="de-DE"/>
    </w:rPr>
  </w:style>
  <w:style w:type="character" w:customStyle="1" w:styleId="TOC1Char">
    <w:name w:val="TOC 1 Char"/>
    <w:basedOn w:val="DefaultParagraphFont"/>
    <w:link w:val="TOC1"/>
    <w:uiPriority w:val="39"/>
    <w:rsid w:val="00382204"/>
    <w:rPr>
      <w:rFonts w:asciiTheme="minorHAnsi" w:eastAsia="MS Mincho" w:hAnsiTheme="minorHAnsi" w:cs="Calibri"/>
      <w:noProof/>
      <w:sz w:val="22"/>
      <w:szCs w:val="22"/>
      <w:lang w:val="sq-AL"/>
    </w:rPr>
  </w:style>
  <w:style w:type="character" w:customStyle="1" w:styleId="Style2Char">
    <w:name w:val="Style2 Char"/>
    <w:basedOn w:val="TOC1Char"/>
    <w:link w:val="Style2"/>
    <w:rsid w:val="00B02C5C"/>
    <w:rPr>
      <w:rFonts w:asciiTheme="minorHAnsi" w:eastAsia="MS Mincho" w:hAnsiTheme="minorHAnsi" w:cs="Calibri"/>
      <w:b w:val="0"/>
      <w:i w:val="0"/>
      <w:noProof/>
      <w:sz w:val="22"/>
      <w:szCs w:val="22"/>
      <w:lang w:val="sq-AL"/>
    </w:rPr>
  </w:style>
  <w:style w:type="paragraph" w:customStyle="1" w:styleId="Style3">
    <w:name w:val="Style3"/>
    <w:basedOn w:val="Tabelat"/>
    <w:link w:val="Style3Char"/>
    <w:qFormat/>
    <w:rsid w:val="00B02C5C"/>
    <w:rPr>
      <w:b/>
    </w:rPr>
  </w:style>
  <w:style w:type="character" w:customStyle="1" w:styleId="SubtitleChar">
    <w:name w:val="Subtitle Char"/>
    <w:basedOn w:val="DefaultParagraphFont"/>
    <w:link w:val="Subtitle"/>
    <w:rsid w:val="00B02C5C"/>
    <w:rPr>
      <w:rFonts w:ascii="Arial" w:eastAsia="MS Mincho" w:hAnsi="Arial"/>
      <w:sz w:val="28"/>
      <w:szCs w:val="24"/>
      <w:lang w:val="sq-AL"/>
    </w:rPr>
  </w:style>
  <w:style w:type="character" w:customStyle="1" w:styleId="TabelatChar">
    <w:name w:val="Tabelat Char"/>
    <w:basedOn w:val="SubtitleChar"/>
    <w:link w:val="Tabelat"/>
    <w:rsid w:val="00B02C5C"/>
    <w:rPr>
      <w:rFonts w:asciiTheme="minorHAnsi" w:eastAsia="MS Mincho" w:hAnsiTheme="minorHAnsi"/>
      <w:i/>
      <w:sz w:val="28"/>
      <w:szCs w:val="24"/>
      <w:lang w:val="de-DE"/>
    </w:rPr>
  </w:style>
  <w:style w:type="paragraph" w:customStyle="1" w:styleId="Style4">
    <w:name w:val="Style4"/>
    <w:basedOn w:val="Style3"/>
    <w:link w:val="Style4Char"/>
    <w:autoRedefine/>
    <w:qFormat/>
    <w:rsid w:val="00B02C5C"/>
    <w:pPr>
      <w:spacing w:line="360" w:lineRule="auto"/>
      <w:jc w:val="center"/>
    </w:pPr>
  </w:style>
  <w:style w:type="character" w:customStyle="1" w:styleId="Style3Char">
    <w:name w:val="Style3 Char"/>
    <w:basedOn w:val="TabelatChar"/>
    <w:link w:val="Style3"/>
    <w:rsid w:val="00B02C5C"/>
    <w:rPr>
      <w:rFonts w:asciiTheme="minorHAnsi" w:eastAsia="MS Mincho" w:hAnsiTheme="minorHAnsi"/>
      <w:b/>
      <w:i/>
      <w:sz w:val="28"/>
      <w:szCs w:val="24"/>
      <w:lang w:val="de-DE"/>
    </w:rPr>
  </w:style>
  <w:style w:type="character" w:customStyle="1" w:styleId="Style4Char">
    <w:name w:val="Style4 Char"/>
    <w:basedOn w:val="Style3Char"/>
    <w:link w:val="Style4"/>
    <w:rsid w:val="00B02C5C"/>
    <w:rPr>
      <w:rFonts w:asciiTheme="minorHAnsi" w:eastAsia="MS Mincho" w:hAnsiTheme="minorHAnsi"/>
      <w:b/>
      <w:i/>
      <w:sz w:val="28"/>
      <w:szCs w:val="24"/>
      <w:lang w:val="de-DE"/>
    </w:rPr>
  </w:style>
  <w:style w:type="paragraph" w:customStyle="1" w:styleId="Style5">
    <w:name w:val="Style5"/>
    <w:basedOn w:val="Heading3"/>
    <w:link w:val="Style5Char"/>
    <w:autoRedefine/>
    <w:qFormat/>
    <w:rsid w:val="00382204"/>
    <w:rPr>
      <w:i w:val="0"/>
    </w:rPr>
  </w:style>
  <w:style w:type="character" w:customStyle="1" w:styleId="Heading2Char">
    <w:name w:val="Heading 2 Char"/>
    <w:basedOn w:val="DefaultParagraphFont"/>
    <w:link w:val="Heading2"/>
    <w:rsid w:val="00F90B33"/>
    <w:rPr>
      <w:rFonts w:ascii="Calibri" w:eastAsia="MS Mincho" w:hAnsi="Calibri"/>
      <w:b/>
      <w:bCs/>
      <w:color w:val="003366"/>
      <w:sz w:val="24"/>
      <w:szCs w:val="22"/>
      <w:lang w:val="sq-AL"/>
    </w:rPr>
  </w:style>
  <w:style w:type="character" w:customStyle="1" w:styleId="Heading3Char">
    <w:name w:val="Heading 3 Char"/>
    <w:basedOn w:val="Heading2Char"/>
    <w:link w:val="Heading3"/>
    <w:rsid w:val="006122E6"/>
    <w:rPr>
      <w:rFonts w:asciiTheme="minorHAnsi" w:eastAsia="MS Mincho" w:hAnsiTheme="minorHAnsi" w:cstheme="minorHAnsi"/>
      <w:b/>
      <w:bCs/>
      <w:i/>
      <w:color w:val="003366"/>
      <w:sz w:val="22"/>
      <w:szCs w:val="22"/>
      <w:lang w:val="de-DE"/>
    </w:rPr>
  </w:style>
  <w:style w:type="character" w:customStyle="1" w:styleId="Style5Char">
    <w:name w:val="Style5 Char"/>
    <w:basedOn w:val="Heading3Char"/>
    <w:link w:val="Style5"/>
    <w:rsid w:val="00382204"/>
    <w:rPr>
      <w:rFonts w:ascii="Calibri" w:eastAsia="MS Mincho" w:hAnsi="Calibri" w:cstheme="minorHAnsi"/>
      <w:b/>
      <w:bCs/>
      <w:i w:val="0"/>
      <w:color w:val="003366"/>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8139">
      <w:bodyDiv w:val="1"/>
      <w:marLeft w:val="0"/>
      <w:marRight w:val="0"/>
      <w:marTop w:val="0"/>
      <w:marBottom w:val="0"/>
      <w:divBdr>
        <w:top w:val="none" w:sz="0" w:space="0" w:color="auto"/>
        <w:left w:val="none" w:sz="0" w:space="0" w:color="auto"/>
        <w:bottom w:val="none" w:sz="0" w:space="0" w:color="auto"/>
        <w:right w:val="none" w:sz="0" w:space="0" w:color="auto"/>
      </w:divBdr>
    </w:div>
    <w:div w:id="96873430">
      <w:bodyDiv w:val="1"/>
      <w:marLeft w:val="0"/>
      <w:marRight w:val="0"/>
      <w:marTop w:val="0"/>
      <w:marBottom w:val="0"/>
      <w:divBdr>
        <w:top w:val="none" w:sz="0" w:space="0" w:color="auto"/>
        <w:left w:val="none" w:sz="0" w:space="0" w:color="auto"/>
        <w:bottom w:val="none" w:sz="0" w:space="0" w:color="auto"/>
        <w:right w:val="none" w:sz="0" w:space="0" w:color="auto"/>
      </w:divBdr>
      <w:divsChild>
        <w:div w:id="53166767">
          <w:marLeft w:val="0"/>
          <w:marRight w:val="0"/>
          <w:marTop w:val="0"/>
          <w:marBottom w:val="0"/>
          <w:divBdr>
            <w:top w:val="none" w:sz="0" w:space="0" w:color="auto"/>
            <w:left w:val="none" w:sz="0" w:space="0" w:color="auto"/>
            <w:bottom w:val="none" w:sz="0" w:space="0" w:color="auto"/>
            <w:right w:val="none" w:sz="0" w:space="0" w:color="auto"/>
          </w:divBdr>
        </w:div>
        <w:div w:id="220606102">
          <w:marLeft w:val="0"/>
          <w:marRight w:val="0"/>
          <w:marTop w:val="0"/>
          <w:marBottom w:val="0"/>
          <w:divBdr>
            <w:top w:val="none" w:sz="0" w:space="0" w:color="auto"/>
            <w:left w:val="none" w:sz="0" w:space="0" w:color="auto"/>
            <w:bottom w:val="none" w:sz="0" w:space="0" w:color="auto"/>
            <w:right w:val="none" w:sz="0" w:space="0" w:color="auto"/>
          </w:divBdr>
        </w:div>
        <w:div w:id="258100237">
          <w:marLeft w:val="0"/>
          <w:marRight w:val="0"/>
          <w:marTop w:val="0"/>
          <w:marBottom w:val="0"/>
          <w:divBdr>
            <w:top w:val="none" w:sz="0" w:space="0" w:color="auto"/>
            <w:left w:val="none" w:sz="0" w:space="0" w:color="auto"/>
            <w:bottom w:val="none" w:sz="0" w:space="0" w:color="auto"/>
            <w:right w:val="none" w:sz="0" w:space="0" w:color="auto"/>
          </w:divBdr>
        </w:div>
        <w:div w:id="259873764">
          <w:marLeft w:val="0"/>
          <w:marRight w:val="0"/>
          <w:marTop w:val="0"/>
          <w:marBottom w:val="0"/>
          <w:divBdr>
            <w:top w:val="none" w:sz="0" w:space="0" w:color="auto"/>
            <w:left w:val="none" w:sz="0" w:space="0" w:color="auto"/>
            <w:bottom w:val="none" w:sz="0" w:space="0" w:color="auto"/>
            <w:right w:val="none" w:sz="0" w:space="0" w:color="auto"/>
          </w:divBdr>
        </w:div>
        <w:div w:id="403996549">
          <w:marLeft w:val="0"/>
          <w:marRight w:val="0"/>
          <w:marTop w:val="0"/>
          <w:marBottom w:val="0"/>
          <w:divBdr>
            <w:top w:val="none" w:sz="0" w:space="0" w:color="auto"/>
            <w:left w:val="none" w:sz="0" w:space="0" w:color="auto"/>
            <w:bottom w:val="none" w:sz="0" w:space="0" w:color="auto"/>
            <w:right w:val="none" w:sz="0" w:space="0" w:color="auto"/>
          </w:divBdr>
        </w:div>
        <w:div w:id="527183614">
          <w:marLeft w:val="0"/>
          <w:marRight w:val="0"/>
          <w:marTop w:val="0"/>
          <w:marBottom w:val="0"/>
          <w:divBdr>
            <w:top w:val="none" w:sz="0" w:space="0" w:color="auto"/>
            <w:left w:val="none" w:sz="0" w:space="0" w:color="auto"/>
            <w:bottom w:val="none" w:sz="0" w:space="0" w:color="auto"/>
            <w:right w:val="none" w:sz="0" w:space="0" w:color="auto"/>
          </w:divBdr>
        </w:div>
        <w:div w:id="714089594">
          <w:marLeft w:val="0"/>
          <w:marRight w:val="0"/>
          <w:marTop w:val="0"/>
          <w:marBottom w:val="0"/>
          <w:divBdr>
            <w:top w:val="none" w:sz="0" w:space="0" w:color="auto"/>
            <w:left w:val="none" w:sz="0" w:space="0" w:color="auto"/>
            <w:bottom w:val="none" w:sz="0" w:space="0" w:color="auto"/>
            <w:right w:val="none" w:sz="0" w:space="0" w:color="auto"/>
          </w:divBdr>
        </w:div>
        <w:div w:id="747464457">
          <w:marLeft w:val="0"/>
          <w:marRight w:val="0"/>
          <w:marTop w:val="0"/>
          <w:marBottom w:val="0"/>
          <w:divBdr>
            <w:top w:val="none" w:sz="0" w:space="0" w:color="auto"/>
            <w:left w:val="none" w:sz="0" w:space="0" w:color="auto"/>
            <w:bottom w:val="none" w:sz="0" w:space="0" w:color="auto"/>
            <w:right w:val="none" w:sz="0" w:space="0" w:color="auto"/>
          </w:divBdr>
        </w:div>
        <w:div w:id="764112914">
          <w:marLeft w:val="0"/>
          <w:marRight w:val="0"/>
          <w:marTop w:val="0"/>
          <w:marBottom w:val="0"/>
          <w:divBdr>
            <w:top w:val="none" w:sz="0" w:space="0" w:color="auto"/>
            <w:left w:val="none" w:sz="0" w:space="0" w:color="auto"/>
            <w:bottom w:val="none" w:sz="0" w:space="0" w:color="auto"/>
            <w:right w:val="none" w:sz="0" w:space="0" w:color="auto"/>
          </w:divBdr>
        </w:div>
        <w:div w:id="870995648">
          <w:marLeft w:val="0"/>
          <w:marRight w:val="0"/>
          <w:marTop w:val="0"/>
          <w:marBottom w:val="0"/>
          <w:divBdr>
            <w:top w:val="none" w:sz="0" w:space="0" w:color="auto"/>
            <w:left w:val="none" w:sz="0" w:space="0" w:color="auto"/>
            <w:bottom w:val="none" w:sz="0" w:space="0" w:color="auto"/>
            <w:right w:val="none" w:sz="0" w:space="0" w:color="auto"/>
          </w:divBdr>
        </w:div>
        <w:div w:id="1071807991">
          <w:marLeft w:val="0"/>
          <w:marRight w:val="0"/>
          <w:marTop w:val="0"/>
          <w:marBottom w:val="0"/>
          <w:divBdr>
            <w:top w:val="none" w:sz="0" w:space="0" w:color="auto"/>
            <w:left w:val="none" w:sz="0" w:space="0" w:color="auto"/>
            <w:bottom w:val="none" w:sz="0" w:space="0" w:color="auto"/>
            <w:right w:val="none" w:sz="0" w:space="0" w:color="auto"/>
          </w:divBdr>
        </w:div>
        <w:div w:id="1149058085">
          <w:marLeft w:val="0"/>
          <w:marRight w:val="0"/>
          <w:marTop w:val="0"/>
          <w:marBottom w:val="0"/>
          <w:divBdr>
            <w:top w:val="none" w:sz="0" w:space="0" w:color="auto"/>
            <w:left w:val="none" w:sz="0" w:space="0" w:color="auto"/>
            <w:bottom w:val="none" w:sz="0" w:space="0" w:color="auto"/>
            <w:right w:val="none" w:sz="0" w:space="0" w:color="auto"/>
          </w:divBdr>
        </w:div>
        <w:div w:id="1453090770">
          <w:marLeft w:val="0"/>
          <w:marRight w:val="0"/>
          <w:marTop w:val="0"/>
          <w:marBottom w:val="0"/>
          <w:divBdr>
            <w:top w:val="none" w:sz="0" w:space="0" w:color="auto"/>
            <w:left w:val="none" w:sz="0" w:space="0" w:color="auto"/>
            <w:bottom w:val="none" w:sz="0" w:space="0" w:color="auto"/>
            <w:right w:val="none" w:sz="0" w:space="0" w:color="auto"/>
          </w:divBdr>
        </w:div>
        <w:div w:id="1627422312">
          <w:marLeft w:val="0"/>
          <w:marRight w:val="0"/>
          <w:marTop w:val="0"/>
          <w:marBottom w:val="0"/>
          <w:divBdr>
            <w:top w:val="none" w:sz="0" w:space="0" w:color="auto"/>
            <w:left w:val="none" w:sz="0" w:space="0" w:color="auto"/>
            <w:bottom w:val="none" w:sz="0" w:space="0" w:color="auto"/>
            <w:right w:val="none" w:sz="0" w:space="0" w:color="auto"/>
          </w:divBdr>
        </w:div>
        <w:div w:id="1695888150">
          <w:marLeft w:val="0"/>
          <w:marRight w:val="0"/>
          <w:marTop w:val="0"/>
          <w:marBottom w:val="0"/>
          <w:divBdr>
            <w:top w:val="none" w:sz="0" w:space="0" w:color="auto"/>
            <w:left w:val="none" w:sz="0" w:space="0" w:color="auto"/>
            <w:bottom w:val="none" w:sz="0" w:space="0" w:color="auto"/>
            <w:right w:val="none" w:sz="0" w:space="0" w:color="auto"/>
          </w:divBdr>
        </w:div>
        <w:div w:id="1764062445">
          <w:marLeft w:val="0"/>
          <w:marRight w:val="0"/>
          <w:marTop w:val="0"/>
          <w:marBottom w:val="0"/>
          <w:divBdr>
            <w:top w:val="none" w:sz="0" w:space="0" w:color="auto"/>
            <w:left w:val="none" w:sz="0" w:space="0" w:color="auto"/>
            <w:bottom w:val="none" w:sz="0" w:space="0" w:color="auto"/>
            <w:right w:val="none" w:sz="0" w:space="0" w:color="auto"/>
          </w:divBdr>
        </w:div>
        <w:div w:id="1778331770">
          <w:marLeft w:val="0"/>
          <w:marRight w:val="0"/>
          <w:marTop w:val="0"/>
          <w:marBottom w:val="0"/>
          <w:divBdr>
            <w:top w:val="none" w:sz="0" w:space="0" w:color="auto"/>
            <w:left w:val="none" w:sz="0" w:space="0" w:color="auto"/>
            <w:bottom w:val="none" w:sz="0" w:space="0" w:color="auto"/>
            <w:right w:val="none" w:sz="0" w:space="0" w:color="auto"/>
          </w:divBdr>
        </w:div>
        <w:div w:id="1829009475">
          <w:marLeft w:val="0"/>
          <w:marRight w:val="0"/>
          <w:marTop w:val="0"/>
          <w:marBottom w:val="0"/>
          <w:divBdr>
            <w:top w:val="none" w:sz="0" w:space="0" w:color="auto"/>
            <w:left w:val="none" w:sz="0" w:space="0" w:color="auto"/>
            <w:bottom w:val="none" w:sz="0" w:space="0" w:color="auto"/>
            <w:right w:val="none" w:sz="0" w:space="0" w:color="auto"/>
          </w:divBdr>
        </w:div>
        <w:div w:id="1831671193">
          <w:marLeft w:val="0"/>
          <w:marRight w:val="0"/>
          <w:marTop w:val="0"/>
          <w:marBottom w:val="0"/>
          <w:divBdr>
            <w:top w:val="none" w:sz="0" w:space="0" w:color="auto"/>
            <w:left w:val="none" w:sz="0" w:space="0" w:color="auto"/>
            <w:bottom w:val="none" w:sz="0" w:space="0" w:color="auto"/>
            <w:right w:val="none" w:sz="0" w:space="0" w:color="auto"/>
          </w:divBdr>
        </w:div>
        <w:div w:id="1831941674">
          <w:marLeft w:val="0"/>
          <w:marRight w:val="0"/>
          <w:marTop w:val="0"/>
          <w:marBottom w:val="0"/>
          <w:divBdr>
            <w:top w:val="none" w:sz="0" w:space="0" w:color="auto"/>
            <w:left w:val="none" w:sz="0" w:space="0" w:color="auto"/>
            <w:bottom w:val="none" w:sz="0" w:space="0" w:color="auto"/>
            <w:right w:val="none" w:sz="0" w:space="0" w:color="auto"/>
          </w:divBdr>
        </w:div>
        <w:div w:id="1969237321">
          <w:marLeft w:val="0"/>
          <w:marRight w:val="0"/>
          <w:marTop w:val="0"/>
          <w:marBottom w:val="0"/>
          <w:divBdr>
            <w:top w:val="none" w:sz="0" w:space="0" w:color="auto"/>
            <w:left w:val="none" w:sz="0" w:space="0" w:color="auto"/>
            <w:bottom w:val="none" w:sz="0" w:space="0" w:color="auto"/>
            <w:right w:val="none" w:sz="0" w:space="0" w:color="auto"/>
          </w:divBdr>
        </w:div>
        <w:div w:id="2015186312">
          <w:marLeft w:val="0"/>
          <w:marRight w:val="0"/>
          <w:marTop w:val="0"/>
          <w:marBottom w:val="0"/>
          <w:divBdr>
            <w:top w:val="none" w:sz="0" w:space="0" w:color="auto"/>
            <w:left w:val="none" w:sz="0" w:space="0" w:color="auto"/>
            <w:bottom w:val="none" w:sz="0" w:space="0" w:color="auto"/>
            <w:right w:val="none" w:sz="0" w:space="0" w:color="auto"/>
          </w:divBdr>
        </w:div>
        <w:div w:id="2050521149">
          <w:marLeft w:val="0"/>
          <w:marRight w:val="0"/>
          <w:marTop w:val="0"/>
          <w:marBottom w:val="0"/>
          <w:divBdr>
            <w:top w:val="none" w:sz="0" w:space="0" w:color="auto"/>
            <w:left w:val="none" w:sz="0" w:space="0" w:color="auto"/>
            <w:bottom w:val="none" w:sz="0" w:space="0" w:color="auto"/>
            <w:right w:val="none" w:sz="0" w:space="0" w:color="auto"/>
          </w:divBdr>
        </w:div>
        <w:div w:id="2116247406">
          <w:marLeft w:val="0"/>
          <w:marRight w:val="0"/>
          <w:marTop w:val="0"/>
          <w:marBottom w:val="0"/>
          <w:divBdr>
            <w:top w:val="none" w:sz="0" w:space="0" w:color="auto"/>
            <w:left w:val="none" w:sz="0" w:space="0" w:color="auto"/>
            <w:bottom w:val="none" w:sz="0" w:space="0" w:color="auto"/>
            <w:right w:val="none" w:sz="0" w:space="0" w:color="auto"/>
          </w:divBdr>
        </w:div>
        <w:div w:id="2141335815">
          <w:marLeft w:val="0"/>
          <w:marRight w:val="0"/>
          <w:marTop w:val="0"/>
          <w:marBottom w:val="0"/>
          <w:divBdr>
            <w:top w:val="none" w:sz="0" w:space="0" w:color="auto"/>
            <w:left w:val="none" w:sz="0" w:space="0" w:color="auto"/>
            <w:bottom w:val="none" w:sz="0" w:space="0" w:color="auto"/>
            <w:right w:val="none" w:sz="0" w:space="0" w:color="auto"/>
          </w:divBdr>
        </w:div>
      </w:divsChild>
    </w:div>
    <w:div w:id="116073484">
      <w:bodyDiv w:val="1"/>
      <w:marLeft w:val="0"/>
      <w:marRight w:val="0"/>
      <w:marTop w:val="0"/>
      <w:marBottom w:val="0"/>
      <w:divBdr>
        <w:top w:val="none" w:sz="0" w:space="0" w:color="auto"/>
        <w:left w:val="none" w:sz="0" w:space="0" w:color="auto"/>
        <w:bottom w:val="none" w:sz="0" w:space="0" w:color="auto"/>
        <w:right w:val="none" w:sz="0" w:space="0" w:color="auto"/>
      </w:divBdr>
    </w:div>
    <w:div w:id="215943566">
      <w:bodyDiv w:val="1"/>
      <w:marLeft w:val="0"/>
      <w:marRight w:val="0"/>
      <w:marTop w:val="0"/>
      <w:marBottom w:val="0"/>
      <w:divBdr>
        <w:top w:val="none" w:sz="0" w:space="0" w:color="auto"/>
        <w:left w:val="none" w:sz="0" w:space="0" w:color="auto"/>
        <w:bottom w:val="none" w:sz="0" w:space="0" w:color="auto"/>
        <w:right w:val="none" w:sz="0" w:space="0" w:color="auto"/>
      </w:divBdr>
    </w:div>
    <w:div w:id="673072661">
      <w:bodyDiv w:val="1"/>
      <w:marLeft w:val="0"/>
      <w:marRight w:val="0"/>
      <w:marTop w:val="0"/>
      <w:marBottom w:val="0"/>
      <w:divBdr>
        <w:top w:val="none" w:sz="0" w:space="0" w:color="auto"/>
        <w:left w:val="none" w:sz="0" w:space="0" w:color="auto"/>
        <w:bottom w:val="none" w:sz="0" w:space="0" w:color="auto"/>
        <w:right w:val="none" w:sz="0" w:space="0" w:color="auto"/>
      </w:divBdr>
    </w:div>
    <w:div w:id="800616723">
      <w:bodyDiv w:val="1"/>
      <w:marLeft w:val="0"/>
      <w:marRight w:val="0"/>
      <w:marTop w:val="0"/>
      <w:marBottom w:val="0"/>
      <w:divBdr>
        <w:top w:val="none" w:sz="0" w:space="0" w:color="auto"/>
        <w:left w:val="none" w:sz="0" w:space="0" w:color="auto"/>
        <w:bottom w:val="none" w:sz="0" w:space="0" w:color="auto"/>
        <w:right w:val="none" w:sz="0" w:space="0" w:color="auto"/>
      </w:divBdr>
    </w:div>
    <w:div w:id="1330016022">
      <w:bodyDiv w:val="1"/>
      <w:marLeft w:val="0"/>
      <w:marRight w:val="0"/>
      <w:marTop w:val="0"/>
      <w:marBottom w:val="0"/>
      <w:divBdr>
        <w:top w:val="none" w:sz="0" w:space="0" w:color="auto"/>
        <w:left w:val="none" w:sz="0" w:space="0" w:color="auto"/>
        <w:bottom w:val="none" w:sz="0" w:space="0" w:color="auto"/>
        <w:right w:val="none" w:sz="0" w:space="0" w:color="auto"/>
      </w:divBdr>
      <w:divsChild>
        <w:div w:id="2046716437">
          <w:marLeft w:val="0"/>
          <w:marRight w:val="0"/>
          <w:marTop w:val="0"/>
          <w:marBottom w:val="0"/>
          <w:divBdr>
            <w:top w:val="none" w:sz="0" w:space="0" w:color="auto"/>
            <w:left w:val="none" w:sz="0" w:space="0" w:color="auto"/>
            <w:bottom w:val="none" w:sz="0" w:space="0" w:color="auto"/>
            <w:right w:val="none" w:sz="0" w:space="0" w:color="auto"/>
          </w:divBdr>
          <w:divsChild>
            <w:div w:id="9641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7616">
      <w:bodyDiv w:val="1"/>
      <w:marLeft w:val="0"/>
      <w:marRight w:val="0"/>
      <w:marTop w:val="0"/>
      <w:marBottom w:val="0"/>
      <w:divBdr>
        <w:top w:val="none" w:sz="0" w:space="0" w:color="auto"/>
        <w:left w:val="none" w:sz="0" w:space="0" w:color="auto"/>
        <w:bottom w:val="none" w:sz="0" w:space="0" w:color="auto"/>
        <w:right w:val="none" w:sz="0" w:space="0" w:color="auto"/>
      </w:divBdr>
      <w:divsChild>
        <w:div w:id="628054382">
          <w:marLeft w:val="0"/>
          <w:marRight w:val="0"/>
          <w:marTop w:val="0"/>
          <w:marBottom w:val="0"/>
          <w:divBdr>
            <w:top w:val="none" w:sz="0" w:space="0" w:color="auto"/>
            <w:left w:val="none" w:sz="0" w:space="0" w:color="auto"/>
            <w:bottom w:val="none" w:sz="0" w:space="0" w:color="auto"/>
            <w:right w:val="none" w:sz="0" w:space="0" w:color="auto"/>
          </w:divBdr>
          <w:divsChild>
            <w:div w:id="9063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1567">
      <w:bodyDiv w:val="1"/>
      <w:marLeft w:val="0"/>
      <w:marRight w:val="0"/>
      <w:marTop w:val="0"/>
      <w:marBottom w:val="0"/>
      <w:divBdr>
        <w:top w:val="none" w:sz="0" w:space="0" w:color="auto"/>
        <w:left w:val="none" w:sz="0" w:space="0" w:color="auto"/>
        <w:bottom w:val="none" w:sz="0" w:space="0" w:color="auto"/>
        <w:right w:val="none" w:sz="0" w:space="0" w:color="auto"/>
      </w:divBdr>
      <w:divsChild>
        <w:div w:id="643000647">
          <w:marLeft w:val="0"/>
          <w:marRight w:val="0"/>
          <w:marTop w:val="0"/>
          <w:marBottom w:val="0"/>
          <w:divBdr>
            <w:top w:val="none" w:sz="0" w:space="0" w:color="auto"/>
            <w:left w:val="none" w:sz="0" w:space="0" w:color="auto"/>
            <w:bottom w:val="none" w:sz="0" w:space="0" w:color="auto"/>
            <w:right w:val="none" w:sz="0" w:space="0" w:color="auto"/>
          </w:divBdr>
        </w:div>
      </w:divsChild>
    </w:div>
    <w:div w:id="1904949001">
      <w:bodyDiv w:val="1"/>
      <w:marLeft w:val="0"/>
      <w:marRight w:val="0"/>
      <w:marTop w:val="0"/>
      <w:marBottom w:val="0"/>
      <w:divBdr>
        <w:top w:val="none" w:sz="0" w:space="0" w:color="auto"/>
        <w:left w:val="none" w:sz="0" w:space="0" w:color="auto"/>
        <w:bottom w:val="none" w:sz="0" w:space="0" w:color="auto"/>
        <w:right w:val="none" w:sz="0" w:space="0" w:color="auto"/>
      </w:divBdr>
      <w:divsChild>
        <w:div w:id="1410424621">
          <w:marLeft w:val="0"/>
          <w:marRight w:val="0"/>
          <w:marTop w:val="0"/>
          <w:marBottom w:val="0"/>
          <w:divBdr>
            <w:top w:val="none" w:sz="0" w:space="0" w:color="auto"/>
            <w:left w:val="none" w:sz="0" w:space="0" w:color="auto"/>
            <w:bottom w:val="none" w:sz="0" w:space="0" w:color="auto"/>
            <w:right w:val="none" w:sz="0" w:space="0" w:color="auto"/>
          </w:divBdr>
          <w:divsChild>
            <w:div w:id="698165212">
              <w:marLeft w:val="0"/>
              <w:marRight w:val="0"/>
              <w:marTop w:val="0"/>
              <w:marBottom w:val="0"/>
              <w:divBdr>
                <w:top w:val="none" w:sz="0" w:space="0" w:color="auto"/>
                <w:left w:val="none" w:sz="0" w:space="0" w:color="auto"/>
                <w:bottom w:val="none" w:sz="0" w:space="0" w:color="auto"/>
                <w:right w:val="none" w:sz="0" w:space="0" w:color="auto"/>
              </w:divBdr>
            </w:div>
            <w:div w:id="758212904">
              <w:marLeft w:val="0"/>
              <w:marRight w:val="0"/>
              <w:marTop w:val="0"/>
              <w:marBottom w:val="0"/>
              <w:divBdr>
                <w:top w:val="none" w:sz="0" w:space="0" w:color="auto"/>
                <w:left w:val="none" w:sz="0" w:space="0" w:color="auto"/>
                <w:bottom w:val="none" w:sz="0" w:space="0" w:color="auto"/>
                <w:right w:val="none" w:sz="0" w:space="0" w:color="auto"/>
              </w:divBdr>
            </w:div>
            <w:div w:id="843516897">
              <w:marLeft w:val="0"/>
              <w:marRight w:val="0"/>
              <w:marTop w:val="0"/>
              <w:marBottom w:val="0"/>
              <w:divBdr>
                <w:top w:val="none" w:sz="0" w:space="0" w:color="auto"/>
                <w:left w:val="none" w:sz="0" w:space="0" w:color="auto"/>
                <w:bottom w:val="none" w:sz="0" w:space="0" w:color="auto"/>
                <w:right w:val="none" w:sz="0" w:space="0" w:color="auto"/>
              </w:divBdr>
            </w:div>
            <w:div w:id="1037655002">
              <w:marLeft w:val="0"/>
              <w:marRight w:val="0"/>
              <w:marTop w:val="0"/>
              <w:marBottom w:val="0"/>
              <w:divBdr>
                <w:top w:val="none" w:sz="0" w:space="0" w:color="auto"/>
                <w:left w:val="none" w:sz="0" w:space="0" w:color="auto"/>
                <w:bottom w:val="none" w:sz="0" w:space="0" w:color="auto"/>
                <w:right w:val="none" w:sz="0" w:space="0" w:color="auto"/>
              </w:divBdr>
            </w:div>
            <w:div w:id="1157577193">
              <w:marLeft w:val="0"/>
              <w:marRight w:val="0"/>
              <w:marTop w:val="0"/>
              <w:marBottom w:val="0"/>
              <w:divBdr>
                <w:top w:val="none" w:sz="0" w:space="0" w:color="auto"/>
                <w:left w:val="none" w:sz="0" w:space="0" w:color="auto"/>
                <w:bottom w:val="none" w:sz="0" w:space="0" w:color="auto"/>
                <w:right w:val="none" w:sz="0" w:space="0" w:color="auto"/>
              </w:divBdr>
            </w:div>
            <w:div w:id="1302881688">
              <w:marLeft w:val="0"/>
              <w:marRight w:val="0"/>
              <w:marTop w:val="0"/>
              <w:marBottom w:val="0"/>
              <w:divBdr>
                <w:top w:val="none" w:sz="0" w:space="0" w:color="auto"/>
                <w:left w:val="none" w:sz="0" w:space="0" w:color="auto"/>
                <w:bottom w:val="none" w:sz="0" w:space="0" w:color="auto"/>
                <w:right w:val="none" w:sz="0" w:space="0" w:color="auto"/>
              </w:divBdr>
            </w:div>
            <w:div w:id="1470514240">
              <w:marLeft w:val="0"/>
              <w:marRight w:val="0"/>
              <w:marTop w:val="0"/>
              <w:marBottom w:val="0"/>
              <w:divBdr>
                <w:top w:val="none" w:sz="0" w:space="0" w:color="auto"/>
                <w:left w:val="none" w:sz="0" w:space="0" w:color="auto"/>
                <w:bottom w:val="none" w:sz="0" w:space="0" w:color="auto"/>
                <w:right w:val="none" w:sz="0" w:space="0" w:color="auto"/>
              </w:divBdr>
            </w:div>
            <w:div w:id="19163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ppData\Local\Microsoft\Windows\Temporary%20Internet%20Files\Content.Outlook\2X7CP1LE\TE%20ARDHURAT%20E%20LEJUARA%20p&#235;r%20NQ%20TERMOKOS_SEZONI%202012-13_v1_Shqip.doc" TargetMode="External"/><Relationship Id="rId13" Type="http://schemas.openxmlformats.org/officeDocument/2006/relationships/hyperlink" Target="file:///C:\Users\AppData\Local\Microsoft\Windows\Temporary%20Internet%20Files\Content.Outlook\2X7CP1LE\TE%20ARDHURAT%20E%20LEJUARA%20p&#235;r%20NQ%20TERMOKOS_SEZONI%202012-13_v1_Shqip.do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dataworldbank.org/country/kosov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dataworldbank.org/country/kosovo" TargetMode="External"/><Relationship Id="rId23" Type="http://schemas.openxmlformats.org/officeDocument/2006/relationships/theme" Target="theme/theme1.xml"/><Relationship Id="rId10" Type="http://schemas.openxmlformats.org/officeDocument/2006/relationships/hyperlink" Target="file:///C:\Users\AppData\Local\Microsoft\Windows\Temporary%20Internet%20Files\Content.Outlook\2X7CP1LE\TE%20ARDHURAT%20E%20LEJUARA%20p&#235;r%20NQ%20TERMOKOS_SEZONI%202012-13_v1_Shqip.do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file:///C:\Users\AppData\Local\Microsoft\Windows\Temporary%20Internet%20Files\Content.Outlook\2X7CP1LE\TE%20ARDHURAT%20E%20LEJUARA%20p&#235;r%20NQ%20TERMOKOS_SEZONI%202012-13_v1_Shqip.do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raqini\Desktop\Leter%20Sqaruese_Vendimi%20per%20lirimin%20nga%20pagesa%20e%20takses%20vjetore%20te%20licencimit.dot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araqini\Documents\Shqyrtimi%20Tarifor%20NQ\Shqyrt.%20Tarifor%20NQ_sez.%202020-21\NQ%20Termokos\Rap.&amp;Mod.%20etj._20-21\Tabelat%20per%20raportin%20e%20shqyrtimit%20tarifor%20NQ%20Termokos_2020_2021_v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Kostot operative - sez. 2020/21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823851370114573"/>
          <c:y val="0.1480065782916376"/>
          <c:w val="0.60287746454901414"/>
          <c:h val="0.71494335359978889"/>
        </c:manualLayout>
      </c:layout>
      <c:bar3DChart>
        <c:barDir val="col"/>
        <c:grouping val="stacked"/>
        <c:varyColors val="0"/>
        <c:ser>
          <c:idx val="0"/>
          <c:order val="0"/>
          <c:tx>
            <c:strRef>
              <c:f>Tabela1OC!$C$36</c:f>
              <c:strCache>
                <c:ptCount val="1"/>
                <c:pt idx="0">
                  <c:v>Kostot operacionale </c:v>
                </c:pt>
              </c:strCache>
            </c:strRef>
          </c:tx>
          <c:invertIfNegative val="0"/>
          <c:dPt>
            <c:idx val="0"/>
            <c:invertIfNegative val="0"/>
            <c:bubble3D val="0"/>
            <c:spPr>
              <a:solidFill>
                <a:schemeClr val="accent2">
                  <a:lumMod val="40000"/>
                  <a:lumOff val="60000"/>
                </a:schemeClr>
              </a:solidFill>
            </c:spPr>
            <c:extLst>
              <c:ext xmlns:c16="http://schemas.microsoft.com/office/drawing/2014/chart" uri="{C3380CC4-5D6E-409C-BE32-E72D297353CC}">
                <c16:uniqueId val="{00000001-870A-41EB-8E14-BA7EE78BBB4A}"/>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Tabela1OC!$D$36:$E$36</c:f>
              <c:strCache>
                <c:ptCount val="2"/>
                <c:pt idx="0">
                  <c:v>Të propozuara NQ Termokos</c:v>
                </c:pt>
                <c:pt idx="1">
                  <c:v>Të lejuara nga ZRRE</c:v>
                </c:pt>
              </c:strCache>
            </c:strRef>
          </c:cat>
          <c:val>
            <c:numRef>
              <c:f>Tabela1OC!$D$37:$E$37</c:f>
              <c:numCache>
                <c:formatCode>#,##0</c:formatCode>
                <c:ptCount val="2"/>
                <c:pt idx="0">
                  <c:v>5826853</c:v>
                </c:pt>
                <c:pt idx="1">
                  <c:v>4666516</c:v>
                </c:pt>
              </c:numCache>
            </c:numRef>
          </c:val>
          <c:extLst>
            <c:ext xmlns:c16="http://schemas.microsoft.com/office/drawing/2014/chart" uri="{C3380CC4-5D6E-409C-BE32-E72D297353CC}">
              <c16:uniqueId val="{00000002-870A-41EB-8E14-BA7EE78BBB4A}"/>
            </c:ext>
          </c:extLst>
        </c:ser>
        <c:dLbls>
          <c:showLegendKey val="0"/>
          <c:showVal val="0"/>
          <c:showCatName val="0"/>
          <c:showSerName val="0"/>
          <c:showPercent val="0"/>
          <c:showBubbleSize val="0"/>
        </c:dLbls>
        <c:gapWidth val="150"/>
        <c:shape val="box"/>
        <c:axId val="38861824"/>
        <c:axId val="38875904"/>
        <c:axId val="0"/>
      </c:bar3DChart>
      <c:catAx>
        <c:axId val="38861824"/>
        <c:scaling>
          <c:orientation val="minMax"/>
        </c:scaling>
        <c:delete val="0"/>
        <c:axPos val="b"/>
        <c:numFmt formatCode="General" sourceLinked="0"/>
        <c:majorTickMark val="cross"/>
        <c:minorTickMark val="none"/>
        <c:tickLblPos val="nextTo"/>
        <c:crossAx val="38875904"/>
        <c:crosses val="autoZero"/>
        <c:auto val="1"/>
        <c:lblAlgn val="ctr"/>
        <c:lblOffset val="100"/>
        <c:noMultiLvlLbl val="0"/>
      </c:catAx>
      <c:valAx>
        <c:axId val="38875904"/>
        <c:scaling>
          <c:orientation val="minMax"/>
          <c:min val="0"/>
        </c:scaling>
        <c:delete val="0"/>
        <c:axPos val="l"/>
        <c:numFmt formatCode="#,##0" sourceLinked="1"/>
        <c:majorTickMark val="out"/>
        <c:minorTickMark val="none"/>
        <c:tickLblPos val="nextTo"/>
        <c:crossAx val="38861824"/>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0.07859</cdr:x>
      <cdr:y>0.18056</cdr:y>
    </cdr:from>
    <cdr:to>
      <cdr:x>0.15521</cdr:x>
      <cdr:y>0.22917</cdr:y>
    </cdr:to>
    <cdr:sp macro="" textlink="">
      <cdr:nvSpPr>
        <cdr:cNvPr id="2" name="TextBox 1"/>
        <cdr:cNvSpPr txBox="1"/>
      </cdr:nvSpPr>
      <cdr:spPr>
        <a:xfrm xmlns:a="http://schemas.openxmlformats.org/drawingml/2006/main">
          <a:off x="381000" y="495300"/>
          <a:ext cx="371475" cy="133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0.11395</cdr:x>
      <cdr:y>0.17361</cdr:y>
    </cdr:from>
    <cdr:to>
      <cdr:x>0.17878</cdr:x>
      <cdr:y>0.25347</cdr:y>
    </cdr:to>
    <cdr:sp macro="" textlink="">
      <cdr:nvSpPr>
        <cdr:cNvPr id="3" name="TextBox 2"/>
        <cdr:cNvSpPr txBox="1"/>
      </cdr:nvSpPr>
      <cdr:spPr>
        <a:xfrm xmlns:a="http://schemas.openxmlformats.org/drawingml/2006/main">
          <a:off x="552450" y="476250"/>
          <a:ext cx="314325" cy="2190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Calibri"/>
              <a:cs typeface="Calibri"/>
            </a:rPr>
            <a:t>€</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DA4D2-2878-4008-A038-E1557D5A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Leter Sqaruese_Vendimi per lirimin nga pagesa e takses vjetore te licencimit</Template>
  <TotalTime>1</TotalTime>
  <Pages>25</Pages>
  <Words>9854</Words>
  <Characters>56174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Vedim per Kodine e Energjise me ere</vt:lpstr>
    </vt:vector>
  </TitlesOfParts>
  <Company>cru</Company>
  <LinksUpToDate>false</LinksUpToDate>
  <CharactersWithSpaces>65897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Vedim per Kodine e Energjise me ere</dc:title>
  <dc:creator>asaraqini</dc:creator>
  <cp:lastModifiedBy>Astrit Saraqini</cp:lastModifiedBy>
  <cp:revision>2</cp:revision>
  <cp:lastPrinted>2019-10-15T13:24:00Z</cp:lastPrinted>
  <dcterms:created xsi:type="dcterms:W3CDTF">2020-09-21T09:01:00Z</dcterms:created>
  <dcterms:modified xsi:type="dcterms:W3CDTF">2020-09-21T09:01:00Z</dcterms:modified>
</cp:coreProperties>
</file>