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CFCB" w14:textId="77777777" w:rsidR="00446F24" w:rsidRPr="00156708" w:rsidRDefault="00446F24" w:rsidP="00446F24">
      <w:pPr>
        <w:rPr>
          <w:lang w:val="en-GB"/>
        </w:rPr>
      </w:pPr>
      <w:bookmarkStart w:id="0" w:name="_GoBack"/>
      <w:bookmarkEnd w:id="0"/>
    </w:p>
    <w:p w14:paraId="6D724329" w14:textId="77777777" w:rsidR="00446F24" w:rsidRPr="00156708" w:rsidRDefault="00446F24" w:rsidP="00446F24">
      <w:pPr>
        <w:rPr>
          <w:lang w:val="en-GB"/>
        </w:rPr>
      </w:pPr>
    </w:p>
    <w:p w14:paraId="5387605F" w14:textId="77777777" w:rsidR="00446F24" w:rsidRPr="00156708" w:rsidRDefault="00446F24" w:rsidP="00446F24">
      <w:pPr>
        <w:rPr>
          <w:lang w:val="en-GB"/>
        </w:rPr>
      </w:pPr>
    </w:p>
    <w:p w14:paraId="0B890CAF" w14:textId="77777777" w:rsidR="00446F24" w:rsidRPr="00156708" w:rsidRDefault="00446F24" w:rsidP="00446F24">
      <w:pPr>
        <w:pStyle w:val="Title"/>
        <w:shd w:val="clear" w:color="auto" w:fill="005D97"/>
        <w:spacing w:before="0" w:after="0"/>
        <w:jc w:val="center"/>
        <w:rPr>
          <w:color w:val="DF8D1D"/>
          <w:sz w:val="48"/>
          <w:szCs w:val="40"/>
          <w:lang w:val="en-GB"/>
        </w:rPr>
      </w:pPr>
    </w:p>
    <w:p w14:paraId="23B845D5" w14:textId="77777777" w:rsidR="00446F24" w:rsidRPr="00156708" w:rsidRDefault="00A76E5D" w:rsidP="00446F24">
      <w:pPr>
        <w:pStyle w:val="ReportTitle"/>
        <w:rPr>
          <w:color w:val="F79646"/>
          <w:lang w:val="en-GB"/>
        </w:rPr>
      </w:pPr>
      <w:r w:rsidRPr="00156708">
        <w:rPr>
          <w:color w:val="F79646"/>
          <w:lang w:val="en-GB"/>
        </w:rPr>
        <w:t>Consultation Paper</w:t>
      </w:r>
    </w:p>
    <w:p w14:paraId="6F5BAEF4" w14:textId="77777777" w:rsidR="00446F24" w:rsidRPr="00156708" w:rsidRDefault="00446F24" w:rsidP="00446F24">
      <w:pPr>
        <w:pStyle w:val="Title"/>
        <w:shd w:val="clear" w:color="auto" w:fill="005D97"/>
        <w:spacing w:before="0" w:after="0"/>
        <w:jc w:val="center"/>
        <w:rPr>
          <w:color w:val="F79646"/>
          <w:lang w:val="en-GB"/>
        </w:rPr>
      </w:pPr>
    </w:p>
    <w:p w14:paraId="2B53B7C9" w14:textId="77777777" w:rsidR="00446F24" w:rsidRPr="00156708" w:rsidRDefault="00A76E5D" w:rsidP="00446F24">
      <w:pPr>
        <w:pStyle w:val="Title"/>
        <w:shd w:val="clear" w:color="auto" w:fill="005D97"/>
        <w:spacing w:before="0" w:after="0"/>
        <w:jc w:val="center"/>
        <w:rPr>
          <w:color w:val="F79646"/>
          <w:sz w:val="28"/>
          <w:lang w:val="en-GB"/>
        </w:rPr>
      </w:pPr>
      <w:r w:rsidRPr="00156708">
        <w:rPr>
          <w:color w:val="F79646"/>
          <w:sz w:val="28"/>
          <w:lang w:val="en-GB"/>
        </w:rPr>
        <w:t>Annual Adjustments of Maximum Allowed Revenues for KEDS</w:t>
      </w:r>
    </w:p>
    <w:p w14:paraId="45BE5849" w14:textId="77777777" w:rsidR="00446F24" w:rsidRPr="00156708" w:rsidRDefault="00446F24" w:rsidP="00446F24">
      <w:pPr>
        <w:pStyle w:val="Title"/>
        <w:shd w:val="clear" w:color="auto" w:fill="005D97"/>
        <w:spacing w:before="0" w:after="0"/>
        <w:jc w:val="center"/>
        <w:rPr>
          <w:color w:val="F79646"/>
          <w:sz w:val="28"/>
          <w:lang w:val="en-GB"/>
        </w:rPr>
      </w:pPr>
    </w:p>
    <w:p w14:paraId="324DC030" w14:textId="77777777" w:rsidR="00446F24" w:rsidRPr="00156708" w:rsidRDefault="00A76E5D" w:rsidP="00446F24">
      <w:pPr>
        <w:pStyle w:val="Title"/>
        <w:shd w:val="clear" w:color="auto" w:fill="005D97"/>
        <w:spacing w:before="0" w:after="0"/>
        <w:jc w:val="center"/>
        <w:rPr>
          <w:color w:val="F79646"/>
          <w:sz w:val="28"/>
          <w:lang w:val="en-GB"/>
        </w:rPr>
      </w:pPr>
      <w:r w:rsidRPr="00156708">
        <w:rPr>
          <w:color w:val="F79646"/>
          <w:sz w:val="28"/>
          <w:lang w:val="en-GB"/>
        </w:rPr>
        <w:t>(</w:t>
      </w:r>
      <w:r w:rsidR="00E600AA" w:rsidRPr="00156708">
        <w:rPr>
          <w:color w:val="F79646"/>
          <w:sz w:val="28"/>
          <w:lang w:val="en-GB"/>
        </w:rPr>
        <w:t>Relevant Tariff Year 2021</w:t>
      </w:r>
      <w:r w:rsidR="00DC2766" w:rsidRPr="00156708">
        <w:rPr>
          <w:color w:val="F79646"/>
          <w:sz w:val="28"/>
          <w:lang w:val="en-GB"/>
        </w:rPr>
        <w:t>)</w:t>
      </w:r>
    </w:p>
    <w:p w14:paraId="6BD2B8D8" w14:textId="77777777" w:rsidR="00446F24" w:rsidRPr="00156708" w:rsidRDefault="00446F24" w:rsidP="00446F24">
      <w:pPr>
        <w:pStyle w:val="Title"/>
        <w:shd w:val="clear" w:color="auto" w:fill="005D97"/>
        <w:spacing w:before="0" w:after="0"/>
        <w:jc w:val="center"/>
        <w:rPr>
          <w:color w:val="F79646"/>
          <w:sz w:val="28"/>
          <w:lang w:val="en-GB"/>
        </w:rPr>
      </w:pPr>
    </w:p>
    <w:p w14:paraId="0E0A1448" w14:textId="77777777" w:rsidR="00446F24" w:rsidRPr="00156708" w:rsidRDefault="00446F24" w:rsidP="00446F24">
      <w:pPr>
        <w:pStyle w:val="Title"/>
        <w:shd w:val="clear" w:color="auto" w:fill="005D97"/>
        <w:spacing w:before="0" w:after="0"/>
        <w:jc w:val="center"/>
        <w:rPr>
          <w:color w:val="F79646"/>
          <w:sz w:val="28"/>
          <w:lang w:val="en-GB"/>
        </w:rPr>
      </w:pPr>
    </w:p>
    <w:p w14:paraId="33B8D185" w14:textId="77777777" w:rsidR="00446F24" w:rsidRPr="00156708" w:rsidRDefault="00446F24" w:rsidP="00446F24">
      <w:pPr>
        <w:rPr>
          <w:lang w:val="en-GB"/>
        </w:rPr>
      </w:pPr>
    </w:p>
    <w:p w14:paraId="544A9A1B" w14:textId="77777777" w:rsidR="00446F24" w:rsidRPr="00156708" w:rsidRDefault="00446F24" w:rsidP="00446F24">
      <w:pPr>
        <w:rPr>
          <w:lang w:val="en-GB"/>
        </w:rPr>
      </w:pPr>
    </w:p>
    <w:p w14:paraId="4D06DFE4" w14:textId="77777777" w:rsidR="00446F24" w:rsidRPr="00156708" w:rsidRDefault="00446F24" w:rsidP="00446F24">
      <w:pPr>
        <w:rPr>
          <w:lang w:val="en-GB"/>
        </w:rPr>
      </w:pPr>
    </w:p>
    <w:p w14:paraId="1BC7FEC1" w14:textId="77777777" w:rsidR="00446F24" w:rsidRPr="00156708" w:rsidRDefault="00446F24" w:rsidP="00446F24">
      <w:pPr>
        <w:rPr>
          <w:lang w:val="en-GB"/>
        </w:rPr>
      </w:pPr>
    </w:p>
    <w:p w14:paraId="6284EC2E" w14:textId="77777777" w:rsidR="00446F24" w:rsidRPr="00156708" w:rsidRDefault="00446F24" w:rsidP="00446F24">
      <w:pPr>
        <w:rPr>
          <w:lang w:val="en-GB"/>
        </w:rPr>
      </w:pPr>
    </w:p>
    <w:p w14:paraId="20659826" w14:textId="77777777" w:rsidR="00446F24" w:rsidRPr="00156708" w:rsidRDefault="00446F24" w:rsidP="00446F24">
      <w:pPr>
        <w:rPr>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9"/>
      </w:tblGrid>
      <w:tr w:rsidR="00446F24" w:rsidRPr="00156708" w14:paraId="74DD8872" w14:textId="77777777" w:rsidTr="004F438B">
        <w:tc>
          <w:tcPr>
            <w:tcW w:w="9198" w:type="dxa"/>
            <w:shd w:val="clear" w:color="auto" w:fill="E0E0E0"/>
          </w:tcPr>
          <w:p w14:paraId="748AB1CF" w14:textId="77777777" w:rsidR="00446F24" w:rsidRPr="00156708" w:rsidRDefault="00DC2766" w:rsidP="004F438B">
            <w:pPr>
              <w:spacing w:before="120"/>
              <w:jc w:val="center"/>
              <w:rPr>
                <w:b/>
                <w:color w:val="0070C0"/>
                <w:lang w:val="en-GB"/>
              </w:rPr>
            </w:pPr>
            <w:r w:rsidRPr="00156708">
              <w:rPr>
                <w:b/>
                <w:color w:val="0070C0"/>
                <w:lang w:val="en-GB"/>
              </w:rPr>
              <w:t>DISCLAIMER</w:t>
            </w:r>
          </w:p>
          <w:p w14:paraId="07D44166" w14:textId="77777777" w:rsidR="00446F24" w:rsidRPr="00156708" w:rsidRDefault="00DC2766" w:rsidP="004F438B">
            <w:pPr>
              <w:keepNext/>
              <w:rPr>
                <w:b/>
                <w:bCs/>
                <w:lang w:val="en-GB"/>
              </w:rPr>
            </w:pPr>
            <w:r w:rsidRPr="00156708">
              <w:rPr>
                <w:b/>
                <w:color w:val="0070C0"/>
                <w:lang w:val="en-GB"/>
              </w:rPr>
              <w:t xml:space="preserve">This Consultation Paper has been prepared by ERO for the purpose of informing stakeholders. </w:t>
            </w:r>
            <w:r w:rsidRPr="00156708">
              <w:rPr>
                <w:b/>
                <w:color w:val="0070C0"/>
                <w:u w:val="single"/>
                <w:lang w:val="en-GB"/>
              </w:rPr>
              <w:t>It does not represent a decision by the ERO and should not be interpreted as such.</w:t>
            </w:r>
          </w:p>
        </w:tc>
      </w:tr>
    </w:tbl>
    <w:p w14:paraId="71C86590" w14:textId="77777777" w:rsidR="00446F24" w:rsidRPr="00156708" w:rsidRDefault="00446F24" w:rsidP="00446F24">
      <w:pPr>
        <w:rPr>
          <w:lang w:val="en-GB"/>
        </w:rPr>
      </w:pPr>
    </w:p>
    <w:p w14:paraId="2FED31BC" w14:textId="77777777" w:rsidR="00446F24" w:rsidRPr="00156708" w:rsidRDefault="00446F24" w:rsidP="00446F24">
      <w:pPr>
        <w:rPr>
          <w:lang w:val="en-GB"/>
        </w:rPr>
      </w:pPr>
    </w:p>
    <w:p w14:paraId="3999CCD8" w14:textId="77777777" w:rsidR="00446F24" w:rsidRPr="00156708" w:rsidRDefault="00446F24" w:rsidP="00446F24">
      <w:pPr>
        <w:rPr>
          <w:lang w:val="en-GB"/>
        </w:rPr>
      </w:pPr>
    </w:p>
    <w:p w14:paraId="5C544240" w14:textId="77777777" w:rsidR="00446F24" w:rsidRPr="00156708" w:rsidRDefault="00446F24" w:rsidP="00446F24">
      <w:pPr>
        <w:tabs>
          <w:tab w:val="left" w:pos="2175"/>
        </w:tabs>
        <w:jc w:val="center"/>
        <w:rPr>
          <w:b/>
          <w:bCs/>
          <w:color w:val="005D97"/>
          <w:sz w:val="24"/>
          <w:szCs w:val="24"/>
          <w:lang w:val="en-GB"/>
        </w:rPr>
      </w:pPr>
    </w:p>
    <w:p w14:paraId="277E6B8A" w14:textId="77777777" w:rsidR="00446F24" w:rsidRPr="00156708" w:rsidRDefault="00E600AA" w:rsidP="00446F24">
      <w:pPr>
        <w:tabs>
          <w:tab w:val="left" w:pos="2175"/>
        </w:tabs>
        <w:jc w:val="center"/>
        <w:rPr>
          <w:sz w:val="24"/>
          <w:szCs w:val="24"/>
          <w:lang w:val="en-GB"/>
        </w:rPr>
        <w:sectPr w:rsidR="00446F24" w:rsidRPr="00156708" w:rsidSect="004F438B">
          <w:headerReference w:type="default" r:id="rId8"/>
          <w:footerReference w:type="default" r:id="rId9"/>
          <w:headerReference w:type="first" r:id="rId10"/>
          <w:footerReference w:type="first" r:id="rId11"/>
          <w:pgSz w:w="11909" w:h="16834" w:code="9"/>
          <w:pgMar w:top="1440" w:right="1440" w:bottom="1440" w:left="1440" w:header="720" w:footer="403" w:gutter="0"/>
          <w:pgNumType w:fmt="lowerRoman" w:start="1"/>
          <w:cols w:space="720"/>
          <w:titlePg/>
          <w:docGrid w:linePitch="360"/>
        </w:sectPr>
      </w:pPr>
      <w:r w:rsidRPr="00156708">
        <w:rPr>
          <w:b/>
          <w:bCs/>
          <w:color w:val="005D97"/>
          <w:sz w:val="24"/>
          <w:szCs w:val="24"/>
          <w:lang w:val="en-GB"/>
        </w:rPr>
        <w:t>August 2021</w:t>
      </w:r>
    </w:p>
    <w:p w14:paraId="37F06241" w14:textId="77777777" w:rsidR="00446F24" w:rsidRPr="00156708" w:rsidRDefault="00DC2766" w:rsidP="00446F24">
      <w:pPr>
        <w:pStyle w:val="TOCHeading"/>
        <w:rPr>
          <w:lang w:val="en-GB"/>
        </w:rPr>
      </w:pPr>
      <w:bookmarkStart w:id="1" w:name="_Toc411331414"/>
      <w:r w:rsidRPr="00156708">
        <w:rPr>
          <w:lang w:val="en-GB"/>
        </w:rPr>
        <w:lastRenderedPageBreak/>
        <w:t>Table of Contents</w:t>
      </w:r>
    </w:p>
    <w:p w14:paraId="36B705F6" w14:textId="3F3DA6AB" w:rsidR="009A1116" w:rsidRDefault="00DC2766">
      <w:pPr>
        <w:pStyle w:val="TOC1"/>
        <w:tabs>
          <w:tab w:val="left" w:pos="440"/>
          <w:tab w:val="right" w:leader="dot" w:pos="9017"/>
        </w:tabs>
        <w:rPr>
          <w:rFonts w:asciiTheme="minorHAnsi" w:eastAsiaTheme="minorEastAsia" w:hAnsiTheme="minorHAnsi" w:cstheme="minorBidi"/>
          <w:b w:val="0"/>
          <w:noProof/>
          <w:szCs w:val="22"/>
          <w:lang w:val="en-US"/>
        </w:rPr>
      </w:pPr>
      <w:r w:rsidRPr="00156708">
        <w:fldChar w:fldCharType="begin"/>
      </w:r>
      <w:r w:rsidRPr="00156708">
        <w:instrText xml:space="preserve"> TOC \o "1-3" \h \z \u </w:instrText>
      </w:r>
      <w:r w:rsidRPr="00156708">
        <w:fldChar w:fldCharType="separate"/>
      </w:r>
      <w:hyperlink w:anchor="_Toc81818988" w:history="1">
        <w:r w:rsidR="009A1116" w:rsidRPr="00F15584">
          <w:rPr>
            <w:rStyle w:val="Hyperlink"/>
            <w:noProof/>
          </w:rPr>
          <w:t>1</w:t>
        </w:r>
        <w:r w:rsidR="009A1116">
          <w:rPr>
            <w:rFonts w:asciiTheme="minorHAnsi" w:eastAsiaTheme="minorEastAsia" w:hAnsiTheme="minorHAnsi" w:cstheme="minorBidi"/>
            <w:b w:val="0"/>
            <w:noProof/>
            <w:szCs w:val="22"/>
            <w:lang w:val="en-US"/>
          </w:rPr>
          <w:tab/>
        </w:r>
        <w:r w:rsidR="009A1116" w:rsidRPr="00F15584">
          <w:rPr>
            <w:rStyle w:val="Hyperlink"/>
            <w:noProof/>
          </w:rPr>
          <w:t>Introduction</w:t>
        </w:r>
        <w:r w:rsidR="009A1116">
          <w:rPr>
            <w:noProof/>
            <w:webHidden/>
          </w:rPr>
          <w:tab/>
        </w:r>
        <w:r w:rsidR="009A1116">
          <w:rPr>
            <w:noProof/>
            <w:webHidden/>
          </w:rPr>
          <w:fldChar w:fldCharType="begin"/>
        </w:r>
        <w:r w:rsidR="009A1116">
          <w:rPr>
            <w:noProof/>
            <w:webHidden/>
          </w:rPr>
          <w:instrText xml:space="preserve"> PAGEREF _Toc81818988 \h </w:instrText>
        </w:r>
        <w:r w:rsidR="009A1116">
          <w:rPr>
            <w:noProof/>
            <w:webHidden/>
          </w:rPr>
        </w:r>
        <w:r w:rsidR="009A1116">
          <w:rPr>
            <w:noProof/>
            <w:webHidden/>
          </w:rPr>
          <w:fldChar w:fldCharType="separate"/>
        </w:r>
        <w:r w:rsidR="009A1116">
          <w:rPr>
            <w:noProof/>
            <w:webHidden/>
          </w:rPr>
          <w:t>3</w:t>
        </w:r>
        <w:r w:rsidR="009A1116">
          <w:rPr>
            <w:noProof/>
            <w:webHidden/>
          </w:rPr>
          <w:fldChar w:fldCharType="end"/>
        </w:r>
      </w:hyperlink>
    </w:p>
    <w:p w14:paraId="266C9253" w14:textId="07717B7D" w:rsidR="009A1116" w:rsidRDefault="00392B8A">
      <w:pPr>
        <w:pStyle w:val="TOC1"/>
        <w:tabs>
          <w:tab w:val="left" w:pos="440"/>
          <w:tab w:val="right" w:leader="dot" w:pos="9017"/>
        </w:tabs>
        <w:rPr>
          <w:rFonts w:asciiTheme="minorHAnsi" w:eastAsiaTheme="minorEastAsia" w:hAnsiTheme="minorHAnsi" w:cstheme="minorBidi"/>
          <w:b w:val="0"/>
          <w:noProof/>
          <w:szCs w:val="22"/>
          <w:lang w:val="en-US"/>
        </w:rPr>
      </w:pPr>
      <w:hyperlink w:anchor="_Toc81818989" w:history="1">
        <w:r w:rsidR="009A1116" w:rsidRPr="00F15584">
          <w:rPr>
            <w:rStyle w:val="Hyperlink"/>
            <w:noProof/>
          </w:rPr>
          <w:t>2</w:t>
        </w:r>
        <w:r w:rsidR="009A1116">
          <w:rPr>
            <w:rFonts w:asciiTheme="minorHAnsi" w:eastAsiaTheme="minorEastAsia" w:hAnsiTheme="minorHAnsi" w:cstheme="minorBidi"/>
            <w:b w:val="0"/>
            <w:noProof/>
            <w:szCs w:val="22"/>
            <w:lang w:val="en-US"/>
          </w:rPr>
          <w:tab/>
        </w:r>
        <w:r w:rsidR="009A1116" w:rsidRPr="00F15584">
          <w:rPr>
            <w:rStyle w:val="Hyperlink"/>
            <w:noProof/>
          </w:rPr>
          <w:t>Adjustment of Maximum Allowed Revenues</w:t>
        </w:r>
        <w:r w:rsidR="009A1116">
          <w:rPr>
            <w:noProof/>
            <w:webHidden/>
          </w:rPr>
          <w:tab/>
        </w:r>
        <w:r w:rsidR="009A1116">
          <w:rPr>
            <w:noProof/>
            <w:webHidden/>
          </w:rPr>
          <w:fldChar w:fldCharType="begin"/>
        </w:r>
        <w:r w:rsidR="009A1116">
          <w:rPr>
            <w:noProof/>
            <w:webHidden/>
          </w:rPr>
          <w:instrText xml:space="preserve"> PAGEREF _Toc81818989 \h </w:instrText>
        </w:r>
        <w:r w:rsidR="009A1116">
          <w:rPr>
            <w:noProof/>
            <w:webHidden/>
          </w:rPr>
        </w:r>
        <w:r w:rsidR="009A1116">
          <w:rPr>
            <w:noProof/>
            <w:webHidden/>
          </w:rPr>
          <w:fldChar w:fldCharType="separate"/>
        </w:r>
        <w:r w:rsidR="009A1116">
          <w:rPr>
            <w:noProof/>
            <w:webHidden/>
          </w:rPr>
          <w:t>4</w:t>
        </w:r>
        <w:r w:rsidR="009A1116">
          <w:rPr>
            <w:noProof/>
            <w:webHidden/>
          </w:rPr>
          <w:fldChar w:fldCharType="end"/>
        </w:r>
      </w:hyperlink>
    </w:p>
    <w:p w14:paraId="2E363978" w14:textId="368791F4" w:rsidR="009A1116" w:rsidRDefault="00392B8A">
      <w:pPr>
        <w:pStyle w:val="TOC1"/>
        <w:tabs>
          <w:tab w:val="left" w:pos="440"/>
          <w:tab w:val="right" w:leader="dot" w:pos="9017"/>
        </w:tabs>
        <w:rPr>
          <w:rFonts w:asciiTheme="minorHAnsi" w:eastAsiaTheme="minorEastAsia" w:hAnsiTheme="minorHAnsi" w:cstheme="minorBidi"/>
          <w:b w:val="0"/>
          <w:noProof/>
          <w:szCs w:val="22"/>
          <w:lang w:val="en-US"/>
        </w:rPr>
      </w:pPr>
      <w:hyperlink w:anchor="_Toc81818990" w:history="1">
        <w:r w:rsidR="009A1116" w:rsidRPr="00F15584">
          <w:rPr>
            <w:rStyle w:val="Hyperlink"/>
            <w:noProof/>
          </w:rPr>
          <w:t>3</w:t>
        </w:r>
        <w:r w:rsidR="009A1116">
          <w:rPr>
            <w:rFonts w:asciiTheme="minorHAnsi" w:eastAsiaTheme="minorEastAsia" w:hAnsiTheme="minorHAnsi" w:cstheme="minorBidi"/>
            <w:b w:val="0"/>
            <w:noProof/>
            <w:szCs w:val="22"/>
            <w:lang w:val="en-US"/>
          </w:rPr>
          <w:tab/>
        </w:r>
        <w:r w:rsidR="009A1116" w:rsidRPr="00F15584">
          <w:rPr>
            <w:rStyle w:val="Hyperlink"/>
            <w:noProof/>
          </w:rPr>
          <w:t>Electricity Balance</w:t>
        </w:r>
        <w:r w:rsidR="009A1116">
          <w:rPr>
            <w:noProof/>
            <w:webHidden/>
          </w:rPr>
          <w:tab/>
        </w:r>
        <w:r w:rsidR="009A1116">
          <w:rPr>
            <w:noProof/>
            <w:webHidden/>
          </w:rPr>
          <w:fldChar w:fldCharType="begin"/>
        </w:r>
        <w:r w:rsidR="009A1116">
          <w:rPr>
            <w:noProof/>
            <w:webHidden/>
          </w:rPr>
          <w:instrText xml:space="preserve"> PAGEREF _Toc81818990 \h </w:instrText>
        </w:r>
        <w:r w:rsidR="009A1116">
          <w:rPr>
            <w:noProof/>
            <w:webHidden/>
          </w:rPr>
        </w:r>
        <w:r w:rsidR="009A1116">
          <w:rPr>
            <w:noProof/>
            <w:webHidden/>
          </w:rPr>
          <w:fldChar w:fldCharType="separate"/>
        </w:r>
        <w:r w:rsidR="009A1116">
          <w:rPr>
            <w:noProof/>
            <w:webHidden/>
          </w:rPr>
          <w:t>4</w:t>
        </w:r>
        <w:r w:rsidR="009A1116">
          <w:rPr>
            <w:noProof/>
            <w:webHidden/>
          </w:rPr>
          <w:fldChar w:fldCharType="end"/>
        </w:r>
      </w:hyperlink>
    </w:p>
    <w:p w14:paraId="714776B9" w14:textId="49ED9DA1"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1" w:history="1">
        <w:r w:rsidR="009A1116" w:rsidRPr="00F15584">
          <w:rPr>
            <w:rStyle w:val="Hyperlink"/>
            <w:noProof/>
          </w:rPr>
          <w:t>3.1</w:t>
        </w:r>
        <w:r w:rsidR="009A1116">
          <w:rPr>
            <w:rFonts w:asciiTheme="minorHAnsi" w:eastAsiaTheme="minorEastAsia" w:hAnsiTheme="minorHAnsi" w:cstheme="minorBidi"/>
            <w:noProof/>
            <w:szCs w:val="22"/>
            <w:lang w:val="en-US"/>
          </w:rPr>
          <w:tab/>
        </w:r>
        <w:r w:rsidR="009A1116" w:rsidRPr="00F15584">
          <w:rPr>
            <w:rStyle w:val="Hyperlink"/>
            <w:noProof/>
          </w:rPr>
          <w:t>Evaluation of Actual and Forecast Electricity Balance</w:t>
        </w:r>
        <w:r w:rsidR="009A1116">
          <w:rPr>
            <w:noProof/>
            <w:webHidden/>
          </w:rPr>
          <w:tab/>
        </w:r>
        <w:r w:rsidR="009A1116">
          <w:rPr>
            <w:noProof/>
            <w:webHidden/>
          </w:rPr>
          <w:fldChar w:fldCharType="begin"/>
        </w:r>
        <w:r w:rsidR="009A1116">
          <w:rPr>
            <w:noProof/>
            <w:webHidden/>
          </w:rPr>
          <w:instrText xml:space="preserve"> PAGEREF _Toc81818991 \h </w:instrText>
        </w:r>
        <w:r w:rsidR="009A1116">
          <w:rPr>
            <w:noProof/>
            <w:webHidden/>
          </w:rPr>
        </w:r>
        <w:r w:rsidR="009A1116">
          <w:rPr>
            <w:noProof/>
            <w:webHidden/>
          </w:rPr>
          <w:fldChar w:fldCharType="separate"/>
        </w:r>
        <w:r w:rsidR="009A1116">
          <w:rPr>
            <w:noProof/>
            <w:webHidden/>
          </w:rPr>
          <w:t>4</w:t>
        </w:r>
        <w:r w:rsidR="009A1116">
          <w:rPr>
            <w:noProof/>
            <w:webHidden/>
          </w:rPr>
          <w:fldChar w:fldCharType="end"/>
        </w:r>
      </w:hyperlink>
    </w:p>
    <w:p w14:paraId="5DA29802" w14:textId="0A7F74CE" w:rsidR="009A1116" w:rsidRDefault="00392B8A">
      <w:pPr>
        <w:pStyle w:val="TOC1"/>
        <w:tabs>
          <w:tab w:val="left" w:pos="440"/>
          <w:tab w:val="right" w:leader="dot" w:pos="9017"/>
        </w:tabs>
        <w:rPr>
          <w:rFonts w:asciiTheme="minorHAnsi" w:eastAsiaTheme="minorEastAsia" w:hAnsiTheme="minorHAnsi" w:cstheme="minorBidi"/>
          <w:b w:val="0"/>
          <w:noProof/>
          <w:szCs w:val="22"/>
          <w:lang w:val="en-US"/>
        </w:rPr>
      </w:pPr>
      <w:hyperlink w:anchor="_Toc81818992" w:history="1">
        <w:r w:rsidR="009A1116" w:rsidRPr="00F15584">
          <w:rPr>
            <w:rStyle w:val="Hyperlink"/>
            <w:noProof/>
          </w:rPr>
          <w:t>4</w:t>
        </w:r>
        <w:r w:rsidR="009A1116">
          <w:rPr>
            <w:rFonts w:asciiTheme="minorHAnsi" w:eastAsiaTheme="minorEastAsia" w:hAnsiTheme="minorHAnsi" w:cstheme="minorBidi"/>
            <w:b w:val="0"/>
            <w:noProof/>
            <w:szCs w:val="22"/>
            <w:lang w:val="en-US"/>
          </w:rPr>
          <w:tab/>
        </w:r>
        <w:r w:rsidR="009A1116" w:rsidRPr="00F15584">
          <w:rPr>
            <w:rStyle w:val="Hyperlink"/>
            <w:noProof/>
          </w:rPr>
          <w:t>Regular Adjustments</w:t>
        </w:r>
        <w:r w:rsidR="009A1116">
          <w:rPr>
            <w:noProof/>
            <w:webHidden/>
          </w:rPr>
          <w:tab/>
        </w:r>
        <w:r w:rsidR="009A1116">
          <w:rPr>
            <w:noProof/>
            <w:webHidden/>
          </w:rPr>
          <w:fldChar w:fldCharType="begin"/>
        </w:r>
        <w:r w:rsidR="009A1116">
          <w:rPr>
            <w:noProof/>
            <w:webHidden/>
          </w:rPr>
          <w:instrText xml:space="preserve"> PAGEREF _Toc81818992 \h </w:instrText>
        </w:r>
        <w:r w:rsidR="009A1116">
          <w:rPr>
            <w:noProof/>
            <w:webHidden/>
          </w:rPr>
        </w:r>
        <w:r w:rsidR="009A1116">
          <w:rPr>
            <w:noProof/>
            <w:webHidden/>
          </w:rPr>
          <w:fldChar w:fldCharType="separate"/>
        </w:r>
        <w:r w:rsidR="009A1116">
          <w:rPr>
            <w:noProof/>
            <w:webHidden/>
          </w:rPr>
          <w:t>6</w:t>
        </w:r>
        <w:r w:rsidR="009A1116">
          <w:rPr>
            <w:noProof/>
            <w:webHidden/>
          </w:rPr>
          <w:fldChar w:fldCharType="end"/>
        </w:r>
      </w:hyperlink>
    </w:p>
    <w:p w14:paraId="41AE67DB" w14:textId="1F77A2DE"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3" w:history="1">
        <w:r w:rsidR="009A1116" w:rsidRPr="00F15584">
          <w:rPr>
            <w:rStyle w:val="Hyperlink"/>
            <w:noProof/>
          </w:rPr>
          <w:t>4.1</w:t>
        </w:r>
        <w:r w:rsidR="009A1116">
          <w:rPr>
            <w:rFonts w:asciiTheme="minorHAnsi" w:eastAsiaTheme="minorEastAsia" w:hAnsiTheme="minorHAnsi" w:cstheme="minorBidi"/>
            <w:noProof/>
            <w:szCs w:val="22"/>
            <w:lang w:val="en-US"/>
          </w:rPr>
          <w:tab/>
        </w:r>
        <w:r w:rsidR="009A1116" w:rsidRPr="00F15584">
          <w:rPr>
            <w:rStyle w:val="Hyperlink"/>
            <w:noProof/>
          </w:rPr>
          <w:t>Adjustments for Inflation Rate</w:t>
        </w:r>
        <w:r w:rsidR="009A1116">
          <w:rPr>
            <w:noProof/>
            <w:webHidden/>
          </w:rPr>
          <w:tab/>
        </w:r>
        <w:r w:rsidR="009A1116">
          <w:rPr>
            <w:noProof/>
            <w:webHidden/>
          </w:rPr>
          <w:fldChar w:fldCharType="begin"/>
        </w:r>
        <w:r w:rsidR="009A1116">
          <w:rPr>
            <w:noProof/>
            <w:webHidden/>
          </w:rPr>
          <w:instrText xml:space="preserve"> PAGEREF _Toc81818993 \h </w:instrText>
        </w:r>
        <w:r w:rsidR="009A1116">
          <w:rPr>
            <w:noProof/>
            <w:webHidden/>
          </w:rPr>
        </w:r>
        <w:r w:rsidR="009A1116">
          <w:rPr>
            <w:noProof/>
            <w:webHidden/>
          </w:rPr>
          <w:fldChar w:fldCharType="separate"/>
        </w:r>
        <w:r w:rsidR="009A1116">
          <w:rPr>
            <w:noProof/>
            <w:webHidden/>
          </w:rPr>
          <w:t>6</w:t>
        </w:r>
        <w:r w:rsidR="009A1116">
          <w:rPr>
            <w:noProof/>
            <w:webHidden/>
          </w:rPr>
          <w:fldChar w:fldCharType="end"/>
        </w:r>
      </w:hyperlink>
    </w:p>
    <w:p w14:paraId="5AD3224F" w14:textId="53E70CD3"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4" w:history="1">
        <w:r w:rsidR="009A1116" w:rsidRPr="00F15584">
          <w:rPr>
            <w:rStyle w:val="Hyperlink"/>
            <w:noProof/>
          </w:rPr>
          <w:t>4.2</w:t>
        </w:r>
        <w:r w:rsidR="009A1116">
          <w:rPr>
            <w:rFonts w:asciiTheme="minorHAnsi" w:eastAsiaTheme="minorEastAsia" w:hAnsiTheme="minorHAnsi" w:cstheme="minorBidi"/>
            <w:noProof/>
            <w:szCs w:val="22"/>
            <w:lang w:val="en-US"/>
          </w:rPr>
          <w:tab/>
        </w:r>
        <w:r w:rsidR="009A1116" w:rsidRPr="00F15584">
          <w:rPr>
            <w:rStyle w:val="Hyperlink"/>
            <w:noProof/>
          </w:rPr>
          <w:t>Additional costs related to COVID-19</w:t>
        </w:r>
        <w:r w:rsidR="009A1116">
          <w:rPr>
            <w:noProof/>
            <w:webHidden/>
          </w:rPr>
          <w:tab/>
        </w:r>
        <w:r w:rsidR="009A1116">
          <w:rPr>
            <w:noProof/>
            <w:webHidden/>
          </w:rPr>
          <w:fldChar w:fldCharType="begin"/>
        </w:r>
        <w:r w:rsidR="009A1116">
          <w:rPr>
            <w:noProof/>
            <w:webHidden/>
          </w:rPr>
          <w:instrText xml:space="preserve"> PAGEREF _Toc81818994 \h </w:instrText>
        </w:r>
        <w:r w:rsidR="009A1116">
          <w:rPr>
            <w:noProof/>
            <w:webHidden/>
          </w:rPr>
        </w:r>
        <w:r w:rsidR="009A1116">
          <w:rPr>
            <w:noProof/>
            <w:webHidden/>
          </w:rPr>
          <w:fldChar w:fldCharType="separate"/>
        </w:r>
        <w:r w:rsidR="009A1116">
          <w:rPr>
            <w:noProof/>
            <w:webHidden/>
          </w:rPr>
          <w:t>7</w:t>
        </w:r>
        <w:r w:rsidR="009A1116">
          <w:rPr>
            <w:noProof/>
            <w:webHidden/>
          </w:rPr>
          <w:fldChar w:fldCharType="end"/>
        </w:r>
      </w:hyperlink>
    </w:p>
    <w:p w14:paraId="70D82429" w14:textId="78AC2B12"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5" w:history="1">
        <w:r w:rsidR="009A1116" w:rsidRPr="00F15584">
          <w:rPr>
            <w:rStyle w:val="Hyperlink"/>
            <w:noProof/>
          </w:rPr>
          <w:t>4.3</w:t>
        </w:r>
        <w:r w:rsidR="009A1116">
          <w:rPr>
            <w:rFonts w:asciiTheme="minorHAnsi" w:eastAsiaTheme="minorEastAsia" w:hAnsiTheme="minorHAnsi" w:cstheme="minorBidi"/>
            <w:noProof/>
            <w:szCs w:val="22"/>
            <w:lang w:val="en-US"/>
          </w:rPr>
          <w:tab/>
        </w:r>
        <w:r w:rsidR="009A1116" w:rsidRPr="00F15584">
          <w:rPr>
            <w:rStyle w:val="Hyperlink"/>
            <w:noProof/>
          </w:rPr>
          <w:t>Adjustment of Pass-Through Costs</w:t>
        </w:r>
        <w:r w:rsidR="009A1116">
          <w:rPr>
            <w:noProof/>
            <w:webHidden/>
          </w:rPr>
          <w:tab/>
        </w:r>
        <w:r w:rsidR="009A1116">
          <w:rPr>
            <w:noProof/>
            <w:webHidden/>
          </w:rPr>
          <w:fldChar w:fldCharType="begin"/>
        </w:r>
        <w:r w:rsidR="009A1116">
          <w:rPr>
            <w:noProof/>
            <w:webHidden/>
          </w:rPr>
          <w:instrText xml:space="preserve"> PAGEREF _Toc81818995 \h </w:instrText>
        </w:r>
        <w:r w:rsidR="009A1116">
          <w:rPr>
            <w:noProof/>
            <w:webHidden/>
          </w:rPr>
        </w:r>
        <w:r w:rsidR="009A1116">
          <w:rPr>
            <w:noProof/>
            <w:webHidden/>
          </w:rPr>
          <w:fldChar w:fldCharType="separate"/>
        </w:r>
        <w:r w:rsidR="009A1116">
          <w:rPr>
            <w:noProof/>
            <w:webHidden/>
          </w:rPr>
          <w:t>8</w:t>
        </w:r>
        <w:r w:rsidR="009A1116">
          <w:rPr>
            <w:noProof/>
            <w:webHidden/>
          </w:rPr>
          <w:fldChar w:fldCharType="end"/>
        </w:r>
      </w:hyperlink>
    </w:p>
    <w:p w14:paraId="2EF03594" w14:textId="04ACD8F1"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6" w:history="1">
        <w:r w:rsidR="009A1116" w:rsidRPr="00F15584">
          <w:rPr>
            <w:rStyle w:val="Hyperlink"/>
            <w:noProof/>
          </w:rPr>
          <w:t>4.4</w:t>
        </w:r>
        <w:r w:rsidR="009A1116">
          <w:rPr>
            <w:rFonts w:asciiTheme="minorHAnsi" w:eastAsiaTheme="minorEastAsia" w:hAnsiTheme="minorHAnsi" w:cstheme="minorBidi"/>
            <w:noProof/>
            <w:szCs w:val="22"/>
            <w:lang w:val="en-US"/>
          </w:rPr>
          <w:tab/>
        </w:r>
        <w:r w:rsidR="009A1116" w:rsidRPr="00F15584">
          <w:rPr>
            <w:rStyle w:val="Hyperlink"/>
            <w:noProof/>
          </w:rPr>
          <w:t>Adjustments of the Costs of Losses</w:t>
        </w:r>
        <w:r w:rsidR="009A1116">
          <w:rPr>
            <w:noProof/>
            <w:webHidden/>
          </w:rPr>
          <w:tab/>
        </w:r>
        <w:r w:rsidR="009A1116">
          <w:rPr>
            <w:noProof/>
            <w:webHidden/>
          </w:rPr>
          <w:fldChar w:fldCharType="begin"/>
        </w:r>
        <w:r w:rsidR="009A1116">
          <w:rPr>
            <w:noProof/>
            <w:webHidden/>
          </w:rPr>
          <w:instrText xml:space="preserve"> PAGEREF _Toc81818996 \h </w:instrText>
        </w:r>
        <w:r w:rsidR="009A1116">
          <w:rPr>
            <w:noProof/>
            <w:webHidden/>
          </w:rPr>
        </w:r>
        <w:r w:rsidR="009A1116">
          <w:rPr>
            <w:noProof/>
            <w:webHidden/>
          </w:rPr>
          <w:fldChar w:fldCharType="separate"/>
        </w:r>
        <w:r w:rsidR="009A1116">
          <w:rPr>
            <w:noProof/>
            <w:webHidden/>
          </w:rPr>
          <w:t>8</w:t>
        </w:r>
        <w:r w:rsidR="009A1116">
          <w:rPr>
            <w:noProof/>
            <w:webHidden/>
          </w:rPr>
          <w:fldChar w:fldCharType="end"/>
        </w:r>
      </w:hyperlink>
    </w:p>
    <w:p w14:paraId="50442BD5" w14:textId="51173542"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7" w:history="1">
        <w:r w:rsidR="009A1116" w:rsidRPr="00F15584">
          <w:rPr>
            <w:rStyle w:val="Hyperlink"/>
            <w:noProof/>
          </w:rPr>
          <w:t>4.5</w:t>
        </w:r>
        <w:r w:rsidR="009A1116">
          <w:rPr>
            <w:rFonts w:asciiTheme="minorHAnsi" w:eastAsiaTheme="minorEastAsia" w:hAnsiTheme="minorHAnsi" w:cstheme="minorBidi"/>
            <w:noProof/>
            <w:szCs w:val="22"/>
            <w:lang w:val="en-US"/>
          </w:rPr>
          <w:tab/>
        </w:r>
        <w:r w:rsidR="009A1116" w:rsidRPr="00F15584">
          <w:rPr>
            <w:rStyle w:val="Hyperlink"/>
            <w:noProof/>
          </w:rPr>
          <w:t>Adjustments of Non-Tariff Revenues</w:t>
        </w:r>
        <w:r w:rsidR="009A1116">
          <w:rPr>
            <w:noProof/>
            <w:webHidden/>
          </w:rPr>
          <w:tab/>
        </w:r>
        <w:r w:rsidR="009A1116">
          <w:rPr>
            <w:noProof/>
            <w:webHidden/>
          </w:rPr>
          <w:fldChar w:fldCharType="begin"/>
        </w:r>
        <w:r w:rsidR="009A1116">
          <w:rPr>
            <w:noProof/>
            <w:webHidden/>
          </w:rPr>
          <w:instrText xml:space="preserve"> PAGEREF _Toc81818997 \h </w:instrText>
        </w:r>
        <w:r w:rsidR="009A1116">
          <w:rPr>
            <w:noProof/>
            <w:webHidden/>
          </w:rPr>
        </w:r>
        <w:r w:rsidR="009A1116">
          <w:rPr>
            <w:noProof/>
            <w:webHidden/>
          </w:rPr>
          <w:fldChar w:fldCharType="separate"/>
        </w:r>
        <w:r w:rsidR="009A1116">
          <w:rPr>
            <w:noProof/>
            <w:webHidden/>
          </w:rPr>
          <w:t>9</w:t>
        </w:r>
        <w:r w:rsidR="009A1116">
          <w:rPr>
            <w:noProof/>
            <w:webHidden/>
          </w:rPr>
          <w:fldChar w:fldCharType="end"/>
        </w:r>
      </w:hyperlink>
    </w:p>
    <w:p w14:paraId="625265A4" w14:textId="2219E264" w:rsidR="009A1116" w:rsidRDefault="00392B8A">
      <w:pPr>
        <w:pStyle w:val="TOC2"/>
        <w:tabs>
          <w:tab w:val="left" w:pos="880"/>
          <w:tab w:val="right" w:leader="dot" w:pos="9017"/>
        </w:tabs>
        <w:rPr>
          <w:rFonts w:asciiTheme="minorHAnsi" w:eastAsiaTheme="minorEastAsia" w:hAnsiTheme="minorHAnsi" w:cstheme="minorBidi"/>
          <w:noProof/>
          <w:szCs w:val="22"/>
          <w:lang w:val="en-US"/>
        </w:rPr>
      </w:pPr>
      <w:hyperlink w:anchor="_Toc81818998" w:history="1">
        <w:r w:rsidR="009A1116" w:rsidRPr="00F15584">
          <w:rPr>
            <w:rStyle w:val="Hyperlink"/>
            <w:noProof/>
          </w:rPr>
          <w:t>4.6</w:t>
        </w:r>
        <w:r w:rsidR="009A1116">
          <w:rPr>
            <w:rFonts w:asciiTheme="minorHAnsi" w:eastAsiaTheme="minorEastAsia" w:hAnsiTheme="minorHAnsi" w:cstheme="minorBidi"/>
            <w:noProof/>
            <w:szCs w:val="22"/>
            <w:lang w:val="en-US"/>
          </w:rPr>
          <w:tab/>
        </w:r>
        <w:r w:rsidR="009A1116" w:rsidRPr="00F15584">
          <w:rPr>
            <w:rStyle w:val="Hyperlink"/>
            <w:noProof/>
          </w:rPr>
          <w:t>Adjustments of Revenues Correction Factor</w:t>
        </w:r>
        <w:r w:rsidR="009A1116">
          <w:rPr>
            <w:noProof/>
            <w:webHidden/>
          </w:rPr>
          <w:tab/>
        </w:r>
        <w:r w:rsidR="009A1116">
          <w:rPr>
            <w:noProof/>
            <w:webHidden/>
          </w:rPr>
          <w:fldChar w:fldCharType="begin"/>
        </w:r>
        <w:r w:rsidR="009A1116">
          <w:rPr>
            <w:noProof/>
            <w:webHidden/>
          </w:rPr>
          <w:instrText xml:space="preserve"> PAGEREF _Toc81818998 \h </w:instrText>
        </w:r>
        <w:r w:rsidR="009A1116">
          <w:rPr>
            <w:noProof/>
            <w:webHidden/>
          </w:rPr>
        </w:r>
        <w:r w:rsidR="009A1116">
          <w:rPr>
            <w:noProof/>
            <w:webHidden/>
          </w:rPr>
          <w:fldChar w:fldCharType="separate"/>
        </w:r>
        <w:r w:rsidR="009A1116">
          <w:rPr>
            <w:noProof/>
            <w:webHidden/>
          </w:rPr>
          <w:t>9</w:t>
        </w:r>
        <w:r w:rsidR="009A1116">
          <w:rPr>
            <w:noProof/>
            <w:webHidden/>
          </w:rPr>
          <w:fldChar w:fldCharType="end"/>
        </w:r>
      </w:hyperlink>
    </w:p>
    <w:p w14:paraId="0E122790" w14:textId="35D8D1F7" w:rsidR="009A1116" w:rsidRDefault="00392B8A">
      <w:pPr>
        <w:pStyle w:val="TOC1"/>
        <w:tabs>
          <w:tab w:val="left" w:pos="440"/>
          <w:tab w:val="right" w:leader="dot" w:pos="9017"/>
        </w:tabs>
        <w:rPr>
          <w:rFonts w:asciiTheme="minorHAnsi" w:eastAsiaTheme="minorEastAsia" w:hAnsiTheme="minorHAnsi" w:cstheme="minorBidi"/>
          <w:b w:val="0"/>
          <w:noProof/>
          <w:szCs w:val="22"/>
          <w:lang w:val="en-US"/>
        </w:rPr>
      </w:pPr>
      <w:hyperlink w:anchor="_Toc81818999" w:history="1">
        <w:r w:rsidR="009A1116" w:rsidRPr="00F15584">
          <w:rPr>
            <w:rStyle w:val="Hyperlink"/>
            <w:noProof/>
          </w:rPr>
          <w:t>5</w:t>
        </w:r>
        <w:r w:rsidR="009A1116">
          <w:rPr>
            <w:rFonts w:asciiTheme="minorHAnsi" w:eastAsiaTheme="minorEastAsia" w:hAnsiTheme="minorHAnsi" w:cstheme="minorBidi"/>
            <w:b w:val="0"/>
            <w:noProof/>
            <w:szCs w:val="22"/>
            <w:lang w:val="en-US"/>
          </w:rPr>
          <w:tab/>
        </w:r>
        <w:r w:rsidR="009A1116" w:rsidRPr="00F15584">
          <w:rPr>
            <w:rStyle w:val="Hyperlink"/>
            <w:noProof/>
          </w:rPr>
          <w:t>Proposal for DSO Maximum Allowed Revenues</w:t>
        </w:r>
        <w:r w:rsidR="009A1116">
          <w:rPr>
            <w:noProof/>
            <w:webHidden/>
          </w:rPr>
          <w:tab/>
        </w:r>
        <w:r w:rsidR="009A1116">
          <w:rPr>
            <w:noProof/>
            <w:webHidden/>
          </w:rPr>
          <w:fldChar w:fldCharType="begin"/>
        </w:r>
        <w:r w:rsidR="009A1116">
          <w:rPr>
            <w:noProof/>
            <w:webHidden/>
          </w:rPr>
          <w:instrText xml:space="preserve"> PAGEREF _Toc81818999 \h </w:instrText>
        </w:r>
        <w:r w:rsidR="009A1116">
          <w:rPr>
            <w:noProof/>
            <w:webHidden/>
          </w:rPr>
        </w:r>
        <w:r w:rsidR="009A1116">
          <w:rPr>
            <w:noProof/>
            <w:webHidden/>
          </w:rPr>
          <w:fldChar w:fldCharType="separate"/>
        </w:r>
        <w:r w:rsidR="009A1116">
          <w:rPr>
            <w:noProof/>
            <w:webHidden/>
          </w:rPr>
          <w:t>10</w:t>
        </w:r>
        <w:r w:rsidR="009A1116">
          <w:rPr>
            <w:noProof/>
            <w:webHidden/>
          </w:rPr>
          <w:fldChar w:fldCharType="end"/>
        </w:r>
      </w:hyperlink>
    </w:p>
    <w:p w14:paraId="035B1111" w14:textId="3A2BA072" w:rsidR="00446F24" w:rsidRPr="00156708" w:rsidRDefault="00DC2766" w:rsidP="00446F24">
      <w:pPr>
        <w:rPr>
          <w:lang w:val="en-GB"/>
        </w:rPr>
      </w:pPr>
      <w:r w:rsidRPr="00156708">
        <w:rPr>
          <w:lang w:val="en-GB"/>
        </w:rPr>
        <w:fldChar w:fldCharType="end"/>
      </w:r>
    </w:p>
    <w:p w14:paraId="57AA5AD1" w14:textId="77777777" w:rsidR="00446F24" w:rsidRPr="00156708" w:rsidRDefault="00DC2766" w:rsidP="00446F24">
      <w:pPr>
        <w:spacing w:after="0" w:line="240" w:lineRule="auto"/>
        <w:rPr>
          <w:lang w:val="en-GB"/>
        </w:rPr>
      </w:pPr>
      <w:r w:rsidRPr="00156708">
        <w:rPr>
          <w:lang w:val="en-GB"/>
        </w:rPr>
        <w:br w:type="page"/>
      </w:r>
    </w:p>
    <w:p w14:paraId="3D6AF31F" w14:textId="77777777" w:rsidR="00446F24" w:rsidRPr="00156708" w:rsidRDefault="00DC2766" w:rsidP="00446F24">
      <w:pPr>
        <w:pStyle w:val="Heading1"/>
      </w:pPr>
      <w:bookmarkStart w:id="2" w:name="_Toc81818988"/>
      <w:r w:rsidRPr="00156708">
        <w:lastRenderedPageBreak/>
        <w:t>Introduction</w:t>
      </w:r>
      <w:bookmarkEnd w:id="2"/>
    </w:p>
    <w:p w14:paraId="4AFDB504" w14:textId="77777777" w:rsidR="00446F24" w:rsidRPr="00156708" w:rsidRDefault="00DC2766" w:rsidP="00446F24">
      <w:pPr>
        <w:jc w:val="both"/>
        <w:rPr>
          <w:rFonts w:cs="Calibri"/>
          <w:lang w:val="en-GB"/>
        </w:rPr>
      </w:pPr>
      <w:r w:rsidRPr="00156708">
        <w:rPr>
          <w:rFonts w:cs="Calibri"/>
          <w:lang w:val="en-GB"/>
        </w:rPr>
        <w:t xml:space="preserve">The Energy Regulatory Office (ERO) is currently carrying out the Regular Adjustment and the Annual Update Process for Maximum Allowed Revenues (MAR) that will be recovered by the Regulated Companies. Under this process, ERO will give </w:t>
      </w:r>
      <w:r w:rsidR="00E95176" w:rsidRPr="00156708">
        <w:rPr>
          <w:rFonts w:cs="Calibri"/>
          <w:lang w:val="en-GB"/>
        </w:rPr>
        <w:t xml:space="preserve">a preliminary proposal for the </w:t>
      </w:r>
      <w:r w:rsidRPr="00156708">
        <w:rPr>
          <w:rFonts w:cs="Calibri"/>
          <w:lang w:val="en-GB"/>
        </w:rPr>
        <w:t>updated MAR for Transmission System Operator and Market Operator (KOSTT, TSO/MO), Distribution System Operator (DSO, KEDS) and Universal Service Supplier (USS</w:t>
      </w:r>
      <w:r w:rsidR="00E95176" w:rsidRPr="00156708">
        <w:rPr>
          <w:rFonts w:cs="Calibri"/>
          <w:lang w:val="en-GB"/>
        </w:rPr>
        <w:t>). This</w:t>
      </w:r>
      <w:r w:rsidRPr="00156708">
        <w:rPr>
          <w:rFonts w:cs="Calibri"/>
          <w:lang w:val="en-GB"/>
        </w:rPr>
        <w:t xml:space="preserve"> preliminary evaluation is based on the proposals submitted by the regulated companies as well as the decisions for Maximum Allowed Revenues for the regulatory period 2018-2022</w:t>
      </w:r>
      <w:r w:rsidR="0062624C" w:rsidRPr="00156708">
        <w:rPr>
          <w:rFonts w:cs="Calibri"/>
          <w:lang w:val="en-GB"/>
        </w:rPr>
        <w:t xml:space="preserve"> for TSO/MO and DSO</w:t>
      </w:r>
      <w:r w:rsidRPr="00156708">
        <w:rPr>
          <w:rFonts w:cs="Calibri"/>
          <w:lang w:val="en-GB"/>
        </w:rPr>
        <w:t xml:space="preserve">. </w:t>
      </w:r>
    </w:p>
    <w:p w14:paraId="0216429C" w14:textId="77777777" w:rsidR="00446F24" w:rsidRPr="00156708" w:rsidRDefault="00DC2766" w:rsidP="00446F24">
      <w:pPr>
        <w:jc w:val="both"/>
        <w:rPr>
          <w:rFonts w:cs="Calibri"/>
          <w:lang w:val="en-GB"/>
        </w:rPr>
      </w:pPr>
      <w:r w:rsidRPr="00156708">
        <w:rPr>
          <w:rFonts w:cs="Calibri"/>
          <w:lang w:val="en-GB"/>
        </w:rPr>
        <w:t xml:space="preserve">The Price Regulation is a tool used by ERO in order to set the Maximum Allowed Revenues- MAR, which the Regulated Companies shall collect for provision of regulated services. MAR is set at the level that enables the regulated licensee to cover the justifiable operational and maintenance costs of their assets and realize a justifiable return of their investments. Also, ERO sets the efficiency targets and the targets for decrease of losses, improvement of performance which aim the increase of the operational efficiency of companies and provide incentives for fulfilling the targets, or penalties in case the companies fail to fulfill them. </w:t>
      </w:r>
    </w:p>
    <w:p w14:paraId="2B05FA38" w14:textId="77777777" w:rsidR="00446F24" w:rsidRPr="00156708" w:rsidRDefault="00DC2766" w:rsidP="00446F24">
      <w:pPr>
        <w:jc w:val="both"/>
        <w:rPr>
          <w:rFonts w:cs="Calibri"/>
          <w:lang w:val="en-GB"/>
        </w:rPr>
      </w:pPr>
      <w:r w:rsidRPr="00156708">
        <w:rPr>
          <w:rFonts w:cs="Calibri"/>
          <w:lang w:val="en-GB"/>
        </w:rPr>
        <w:t xml:space="preserve">The basic values for MAR components are set at the Periodic Review, carried out in 2018 and remain valid for a five-year period. The current review is related to the evaluation </w:t>
      </w:r>
      <w:r w:rsidR="00E95176" w:rsidRPr="00156708">
        <w:rPr>
          <w:rFonts w:cs="Calibri"/>
          <w:lang w:val="en-GB"/>
        </w:rPr>
        <w:t>of MAR</w:t>
      </w:r>
      <w:r w:rsidRPr="00156708">
        <w:rPr>
          <w:rFonts w:cs="Calibri"/>
          <w:lang w:val="en-GB"/>
        </w:rPr>
        <w:t xml:space="preserve"> proposals, submitted by the regulated </w:t>
      </w:r>
      <w:r w:rsidR="00E95176" w:rsidRPr="00156708">
        <w:rPr>
          <w:rFonts w:cs="Calibri"/>
          <w:lang w:val="en-GB"/>
        </w:rPr>
        <w:t>companies,</w:t>
      </w:r>
      <w:r w:rsidRPr="00156708">
        <w:rPr>
          <w:rFonts w:cs="Calibri"/>
          <w:lang w:val="en-GB"/>
        </w:rPr>
        <w:t xml:space="preserve"> taking into consideration the actual data of </w:t>
      </w:r>
      <w:r w:rsidR="0062624C" w:rsidRPr="00156708">
        <w:rPr>
          <w:rFonts w:cs="Calibri"/>
          <w:lang w:val="en-GB"/>
        </w:rPr>
        <w:t>2020</w:t>
      </w:r>
      <w:r w:rsidRPr="00156708">
        <w:rPr>
          <w:rFonts w:cs="Calibri"/>
          <w:lang w:val="en-GB"/>
        </w:rPr>
        <w:t xml:space="preserve">, in order to come up with the determination of revenues for the relevant tariff year </w:t>
      </w:r>
      <w:r w:rsidR="0062624C" w:rsidRPr="00156708">
        <w:rPr>
          <w:rFonts w:cs="Calibri"/>
          <w:lang w:val="en-GB"/>
        </w:rPr>
        <w:t>2021</w:t>
      </w:r>
      <w:r w:rsidRPr="00156708">
        <w:rPr>
          <w:rFonts w:cs="Calibri"/>
          <w:lang w:val="en-GB"/>
        </w:rPr>
        <w:t xml:space="preserve">.  This review evaluates whether the proposals of the licensees are calculated in line with legal requirements. </w:t>
      </w:r>
    </w:p>
    <w:p w14:paraId="1F5CFBE2" w14:textId="77777777" w:rsidR="0062624C" w:rsidRPr="00156708" w:rsidRDefault="0062624C" w:rsidP="00446F24">
      <w:pPr>
        <w:jc w:val="both"/>
        <w:rPr>
          <w:rFonts w:cs="Calibri"/>
          <w:lang w:val="en-GB"/>
        </w:rPr>
      </w:pPr>
      <w:r w:rsidRPr="00156708">
        <w:rPr>
          <w:rFonts w:cs="Calibri"/>
          <w:lang w:val="en-GB"/>
        </w:rPr>
        <w:t>The adjustment process for the relevant tariff year 2021 covers the period 1 April 2021 - 31 March 2022, but due to the lack of the quorum of the Board, such a process has been postponed. The delay in making decisions on the Maximum Allowed Revenues and tariffs for this relevant tariff year will be adjusted in the next relevant tariff year 2022.</w:t>
      </w:r>
    </w:p>
    <w:p w14:paraId="4D37C6CC" w14:textId="77777777" w:rsidR="00446F24" w:rsidRPr="00156708" w:rsidRDefault="00DC2766" w:rsidP="00446F24">
      <w:pPr>
        <w:jc w:val="both"/>
        <w:rPr>
          <w:rFonts w:cs="Calibri"/>
          <w:lang w:val="en-GB"/>
        </w:rPr>
      </w:pPr>
      <w:r w:rsidRPr="00156708">
        <w:rPr>
          <w:rFonts w:cs="Calibri"/>
          <w:lang w:val="en-GB"/>
        </w:rPr>
        <w:t xml:space="preserve">ERO invites the licensed companies, customers and other stakeholders to provide their contribution in this process by reviewing and commenting on the data and views presented in this Consultation Paper, in order to have an accurate evaluation of Maximum Allowed Revenues for Distribution System Operator. These papers shall be </w:t>
      </w:r>
      <w:r w:rsidR="00E95176" w:rsidRPr="00156708">
        <w:rPr>
          <w:rFonts w:cs="Calibri"/>
          <w:lang w:val="en-GB"/>
        </w:rPr>
        <w:t>analysed</w:t>
      </w:r>
      <w:r w:rsidRPr="00156708">
        <w:rPr>
          <w:rFonts w:cs="Calibri"/>
          <w:lang w:val="en-GB"/>
        </w:rPr>
        <w:t>, referring also</w:t>
      </w:r>
      <w:r w:rsidR="0062624C" w:rsidRPr="00156708">
        <w:rPr>
          <w:rFonts w:cs="Calibri"/>
          <w:lang w:val="en-GB"/>
        </w:rPr>
        <w:t xml:space="preserve"> to</w:t>
      </w:r>
      <w:r w:rsidRPr="00156708">
        <w:rPr>
          <w:rFonts w:cs="Calibri"/>
          <w:lang w:val="en-GB"/>
        </w:rPr>
        <w:t xml:space="preserve"> the Final Raports of Periodic Review 2018-2022.</w:t>
      </w:r>
    </w:p>
    <w:p w14:paraId="6FD254B3" w14:textId="716C2CE8" w:rsidR="00446F24" w:rsidRPr="00156708" w:rsidRDefault="00DC2766" w:rsidP="00446F24">
      <w:pPr>
        <w:jc w:val="both"/>
        <w:rPr>
          <w:rFonts w:cs="Calibri"/>
          <w:lang w:val="en-GB"/>
        </w:rPr>
      </w:pPr>
      <w:r w:rsidRPr="00156708">
        <w:rPr>
          <w:rFonts w:cs="Calibri"/>
          <w:lang w:val="en-GB"/>
        </w:rPr>
        <w:t xml:space="preserve">The parties who want to present their eventual comments on ERO’s proposals are invited to submit their written comments via electronic mail at </w:t>
      </w:r>
      <w:hyperlink r:id="rId12" w:history="1">
        <w:r w:rsidRPr="00156708">
          <w:rPr>
            <w:rStyle w:val="Hyperlink"/>
            <w:rFonts w:cs="Calibri"/>
            <w:lang w:val="en-GB"/>
          </w:rPr>
          <w:t>ero.pricing-tariffs@ero-ks.org</w:t>
        </w:r>
      </w:hyperlink>
      <w:r w:rsidR="00A76E5D" w:rsidRPr="00156708">
        <w:rPr>
          <w:rFonts w:cs="Calibri"/>
          <w:lang w:val="en-GB"/>
        </w:rPr>
        <w:t xml:space="preserve">, by </w:t>
      </w:r>
      <w:r w:rsidR="000C1A7F" w:rsidRPr="00156708">
        <w:rPr>
          <w:rFonts w:cs="Calibri"/>
          <w:lang w:val="en-GB"/>
        </w:rPr>
        <w:t xml:space="preserve">7 </w:t>
      </w:r>
      <w:r w:rsidR="0062624C" w:rsidRPr="00156708">
        <w:rPr>
          <w:rFonts w:cs="Calibri"/>
          <w:lang w:val="en-GB"/>
        </w:rPr>
        <w:t>September 2021</w:t>
      </w:r>
      <w:r w:rsidR="005C6F97" w:rsidRPr="00156708">
        <w:rPr>
          <w:rFonts w:cs="Calibri"/>
          <w:lang w:val="en-GB"/>
        </w:rPr>
        <w:t xml:space="preserve"> </w:t>
      </w:r>
      <w:r w:rsidRPr="00156708">
        <w:rPr>
          <w:rFonts w:cs="Calibri"/>
          <w:lang w:val="en-GB"/>
        </w:rPr>
        <w:t>at the latest. The comments can also be submitted via post at:</w:t>
      </w:r>
    </w:p>
    <w:p w14:paraId="73085A00" w14:textId="77777777" w:rsidR="00446F24" w:rsidRPr="00156708" w:rsidRDefault="00DC2766" w:rsidP="00446F24">
      <w:pPr>
        <w:spacing w:after="0" w:line="240" w:lineRule="auto"/>
        <w:rPr>
          <w:rFonts w:cs="Calibri"/>
          <w:i/>
          <w:lang w:val="en-GB"/>
        </w:rPr>
      </w:pPr>
      <w:r w:rsidRPr="00156708">
        <w:rPr>
          <w:rFonts w:cs="Calibri"/>
          <w:i/>
          <w:lang w:val="en-GB"/>
        </w:rPr>
        <w:t>Zyra e Rregullatorit për Energji</w:t>
      </w:r>
    </w:p>
    <w:p w14:paraId="22719F53" w14:textId="77777777" w:rsidR="00446F24" w:rsidRPr="00156708" w:rsidRDefault="00DC2766" w:rsidP="00446F24">
      <w:pPr>
        <w:spacing w:after="0" w:line="240" w:lineRule="auto"/>
        <w:rPr>
          <w:rFonts w:cs="Calibri"/>
          <w:i/>
          <w:lang w:val="en-GB"/>
        </w:rPr>
      </w:pPr>
      <w:r w:rsidRPr="00156708">
        <w:rPr>
          <w:rFonts w:cs="Calibri"/>
          <w:i/>
          <w:lang w:val="en-GB"/>
        </w:rPr>
        <w:t xml:space="preserve">Departamenti për Tarifa dhe </w:t>
      </w:r>
      <w:r w:rsidRPr="00156708">
        <w:rPr>
          <w:rFonts w:cs="Calibri"/>
          <w:i/>
          <w:caps/>
          <w:lang w:val="en-GB"/>
        </w:rPr>
        <w:t>ç</w:t>
      </w:r>
      <w:r w:rsidRPr="00156708">
        <w:rPr>
          <w:rFonts w:cs="Calibri"/>
          <w:i/>
          <w:lang w:val="en-GB"/>
        </w:rPr>
        <w:t>mime</w:t>
      </w:r>
    </w:p>
    <w:p w14:paraId="7BF9E739" w14:textId="77777777" w:rsidR="00446F24" w:rsidRPr="00156708" w:rsidRDefault="00DC2766" w:rsidP="00446F24">
      <w:pPr>
        <w:spacing w:after="0" w:line="240" w:lineRule="auto"/>
        <w:rPr>
          <w:rFonts w:cs="Calibri"/>
          <w:i/>
          <w:lang w:val="en-GB"/>
        </w:rPr>
      </w:pPr>
      <w:r w:rsidRPr="00156708">
        <w:rPr>
          <w:rFonts w:cs="Calibri"/>
          <w:i/>
          <w:lang w:val="en-GB"/>
        </w:rPr>
        <w:t>Rr. Dervish Rozhaja Nr. 12, Prishtinë, 10000, Kosovë</w:t>
      </w:r>
    </w:p>
    <w:p w14:paraId="3D287F20" w14:textId="77777777" w:rsidR="00446F24" w:rsidRPr="00156708" w:rsidRDefault="00446F24" w:rsidP="00446F24">
      <w:pPr>
        <w:spacing w:after="0" w:line="240" w:lineRule="auto"/>
        <w:rPr>
          <w:rFonts w:cs="Calibri"/>
          <w:lang w:val="en-GB"/>
        </w:rPr>
      </w:pPr>
    </w:p>
    <w:p w14:paraId="55A1CD8F" w14:textId="5A3B837C" w:rsidR="00446F24" w:rsidRPr="00156708" w:rsidRDefault="00DC2766" w:rsidP="000B0B18">
      <w:pPr>
        <w:tabs>
          <w:tab w:val="left" w:pos="6920"/>
        </w:tabs>
        <w:rPr>
          <w:rFonts w:cs="Calibri"/>
          <w:b/>
          <w:lang w:val="en-GB"/>
        </w:rPr>
      </w:pPr>
      <w:r w:rsidRPr="00156708">
        <w:rPr>
          <w:rFonts w:cs="Calibri"/>
          <w:b/>
          <w:lang w:val="en-GB"/>
        </w:rPr>
        <w:t>Relevant Documents</w:t>
      </w:r>
      <w:r w:rsidR="000B0B18">
        <w:rPr>
          <w:rFonts w:cs="Calibri"/>
          <w:b/>
          <w:lang w:val="en-GB"/>
        </w:rPr>
        <w:tab/>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1"/>
      </w:tblGrid>
      <w:tr w:rsidR="00446F24" w:rsidRPr="00156708" w14:paraId="154D6BB7" w14:textId="77777777" w:rsidTr="004F438B">
        <w:tc>
          <w:tcPr>
            <w:tcW w:w="4248" w:type="dxa"/>
            <w:shd w:val="clear" w:color="auto" w:fill="auto"/>
          </w:tcPr>
          <w:p w14:paraId="3B57C61C" w14:textId="77777777" w:rsidR="00446F24" w:rsidRPr="00156708" w:rsidRDefault="00DC2766" w:rsidP="004F438B">
            <w:pPr>
              <w:spacing w:after="0" w:line="240" w:lineRule="auto"/>
              <w:rPr>
                <w:rFonts w:cs="Calibri"/>
                <w:lang w:val="en-GB"/>
              </w:rPr>
            </w:pPr>
            <w:r w:rsidRPr="00156708">
              <w:rPr>
                <w:rFonts w:cs="Calibri"/>
                <w:lang w:val="en-GB"/>
              </w:rPr>
              <w:t>Final Evaluation of DSO MAR, within the Periodic Review Process- Detailed Evaluation</w:t>
            </w:r>
          </w:p>
        </w:tc>
        <w:tc>
          <w:tcPr>
            <w:tcW w:w="5041" w:type="dxa"/>
            <w:shd w:val="clear" w:color="auto" w:fill="auto"/>
          </w:tcPr>
          <w:p w14:paraId="3157EDE0" w14:textId="77777777" w:rsidR="00446F24" w:rsidRPr="00156708" w:rsidRDefault="00392B8A" w:rsidP="004F438B">
            <w:pPr>
              <w:spacing w:after="0" w:line="240" w:lineRule="auto"/>
              <w:rPr>
                <w:color w:val="0000FF"/>
                <w:lang w:val="en-GB"/>
              </w:rPr>
            </w:pPr>
            <w:hyperlink r:id="rId13" w:history="1">
              <w:r w:rsidR="000C1A7F" w:rsidRPr="00156708">
                <w:rPr>
                  <w:rStyle w:val="Hyperlink"/>
                  <w:lang w:val="en-GB"/>
                </w:rPr>
                <w:t>http://ero-ks.org/2018/Raportet/Pergjigje%20ndaj%20komenteve%20te%20KEDS_PRR2_final.pdf</w:t>
              </w:r>
            </w:hyperlink>
            <w:r w:rsidR="000C1A7F" w:rsidRPr="00156708">
              <w:rPr>
                <w:lang w:val="en-GB"/>
              </w:rPr>
              <w:t xml:space="preserve"> </w:t>
            </w:r>
          </w:p>
        </w:tc>
      </w:tr>
      <w:tr w:rsidR="00446F24" w:rsidRPr="00156708" w14:paraId="26D6565F" w14:textId="77777777" w:rsidTr="004F438B">
        <w:tc>
          <w:tcPr>
            <w:tcW w:w="4248" w:type="dxa"/>
            <w:shd w:val="clear" w:color="auto" w:fill="auto"/>
          </w:tcPr>
          <w:p w14:paraId="562A0DF1" w14:textId="77777777" w:rsidR="00446F24" w:rsidRPr="00156708" w:rsidRDefault="00A76E5D" w:rsidP="004F438B">
            <w:pPr>
              <w:spacing w:after="0" w:line="240" w:lineRule="auto"/>
              <w:rPr>
                <w:rFonts w:cs="Calibri"/>
                <w:lang w:val="en-GB"/>
              </w:rPr>
            </w:pPr>
            <w:r w:rsidRPr="00156708">
              <w:rPr>
                <w:rFonts w:cs="Calibri"/>
                <w:lang w:val="en-GB"/>
              </w:rPr>
              <w:lastRenderedPageBreak/>
              <w:t>KEDS Application for 2019</w:t>
            </w:r>
          </w:p>
        </w:tc>
        <w:tc>
          <w:tcPr>
            <w:tcW w:w="5041" w:type="dxa"/>
            <w:shd w:val="clear" w:color="auto" w:fill="auto"/>
          </w:tcPr>
          <w:p w14:paraId="2665B4D0" w14:textId="77777777" w:rsidR="00446F24" w:rsidRPr="00156708" w:rsidRDefault="00392B8A" w:rsidP="005C6F97">
            <w:pPr>
              <w:spacing w:after="0" w:line="240" w:lineRule="auto"/>
              <w:rPr>
                <w:color w:val="0000FF"/>
                <w:lang w:val="en-GB"/>
              </w:rPr>
            </w:pPr>
            <w:hyperlink r:id="rId14" w:history="1">
              <w:r w:rsidR="000C1A7F" w:rsidRPr="00156708">
                <w:rPr>
                  <w:rStyle w:val="Hyperlink"/>
                  <w:lang w:val="en-GB"/>
                </w:rPr>
                <w:t>https://www.ero-ks.org/zrre/sites/default/files/Konsultimet%20Publike/Aplikimi%20i%20OSSH-s%C3%AB%202021%20-%208%20Mars%202021.pdf</w:t>
              </w:r>
            </w:hyperlink>
            <w:r w:rsidR="000C1A7F" w:rsidRPr="00156708">
              <w:rPr>
                <w:lang w:val="en-GB"/>
              </w:rPr>
              <w:t xml:space="preserve"> </w:t>
            </w:r>
          </w:p>
        </w:tc>
      </w:tr>
      <w:bookmarkEnd w:id="1"/>
    </w:tbl>
    <w:p w14:paraId="07BC46F1" w14:textId="77777777" w:rsidR="00446F24" w:rsidRPr="00156708" w:rsidRDefault="00446F24" w:rsidP="00446F24">
      <w:pPr>
        <w:jc w:val="both"/>
        <w:rPr>
          <w:rFonts w:eastAsia="Times New Roman" w:cs="Arial"/>
          <w:b/>
          <w:bCs/>
          <w:color w:val="003366"/>
          <w:sz w:val="28"/>
          <w:szCs w:val="24"/>
          <w:lang w:val="en-GB"/>
        </w:rPr>
      </w:pPr>
    </w:p>
    <w:p w14:paraId="5CFA4984" w14:textId="77777777" w:rsidR="00446F24" w:rsidRPr="00156708" w:rsidRDefault="00A76E5D" w:rsidP="00446F24">
      <w:pPr>
        <w:pStyle w:val="Heading1"/>
      </w:pPr>
      <w:bookmarkStart w:id="3" w:name="_Toc81818989"/>
      <w:r w:rsidRPr="00156708">
        <w:t>Adjustment of Maximum Allowed Revenues</w:t>
      </w:r>
      <w:bookmarkEnd w:id="3"/>
    </w:p>
    <w:p w14:paraId="08E32F1D" w14:textId="77777777" w:rsidR="00446F24" w:rsidRPr="00156708" w:rsidRDefault="00DC2766" w:rsidP="00446F24">
      <w:pPr>
        <w:jc w:val="both"/>
        <w:rPr>
          <w:rFonts w:cs="Calibri"/>
          <w:lang w:val="en-GB"/>
        </w:rPr>
      </w:pPr>
      <w:r w:rsidRPr="00156708">
        <w:rPr>
          <w:rFonts w:cs="Calibri"/>
          <w:lang w:val="en-GB"/>
        </w:rPr>
        <w:t>Based on the Rule on DSO Maximum Allowed Revenues, ERO</w:t>
      </w:r>
      <w:r w:rsidR="0062624C" w:rsidRPr="00156708">
        <w:rPr>
          <w:rFonts w:cs="Calibri"/>
          <w:lang w:val="en-GB"/>
        </w:rPr>
        <w:t xml:space="preserve"> has carefully</w:t>
      </w:r>
      <w:r w:rsidRPr="00156708">
        <w:rPr>
          <w:rFonts w:cs="Calibri"/>
          <w:lang w:val="en-GB"/>
        </w:rPr>
        <w:t xml:space="preserve"> </w:t>
      </w:r>
      <w:r w:rsidR="00E868C1" w:rsidRPr="00156708">
        <w:rPr>
          <w:rFonts w:cs="Calibri"/>
          <w:lang w:val="en-GB"/>
        </w:rPr>
        <w:t>analysed</w:t>
      </w:r>
      <w:r w:rsidRPr="00156708">
        <w:rPr>
          <w:rFonts w:cs="Calibri"/>
          <w:lang w:val="en-GB"/>
        </w:rPr>
        <w:t xml:space="preserve"> all cost components and requirements of the licensee, submitted on its application for Maximum Allowed Revenues. During the Regular Adjustment Process, ERO uses the values determined during the Periodic Review Process 2018-2022 and adjusts the MAR to reflect the difference between the costs that have been forecast during the Periodic Review and actual justifiable</w:t>
      </w:r>
      <w:r w:rsidR="0062624C" w:rsidRPr="00156708">
        <w:rPr>
          <w:rFonts w:cs="Calibri"/>
          <w:lang w:val="en-GB"/>
        </w:rPr>
        <w:t xml:space="preserve"> costs</w:t>
      </w:r>
      <w:r w:rsidRPr="00156708">
        <w:rPr>
          <w:rFonts w:cs="Calibri"/>
          <w:lang w:val="en-GB"/>
        </w:rPr>
        <w:t xml:space="preserve"> of Regulated Companies.</w:t>
      </w:r>
      <w:r w:rsidR="008659BC" w:rsidRPr="00156708">
        <w:rPr>
          <w:rFonts w:cs="Calibri"/>
          <w:lang w:val="en-GB"/>
        </w:rPr>
        <w:t xml:space="preserve"> </w:t>
      </w:r>
      <w:r w:rsidRPr="00156708">
        <w:rPr>
          <w:rFonts w:cs="Calibri"/>
          <w:lang w:val="en-GB"/>
        </w:rPr>
        <w:t>During this process, ERO will:</w:t>
      </w:r>
    </w:p>
    <w:p w14:paraId="0E931D11" w14:textId="77777777" w:rsidR="00446F24" w:rsidRPr="00156708" w:rsidRDefault="00DC2766" w:rsidP="00446F24">
      <w:pPr>
        <w:pStyle w:val="ListParagraph"/>
        <w:numPr>
          <w:ilvl w:val="0"/>
          <w:numId w:val="4"/>
        </w:numPr>
        <w:contextualSpacing w:val="0"/>
      </w:pPr>
      <w:r w:rsidRPr="00156708">
        <w:t>Index the Operational and Maintenance Costs for the Efficiency Factor, which is set during the Periodic Review Process and for the Annual Inflation</w:t>
      </w:r>
      <w:r w:rsidR="00B738BD" w:rsidRPr="00156708">
        <w:t xml:space="preserve"> based on the </w:t>
      </w:r>
      <w:r w:rsidRPr="00156708">
        <w:t>Harmonized Index of Consumer Prices (HICP) for the countries of the Eurozone;</w:t>
      </w:r>
    </w:p>
    <w:p w14:paraId="3CCECB20" w14:textId="77777777" w:rsidR="00446F24" w:rsidRPr="00156708" w:rsidRDefault="00DC2766" w:rsidP="00510E9C">
      <w:pPr>
        <w:pStyle w:val="ListParagraph"/>
        <w:numPr>
          <w:ilvl w:val="0"/>
          <w:numId w:val="4"/>
        </w:numPr>
        <w:contextualSpacing w:val="0"/>
      </w:pPr>
      <w:r w:rsidRPr="00156708">
        <w:t>Set the Allowed Cost of Losses (LSSCt) for the DSO and update these to include the difference between allowed and actual cost of losses for the previous Regulatory Period, which may have arisen due to changes in wholesale power costs or changes in the flows of electricity in the distribution system;</w:t>
      </w:r>
    </w:p>
    <w:p w14:paraId="64535C12" w14:textId="77777777" w:rsidR="00446F24" w:rsidRPr="00156708" w:rsidRDefault="00A76E5D" w:rsidP="00446F24">
      <w:pPr>
        <w:pStyle w:val="ListParagraph"/>
        <w:numPr>
          <w:ilvl w:val="0"/>
          <w:numId w:val="4"/>
        </w:numPr>
        <w:contextualSpacing w:val="0"/>
      </w:pPr>
      <w:r w:rsidRPr="00156708">
        <w:t xml:space="preserve">Update DSO MAR in order to reflect the difference between the Allowed Revenues and </w:t>
      </w:r>
      <w:r w:rsidR="00DC2766" w:rsidRPr="00156708">
        <w:t>Actual ones in the relevant previous year (t-1), including the unregulated revenues;</w:t>
      </w:r>
    </w:p>
    <w:p w14:paraId="6D000962" w14:textId="77777777" w:rsidR="00446F24" w:rsidRPr="00156708" w:rsidRDefault="00DC2766" w:rsidP="00446F24">
      <w:pPr>
        <w:pStyle w:val="ListParagraph"/>
        <w:numPr>
          <w:ilvl w:val="0"/>
          <w:numId w:val="4"/>
        </w:numPr>
        <w:contextualSpacing w:val="0"/>
      </w:pPr>
      <w:r w:rsidRPr="00156708">
        <w:t>Set DSO MAR for Relevant Year t.</w:t>
      </w:r>
    </w:p>
    <w:p w14:paraId="3574F58E" w14:textId="77777777" w:rsidR="00446F24" w:rsidRPr="00156708" w:rsidRDefault="00DC2766" w:rsidP="00446F24">
      <w:pPr>
        <w:pStyle w:val="Heading1"/>
      </w:pPr>
      <w:bookmarkStart w:id="4" w:name="_Toc81818990"/>
      <w:r w:rsidRPr="00156708">
        <w:t>Electricity Balance</w:t>
      </w:r>
      <w:bookmarkEnd w:id="4"/>
    </w:p>
    <w:p w14:paraId="62FD134A" w14:textId="77777777" w:rsidR="00446F24" w:rsidRPr="00156708" w:rsidRDefault="00B738BD" w:rsidP="00446F24">
      <w:pPr>
        <w:jc w:val="both"/>
        <w:rPr>
          <w:lang w:val="en-GB"/>
        </w:rPr>
      </w:pPr>
      <w:r w:rsidRPr="00156708">
        <w:rPr>
          <w:lang w:val="en-GB"/>
        </w:rPr>
        <w:t xml:space="preserve">In this tariff review ERO has used the approved balance sheet for 2021. However, the handling of electricity consumption for customers connected to the voltage level of 35kV and 10kV, has been </w:t>
      </w:r>
      <w:r w:rsidR="00CF1A53" w:rsidRPr="00156708">
        <w:rPr>
          <w:lang w:val="en-GB"/>
        </w:rPr>
        <w:t>carried out</w:t>
      </w:r>
      <w:r w:rsidRPr="00156708">
        <w:rPr>
          <w:lang w:val="en-GB"/>
        </w:rPr>
        <w:t xml:space="preserve"> in accordance with the position of the Board of ERO to continue </w:t>
      </w:r>
      <w:r w:rsidR="00CF1A53" w:rsidRPr="00156708">
        <w:rPr>
          <w:lang w:val="en-GB"/>
        </w:rPr>
        <w:t xml:space="preserve">the </w:t>
      </w:r>
      <w:r w:rsidRPr="00156708">
        <w:rPr>
          <w:lang w:val="en-GB"/>
        </w:rPr>
        <w:t xml:space="preserve">supply of these customers from </w:t>
      </w:r>
      <w:r w:rsidR="00CF1A53" w:rsidRPr="00156708">
        <w:rPr>
          <w:lang w:val="en-GB"/>
        </w:rPr>
        <w:t>USS</w:t>
      </w:r>
      <w:r w:rsidRPr="00156708">
        <w:rPr>
          <w:lang w:val="en-GB"/>
        </w:rPr>
        <w:t xml:space="preserve">, </w:t>
      </w:r>
      <w:r w:rsidR="00CF1A53" w:rsidRPr="00156708">
        <w:rPr>
          <w:lang w:val="en-GB"/>
        </w:rPr>
        <w:t>at</w:t>
      </w:r>
      <w:r w:rsidRPr="00156708">
        <w:rPr>
          <w:lang w:val="en-GB"/>
        </w:rPr>
        <w:t xml:space="preserve"> regulated tariffs. Since KEDS has applied for the MAR of 2021, taking into account the deregulation of customers connected to the voltage level of 35kV and 10kV, there will be differences in the basis of the analysis used by ERO and the application of the DSO.</w:t>
      </w:r>
    </w:p>
    <w:p w14:paraId="21D9DB65" w14:textId="77777777" w:rsidR="00446F24" w:rsidRPr="00156708" w:rsidRDefault="00DC2766" w:rsidP="00446F24">
      <w:pPr>
        <w:pStyle w:val="Heading2"/>
      </w:pPr>
      <w:bookmarkStart w:id="5" w:name="_Toc81818991"/>
      <w:r w:rsidRPr="00156708">
        <w:t>Evaluation of Actual and Forecast Electricity Balance</w:t>
      </w:r>
      <w:bookmarkEnd w:id="5"/>
    </w:p>
    <w:p w14:paraId="3DC27F8B" w14:textId="142C88B1" w:rsidR="00446F24" w:rsidRDefault="00DC2766" w:rsidP="00446F24">
      <w:pPr>
        <w:jc w:val="both"/>
        <w:rPr>
          <w:lang w:val="en-GB"/>
        </w:rPr>
      </w:pPr>
      <w:r w:rsidRPr="00156708">
        <w:rPr>
          <w:lang w:val="en-GB"/>
        </w:rPr>
        <w:t xml:space="preserve">With the purpose of evaluating the costs related to purchase of losses at DSO level, ERO has </w:t>
      </w:r>
      <w:r w:rsidR="009A1116" w:rsidRPr="00156708">
        <w:rPr>
          <w:lang w:val="en-GB"/>
        </w:rPr>
        <w:t>analysed</w:t>
      </w:r>
      <w:r w:rsidRPr="00156708">
        <w:rPr>
          <w:lang w:val="en-GB"/>
        </w:rPr>
        <w:t xml:space="preserve"> the data reported by KEDS for 20</w:t>
      </w:r>
      <w:r w:rsidR="00543C19" w:rsidRPr="00156708">
        <w:rPr>
          <w:lang w:val="en-GB"/>
        </w:rPr>
        <w:t>20</w:t>
      </w:r>
      <w:r w:rsidRPr="00156708">
        <w:rPr>
          <w:lang w:val="en-GB"/>
        </w:rPr>
        <w:t xml:space="preserve"> and the data for forecast of Balance for 202</w:t>
      </w:r>
      <w:r w:rsidR="00543C19" w:rsidRPr="00156708">
        <w:rPr>
          <w:lang w:val="en-GB"/>
        </w:rPr>
        <w:t>1</w:t>
      </w:r>
      <w:r w:rsidRPr="00156708">
        <w:rPr>
          <w:lang w:val="en-GB"/>
        </w:rPr>
        <w:t>. The analysis of the actual balance for 20</w:t>
      </w:r>
      <w:r w:rsidR="00543C19" w:rsidRPr="00156708">
        <w:rPr>
          <w:lang w:val="en-GB"/>
        </w:rPr>
        <w:t>20</w:t>
      </w:r>
      <w:r w:rsidRPr="00156708">
        <w:rPr>
          <w:lang w:val="en-GB"/>
        </w:rPr>
        <w:t xml:space="preserve"> and the balance forecast for 202</w:t>
      </w:r>
      <w:r w:rsidR="00543C19" w:rsidRPr="00156708">
        <w:rPr>
          <w:lang w:val="en-GB"/>
        </w:rPr>
        <w:t>1</w:t>
      </w:r>
      <w:r w:rsidRPr="00156708">
        <w:rPr>
          <w:lang w:val="en-GB"/>
        </w:rPr>
        <w:t xml:space="preserve"> is presented in the following table:</w:t>
      </w:r>
    </w:p>
    <w:p w14:paraId="0B84A41A" w14:textId="77777777" w:rsidR="009A1116" w:rsidRPr="00156708" w:rsidRDefault="009A1116" w:rsidP="00446F24">
      <w:pPr>
        <w:jc w:val="both"/>
        <w:rPr>
          <w:lang w:val="en-GB"/>
        </w:rPr>
      </w:pPr>
    </w:p>
    <w:p w14:paraId="109B6D0C" w14:textId="53E0D94E" w:rsidR="00156708" w:rsidRDefault="00156708" w:rsidP="00156708">
      <w:pPr>
        <w:pStyle w:val="Caption"/>
        <w:ind w:firstLine="720"/>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 </w:t>
      </w:r>
      <w:r w:rsidRPr="00156708">
        <w:t>Electricity Balance</w:t>
      </w:r>
    </w:p>
    <w:tbl>
      <w:tblPr>
        <w:tblW w:w="0" w:type="auto"/>
        <w:jc w:val="right"/>
        <w:tblLook w:val="04A0" w:firstRow="1" w:lastRow="0" w:firstColumn="1" w:lastColumn="0" w:noHBand="0" w:noVBand="1"/>
      </w:tblPr>
      <w:tblGrid>
        <w:gridCol w:w="3888"/>
        <w:gridCol w:w="674"/>
        <w:gridCol w:w="1380"/>
        <w:gridCol w:w="1283"/>
        <w:gridCol w:w="1283"/>
      </w:tblGrid>
      <w:tr w:rsidR="00446F24" w:rsidRPr="00156708" w14:paraId="5E50C33E" w14:textId="77777777" w:rsidTr="004F438B">
        <w:trPr>
          <w:gridAfter w:val="1"/>
          <w:wAfter w:w="1283" w:type="dxa"/>
          <w:trHeight w:val="570"/>
          <w:jc w:val="right"/>
        </w:trPr>
        <w:tc>
          <w:tcPr>
            <w:tcW w:w="0" w:type="auto"/>
            <w:tcBorders>
              <w:top w:val="nil"/>
              <w:left w:val="nil"/>
              <w:bottom w:val="nil"/>
              <w:right w:val="nil"/>
            </w:tcBorders>
            <w:shd w:val="clear" w:color="000000" w:fill="002060"/>
            <w:vAlign w:val="center"/>
            <w:hideMark/>
          </w:tcPr>
          <w:p w14:paraId="077530E2" w14:textId="77777777" w:rsidR="00446F24" w:rsidRPr="00156708" w:rsidRDefault="00DC2766" w:rsidP="004F438B">
            <w:pPr>
              <w:spacing w:after="0" w:line="240" w:lineRule="auto"/>
              <w:jc w:val="center"/>
              <w:rPr>
                <w:rFonts w:eastAsia="Times New Roman" w:cs="Calibri"/>
                <w:b/>
                <w:color w:val="FFFFFF"/>
                <w:sz w:val="20"/>
                <w:szCs w:val="20"/>
                <w:lang w:val="en-GB" w:eastAsia="en-GB"/>
              </w:rPr>
            </w:pPr>
            <w:r w:rsidRPr="00156708">
              <w:rPr>
                <w:rFonts w:eastAsia="Times New Roman" w:cs="Calibri"/>
                <w:b/>
                <w:color w:val="FFFFFF"/>
                <w:sz w:val="20"/>
                <w:szCs w:val="20"/>
                <w:lang w:val="en-GB" w:eastAsia="en-GB"/>
              </w:rPr>
              <w:t>Electricity Balance at DSO</w:t>
            </w:r>
          </w:p>
        </w:tc>
        <w:tc>
          <w:tcPr>
            <w:tcW w:w="0" w:type="auto"/>
            <w:tcBorders>
              <w:top w:val="nil"/>
              <w:left w:val="nil"/>
              <w:bottom w:val="nil"/>
              <w:right w:val="nil"/>
            </w:tcBorders>
            <w:shd w:val="clear" w:color="000000" w:fill="002060"/>
            <w:vAlign w:val="center"/>
            <w:hideMark/>
          </w:tcPr>
          <w:p w14:paraId="35E10FD1" w14:textId="77777777" w:rsidR="00446F24" w:rsidRPr="00156708" w:rsidRDefault="00DC2766" w:rsidP="004F438B">
            <w:pPr>
              <w:spacing w:after="0" w:line="240" w:lineRule="auto"/>
              <w:jc w:val="center"/>
              <w:rPr>
                <w:rFonts w:eastAsia="Times New Roman" w:cs="Calibri"/>
                <w:b/>
                <w:color w:val="FFFFFF"/>
                <w:sz w:val="20"/>
                <w:szCs w:val="20"/>
                <w:lang w:val="en-GB" w:eastAsia="en-GB"/>
              </w:rPr>
            </w:pPr>
            <w:r w:rsidRPr="00156708">
              <w:rPr>
                <w:rFonts w:eastAsia="Times New Roman" w:cs="Calibri"/>
                <w:b/>
                <w:color w:val="FFFFFF"/>
                <w:sz w:val="20"/>
                <w:szCs w:val="20"/>
                <w:lang w:val="en-GB" w:eastAsia="en-GB"/>
              </w:rPr>
              <w:t>Unit</w:t>
            </w:r>
          </w:p>
        </w:tc>
        <w:tc>
          <w:tcPr>
            <w:tcW w:w="1380" w:type="dxa"/>
            <w:tcBorders>
              <w:top w:val="nil"/>
              <w:left w:val="nil"/>
              <w:bottom w:val="nil"/>
              <w:right w:val="nil"/>
            </w:tcBorders>
            <w:shd w:val="clear" w:color="000000" w:fill="002060"/>
            <w:vAlign w:val="center"/>
            <w:hideMark/>
          </w:tcPr>
          <w:p w14:paraId="162883DE" w14:textId="77777777" w:rsidR="00446F24" w:rsidRPr="00156708" w:rsidRDefault="00DC2766" w:rsidP="004F438B">
            <w:pPr>
              <w:spacing w:after="0" w:line="240" w:lineRule="auto"/>
              <w:jc w:val="center"/>
              <w:rPr>
                <w:rFonts w:eastAsia="Times New Roman" w:cs="Calibri"/>
                <w:b/>
                <w:color w:val="FFFFFF"/>
                <w:sz w:val="20"/>
                <w:szCs w:val="20"/>
                <w:lang w:val="en-GB" w:eastAsia="en-GB"/>
              </w:rPr>
            </w:pPr>
            <w:r w:rsidRPr="00156708">
              <w:rPr>
                <w:rFonts w:eastAsia="Times New Roman" w:cs="Calibri"/>
                <w:b/>
                <w:color w:val="FFFFFF"/>
                <w:sz w:val="20"/>
                <w:szCs w:val="20"/>
                <w:lang w:val="en-GB" w:eastAsia="en-GB"/>
              </w:rPr>
              <w:t>Realization</w:t>
            </w:r>
          </w:p>
          <w:p w14:paraId="2B57A54E" w14:textId="78B20976" w:rsidR="00446F24" w:rsidRPr="00156708" w:rsidRDefault="000C1A7F" w:rsidP="000C1A7F">
            <w:pPr>
              <w:spacing w:after="0" w:line="240" w:lineRule="auto"/>
              <w:jc w:val="center"/>
              <w:rPr>
                <w:rFonts w:eastAsia="Times New Roman" w:cs="Calibri"/>
                <w:b/>
                <w:color w:val="FFFFFF"/>
                <w:sz w:val="20"/>
                <w:szCs w:val="20"/>
                <w:lang w:val="en-GB" w:eastAsia="en-GB"/>
              </w:rPr>
            </w:pPr>
            <w:r w:rsidRPr="00156708">
              <w:rPr>
                <w:rFonts w:eastAsia="Times New Roman" w:cs="Calibri"/>
                <w:b/>
                <w:color w:val="FFFFFF"/>
                <w:sz w:val="20"/>
                <w:szCs w:val="20"/>
                <w:lang w:val="en-GB" w:eastAsia="en-GB"/>
              </w:rPr>
              <w:t>2020</w:t>
            </w:r>
          </w:p>
        </w:tc>
        <w:tc>
          <w:tcPr>
            <w:tcW w:w="1283" w:type="dxa"/>
            <w:tcBorders>
              <w:top w:val="nil"/>
              <w:left w:val="nil"/>
              <w:bottom w:val="nil"/>
              <w:right w:val="nil"/>
            </w:tcBorders>
            <w:shd w:val="clear" w:color="000000" w:fill="002060"/>
            <w:vAlign w:val="center"/>
            <w:hideMark/>
          </w:tcPr>
          <w:p w14:paraId="5C6D6A04" w14:textId="77777777" w:rsidR="00446F24" w:rsidRPr="00156708" w:rsidRDefault="00DC2766" w:rsidP="004F438B">
            <w:pPr>
              <w:spacing w:after="0" w:line="240" w:lineRule="auto"/>
              <w:jc w:val="center"/>
              <w:rPr>
                <w:rFonts w:eastAsia="Times New Roman" w:cs="Calibri"/>
                <w:b/>
                <w:color w:val="FFFFFF"/>
                <w:sz w:val="20"/>
                <w:szCs w:val="20"/>
                <w:lang w:val="en-GB" w:eastAsia="en-GB"/>
              </w:rPr>
            </w:pPr>
            <w:r w:rsidRPr="00156708">
              <w:rPr>
                <w:rFonts w:eastAsia="Times New Roman" w:cs="Calibri"/>
                <w:b/>
                <w:color w:val="FFFFFF"/>
                <w:sz w:val="20"/>
                <w:szCs w:val="20"/>
                <w:lang w:val="en-GB" w:eastAsia="en-GB"/>
              </w:rPr>
              <w:t>Proposal</w:t>
            </w:r>
          </w:p>
          <w:p w14:paraId="6C88FCA2" w14:textId="6121F1D2" w:rsidR="00446F24" w:rsidRPr="00156708" w:rsidRDefault="000C1A7F" w:rsidP="000C1A7F">
            <w:pPr>
              <w:spacing w:after="0" w:line="240" w:lineRule="auto"/>
              <w:jc w:val="center"/>
              <w:rPr>
                <w:rFonts w:eastAsia="Times New Roman" w:cs="Calibri"/>
                <w:b/>
                <w:color w:val="FFFFFF"/>
                <w:sz w:val="20"/>
                <w:szCs w:val="20"/>
                <w:lang w:val="en-GB" w:eastAsia="en-GB"/>
              </w:rPr>
            </w:pPr>
            <w:r w:rsidRPr="00156708">
              <w:rPr>
                <w:rFonts w:eastAsia="Times New Roman" w:cs="Calibri"/>
                <w:b/>
                <w:color w:val="FFFFFF"/>
                <w:sz w:val="20"/>
                <w:szCs w:val="20"/>
                <w:lang w:val="en-GB" w:eastAsia="en-GB"/>
              </w:rPr>
              <w:t>2021</w:t>
            </w:r>
          </w:p>
        </w:tc>
      </w:tr>
      <w:tr w:rsidR="00446F24" w:rsidRPr="00156708" w14:paraId="5E687BB4" w14:textId="77777777" w:rsidTr="004F438B">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5B5F0D0B" w14:textId="77777777" w:rsidR="00446F24" w:rsidRPr="00156708" w:rsidRDefault="00A76E5D"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Entry at</w:t>
            </w:r>
            <w:r w:rsidR="00DC2766" w:rsidRPr="00156708">
              <w:rPr>
                <w:rFonts w:eastAsia="Times New Roman" w:cs="Calibri"/>
                <w:color w:val="000000"/>
                <w:lang w:val="en-GB" w:eastAsia="en-GB"/>
              </w:rPr>
              <w:t xml:space="preserve"> DSO</w:t>
            </w:r>
          </w:p>
        </w:tc>
        <w:tc>
          <w:tcPr>
            <w:tcW w:w="0" w:type="auto"/>
            <w:tcBorders>
              <w:top w:val="nil"/>
              <w:left w:val="nil"/>
              <w:bottom w:val="nil"/>
              <w:right w:val="nil"/>
            </w:tcBorders>
            <w:shd w:val="clear" w:color="000000" w:fill="FFFFFF"/>
            <w:noWrap/>
            <w:vAlign w:val="bottom"/>
            <w:hideMark/>
          </w:tcPr>
          <w:p w14:paraId="688451EF" w14:textId="77777777" w:rsidR="00446F24" w:rsidRPr="00156708" w:rsidRDefault="00DC2766"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GWh</w:t>
            </w:r>
          </w:p>
        </w:tc>
        <w:tc>
          <w:tcPr>
            <w:tcW w:w="1380" w:type="dxa"/>
            <w:tcBorders>
              <w:top w:val="nil"/>
              <w:left w:val="nil"/>
              <w:bottom w:val="nil"/>
              <w:right w:val="nil"/>
            </w:tcBorders>
            <w:shd w:val="clear" w:color="000000" w:fill="FFFFFF"/>
            <w:noWrap/>
            <w:vAlign w:val="bottom"/>
            <w:hideMark/>
          </w:tcPr>
          <w:p w14:paraId="37483017" w14:textId="77777777" w:rsidR="00446F24" w:rsidRPr="00156708" w:rsidRDefault="00DC2766"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5,</w:t>
            </w:r>
            <w:r w:rsidR="00980571" w:rsidRPr="00156708">
              <w:rPr>
                <w:rFonts w:eastAsia="Times New Roman" w:cs="Calibri"/>
                <w:color w:val="000000"/>
                <w:lang w:val="en-GB" w:eastAsia="en-GB"/>
              </w:rPr>
              <w:t>549</w:t>
            </w:r>
          </w:p>
        </w:tc>
        <w:tc>
          <w:tcPr>
            <w:tcW w:w="1283" w:type="dxa"/>
            <w:tcBorders>
              <w:top w:val="nil"/>
              <w:left w:val="nil"/>
              <w:bottom w:val="nil"/>
              <w:right w:val="nil"/>
            </w:tcBorders>
            <w:shd w:val="clear" w:color="000000" w:fill="FFFFFF"/>
            <w:noWrap/>
            <w:vAlign w:val="bottom"/>
            <w:hideMark/>
          </w:tcPr>
          <w:p w14:paraId="6769BC44" w14:textId="77777777" w:rsidR="00446F24" w:rsidRPr="00156708" w:rsidRDefault="00DC2766"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5,</w:t>
            </w:r>
            <w:r w:rsidR="00980571" w:rsidRPr="00156708">
              <w:rPr>
                <w:rFonts w:eastAsia="Times New Roman" w:cs="Calibri"/>
                <w:color w:val="000000"/>
                <w:lang w:val="en-GB" w:eastAsia="en-GB"/>
              </w:rPr>
              <w:t>452</w:t>
            </w:r>
          </w:p>
        </w:tc>
      </w:tr>
      <w:tr w:rsidR="00446F24" w:rsidRPr="00156708" w14:paraId="471DC95C" w14:textId="77777777" w:rsidTr="004F438B">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695EA405" w14:textId="77777777" w:rsidR="00446F24" w:rsidRPr="00156708" w:rsidRDefault="00A76E5D"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 xml:space="preserve">Unbilled </w:t>
            </w:r>
            <w:r w:rsidR="00DC2766" w:rsidRPr="00156708">
              <w:rPr>
                <w:rFonts w:eastAsia="Times New Roman" w:cs="Calibri"/>
                <w:color w:val="000000"/>
                <w:lang w:val="en-GB" w:eastAsia="en-GB"/>
              </w:rPr>
              <w:t>Energy in the North</w:t>
            </w:r>
          </w:p>
        </w:tc>
        <w:tc>
          <w:tcPr>
            <w:tcW w:w="0" w:type="auto"/>
            <w:tcBorders>
              <w:top w:val="nil"/>
              <w:left w:val="nil"/>
              <w:bottom w:val="nil"/>
              <w:right w:val="nil"/>
            </w:tcBorders>
            <w:shd w:val="clear" w:color="000000" w:fill="FFFFFF"/>
            <w:noWrap/>
            <w:vAlign w:val="bottom"/>
            <w:hideMark/>
          </w:tcPr>
          <w:p w14:paraId="6EC748C7" w14:textId="77777777" w:rsidR="00446F24" w:rsidRPr="00156708" w:rsidRDefault="00DC2766"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GWh</w:t>
            </w:r>
          </w:p>
        </w:tc>
        <w:tc>
          <w:tcPr>
            <w:tcW w:w="1380" w:type="dxa"/>
            <w:tcBorders>
              <w:top w:val="nil"/>
              <w:left w:val="nil"/>
              <w:bottom w:val="nil"/>
              <w:right w:val="nil"/>
            </w:tcBorders>
            <w:shd w:val="clear" w:color="000000" w:fill="FFFFFF"/>
            <w:noWrap/>
            <w:vAlign w:val="bottom"/>
            <w:hideMark/>
          </w:tcPr>
          <w:p w14:paraId="6E3FE8E2" w14:textId="77777777" w:rsidR="00446F24" w:rsidRPr="00156708" w:rsidRDefault="00980571"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335</w:t>
            </w:r>
          </w:p>
        </w:tc>
        <w:tc>
          <w:tcPr>
            <w:tcW w:w="1283" w:type="dxa"/>
            <w:tcBorders>
              <w:top w:val="nil"/>
              <w:left w:val="nil"/>
              <w:bottom w:val="nil"/>
              <w:right w:val="nil"/>
            </w:tcBorders>
            <w:shd w:val="clear" w:color="000000" w:fill="FFFFFF"/>
            <w:noWrap/>
            <w:vAlign w:val="bottom"/>
            <w:hideMark/>
          </w:tcPr>
          <w:p w14:paraId="24D62A34" w14:textId="77777777" w:rsidR="00446F24" w:rsidRPr="00156708" w:rsidRDefault="00980571"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327</w:t>
            </w:r>
          </w:p>
        </w:tc>
      </w:tr>
      <w:tr w:rsidR="00446F24" w:rsidRPr="00156708" w14:paraId="1AFF70E1" w14:textId="77777777" w:rsidTr="004F438B">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5CC2984D" w14:textId="77777777" w:rsidR="00446F24" w:rsidRPr="00156708" w:rsidRDefault="00A76E5D"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Entry at DSO without the unbilled energy</w:t>
            </w:r>
          </w:p>
        </w:tc>
        <w:tc>
          <w:tcPr>
            <w:tcW w:w="0" w:type="auto"/>
            <w:tcBorders>
              <w:top w:val="nil"/>
              <w:left w:val="nil"/>
              <w:bottom w:val="nil"/>
              <w:right w:val="nil"/>
            </w:tcBorders>
            <w:shd w:val="clear" w:color="000000" w:fill="FFFFFF"/>
            <w:noWrap/>
            <w:vAlign w:val="bottom"/>
            <w:hideMark/>
          </w:tcPr>
          <w:p w14:paraId="30599F8F" w14:textId="77777777" w:rsidR="00446F24" w:rsidRPr="00156708" w:rsidRDefault="00DC2766"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GWh</w:t>
            </w:r>
          </w:p>
        </w:tc>
        <w:tc>
          <w:tcPr>
            <w:tcW w:w="1380" w:type="dxa"/>
            <w:tcBorders>
              <w:top w:val="nil"/>
              <w:left w:val="nil"/>
              <w:bottom w:val="nil"/>
              <w:right w:val="nil"/>
            </w:tcBorders>
            <w:shd w:val="clear" w:color="000000" w:fill="FFFFFF"/>
            <w:noWrap/>
            <w:vAlign w:val="bottom"/>
            <w:hideMark/>
          </w:tcPr>
          <w:p w14:paraId="794B05C4" w14:textId="77777777" w:rsidR="00446F24" w:rsidRPr="00156708" w:rsidRDefault="00DC2766"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5,</w:t>
            </w:r>
            <w:r w:rsidR="00980571" w:rsidRPr="00156708">
              <w:rPr>
                <w:rFonts w:eastAsia="Times New Roman" w:cs="Calibri"/>
                <w:color w:val="000000"/>
                <w:lang w:val="en-GB" w:eastAsia="en-GB"/>
              </w:rPr>
              <w:t>215</w:t>
            </w:r>
          </w:p>
        </w:tc>
        <w:tc>
          <w:tcPr>
            <w:tcW w:w="1283" w:type="dxa"/>
            <w:tcBorders>
              <w:top w:val="nil"/>
              <w:left w:val="nil"/>
              <w:bottom w:val="nil"/>
              <w:right w:val="nil"/>
            </w:tcBorders>
            <w:shd w:val="clear" w:color="000000" w:fill="FFFFFF"/>
            <w:noWrap/>
            <w:vAlign w:val="bottom"/>
            <w:hideMark/>
          </w:tcPr>
          <w:p w14:paraId="4E2921B8" w14:textId="77777777" w:rsidR="00446F24" w:rsidRPr="00156708" w:rsidRDefault="00DC2766"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5,</w:t>
            </w:r>
            <w:r w:rsidR="00980571" w:rsidRPr="00156708">
              <w:rPr>
                <w:rFonts w:eastAsia="Times New Roman" w:cs="Calibri"/>
                <w:color w:val="000000"/>
                <w:lang w:val="en-GB" w:eastAsia="en-GB"/>
              </w:rPr>
              <w:t>221</w:t>
            </w:r>
          </w:p>
        </w:tc>
      </w:tr>
      <w:tr w:rsidR="00446F24" w:rsidRPr="00156708" w14:paraId="35466430" w14:textId="77777777" w:rsidTr="004F438B">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58587908" w14:textId="2C8EE4B6" w:rsidR="00446F24" w:rsidRPr="00156708" w:rsidRDefault="00B85BE4"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U</w:t>
            </w:r>
            <w:r w:rsidR="00A76E5D" w:rsidRPr="00156708">
              <w:rPr>
                <w:rFonts w:eastAsia="Times New Roman" w:cs="Calibri"/>
                <w:color w:val="000000"/>
                <w:lang w:val="en-GB" w:eastAsia="en-GB"/>
              </w:rPr>
              <w:t>nbilled energy</w:t>
            </w:r>
          </w:p>
        </w:tc>
        <w:tc>
          <w:tcPr>
            <w:tcW w:w="0" w:type="auto"/>
            <w:tcBorders>
              <w:top w:val="nil"/>
              <w:left w:val="nil"/>
              <w:bottom w:val="nil"/>
              <w:right w:val="nil"/>
            </w:tcBorders>
            <w:shd w:val="clear" w:color="000000" w:fill="FFFFFF"/>
            <w:noWrap/>
            <w:vAlign w:val="bottom"/>
            <w:hideMark/>
          </w:tcPr>
          <w:p w14:paraId="55281C45" w14:textId="77777777" w:rsidR="00446F24" w:rsidRPr="00156708" w:rsidRDefault="00DC2766"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w:t>
            </w:r>
          </w:p>
        </w:tc>
        <w:tc>
          <w:tcPr>
            <w:tcW w:w="1380" w:type="dxa"/>
            <w:tcBorders>
              <w:top w:val="nil"/>
              <w:left w:val="nil"/>
              <w:bottom w:val="nil"/>
              <w:right w:val="nil"/>
            </w:tcBorders>
            <w:shd w:val="clear" w:color="000000" w:fill="FFFFFF"/>
            <w:noWrap/>
            <w:vAlign w:val="bottom"/>
            <w:hideMark/>
          </w:tcPr>
          <w:p w14:paraId="7ED16046" w14:textId="77777777" w:rsidR="00446F24" w:rsidRPr="00156708" w:rsidRDefault="00980571"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6.0</w:t>
            </w:r>
            <w:r w:rsidR="00DC2766" w:rsidRPr="00156708">
              <w:rPr>
                <w:rFonts w:eastAsia="Times New Roman" w:cs="Calibri"/>
                <w:color w:val="000000"/>
                <w:lang w:val="en-GB" w:eastAsia="en-GB"/>
              </w:rPr>
              <w:t>%</w:t>
            </w:r>
          </w:p>
        </w:tc>
        <w:tc>
          <w:tcPr>
            <w:tcW w:w="1283" w:type="dxa"/>
            <w:tcBorders>
              <w:top w:val="nil"/>
              <w:left w:val="nil"/>
              <w:bottom w:val="nil"/>
              <w:right w:val="nil"/>
            </w:tcBorders>
            <w:shd w:val="clear" w:color="000000" w:fill="FFFFFF"/>
            <w:noWrap/>
            <w:vAlign w:val="bottom"/>
            <w:hideMark/>
          </w:tcPr>
          <w:p w14:paraId="41675C22" w14:textId="77777777" w:rsidR="00446F24" w:rsidRPr="00156708" w:rsidRDefault="00980571"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6.0</w:t>
            </w:r>
            <w:r w:rsidR="00DC2766" w:rsidRPr="00156708">
              <w:rPr>
                <w:rFonts w:eastAsia="Times New Roman" w:cs="Calibri"/>
                <w:color w:val="000000"/>
                <w:lang w:val="en-GB" w:eastAsia="en-GB"/>
              </w:rPr>
              <w:t>%</w:t>
            </w:r>
          </w:p>
        </w:tc>
      </w:tr>
      <w:tr w:rsidR="00B85BE4" w:rsidRPr="00156708" w14:paraId="29CFD9F1" w14:textId="77777777" w:rsidTr="00B85BE4">
        <w:trPr>
          <w:trHeight w:val="300"/>
          <w:jc w:val="right"/>
        </w:trPr>
        <w:tc>
          <w:tcPr>
            <w:tcW w:w="0" w:type="auto"/>
            <w:vMerge w:val="restart"/>
            <w:tcBorders>
              <w:top w:val="single" w:sz="4" w:space="0" w:color="auto"/>
              <w:left w:val="nil"/>
              <w:right w:val="nil"/>
            </w:tcBorders>
            <w:shd w:val="clear" w:color="000000" w:fill="FFFFFF"/>
            <w:noWrap/>
            <w:vAlign w:val="center"/>
            <w:hideMark/>
          </w:tcPr>
          <w:p w14:paraId="7E2B1789" w14:textId="77777777" w:rsidR="00B85BE4" w:rsidRPr="00156708" w:rsidRDefault="00B85BE4"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Technical and Commercial Losses at DSO</w:t>
            </w:r>
          </w:p>
        </w:tc>
        <w:tc>
          <w:tcPr>
            <w:tcW w:w="0" w:type="auto"/>
            <w:tcBorders>
              <w:top w:val="single" w:sz="4" w:space="0" w:color="auto"/>
              <w:left w:val="nil"/>
              <w:bottom w:val="nil"/>
              <w:right w:val="nil"/>
            </w:tcBorders>
            <w:shd w:val="clear" w:color="000000" w:fill="FFFFFF"/>
            <w:noWrap/>
            <w:vAlign w:val="bottom"/>
            <w:hideMark/>
          </w:tcPr>
          <w:p w14:paraId="5632D017" w14:textId="77777777" w:rsidR="00B85BE4" w:rsidRPr="00156708" w:rsidRDefault="00B85BE4"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GWh</w:t>
            </w:r>
          </w:p>
        </w:tc>
        <w:tc>
          <w:tcPr>
            <w:tcW w:w="1380" w:type="dxa"/>
            <w:tcBorders>
              <w:top w:val="single" w:sz="4" w:space="0" w:color="auto"/>
              <w:left w:val="nil"/>
              <w:bottom w:val="nil"/>
              <w:right w:val="nil"/>
            </w:tcBorders>
            <w:shd w:val="clear" w:color="000000" w:fill="FFFFFF"/>
            <w:noWrap/>
            <w:vAlign w:val="bottom"/>
            <w:hideMark/>
          </w:tcPr>
          <w:p w14:paraId="7665DCCA"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1,075</w:t>
            </w:r>
          </w:p>
        </w:tc>
        <w:tc>
          <w:tcPr>
            <w:tcW w:w="1283" w:type="dxa"/>
            <w:tcBorders>
              <w:top w:val="single" w:sz="4" w:space="0" w:color="auto"/>
              <w:left w:val="nil"/>
              <w:bottom w:val="nil"/>
              <w:right w:val="nil"/>
            </w:tcBorders>
            <w:shd w:val="clear" w:color="000000" w:fill="FFFFFF"/>
            <w:noWrap/>
            <w:vAlign w:val="bottom"/>
            <w:hideMark/>
          </w:tcPr>
          <w:p w14:paraId="3CD43ACD"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894</w:t>
            </w:r>
          </w:p>
        </w:tc>
        <w:tc>
          <w:tcPr>
            <w:tcW w:w="1283" w:type="dxa"/>
            <w:vAlign w:val="bottom"/>
          </w:tcPr>
          <w:p w14:paraId="34E0A968" w14:textId="77777777" w:rsidR="00B85BE4" w:rsidRPr="00156708" w:rsidRDefault="00B85BE4" w:rsidP="004F438B">
            <w:pPr>
              <w:spacing w:after="0" w:line="240" w:lineRule="auto"/>
              <w:jc w:val="center"/>
              <w:rPr>
                <w:rFonts w:eastAsia="Times New Roman" w:cs="Calibri"/>
                <w:color w:val="000000"/>
                <w:lang w:val="en-GB" w:eastAsia="en-GB"/>
              </w:rPr>
            </w:pPr>
          </w:p>
        </w:tc>
      </w:tr>
      <w:tr w:rsidR="00B85BE4" w:rsidRPr="00156708" w14:paraId="5982B0A1" w14:textId="77777777" w:rsidTr="00B85BE4">
        <w:trPr>
          <w:trHeight w:val="300"/>
          <w:jc w:val="right"/>
        </w:trPr>
        <w:tc>
          <w:tcPr>
            <w:tcW w:w="0" w:type="auto"/>
            <w:vMerge/>
            <w:tcBorders>
              <w:left w:val="nil"/>
              <w:bottom w:val="single" w:sz="4" w:space="0" w:color="auto"/>
              <w:right w:val="nil"/>
            </w:tcBorders>
            <w:shd w:val="clear" w:color="000000" w:fill="FFFFFF"/>
            <w:noWrap/>
            <w:vAlign w:val="bottom"/>
            <w:hideMark/>
          </w:tcPr>
          <w:p w14:paraId="25E8C041" w14:textId="77777777" w:rsidR="00B85BE4" w:rsidRPr="00156708" w:rsidRDefault="00B85BE4" w:rsidP="004F438B">
            <w:pPr>
              <w:spacing w:after="0" w:line="240" w:lineRule="auto"/>
              <w:rPr>
                <w:rFonts w:eastAsia="Times New Roman" w:cs="Calibri"/>
                <w:color w:val="000000"/>
                <w:lang w:val="en-GB" w:eastAsia="en-GB"/>
              </w:rPr>
            </w:pPr>
          </w:p>
        </w:tc>
        <w:tc>
          <w:tcPr>
            <w:tcW w:w="0" w:type="auto"/>
            <w:tcBorders>
              <w:top w:val="nil"/>
              <w:left w:val="nil"/>
              <w:bottom w:val="single" w:sz="4" w:space="0" w:color="auto"/>
              <w:right w:val="nil"/>
            </w:tcBorders>
            <w:shd w:val="clear" w:color="000000" w:fill="FFFFFF"/>
            <w:noWrap/>
            <w:vAlign w:val="bottom"/>
            <w:hideMark/>
          </w:tcPr>
          <w:p w14:paraId="6D243EF3" w14:textId="77777777" w:rsidR="00B85BE4" w:rsidRPr="00156708" w:rsidRDefault="00B85BE4"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w:t>
            </w:r>
          </w:p>
        </w:tc>
        <w:tc>
          <w:tcPr>
            <w:tcW w:w="1380" w:type="dxa"/>
            <w:tcBorders>
              <w:top w:val="nil"/>
              <w:left w:val="nil"/>
              <w:bottom w:val="single" w:sz="4" w:space="0" w:color="auto"/>
              <w:right w:val="nil"/>
            </w:tcBorders>
            <w:shd w:val="clear" w:color="000000" w:fill="FFFFFF"/>
            <w:noWrap/>
            <w:vAlign w:val="bottom"/>
            <w:hideMark/>
          </w:tcPr>
          <w:p w14:paraId="228FD91B"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19.4%</w:t>
            </w:r>
          </w:p>
        </w:tc>
        <w:tc>
          <w:tcPr>
            <w:tcW w:w="1283" w:type="dxa"/>
            <w:tcBorders>
              <w:top w:val="nil"/>
              <w:left w:val="nil"/>
              <w:bottom w:val="single" w:sz="4" w:space="0" w:color="auto"/>
              <w:right w:val="nil"/>
            </w:tcBorders>
            <w:shd w:val="clear" w:color="000000" w:fill="FFFFFF"/>
            <w:noWrap/>
            <w:vAlign w:val="bottom"/>
            <w:hideMark/>
          </w:tcPr>
          <w:p w14:paraId="038898C9"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16.4%</w:t>
            </w:r>
          </w:p>
        </w:tc>
        <w:tc>
          <w:tcPr>
            <w:tcW w:w="1283" w:type="dxa"/>
            <w:vAlign w:val="bottom"/>
          </w:tcPr>
          <w:p w14:paraId="2A59FE6F" w14:textId="77777777" w:rsidR="00B85BE4" w:rsidRPr="00156708" w:rsidRDefault="00B85BE4" w:rsidP="004F438B">
            <w:pPr>
              <w:spacing w:after="0" w:line="240" w:lineRule="auto"/>
              <w:jc w:val="center"/>
              <w:rPr>
                <w:rFonts w:eastAsia="Times New Roman" w:cs="Calibri"/>
                <w:color w:val="000000"/>
                <w:lang w:val="en-GB" w:eastAsia="en-GB"/>
              </w:rPr>
            </w:pPr>
          </w:p>
        </w:tc>
      </w:tr>
      <w:tr w:rsidR="00446F24" w:rsidRPr="00156708" w14:paraId="371365C8" w14:textId="77777777" w:rsidTr="00B85BE4">
        <w:trPr>
          <w:gridAfter w:val="1"/>
          <w:wAfter w:w="1283" w:type="dxa"/>
          <w:trHeight w:val="53"/>
          <w:jc w:val="right"/>
        </w:trPr>
        <w:tc>
          <w:tcPr>
            <w:tcW w:w="0" w:type="auto"/>
            <w:tcBorders>
              <w:top w:val="single" w:sz="4" w:space="0" w:color="auto"/>
              <w:left w:val="nil"/>
              <w:bottom w:val="single" w:sz="4" w:space="0" w:color="auto"/>
              <w:right w:val="nil"/>
            </w:tcBorders>
            <w:shd w:val="clear" w:color="000000" w:fill="FFFFFF"/>
            <w:noWrap/>
            <w:vAlign w:val="bottom"/>
            <w:hideMark/>
          </w:tcPr>
          <w:p w14:paraId="05BEF532" w14:textId="77777777" w:rsidR="00446F24" w:rsidRPr="00156708" w:rsidRDefault="00A76E5D"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09D13770" w14:textId="77777777" w:rsidR="00446F24" w:rsidRPr="00156708" w:rsidRDefault="00446F24" w:rsidP="00B85BE4">
            <w:pPr>
              <w:spacing w:after="0" w:line="240" w:lineRule="auto"/>
              <w:jc w:val="center"/>
              <w:rPr>
                <w:rFonts w:eastAsia="Times New Roman" w:cs="Calibri"/>
                <w:color w:val="000000"/>
                <w:lang w:val="en-GB" w:eastAsia="en-GB"/>
              </w:rPr>
            </w:pPr>
          </w:p>
        </w:tc>
        <w:tc>
          <w:tcPr>
            <w:tcW w:w="1380" w:type="dxa"/>
            <w:tcBorders>
              <w:top w:val="single" w:sz="4" w:space="0" w:color="auto"/>
              <w:left w:val="nil"/>
              <w:bottom w:val="single" w:sz="4" w:space="0" w:color="auto"/>
              <w:right w:val="nil"/>
            </w:tcBorders>
            <w:shd w:val="clear" w:color="000000" w:fill="FFFFFF"/>
            <w:noWrap/>
            <w:vAlign w:val="bottom"/>
            <w:hideMark/>
          </w:tcPr>
          <w:p w14:paraId="3A4886F9" w14:textId="77777777" w:rsidR="00446F24" w:rsidRPr="00156708" w:rsidRDefault="00446F24" w:rsidP="00B85BE4">
            <w:pPr>
              <w:spacing w:after="0" w:line="240" w:lineRule="auto"/>
              <w:jc w:val="right"/>
              <w:rPr>
                <w:rFonts w:eastAsia="Times New Roman" w:cs="Calibri"/>
                <w:color w:val="000000"/>
                <w:lang w:val="en-GB" w:eastAsia="en-GB"/>
              </w:rPr>
            </w:pPr>
          </w:p>
        </w:tc>
        <w:tc>
          <w:tcPr>
            <w:tcW w:w="1283" w:type="dxa"/>
            <w:tcBorders>
              <w:top w:val="single" w:sz="4" w:space="0" w:color="auto"/>
              <w:left w:val="nil"/>
              <w:bottom w:val="single" w:sz="4" w:space="0" w:color="auto"/>
              <w:right w:val="nil"/>
            </w:tcBorders>
            <w:shd w:val="clear" w:color="000000" w:fill="FFFFFF"/>
            <w:noWrap/>
            <w:vAlign w:val="bottom"/>
            <w:hideMark/>
          </w:tcPr>
          <w:p w14:paraId="0B6EDCA5" w14:textId="77777777" w:rsidR="00446F24" w:rsidRPr="00156708" w:rsidRDefault="00446F24" w:rsidP="00B85BE4">
            <w:pPr>
              <w:spacing w:after="0" w:line="240" w:lineRule="auto"/>
              <w:jc w:val="right"/>
              <w:rPr>
                <w:rFonts w:eastAsia="Times New Roman" w:cs="Calibri"/>
                <w:color w:val="000000"/>
                <w:lang w:val="en-GB" w:eastAsia="en-GB"/>
              </w:rPr>
            </w:pPr>
          </w:p>
        </w:tc>
      </w:tr>
      <w:tr w:rsidR="00B85BE4" w:rsidRPr="00156708" w14:paraId="08204469" w14:textId="77777777" w:rsidTr="00B85BE4">
        <w:trPr>
          <w:gridAfter w:val="1"/>
          <w:wAfter w:w="1283" w:type="dxa"/>
          <w:trHeight w:val="300"/>
          <w:jc w:val="right"/>
        </w:trPr>
        <w:tc>
          <w:tcPr>
            <w:tcW w:w="0" w:type="auto"/>
            <w:vMerge w:val="restart"/>
            <w:tcBorders>
              <w:top w:val="single" w:sz="4" w:space="0" w:color="auto"/>
              <w:left w:val="nil"/>
              <w:right w:val="nil"/>
            </w:tcBorders>
            <w:shd w:val="clear" w:color="000000" w:fill="FFFFFF"/>
            <w:noWrap/>
            <w:vAlign w:val="center"/>
            <w:hideMark/>
          </w:tcPr>
          <w:p w14:paraId="7E347A33" w14:textId="77777777" w:rsidR="00B85BE4" w:rsidRPr="00156708" w:rsidRDefault="00B85BE4"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Total Losses</w:t>
            </w:r>
          </w:p>
        </w:tc>
        <w:tc>
          <w:tcPr>
            <w:tcW w:w="0" w:type="auto"/>
            <w:tcBorders>
              <w:top w:val="single" w:sz="4" w:space="0" w:color="auto"/>
              <w:left w:val="nil"/>
              <w:bottom w:val="nil"/>
              <w:right w:val="nil"/>
            </w:tcBorders>
            <w:shd w:val="clear" w:color="000000" w:fill="FFFFFF"/>
            <w:noWrap/>
            <w:vAlign w:val="bottom"/>
            <w:hideMark/>
          </w:tcPr>
          <w:p w14:paraId="3E4100D8" w14:textId="77777777" w:rsidR="00B85BE4" w:rsidRPr="00156708" w:rsidRDefault="00B85BE4"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GWh</w:t>
            </w:r>
          </w:p>
        </w:tc>
        <w:tc>
          <w:tcPr>
            <w:tcW w:w="1380" w:type="dxa"/>
            <w:tcBorders>
              <w:top w:val="single" w:sz="4" w:space="0" w:color="auto"/>
              <w:left w:val="nil"/>
              <w:bottom w:val="nil"/>
              <w:right w:val="nil"/>
            </w:tcBorders>
            <w:shd w:val="clear" w:color="000000" w:fill="FFFFFF"/>
            <w:noWrap/>
            <w:vAlign w:val="bottom"/>
            <w:hideMark/>
          </w:tcPr>
          <w:p w14:paraId="5ECA444B"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1,409</w:t>
            </w:r>
          </w:p>
        </w:tc>
        <w:tc>
          <w:tcPr>
            <w:tcW w:w="1283" w:type="dxa"/>
            <w:tcBorders>
              <w:top w:val="single" w:sz="4" w:space="0" w:color="auto"/>
              <w:left w:val="nil"/>
              <w:bottom w:val="nil"/>
              <w:right w:val="nil"/>
            </w:tcBorders>
            <w:shd w:val="clear" w:color="000000" w:fill="FFFFFF"/>
            <w:noWrap/>
            <w:vAlign w:val="bottom"/>
            <w:hideMark/>
          </w:tcPr>
          <w:p w14:paraId="10AAEBAF" w14:textId="77777777" w:rsidR="00B85BE4" w:rsidRPr="00156708" w:rsidRDefault="00B85BE4" w:rsidP="00B85BE4">
            <w:pPr>
              <w:tabs>
                <w:tab w:val="center" w:pos="4320"/>
                <w:tab w:val="right" w:pos="8640"/>
              </w:tabs>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1,221</w:t>
            </w:r>
          </w:p>
        </w:tc>
      </w:tr>
      <w:tr w:rsidR="00B85BE4" w:rsidRPr="00156708" w14:paraId="40334095" w14:textId="77777777" w:rsidTr="00B85BE4">
        <w:trPr>
          <w:gridAfter w:val="1"/>
          <w:wAfter w:w="1283" w:type="dxa"/>
          <w:trHeight w:val="300"/>
          <w:jc w:val="right"/>
        </w:trPr>
        <w:tc>
          <w:tcPr>
            <w:tcW w:w="0" w:type="auto"/>
            <w:vMerge/>
            <w:tcBorders>
              <w:left w:val="nil"/>
              <w:bottom w:val="single" w:sz="4" w:space="0" w:color="auto"/>
              <w:right w:val="nil"/>
            </w:tcBorders>
            <w:shd w:val="clear" w:color="000000" w:fill="FFFFFF"/>
            <w:noWrap/>
            <w:vAlign w:val="bottom"/>
            <w:hideMark/>
          </w:tcPr>
          <w:p w14:paraId="58ED2D96" w14:textId="77777777" w:rsidR="00B85BE4" w:rsidRPr="00156708" w:rsidRDefault="00B85BE4" w:rsidP="004F438B">
            <w:pPr>
              <w:spacing w:after="0" w:line="240" w:lineRule="auto"/>
              <w:rPr>
                <w:rFonts w:eastAsia="Times New Roman" w:cs="Calibri"/>
                <w:color w:val="000000"/>
                <w:lang w:val="en-GB" w:eastAsia="en-GB"/>
              </w:rPr>
            </w:pPr>
          </w:p>
        </w:tc>
        <w:tc>
          <w:tcPr>
            <w:tcW w:w="0" w:type="auto"/>
            <w:tcBorders>
              <w:top w:val="nil"/>
              <w:left w:val="nil"/>
              <w:bottom w:val="single" w:sz="4" w:space="0" w:color="auto"/>
              <w:right w:val="nil"/>
            </w:tcBorders>
            <w:shd w:val="clear" w:color="000000" w:fill="FFFFFF"/>
            <w:noWrap/>
            <w:vAlign w:val="bottom"/>
            <w:hideMark/>
          </w:tcPr>
          <w:p w14:paraId="1DFAAB3C" w14:textId="77777777" w:rsidR="00B85BE4" w:rsidRPr="00156708" w:rsidRDefault="00B85BE4" w:rsidP="00B85BE4">
            <w:pPr>
              <w:spacing w:after="0" w:line="240" w:lineRule="auto"/>
              <w:jc w:val="center"/>
              <w:rPr>
                <w:rFonts w:eastAsia="Times New Roman" w:cs="Calibri"/>
                <w:color w:val="000000"/>
                <w:lang w:val="en-GB" w:eastAsia="en-GB"/>
              </w:rPr>
            </w:pPr>
            <w:r w:rsidRPr="00156708">
              <w:rPr>
                <w:rFonts w:eastAsia="Times New Roman" w:cs="Calibri"/>
                <w:color w:val="000000"/>
                <w:lang w:val="en-GB" w:eastAsia="en-GB"/>
              </w:rPr>
              <w:t>%</w:t>
            </w:r>
          </w:p>
        </w:tc>
        <w:tc>
          <w:tcPr>
            <w:tcW w:w="1380" w:type="dxa"/>
            <w:tcBorders>
              <w:top w:val="nil"/>
              <w:left w:val="nil"/>
              <w:bottom w:val="single" w:sz="4" w:space="0" w:color="auto"/>
              <w:right w:val="nil"/>
            </w:tcBorders>
            <w:shd w:val="clear" w:color="000000" w:fill="FFFFFF"/>
            <w:noWrap/>
            <w:vAlign w:val="bottom"/>
            <w:hideMark/>
          </w:tcPr>
          <w:p w14:paraId="3487EB2C"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25.4%</w:t>
            </w:r>
          </w:p>
        </w:tc>
        <w:tc>
          <w:tcPr>
            <w:tcW w:w="1283" w:type="dxa"/>
            <w:tcBorders>
              <w:top w:val="nil"/>
              <w:left w:val="nil"/>
              <w:bottom w:val="single" w:sz="4" w:space="0" w:color="auto"/>
              <w:right w:val="nil"/>
            </w:tcBorders>
            <w:shd w:val="clear" w:color="000000" w:fill="FFFFFF"/>
            <w:noWrap/>
            <w:vAlign w:val="bottom"/>
            <w:hideMark/>
          </w:tcPr>
          <w:p w14:paraId="5D55D0AC" w14:textId="77777777" w:rsidR="00B85BE4" w:rsidRPr="00156708" w:rsidRDefault="00B85BE4" w:rsidP="00B85BE4">
            <w:pPr>
              <w:spacing w:after="0" w:line="240" w:lineRule="auto"/>
              <w:jc w:val="right"/>
              <w:rPr>
                <w:rFonts w:eastAsia="Times New Roman" w:cs="Calibri"/>
                <w:color w:val="000000"/>
                <w:lang w:val="en-GB" w:eastAsia="en-GB"/>
              </w:rPr>
            </w:pPr>
            <w:r w:rsidRPr="00156708">
              <w:rPr>
                <w:rFonts w:eastAsia="Times New Roman" w:cs="Calibri"/>
                <w:color w:val="000000"/>
                <w:lang w:val="en-GB" w:eastAsia="en-GB"/>
              </w:rPr>
              <w:t>22.4%</w:t>
            </w:r>
          </w:p>
        </w:tc>
      </w:tr>
      <w:tr w:rsidR="00446F24" w:rsidRPr="00156708" w14:paraId="2E555C8B" w14:textId="77777777" w:rsidTr="004F438B">
        <w:trPr>
          <w:gridAfter w:val="1"/>
          <w:wAfter w:w="1283" w:type="dxa"/>
          <w:trHeight w:val="300"/>
          <w:jc w:val="right"/>
        </w:trPr>
        <w:tc>
          <w:tcPr>
            <w:tcW w:w="0" w:type="auto"/>
            <w:tcBorders>
              <w:top w:val="single" w:sz="4" w:space="0" w:color="auto"/>
              <w:left w:val="nil"/>
              <w:bottom w:val="nil"/>
              <w:right w:val="nil"/>
            </w:tcBorders>
            <w:shd w:val="clear" w:color="000000" w:fill="FFFFFF"/>
            <w:noWrap/>
            <w:vAlign w:val="bottom"/>
            <w:hideMark/>
          </w:tcPr>
          <w:p w14:paraId="094175C4" w14:textId="77777777" w:rsidR="00446F24" w:rsidRPr="00156708" w:rsidRDefault="00A76E5D" w:rsidP="004F438B">
            <w:pPr>
              <w:spacing w:after="0" w:line="240" w:lineRule="auto"/>
              <w:rPr>
                <w:rFonts w:eastAsia="Times New Roman" w:cs="Calibri"/>
                <w:color w:val="000000"/>
                <w:lang w:val="en-GB" w:eastAsia="en-GB"/>
              </w:rPr>
            </w:pPr>
            <w:r w:rsidRPr="00156708">
              <w:rPr>
                <w:rFonts w:eastAsia="Times New Roman" w:cs="Calibri"/>
                <w:color w:val="000000"/>
                <w:lang w:val="en-GB" w:eastAsia="en-GB"/>
              </w:rPr>
              <w:t> </w:t>
            </w:r>
          </w:p>
        </w:tc>
        <w:tc>
          <w:tcPr>
            <w:tcW w:w="0" w:type="auto"/>
            <w:tcBorders>
              <w:top w:val="single" w:sz="4" w:space="0" w:color="auto"/>
              <w:left w:val="nil"/>
              <w:bottom w:val="nil"/>
              <w:right w:val="nil"/>
            </w:tcBorders>
            <w:shd w:val="clear" w:color="000000" w:fill="FFFFFF"/>
            <w:noWrap/>
            <w:vAlign w:val="bottom"/>
            <w:hideMark/>
          </w:tcPr>
          <w:p w14:paraId="2F4F8751" w14:textId="4F60FBFE" w:rsidR="00446F24" w:rsidRPr="00156708" w:rsidRDefault="00446F24" w:rsidP="00B85BE4">
            <w:pPr>
              <w:spacing w:after="0" w:line="240" w:lineRule="auto"/>
              <w:jc w:val="center"/>
              <w:rPr>
                <w:rFonts w:eastAsia="Times New Roman" w:cs="Calibri"/>
                <w:color w:val="000000"/>
                <w:lang w:val="en-GB" w:eastAsia="en-GB"/>
              </w:rPr>
            </w:pPr>
          </w:p>
        </w:tc>
        <w:tc>
          <w:tcPr>
            <w:tcW w:w="1380" w:type="dxa"/>
            <w:tcBorders>
              <w:top w:val="single" w:sz="4" w:space="0" w:color="auto"/>
              <w:left w:val="nil"/>
              <w:bottom w:val="nil"/>
              <w:right w:val="nil"/>
            </w:tcBorders>
            <w:shd w:val="clear" w:color="000000" w:fill="FFFFFF"/>
            <w:noWrap/>
            <w:vAlign w:val="bottom"/>
            <w:hideMark/>
          </w:tcPr>
          <w:p w14:paraId="19070139" w14:textId="77777777" w:rsidR="00446F24" w:rsidRPr="00156708" w:rsidRDefault="00446F24" w:rsidP="00B85BE4">
            <w:pPr>
              <w:spacing w:after="0" w:line="240" w:lineRule="auto"/>
              <w:jc w:val="right"/>
              <w:rPr>
                <w:rFonts w:eastAsia="Times New Roman" w:cs="Calibri"/>
                <w:color w:val="000000"/>
                <w:lang w:val="en-GB" w:eastAsia="en-GB"/>
              </w:rPr>
            </w:pPr>
          </w:p>
        </w:tc>
        <w:tc>
          <w:tcPr>
            <w:tcW w:w="1283" w:type="dxa"/>
            <w:tcBorders>
              <w:top w:val="single" w:sz="4" w:space="0" w:color="auto"/>
              <w:left w:val="nil"/>
              <w:bottom w:val="nil"/>
              <w:right w:val="nil"/>
            </w:tcBorders>
            <w:shd w:val="clear" w:color="000000" w:fill="FFFFFF"/>
            <w:noWrap/>
            <w:vAlign w:val="bottom"/>
            <w:hideMark/>
          </w:tcPr>
          <w:p w14:paraId="3CC6B688" w14:textId="77777777" w:rsidR="00446F24" w:rsidRPr="00156708" w:rsidRDefault="00446F24" w:rsidP="00B85BE4">
            <w:pPr>
              <w:spacing w:after="0" w:line="240" w:lineRule="auto"/>
              <w:jc w:val="right"/>
              <w:rPr>
                <w:rFonts w:eastAsia="Times New Roman" w:cs="Calibri"/>
                <w:color w:val="000000"/>
                <w:lang w:val="en-GB" w:eastAsia="en-GB"/>
              </w:rPr>
            </w:pPr>
          </w:p>
        </w:tc>
      </w:tr>
      <w:tr w:rsidR="00446F24" w:rsidRPr="00156708" w14:paraId="094F584A" w14:textId="77777777" w:rsidTr="004F438B">
        <w:trPr>
          <w:gridAfter w:val="1"/>
          <w:wAfter w:w="1283"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1BCC11DF" w14:textId="77777777" w:rsidR="00446F24" w:rsidRPr="00156708" w:rsidRDefault="003F0253" w:rsidP="004F438B">
            <w:pPr>
              <w:spacing w:after="0" w:line="240" w:lineRule="auto"/>
              <w:rPr>
                <w:rFonts w:eastAsia="Times New Roman" w:cs="Calibri"/>
                <w:b/>
                <w:bCs/>
                <w:color w:val="000000"/>
                <w:lang w:val="en-GB" w:eastAsia="en-GB"/>
              </w:rPr>
            </w:pPr>
            <w:r w:rsidRPr="00156708">
              <w:rPr>
                <w:rFonts w:eastAsia="Times New Roman" w:cs="Calibri"/>
                <w:b/>
                <w:bCs/>
                <w:color w:val="000000"/>
                <w:lang w:val="en-GB" w:eastAsia="en-GB"/>
              </w:rPr>
              <w:t>Energy remained for billing</w:t>
            </w:r>
          </w:p>
        </w:tc>
        <w:tc>
          <w:tcPr>
            <w:tcW w:w="0" w:type="auto"/>
            <w:tcBorders>
              <w:top w:val="single" w:sz="4" w:space="0" w:color="auto"/>
              <w:left w:val="nil"/>
              <w:bottom w:val="single" w:sz="4" w:space="0" w:color="auto"/>
              <w:right w:val="nil"/>
            </w:tcBorders>
            <w:shd w:val="clear" w:color="000000" w:fill="FFFFFF"/>
            <w:noWrap/>
            <w:vAlign w:val="bottom"/>
            <w:hideMark/>
          </w:tcPr>
          <w:p w14:paraId="7ED65586" w14:textId="77777777" w:rsidR="00446F24" w:rsidRPr="00156708" w:rsidRDefault="00DC2766" w:rsidP="00B85BE4">
            <w:pPr>
              <w:spacing w:after="0" w:line="240" w:lineRule="auto"/>
              <w:jc w:val="center"/>
              <w:rPr>
                <w:rFonts w:eastAsia="Times New Roman" w:cs="Calibri"/>
                <w:b/>
                <w:bCs/>
                <w:color w:val="000000"/>
                <w:lang w:val="en-GB" w:eastAsia="en-GB"/>
              </w:rPr>
            </w:pPr>
            <w:r w:rsidRPr="00156708">
              <w:rPr>
                <w:rFonts w:eastAsia="Times New Roman" w:cs="Calibri"/>
                <w:b/>
                <w:bCs/>
                <w:color w:val="000000"/>
                <w:lang w:val="en-GB" w:eastAsia="en-GB"/>
              </w:rPr>
              <w:t>GWh</w:t>
            </w:r>
          </w:p>
        </w:tc>
        <w:tc>
          <w:tcPr>
            <w:tcW w:w="1380" w:type="dxa"/>
            <w:tcBorders>
              <w:top w:val="single" w:sz="4" w:space="0" w:color="auto"/>
              <w:left w:val="nil"/>
              <w:bottom w:val="single" w:sz="4" w:space="0" w:color="auto"/>
              <w:right w:val="nil"/>
            </w:tcBorders>
            <w:shd w:val="clear" w:color="000000" w:fill="FFFFFF"/>
            <w:noWrap/>
            <w:vAlign w:val="bottom"/>
            <w:hideMark/>
          </w:tcPr>
          <w:p w14:paraId="7F9BFAC0" w14:textId="77777777" w:rsidR="00446F24" w:rsidRPr="00156708" w:rsidRDefault="00980571" w:rsidP="00B85BE4">
            <w:pPr>
              <w:spacing w:after="0" w:line="240" w:lineRule="auto"/>
              <w:jc w:val="right"/>
              <w:rPr>
                <w:rFonts w:eastAsia="Times New Roman" w:cs="Calibri"/>
                <w:b/>
                <w:bCs/>
                <w:color w:val="000000"/>
                <w:lang w:val="en-GB" w:eastAsia="en-GB"/>
              </w:rPr>
            </w:pPr>
            <w:r w:rsidRPr="00156708">
              <w:rPr>
                <w:rFonts w:eastAsia="Times New Roman" w:cs="Calibri"/>
                <w:b/>
                <w:bCs/>
                <w:color w:val="000000"/>
                <w:lang w:val="en-GB" w:eastAsia="en-GB"/>
              </w:rPr>
              <w:t>4</w:t>
            </w:r>
            <w:r w:rsidR="00DC2766" w:rsidRPr="00156708">
              <w:rPr>
                <w:rFonts w:eastAsia="Times New Roman" w:cs="Calibri"/>
                <w:b/>
                <w:bCs/>
                <w:color w:val="000000"/>
                <w:lang w:val="en-GB" w:eastAsia="en-GB"/>
              </w:rPr>
              <w:t>,</w:t>
            </w:r>
            <w:r w:rsidRPr="00156708">
              <w:rPr>
                <w:rFonts w:eastAsia="Times New Roman" w:cs="Calibri"/>
                <w:b/>
                <w:bCs/>
                <w:color w:val="000000"/>
                <w:lang w:val="en-GB" w:eastAsia="en-GB"/>
              </w:rPr>
              <w:t>140</w:t>
            </w:r>
          </w:p>
        </w:tc>
        <w:tc>
          <w:tcPr>
            <w:tcW w:w="1283" w:type="dxa"/>
            <w:tcBorders>
              <w:top w:val="single" w:sz="4" w:space="0" w:color="auto"/>
              <w:left w:val="nil"/>
              <w:bottom w:val="single" w:sz="4" w:space="0" w:color="auto"/>
              <w:right w:val="nil"/>
            </w:tcBorders>
            <w:shd w:val="clear" w:color="000000" w:fill="FFFFFF"/>
            <w:noWrap/>
            <w:vAlign w:val="bottom"/>
            <w:hideMark/>
          </w:tcPr>
          <w:p w14:paraId="1DEF885F" w14:textId="77777777" w:rsidR="00446F24" w:rsidRPr="00156708" w:rsidRDefault="00DC2766" w:rsidP="00B85BE4">
            <w:pPr>
              <w:spacing w:after="0" w:line="240" w:lineRule="auto"/>
              <w:jc w:val="right"/>
              <w:rPr>
                <w:rFonts w:eastAsia="Times New Roman" w:cs="Calibri"/>
                <w:b/>
                <w:bCs/>
                <w:color w:val="000000"/>
                <w:lang w:val="en-GB" w:eastAsia="en-GB"/>
              </w:rPr>
            </w:pPr>
            <w:r w:rsidRPr="00156708">
              <w:rPr>
                <w:rFonts w:eastAsia="Times New Roman" w:cs="Calibri"/>
                <w:b/>
                <w:bCs/>
                <w:color w:val="000000"/>
                <w:lang w:val="en-GB" w:eastAsia="en-GB"/>
              </w:rPr>
              <w:t>4,</w:t>
            </w:r>
            <w:r w:rsidR="00980571" w:rsidRPr="00156708">
              <w:rPr>
                <w:rFonts w:eastAsia="Times New Roman" w:cs="Calibri"/>
                <w:b/>
                <w:bCs/>
                <w:color w:val="000000"/>
                <w:lang w:val="en-GB" w:eastAsia="en-GB"/>
              </w:rPr>
              <w:t>231</w:t>
            </w:r>
          </w:p>
        </w:tc>
      </w:tr>
      <w:tr w:rsidR="00446F24" w:rsidRPr="00156708" w14:paraId="6CFD41ED" w14:textId="77777777" w:rsidTr="00980571">
        <w:trPr>
          <w:gridAfter w:val="1"/>
          <w:wAfter w:w="1283" w:type="dxa"/>
          <w:trHeight w:val="300"/>
          <w:jc w:val="right"/>
        </w:trPr>
        <w:tc>
          <w:tcPr>
            <w:tcW w:w="0" w:type="auto"/>
            <w:tcBorders>
              <w:top w:val="nil"/>
              <w:left w:val="nil"/>
              <w:bottom w:val="nil"/>
              <w:right w:val="nil"/>
            </w:tcBorders>
            <w:shd w:val="clear" w:color="000000" w:fill="FFFFFF"/>
            <w:noWrap/>
            <w:vAlign w:val="bottom"/>
          </w:tcPr>
          <w:p w14:paraId="43FAD611" w14:textId="77777777" w:rsidR="00446F24" w:rsidRPr="00156708" w:rsidRDefault="00446F24" w:rsidP="004F438B">
            <w:pPr>
              <w:spacing w:after="0" w:line="240" w:lineRule="auto"/>
              <w:rPr>
                <w:rFonts w:eastAsia="Times New Roman" w:cs="Calibri"/>
                <w:color w:val="000000"/>
                <w:lang w:val="en-GB" w:eastAsia="en-GB"/>
              </w:rPr>
            </w:pPr>
          </w:p>
        </w:tc>
        <w:tc>
          <w:tcPr>
            <w:tcW w:w="0" w:type="auto"/>
            <w:tcBorders>
              <w:top w:val="nil"/>
              <w:left w:val="nil"/>
              <w:bottom w:val="nil"/>
              <w:right w:val="nil"/>
            </w:tcBorders>
            <w:shd w:val="clear" w:color="000000" w:fill="FFFFFF"/>
            <w:noWrap/>
            <w:vAlign w:val="bottom"/>
          </w:tcPr>
          <w:p w14:paraId="08F31316" w14:textId="77777777" w:rsidR="00446F24" w:rsidRPr="00156708" w:rsidRDefault="00446F24" w:rsidP="004F438B">
            <w:pPr>
              <w:spacing w:after="0" w:line="240" w:lineRule="auto"/>
              <w:rPr>
                <w:rFonts w:eastAsia="Times New Roman" w:cs="Calibri"/>
                <w:color w:val="000000"/>
                <w:lang w:val="en-GB" w:eastAsia="en-GB"/>
              </w:rPr>
            </w:pPr>
          </w:p>
        </w:tc>
        <w:tc>
          <w:tcPr>
            <w:tcW w:w="1380" w:type="dxa"/>
            <w:tcBorders>
              <w:top w:val="nil"/>
              <w:left w:val="nil"/>
              <w:bottom w:val="nil"/>
              <w:right w:val="nil"/>
            </w:tcBorders>
            <w:shd w:val="clear" w:color="000000" w:fill="FFFFFF"/>
            <w:noWrap/>
            <w:vAlign w:val="bottom"/>
          </w:tcPr>
          <w:p w14:paraId="702FDC5A" w14:textId="77777777" w:rsidR="00446F24" w:rsidRPr="00156708" w:rsidRDefault="00446F24" w:rsidP="004F438B">
            <w:pPr>
              <w:spacing w:after="0" w:line="240" w:lineRule="auto"/>
              <w:jc w:val="center"/>
              <w:rPr>
                <w:rFonts w:eastAsia="Times New Roman" w:cs="Calibri"/>
                <w:color w:val="000000"/>
                <w:lang w:val="en-GB" w:eastAsia="en-GB"/>
              </w:rPr>
            </w:pPr>
          </w:p>
        </w:tc>
        <w:tc>
          <w:tcPr>
            <w:tcW w:w="1283" w:type="dxa"/>
            <w:tcBorders>
              <w:top w:val="nil"/>
              <w:left w:val="nil"/>
              <w:bottom w:val="nil"/>
              <w:right w:val="nil"/>
            </w:tcBorders>
            <w:shd w:val="clear" w:color="000000" w:fill="FFFFFF"/>
            <w:noWrap/>
            <w:vAlign w:val="bottom"/>
          </w:tcPr>
          <w:p w14:paraId="77254CB9" w14:textId="77777777" w:rsidR="00446F24" w:rsidRPr="00156708" w:rsidRDefault="00446F24" w:rsidP="004F438B">
            <w:pPr>
              <w:spacing w:after="0" w:line="240" w:lineRule="auto"/>
              <w:jc w:val="center"/>
              <w:rPr>
                <w:rFonts w:eastAsia="Times New Roman" w:cs="Calibri"/>
                <w:color w:val="000000"/>
                <w:lang w:val="en-GB" w:eastAsia="en-GB"/>
              </w:rPr>
            </w:pPr>
          </w:p>
        </w:tc>
      </w:tr>
    </w:tbl>
    <w:p w14:paraId="4AD71084" w14:textId="77777777" w:rsidR="00446F24" w:rsidRPr="00156708" w:rsidRDefault="00C0374D" w:rsidP="00446F24">
      <w:pPr>
        <w:jc w:val="both"/>
        <w:rPr>
          <w:lang w:val="en-GB"/>
        </w:rPr>
      </w:pPr>
      <w:r w:rsidRPr="00156708">
        <w:rPr>
          <w:lang w:val="en-GB"/>
        </w:rPr>
        <w:t xml:space="preserve">From the analysis of KEDS application, ERO has noticed that energy purchases to cover losses are 1,026 GWh, while losses realized based on </w:t>
      </w:r>
      <w:r w:rsidR="00087B64" w:rsidRPr="00156708">
        <w:rPr>
          <w:lang w:val="en-GB"/>
        </w:rPr>
        <w:t>physical energy flows are 1,075 which</w:t>
      </w:r>
      <w:r w:rsidRPr="00156708">
        <w:rPr>
          <w:lang w:val="en-GB"/>
        </w:rPr>
        <w:t xml:space="preserve"> results in a difference of about 49 GWh. But from the analysis of the balancing mechanism it is noticed that KEDS ha</w:t>
      </w:r>
      <w:r w:rsidR="00087B64" w:rsidRPr="00156708">
        <w:rPr>
          <w:lang w:val="en-GB"/>
        </w:rPr>
        <w:t>s</w:t>
      </w:r>
      <w:r w:rsidRPr="00156708">
        <w:rPr>
          <w:lang w:val="en-GB"/>
        </w:rPr>
        <w:t xml:space="preserve"> been billed 54 GWh (11GWh </w:t>
      </w:r>
      <w:r w:rsidR="009254D7" w:rsidRPr="00156708">
        <w:rPr>
          <w:lang w:val="en-GB"/>
        </w:rPr>
        <w:t>injection</w:t>
      </w:r>
      <w:r w:rsidRPr="00156708">
        <w:rPr>
          <w:lang w:val="en-GB"/>
        </w:rPr>
        <w:t>, while 65GWh withdrawal) as energy withdrawal.</w:t>
      </w:r>
    </w:p>
    <w:p w14:paraId="37A175B0" w14:textId="77777777" w:rsidR="00087B64" w:rsidRPr="00156708" w:rsidRDefault="00087B64" w:rsidP="00446F24">
      <w:pPr>
        <w:jc w:val="both"/>
        <w:rPr>
          <w:lang w:val="en-GB"/>
        </w:rPr>
      </w:pPr>
      <w:r w:rsidRPr="00156708">
        <w:rPr>
          <w:lang w:val="en-GB"/>
        </w:rPr>
        <w:t>Such deviations are covered by the internal network and the interconnection system. After the independence of KOSTT, the balancing of the system should not continue through USS from the Compensation Program for any trading party, because purchases through the Compensation Program have higher costs than the penalties paid by the parties through the balancing mechanism due to deviations they have caused. Therefore, for the costs incurred (by interconnection deviations), the trading parties have paid a lower value as a penalty by the balancing mechanism. Such deviations for the DSO may be caused by inaccuracies in the loss forecast by the DSO itself as well as by changes in the energy demand nominated by suppliers. For such deviations the DSO and USS are charged on the basis of allocation and not on the basis of actual deviations caused. This principle has been applied since the beginning of the implementation of the balancing mechanism. Due to this approach, errors were identified in the real calculation of imbalances for the responsible parties (DSO and USS), as a result, the real costs for the parties that caused them were not reflected. Therefore, we estimate that a reassessment of the deviations for the DSO and USS parties should be made from the commencement of the implementation of the balancing mechanism to identify the real imbalances in MWh and the costs associated with them. Following this reassessment, consideration should be given to reviewing the costs and revenues of the DSO and the USS for such deviations.</w:t>
      </w:r>
    </w:p>
    <w:p w14:paraId="482CC3B1" w14:textId="77777777" w:rsidR="00C0374D" w:rsidRPr="00156708" w:rsidRDefault="00103452" w:rsidP="00446F24">
      <w:pPr>
        <w:jc w:val="both"/>
        <w:rPr>
          <w:lang w:val="en-GB"/>
        </w:rPr>
      </w:pPr>
      <w:r w:rsidRPr="00156708">
        <w:rPr>
          <w:lang w:val="en-GB"/>
        </w:rPr>
        <w:t xml:space="preserve">KEDS and KESCO, on 7 July 2021, have notified ERO regarding technical errors for electricity sales and energy losses for 2020 reported at ERO and as a result there are changes of about 18GWh as an increase in DSO losses, respectively reduction of billing for the same amount. Given that such difference also implies equations of balancing mechanisms for trading parties, ERO in this consultation report will not consider such a correction, and expects KEDS to inform and consult other trading parties </w:t>
      </w:r>
      <w:r w:rsidR="003B6619" w:rsidRPr="00156708">
        <w:rPr>
          <w:lang w:val="en-GB"/>
        </w:rPr>
        <w:t>in relation to this</w:t>
      </w:r>
      <w:r w:rsidRPr="00156708">
        <w:rPr>
          <w:lang w:val="en-GB"/>
        </w:rPr>
        <w:t xml:space="preserve"> and then identify the implications of this correction for each trading party.</w:t>
      </w:r>
    </w:p>
    <w:p w14:paraId="785C4692" w14:textId="77777777" w:rsidR="00C0374D" w:rsidRPr="00156708" w:rsidRDefault="00A84517" w:rsidP="00446F24">
      <w:pPr>
        <w:jc w:val="both"/>
        <w:rPr>
          <w:lang w:val="en-GB"/>
        </w:rPr>
      </w:pPr>
      <w:r w:rsidRPr="00156708">
        <w:rPr>
          <w:lang w:val="en-GB"/>
        </w:rPr>
        <w:t>The planning of energy flows for 2021 is carried out using the approach from consumption and applying the allowed level of losses in the DSO of 16.4%.</w:t>
      </w:r>
    </w:p>
    <w:p w14:paraId="070C571D" w14:textId="77777777" w:rsidR="00C0374D" w:rsidRPr="00156708" w:rsidRDefault="00A84517" w:rsidP="00446F24">
      <w:pPr>
        <w:jc w:val="both"/>
        <w:rPr>
          <w:lang w:val="en-GB"/>
        </w:rPr>
      </w:pPr>
      <w:r w:rsidRPr="00156708">
        <w:rPr>
          <w:lang w:val="en-GB"/>
        </w:rPr>
        <w:lastRenderedPageBreak/>
        <w:t xml:space="preserve">KEDS requested in its application that only 20% of the costs resulting from energy billing for the recovery of losses </w:t>
      </w:r>
      <w:r w:rsidR="00A17133" w:rsidRPr="00156708">
        <w:rPr>
          <w:lang w:val="en-GB"/>
        </w:rPr>
        <w:t>shall</w:t>
      </w:r>
      <w:r w:rsidRPr="00156708">
        <w:rPr>
          <w:lang w:val="en-GB"/>
        </w:rPr>
        <w:t xml:space="preserve"> be taken into account, </w:t>
      </w:r>
      <w:r w:rsidR="00A17133" w:rsidRPr="00156708">
        <w:rPr>
          <w:lang w:val="en-GB"/>
        </w:rPr>
        <w:t>due to the impossibility of their collection, as a result of delays in court proceedings. The return of losses, according to KEDS report and ERO’s verifications, results in an amount of 47 GWh electricity. Such value is used during the calculation of revenues realized from sales.</w:t>
      </w:r>
    </w:p>
    <w:p w14:paraId="7F76A19D" w14:textId="77777777" w:rsidR="00446F24" w:rsidRPr="00156708" w:rsidRDefault="00DC2766" w:rsidP="00446F24">
      <w:pPr>
        <w:jc w:val="both"/>
        <w:rPr>
          <w:lang w:val="en-GB"/>
        </w:rPr>
      </w:pPr>
      <w:r w:rsidRPr="00156708">
        <w:rPr>
          <w:lang w:val="en-GB"/>
        </w:rPr>
        <w:t xml:space="preserve">ERO considers that the cost that results from billing of such energy shall be treated as a total revenue, because this is treated with the accrual principle, where the revenues are recognized at the moment of billing, not when they are collected. Furthermore, it shall be emphasized that this amount of energy of </w:t>
      </w:r>
      <w:r w:rsidR="008719EF" w:rsidRPr="00156708">
        <w:rPr>
          <w:lang w:val="en-GB"/>
        </w:rPr>
        <w:t>4</w:t>
      </w:r>
      <w:r w:rsidRPr="00156708">
        <w:rPr>
          <w:lang w:val="en-GB"/>
        </w:rPr>
        <w:t xml:space="preserve">7 GWh is included in the energy entering the distribution system. From this basis, the costs of energy losses are calculated, therefore the recognition of this energy as a cost, means also the recognition of costs resulting from this energy. </w:t>
      </w:r>
    </w:p>
    <w:p w14:paraId="0522F914" w14:textId="77777777" w:rsidR="00446F24" w:rsidRPr="00156708" w:rsidRDefault="00DC2766" w:rsidP="00446F24">
      <w:pPr>
        <w:jc w:val="both"/>
        <w:rPr>
          <w:lang w:val="en-GB"/>
        </w:rPr>
      </w:pPr>
      <w:r w:rsidRPr="00156708">
        <w:rPr>
          <w:lang w:val="en-GB"/>
        </w:rPr>
        <w:t>From the table above, it is noticed that the</w:t>
      </w:r>
      <w:r w:rsidR="008719EF" w:rsidRPr="00156708">
        <w:rPr>
          <w:lang w:val="en-GB"/>
        </w:rPr>
        <w:t xml:space="preserve"> unbilled energy from the four municipalities in the northern part of Kosovo</w:t>
      </w:r>
      <w:r w:rsidRPr="00156708">
        <w:rPr>
          <w:lang w:val="en-GB"/>
        </w:rPr>
        <w:t xml:space="preserve"> </w:t>
      </w:r>
      <w:r w:rsidR="00795B68" w:rsidRPr="00156708">
        <w:rPr>
          <w:lang w:val="en-GB"/>
        </w:rPr>
        <w:t>is</w:t>
      </w:r>
      <w:r w:rsidRPr="00156708">
        <w:rPr>
          <w:lang w:val="en-GB"/>
        </w:rPr>
        <w:t xml:space="preserve"> presented as physical flows and used for the purpose of reconciliation of the electricity balance.  However, costs that are derived from the supply of four northern municipalities of Kosovo are not included during the calculation of energy supply costs</w:t>
      </w:r>
      <w:r w:rsidR="00795B68" w:rsidRPr="00156708">
        <w:rPr>
          <w:lang w:val="en-GB"/>
        </w:rPr>
        <w:t>, in accordance with the decision on the interim measure given by the Basic Court and confirmed by the Court of Appeals.</w:t>
      </w:r>
    </w:p>
    <w:p w14:paraId="29BA1D41" w14:textId="77777777" w:rsidR="00446F24" w:rsidRPr="00156708" w:rsidRDefault="00DC2766" w:rsidP="00446F24">
      <w:pPr>
        <w:pStyle w:val="Heading1"/>
      </w:pPr>
      <w:bookmarkStart w:id="6" w:name="_Toc81818992"/>
      <w:r w:rsidRPr="00156708">
        <w:t>Regular Adjustments</w:t>
      </w:r>
      <w:bookmarkEnd w:id="6"/>
    </w:p>
    <w:p w14:paraId="640107CD" w14:textId="77777777" w:rsidR="00446F24" w:rsidRPr="00156708" w:rsidRDefault="00DC2766" w:rsidP="00446F24">
      <w:pPr>
        <w:jc w:val="both"/>
        <w:rPr>
          <w:lang w:val="en-GB"/>
        </w:rPr>
      </w:pPr>
      <w:r w:rsidRPr="00156708">
        <w:rPr>
          <w:lang w:val="en-GB"/>
        </w:rPr>
        <w:t>This part presents the calculations related to regular annual adjustments for 20</w:t>
      </w:r>
      <w:r w:rsidR="00724E8D" w:rsidRPr="00156708">
        <w:rPr>
          <w:lang w:val="en-GB"/>
        </w:rPr>
        <w:t>20</w:t>
      </w:r>
      <w:r w:rsidRPr="00156708">
        <w:rPr>
          <w:lang w:val="en-GB"/>
        </w:rPr>
        <w:t>. The calculation of these adjustments will be included during the determination of Maximum Allowed Revenues for relevant tariff year 202</w:t>
      </w:r>
      <w:r w:rsidR="00724E8D" w:rsidRPr="00156708">
        <w:rPr>
          <w:lang w:val="en-GB"/>
        </w:rPr>
        <w:t>1</w:t>
      </w:r>
      <w:r w:rsidRPr="00156708">
        <w:rPr>
          <w:lang w:val="en-GB"/>
        </w:rPr>
        <w:t>.</w:t>
      </w:r>
    </w:p>
    <w:p w14:paraId="16951E5D" w14:textId="77777777" w:rsidR="00446F24" w:rsidRPr="00156708" w:rsidRDefault="00DC2766" w:rsidP="00446F24">
      <w:pPr>
        <w:pStyle w:val="Heading2"/>
        <w:tabs>
          <w:tab w:val="num" w:pos="810"/>
        </w:tabs>
        <w:ind w:left="810"/>
        <w:jc w:val="left"/>
      </w:pPr>
      <w:bookmarkStart w:id="7" w:name="_Toc81818993"/>
      <w:r w:rsidRPr="00156708">
        <w:t>Adjustments for Inflation Rate</w:t>
      </w:r>
      <w:bookmarkEnd w:id="7"/>
    </w:p>
    <w:p w14:paraId="71BA95EC" w14:textId="77777777" w:rsidR="00446F24" w:rsidRPr="00156708" w:rsidRDefault="00DC2766" w:rsidP="00446F24">
      <w:pPr>
        <w:spacing w:before="120"/>
        <w:jc w:val="both"/>
        <w:rPr>
          <w:lang w:val="en-GB"/>
        </w:rPr>
      </w:pPr>
      <w:r w:rsidRPr="00156708">
        <w:rPr>
          <w:lang w:val="en-GB"/>
        </w:rPr>
        <w:t>In order to carry out the calculation of adjustments related to the inflation rate, as a reference was taken the inflation rate published by Eurostat for Eurozone countries, which for 20</w:t>
      </w:r>
      <w:r w:rsidR="000915EB" w:rsidRPr="00156708">
        <w:rPr>
          <w:lang w:val="en-GB"/>
        </w:rPr>
        <w:t>20</w:t>
      </w:r>
      <w:r w:rsidRPr="00156708">
        <w:rPr>
          <w:lang w:val="en-GB"/>
        </w:rPr>
        <w:t xml:space="preserve"> was </w:t>
      </w:r>
      <w:r w:rsidR="000915EB" w:rsidRPr="00156708">
        <w:rPr>
          <w:lang w:val="en-GB"/>
        </w:rPr>
        <w:t>0.26</w:t>
      </w:r>
      <w:r w:rsidRPr="00156708">
        <w:rPr>
          <w:lang w:val="en-GB"/>
        </w:rPr>
        <w:t>%</w:t>
      </w:r>
      <w:r w:rsidR="00A76E5D" w:rsidRPr="00156708">
        <w:rPr>
          <w:rStyle w:val="FootnoteReference"/>
          <w:lang w:val="en-GB"/>
        </w:rPr>
        <w:footnoteReference w:id="1"/>
      </w:r>
      <w:r w:rsidR="00A76E5D" w:rsidRPr="00156708">
        <w:rPr>
          <w:lang w:val="en-GB"/>
        </w:rPr>
        <w:t xml:space="preserve">. The manner for calculation of such adjustments is set in the Rule on DSO Revenues. </w:t>
      </w:r>
    </w:p>
    <w:p w14:paraId="1E166B28" w14:textId="5CF63B54" w:rsidR="00446F24" w:rsidRDefault="00DC2766" w:rsidP="00446F24">
      <w:pPr>
        <w:jc w:val="both"/>
        <w:rPr>
          <w:lang w:val="en-GB"/>
        </w:rPr>
      </w:pPr>
      <w:r w:rsidRPr="00156708">
        <w:rPr>
          <w:lang w:val="en-GB"/>
        </w:rPr>
        <w:t xml:space="preserve">This rate is applied in adjustment of operational costs, depreciation costs and return on capital. Following the application of the inflation rate of </w:t>
      </w:r>
      <w:r w:rsidR="000915EB" w:rsidRPr="00156708">
        <w:rPr>
          <w:lang w:val="en-GB"/>
        </w:rPr>
        <w:t>0.26</w:t>
      </w:r>
      <w:r w:rsidRPr="00156708">
        <w:rPr>
          <w:lang w:val="en-GB"/>
        </w:rPr>
        <w:t>% towards the above-mentioned cost components, the value of adjusted costs in an amount of 0.</w:t>
      </w:r>
      <w:r w:rsidR="000915EB" w:rsidRPr="00156708">
        <w:rPr>
          <w:lang w:val="en-GB"/>
        </w:rPr>
        <w:t>1</w:t>
      </w:r>
      <w:r w:rsidRPr="00156708">
        <w:rPr>
          <w:lang w:val="en-GB"/>
        </w:rPr>
        <w:t xml:space="preserve">5 million Euros is derived. The adjustments that have resulted from the application of inflation rate for each of the components of allowed costs in </w:t>
      </w:r>
      <w:r w:rsidR="000915EB" w:rsidRPr="00156708">
        <w:rPr>
          <w:lang w:val="en-GB"/>
        </w:rPr>
        <w:t>2020</w:t>
      </w:r>
      <w:r w:rsidRPr="00156708">
        <w:rPr>
          <w:lang w:val="en-GB"/>
        </w:rPr>
        <w:t xml:space="preserve">, have been added to the preliminary evaluation of the costs evaluated for </w:t>
      </w:r>
      <w:r w:rsidR="000915EB" w:rsidRPr="00156708">
        <w:rPr>
          <w:lang w:val="en-GB"/>
        </w:rPr>
        <w:t>2021</w:t>
      </w:r>
      <w:r w:rsidRPr="00156708">
        <w:rPr>
          <w:lang w:val="en-GB"/>
        </w:rPr>
        <w:t>. The details on these calculations are presented in the following table:</w:t>
      </w:r>
    </w:p>
    <w:p w14:paraId="6D4EDC6E" w14:textId="219D9261" w:rsidR="009A1116" w:rsidRDefault="009A1116" w:rsidP="00446F24">
      <w:pPr>
        <w:jc w:val="both"/>
        <w:rPr>
          <w:lang w:val="en-GB"/>
        </w:rPr>
      </w:pPr>
    </w:p>
    <w:p w14:paraId="350548BD" w14:textId="77777777" w:rsidR="009A1116" w:rsidRPr="00156708" w:rsidRDefault="009A1116" w:rsidP="00446F24">
      <w:pPr>
        <w:jc w:val="both"/>
        <w:rPr>
          <w:lang w:val="en-GB"/>
        </w:rPr>
      </w:pPr>
    </w:p>
    <w:p w14:paraId="2B49CCDD" w14:textId="77777777" w:rsidR="00B85BE4" w:rsidRPr="00156708" w:rsidRDefault="00B85BE4" w:rsidP="00446F24">
      <w:pPr>
        <w:jc w:val="both"/>
        <w:rPr>
          <w:lang w:val="en-GB"/>
        </w:rPr>
      </w:pPr>
    </w:p>
    <w:p w14:paraId="56194923" w14:textId="78CE8CBF" w:rsidR="00156708" w:rsidRDefault="00156708" w:rsidP="00156708">
      <w:pPr>
        <w:pStyle w:val="Caption"/>
        <w:ind w:firstLine="720"/>
      </w:pPr>
      <w:r>
        <w:lastRenderedPageBreak/>
        <w:t xml:space="preserve">Table </w:t>
      </w:r>
      <w:r>
        <w:fldChar w:fldCharType="begin"/>
      </w:r>
      <w:r>
        <w:instrText xml:space="preserve"> SEQ Table \* ARABIC </w:instrText>
      </w:r>
      <w:r>
        <w:fldChar w:fldCharType="separate"/>
      </w:r>
      <w:r>
        <w:rPr>
          <w:noProof/>
        </w:rPr>
        <w:t>2</w:t>
      </w:r>
      <w:r>
        <w:fldChar w:fldCharType="end"/>
      </w:r>
      <w:r>
        <w:t xml:space="preserve"> -</w:t>
      </w:r>
      <w:r w:rsidRPr="00156708">
        <w:t xml:space="preserve"> Adjustments for inflation</w:t>
      </w:r>
    </w:p>
    <w:tbl>
      <w:tblPr>
        <w:tblStyle w:val="TableGrid"/>
        <w:tblW w:w="0" w:type="auto"/>
        <w:jc w:val="center"/>
        <w:tblLook w:val="04A0" w:firstRow="1" w:lastRow="0" w:firstColumn="1" w:lastColumn="0" w:noHBand="0" w:noVBand="1"/>
      </w:tblPr>
      <w:tblGrid>
        <w:gridCol w:w="1263"/>
        <w:gridCol w:w="569"/>
        <w:gridCol w:w="904"/>
        <w:gridCol w:w="1579"/>
        <w:gridCol w:w="1710"/>
        <w:gridCol w:w="1800"/>
      </w:tblGrid>
      <w:tr w:rsidR="00446F24" w:rsidRPr="00156708" w14:paraId="295679AC" w14:textId="77777777" w:rsidTr="009A1116">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3DAB140C" w14:textId="77777777" w:rsidR="00446F24" w:rsidRPr="00156708" w:rsidRDefault="00DC2766" w:rsidP="00B85BE4">
            <w:pPr>
              <w:spacing w:line="276" w:lineRule="auto"/>
              <w:rPr>
                <w:color w:val="FFFFFF" w:themeColor="background1"/>
                <w:lang w:val="en-GB"/>
              </w:rPr>
            </w:pPr>
            <w:r w:rsidRPr="00156708">
              <w:rPr>
                <w:color w:val="FFFFFF" w:themeColor="background1"/>
                <w:lang w:val="en-GB"/>
              </w:rPr>
              <w:t>Line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672CEAA5" w14:textId="77777777"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Unit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4132B76C" w14:textId="77777777"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a)</w:t>
            </w:r>
          </w:p>
          <w:p w14:paraId="51B39143" w14:textId="77777777" w:rsidR="00446F24" w:rsidRPr="00156708" w:rsidRDefault="00DC2766" w:rsidP="00B85BE4">
            <w:pPr>
              <w:pStyle w:val="ListParagraph"/>
              <w:spacing w:line="276" w:lineRule="auto"/>
              <w:ind w:left="27"/>
              <w:jc w:val="center"/>
              <w:rPr>
                <w:rFonts w:cs="Calibri"/>
                <w:color w:val="FFFFFF" w:themeColor="background1"/>
              </w:rPr>
            </w:pPr>
            <w:r w:rsidRPr="00156708">
              <w:rPr>
                <w:rFonts w:cs="Calibri"/>
                <w:color w:val="FFFFFF" w:themeColor="background1"/>
              </w:rPr>
              <w:t>Allowed</w:t>
            </w:r>
          </w:p>
          <w:p w14:paraId="70D887CF" w14:textId="465935F9" w:rsidR="00446F24" w:rsidRPr="00156708" w:rsidRDefault="00F45B08" w:rsidP="00B85BE4">
            <w:pPr>
              <w:spacing w:line="276" w:lineRule="auto"/>
              <w:ind w:left="27"/>
              <w:jc w:val="center"/>
              <w:rPr>
                <w:color w:val="FFFFFF" w:themeColor="background1"/>
                <w:lang w:val="en-GB"/>
              </w:rPr>
            </w:pPr>
            <w:r w:rsidRPr="00156708">
              <w:rPr>
                <w:color w:val="FFFFFF" w:themeColor="background1"/>
                <w:lang w:val="en-GB"/>
              </w:rPr>
              <w:t>2020</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3DDF138D" w14:textId="77777777"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b)</w:t>
            </w:r>
          </w:p>
          <w:p w14:paraId="31FDCBBC" w14:textId="77777777"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Adjustment for HICP</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707DB805" w14:textId="77777777"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c)</w:t>
            </w:r>
          </w:p>
          <w:p w14:paraId="22099805" w14:textId="67785B7C"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 xml:space="preserve">Preliminary Evaluation </w:t>
            </w:r>
            <w:r w:rsidR="00F45B08" w:rsidRPr="00156708">
              <w:rPr>
                <w:color w:val="FFFFFF" w:themeColor="background1"/>
                <w:lang w:val="en-GB"/>
              </w:rPr>
              <w:t>2021</w:t>
            </w:r>
            <w:r w:rsidR="00A76E5D" w:rsidRPr="00156708">
              <w:rPr>
                <w:rStyle w:val="FootnoteReference"/>
                <w:color w:val="FFFFFF" w:themeColor="background1"/>
                <w:lang w:val="en-GB"/>
              </w:rPr>
              <w:footnoteReference w:id="2"/>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6519C990" w14:textId="0F5A8F93"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 xml:space="preserve">d=b+c Allowance </w:t>
            </w:r>
            <w:r w:rsidRPr="00156708">
              <w:rPr>
                <w:color w:val="FFFFFF" w:themeColor="background1"/>
                <w:lang w:val="en-GB"/>
              </w:rPr>
              <w:br/>
            </w:r>
            <w:r w:rsidR="00F45B08" w:rsidRPr="00156708">
              <w:rPr>
                <w:color w:val="FFFFFF" w:themeColor="background1"/>
                <w:lang w:val="en-GB"/>
              </w:rPr>
              <w:t>2021</w:t>
            </w:r>
          </w:p>
        </w:tc>
      </w:tr>
      <w:tr w:rsidR="00446F24" w:rsidRPr="00156708" w14:paraId="40646CEA" w14:textId="77777777" w:rsidTr="009A1116">
        <w:trPr>
          <w:jc w:val="center"/>
        </w:trPr>
        <w:tc>
          <w:tcPr>
            <w:tcW w:w="0" w:type="auto"/>
            <w:tcBorders>
              <w:top w:val="single" w:sz="4" w:space="0" w:color="FFFFFF" w:themeColor="background1"/>
            </w:tcBorders>
          </w:tcPr>
          <w:p w14:paraId="75868596" w14:textId="77777777" w:rsidR="00446F24" w:rsidRPr="00156708" w:rsidRDefault="00A76E5D" w:rsidP="00B85BE4">
            <w:pPr>
              <w:spacing w:line="276" w:lineRule="auto"/>
              <w:rPr>
                <w:color w:val="000000"/>
                <w:lang w:val="en-GB"/>
              </w:rPr>
            </w:pPr>
            <w:r w:rsidRPr="00156708">
              <w:rPr>
                <w:color w:val="000000"/>
                <w:lang w:val="en-GB"/>
              </w:rPr>
              <w:t>OPEX</w:t>
            </w:r>
          </w:p>
        </w:tc>
        <w:tc>
          <w:tcPr>
            <w:tcW w:w="0" w:type="auto"/>
            <w:tcBorders>
              <w:top w:val="single" w:sz="4" w:space="0" w:color="FFFFFF" w:themeColor="background1"/>
            </w:tcBorders>
          </w:tcPr>
          <w:p w14:paraId="44BFBDFC" w14:textId="77777777" w:rsidR="00446F24" w:rsidRPr="00156708" w:rsidRDefault="00DC2766" w:rsidP="00B85BE4">
            <w:pPr>
              <w:spacing w:line="276" w:lineRule="auto"/>
              <w:jc w:val="center"/>
              <w:rPr>
                <w:color w:val="000000"/>
                <w:lang w:val="en-GB"/>
              </w:rPr>
            </w:pPr>
            <w:r w:rsidRPr="00156708">
              <w:rPr>
                <w:color w:val="000000"/>
                <w:lang w:val="en-GB"/>
              </w:rPr>
              <w:t>mil€</w:t>
            </w:r>
          </w:p>
        </w:tc>
        <w:tc>
          <w:tcPr>
            <w:tcW w:w="0" w:type="auto"/>
            <w:tcBorders>
              <w:top w:val="single" w:sz="4" w:space="0" w:color="FFFFFF" w:themeColor="background1"/>
            </w:tcBorders>
          </w:tcPr>
          <w:p w14:paraId="0AE83502" w14:textId="77777777" w:rsidR="00446F24" w:rsidRPr="00156708" w:rsidRDefault="00DC2766" w:rsidP="00B85BE4">
            <w:pPr>
              <w:spacing w:line="276" w:lineRule="auto"/>
              <w:jc w:val="right"/>
              <w:rPr>
                <w:color w:val="000000"/>
                <w:lang w:val="en-GB"/>
              </w:rPr>
            </w:pPr>
            <w:r w:rsidRPr="00156708">
              <w:rPr>
                <w:color w:val="000000"/>
                <w:lang w:val="en-GB"/>
              </w:rPr>
              <w:t>2</w:t>
            </w:r>
            <w:r w:rsidR="000915EB" w:rsidRPr="00156708">
              <w:rPr>
                <w:color w:val="000000"/>
                <w:lang w:val="en-GB"/>
              </w:rPr>
              <w:t>5.84</w:t>
            </w:r>
          </w:p>
        </w:tc>
        <w:tc>
          <w:tcPr>
            <w:tcW w:w="1579" w:type="dxa"/>
            <w:tcBorders>
              <w:top w:val="single" w:sz="4" w:space="0" w:color="FFFFFF" w:themeColor="background1"/>
            </w:tcBorders>
          </w:tcPr>
          <w:p w14:paraId="094633A5" w14:textId="77777777" w:rsidR="00446F24" w:rsidRPr="00156708" w:rsidRDefault="00DC2766" w:rsidP="00B85BE4">
            <w:pPr>
              <w:spacing w:line="276" w:lineRule="auto"/>
              <w:jc w:val="right"/>
              <w:rPr>
                <w:color w:val="000000"/>
                <w:lang w:val="en-GB"/>
              </w:rPr>
            </w:pPr>
            <w:r w:rsidRPr="00156708">
              <w:rPr>
                <w:color w:val="000000"/>
                <w:lang w:val="en-GB"/>
              </w:rPr>
              <w:t>0.</w:t>
            </w:r>
            <w:r w:rsidR="000915EB" w:rsidRPr="00156708">
              <w:rPr>
                <w:color w:val="000000"/>
                <w:lang w:val="en-GB"/>
              </w:rPr>
              <w:t>07</w:t>
            </w:r>
          </w:p>
        </w:tc>
        <w:tc>
          <w:tcPr>
            <w:tcW w:w="1710" w:type="dxa"/>
            <w:tcBorders>
              <w:top w:val="single" w:sz="4" w:space="0" w:color="FFFFFF" w:themeColor="background1"/>
            </w:tcBorders>
          </w:tcPr>
          <w:p w14:paraId="6537F0F8" w14:textId="77777777" w:rsidR="00446F24" w:rsidRPr="00156708" w:rsidRDefault="00DC2766" w:rsidP="00B85BE4">
            <w:pPr>
              <w:spacing w:line="276" w:lineRule="auto"/>
              <w:jc w:val="right"/>
              <w:rPr>
                <w:color w:val="000000"/>
                <w:lang w:val="en-GB"/>
              </w:rPr>
            </w:pPr>
            <w:r w:rsidRPr="00156708">
              <w:rPr>
                <w:color w:val="000000"/>
                <w:lang w:val="en-GB"/>
              </w:rPr>
              <w:t>25.</w:t>
            </w:r>
            <w:r w:rsidR="000915EB" w:rsidRPr="00156708">
              <w:rPr>
                <w:color w:val="000000"/>
                <w:lang w:val="en-GB"/>
              </w:rPr>
              <w:t>21</w:t>
            </w:r>
          </w:p>
        </w:tc>
        <w:tc>
          <w:tcPr>
            <w:tcW w:w="1800" w:type="dxa"/>
            <w:tcBorders>
              <w:top w:val="single" w:sz="4" w:space="0" w:color="FFFFFF" w:themeColor="background1"/>
            </w:tcBorders>
          </w:tcPr>
          <w:p w14:paraId="2E24447E" w14:textId="77777777" w:rsidR="00446F24" w:rsidRPr="00156708" w:rsidRDefault="00DC2766" w:rsidP="00B85BE4">
            <w:pPr>
              <w:spacing w:line="276" w:lineRule="auto"/>
              <w:jc w:val="right"/>
              <w:rPr>
                <w:color w:val="000000"/>
                <w:lang w:val="en-GB"/>
              </w:rPr>
            </w:pPr>
            <w:r w:rsidRPr="00156708">
              <w:rPr>
                <w:color w:val="000000"/>
                <w:lang w:val="en-GB"/>
              </w:rPr>
              <w:t>25.84</w:t>
            </w:r>
          </w:p>
        </w:tc>
      </w:tr>
      <w:tr w:rsidR="00446F24" w:rsidRPr="00156708" w14:paraId="7430E0F1" w14:textId="77777777" w:rsidTr="009A1116">
        <w:trPr>
          <w:jc w:val="center"/>
        </w:trPr>
        <w:tc>
          <w:tcPr>
            <w:tcW w:w="0" w:type="auto"/>
          </w:tcPr>
          <w:p w14:paraId="67B3305C" w14:textId="77777777" w:rsidR="00446F24" w:rsidRPr="00156708" w:rsidRDefault="00A76E5D" w:rsidP="00B85BE4">
            <w:pPr>
              <w:spacing w:line="276" w:lineRule="auto"/>
              <w:rPr>
                <w:color w:val="000000"/>
                <w:lang w:val="en-GB"/>
              </w:rPr>
            </w:pPr>
            <w:r w:rsidRPr="00156708">
              <w:rPr>
                <w:color w:val="000000"/>
                <w:lang w:val="en-GB"/>
              </w:rPr>
              <w:t>Depreciation</w:t>
            </w:r>
          </w:p>
        </w:tc>
        <w:tc>
          <w:tcPr>
            <w:tcW w:w="0" w:type="auto"/>
          </w:tcPr>
          <w:p w14:paraId="60533414" w14:textId="77777777" w:rsidR="00446F24" w:rsidRPr="00156708" w:rsidRDefault="00DC2766" w:rsidP="00B85BE4">
            <w:pPr>
              <w:spacing w:line="276" w:lineRule="auto"/>
              <w:jc w:val="center"/>
              <w:rPr>
                <w:color w:val="000000"/>
                <w:lang w:val="en-GB"/>
              </w:rPr>
            </w:pPr>
            <w:r w:rsidRPr="00156708">
              <w:rPr>
                <w:color w:val="000000"/>
                <w:lang w:val="en-GB"/>
              </w:rPr>
              <w:t>mil€</w:t>
            </w:r>
          </w:p>
        </w:tc>
        <w:tc>
          <w:tcPr>
            <w:tcW w:w="0" w:type="auto"/>
          </w:tcPr>
          <w:p w14:paraId="7301CA5D" w14:textId="77777777" w:rsidR="00446F24" w:rsidRPr="00156708" w:rsidRDefault="000915EB" w:rsidP="00B85BE4">
            <w:pPr>
              <w:spacing w:line="276" w:lineRule="auto"/>
              <w:jc w:val="right"/>
              <w:rPr>
                <w:color w:val="000000"/>
                <w:lang w:val="en-GB"/>
              </w:rPr>
            </w:pPr>
            <w:r w:rsidRPr="00156708">
              <w:rPr>
                <w:color w:val="000000"/>
                <w:lang w:val="en-GB"/>
              </w:rPr>
              <w:t>15.40</w:t>
            </w:r>
          </w:p>
        </w:tc>
        <w:tc>
          <w:tcPr>
            <w:tcW w:w="1579" w:type="dxa"/>
          </w:tcPr>
          <w:p w14:paraId="26BD4F97" w14:textId="77777777" w:rsidR="00446F24" w:rsidRPr="00156708" w:rsidRDefault="00DC2766" w:rsidP="00B85BE4">
            <w:pPr>
              <w:spacing w:line="276" w:lineRule="auto"/>
              <w:jc w:val="right"/>
              <w:rPr>
                <w:color w:val="000000"/>
                <w:lang w:val="en-GB"/>
              </w:rPr>
            </w:pPr>
            <w:r w:rsidRPr="00156708">
              <w:rPr>
                <w:color w:val="000000"/>
                <w:lang w:val="en-GB"/>
              </w:rPr>
              <w:t>0.</w:t>
            </w:r>
            <w:r w:rsidR="000915EB" w:rsidRPr="00156708">
              <w:rPr>
                <w:color w:val="000000"/>
                <w:lang w:val="en-GB"/>
              </w:rPr>
              <w:t>04</w:t>
            </w:r>
          </w:p>
        </w:tc>
        <w:tc>
          <w:tcPr>
            <w:tcW w:w="1710" w:type="dxa"/>
          </w:tcPr>
          <w:p w14:paraId="47A32CCC" w14:textId="77777777" w:rsidR="00446F24" w:rsidRPr="00156708" w:rsidRDefault="000915EB" w:rsidP="00B85BE4">
            <w:pPr>
              <w:spacing w:line="276" w:lineRule="auto"/>
              <w:jc w:val="right"/>
              <w:rPr>
                <w:color w:val="000000"/>
                <w:lang w:val="en-GB"/>
              </w:rPr>
            </w:pPr>
            <w:r w:rsidRPr="00156708">
              <w:rPr>
                <w:color w:val="000000"/>
                <w:lang w:val="en-GB"/>
              </w:rPr>
              <w:t>16.17</w:t>
            </w:r>
          </w:p>
        </w:tc>
        <w:tc>
          <w:tcPr>
            <w:tcW w:w="1800" w:type="dxa"/>
          </w:tcPr>
          <w:p w14:paraId="59FA58E3" w14:textId="77777777" w:rsidR="00446F24" w:rsidRPr="00156708" w:rsidRDefault="000915EB" w:rsidP="00B85BE4">
            <w:pPr>
              <w:spacing w:line="276" w:lineRule="auto"/>
              <w:jc w:val="right"/>
              <w:rPr>
                <w:color w:val="000000"/>
                <w:lang w:val="en-GB"/>
              </w:rPr>
            </w:pPr>
            <w:r w:rsidRPr="00156708">
              <w:rPr>
                <w:color w:val="000000"/>
                <w:lang w:val="en-GB"/>
              </w:rPr>
              <w:t>16.21</w:t>
            </w:r>
          </w:p>
        </w:tc>
      </w:tr>
      <w:tr w:rsidR="00446F24" w:rsidRPr="00156708" w14:paraId="3BC5BEF6" w14:textId="77777777" w:rsidTr="009A1116">
        <w:trPr>
          <w:trHeight w:val="314"/>
          <w:jc w:val="center"/>
        </w:trPr>
        <w:tc>
          <w:tcPr>
            <w:tcW w:w="0" w:type="auto"/>
            <w:tcBorders>
              <w:bottom w:val="single" w:sz="4" w:space="0" w:color="FFFFFF" w:themeColor="background1"/>
            </w:tcBorders>
          </w:tcPr>
          <w:p w14:paraId="12326DA6" w14:textId="77777777" w:rsidR="00446F24" w:rsidRPr="00156708" w:rsidRDefault="00A76E5D" w:rsidP="00B85BE4">
            <w:pPr>
              <w:spacing w:line="276" w:lineRule="auto"/>
              <w:rPr>
                <w:color w:val="000000"/>
                <w:lang w:val="en-GB"/>
              </w:rPr>
            </w:pPr>
            <w:r w:rsidRPr="00156708">
              <w:rPr>
                <w:color w:val="000000"/>
                <w:lang w:val="en-GB"/>
              </w:rPr>
              <w:t>Return</w:t>
            </w:r>
          </w:p>
        </w:tc>
        <w:tc>
          <w:tcPr>
            <w:tcW w:w="0" w:type="auto"/>
            <w:tcBorders>
              <w:bottom w:val="single" w:sz="4" w:space="0" w:color="FFFFFF" w:themeColor="background1"/>
            </w:tcBorders>
          </w:tcPr>
          <w:p w14:paraId="33A52297" w14:textId="77777777" w:rsidR="00446F24" w:rsidRPr="00156708" w:rsidRDefault="00DC2766" w:rsidP="00B85BE4">
            <w:pPr>
              <w:spacing w:line="276" w:lineRule="auto"/>
              <w:jc w:val="center"/>
              <w:rPr>
                <w:color w:val="000000"/>
                <w:lang w:val="en-GB"/>
              </w:rPr>
            </w:pPr>
            <w:r w:rsidRPr="00156708">
              <w:rPr>
                <w:color w:val="000000"/>
                <w:lang w:val="en-GB"/>
              </w:rPr>
              <w:t>mil€</w:t>
            </w:r>
          </w:p>
        </w:tc>
        <w:tc>
          <w:tcPr>
            <w:tcW w:w="0" w:type="auto"/>
            <w:tcBorders>
              <w:bottom w:val="single" w:sz="4" w:space="0" w:color="FFFFFF" w:themeColor="background1"/>
            </w:tcBorders>
          </w:tcPr>
          <w:p w14:paraId="612CD7EA" w14:textId="77777777" w:rsidR="00446F24" w:rsidRPr="00156708" w:rsidRDefault="000915EB" w:rsidP="00B85BE4">
            <w:pPr>
              <w:spacing w:line="276" w:lineRule="auto"/>
              <w:jc w:val="right"/>
              <w:rPr>
                <w:color w:val="000000"/>
                <w:lang w:val="en-GB"/>
              </w:rPr>
            </w:pPr>
            <w:r w:rsidRPr="00156708">
              <w:rPr>
                <w:color w:val="000000"/>
                <w:lang w:val="en-GB"/>
              </w:rPr>
              <w:t>15.12</w:t>
            </w:r>
          </w:p>
        </w:tc>
        <w:tc>
          <w:tcPr>
            <w:tcW w:w="1579" w:type="dxa"/>
            <w:tcBorders>
              <w:bottom w:val="single" w:sz="4" w:space="0" w:color="FFFFFF" w:themeColor="background1"/>
            </w:tcBorders>
          </w:tcPr>
          <w:p w14:paraId="10641CC7" w14:textId="77777777" w:rsidR="00446F24" w:rsidRPr="00156708" w:rsidRDefault="00DC2766" w:rsidP="00B85BE4">
            <w:pPr>
              <w:spacing w:line="276" w:lineRule="auto"/>
              <w:jc w:val="right"/>
              <w:rPr>
                <w:color w:val="000000"/>
                <w:lang w:val="en-GB"/>
              </w:rPr>
            </w:pPr>
            <w:r w:rsidRPr="00156708">
              <w:rPr>
                <w:color w:val="000000"/>
                <w:lang w:val="en-GB"/>
              </w:rPr>
              <w:t>0.</w:t>
            </w:r>
            <w:r w:rsidR="000915EB" w:rsidRPr="00156708">
              <w:rPr>
                <w:color w:val="000000"/>
                <w:lang w:val="en-GB"/>
              </w:rPr>
              <w:t>04</w:t>
            </w:r>
          </w:p>
        </w:tc>
        <w:tc>
          <w:tcPr>
            <w:tcW w:w="1710" w:type="dxa"/>
            <w:tcBorders>
              <w:bottom w:val="single" w:sz="4" w:space="0" w:color="FFFFFF" w:themeColor="background1"/>
            </w:tcBorders>
          </w:tcPr>
          <w:p w14:paraId="6BB0BFEE" w14:textId="77777777" w:rsidR="00446F24" w:rsidRPr="00156708" w:rsidRDefault="000915EB" w:rsidP="00B85BE4">
            <w:pPr>
              <w:spacing w:line="276" w:lineRule="auto"/>
              <w:jc w:val="right"/>
              <w:rPr>
                <w:color w:val="000000"/>
                <w:lang w:val="en-GB"/>
              </w:rPr>
            </w:pPr>
            <w:r w:rsidRPr="00156708">
              <w:rPr>
                <w:color w:val="000000"/>
                <w:lang w:val="en-GB"/>
              </w:rPr>
              <w:t>15.90</w:t>
            </w:r>
          </w:p>
        </w:tc>
        <w:tc>
          <w:tcPr>
            <w:tcW w:w="1800" w:type="dxa"/>
            <w:tcBorders>
              <w:bottom w:val="single" w:sz="4" w:space="0" w:color="FFFFFF" w:themeColor="background1"/>
            </w:tcBorders>
          </w:tcPr>
          <w:p w14:paraId="76BFEBCB" w14:textId="77777777" w:rsidR="00446F24" w:rsidRPr="00156708" w:rsidRDefault="00DC2766" w:rsidP="00B85BE4">
            <w:pPr>
              <w:spacing w:line="276" w:lineRule="auto"/>
              <w:jc w:val="right"/>
              <w:rPr>
                <w:color w:val="000000"/>
                <w:lang w:val="en-GB"/>
              </w:rPr>
            </w:pPr>
            <w:r w:rsidRPr="00156708">
              <w:rPr>
                <w:color w:val="000000"/>
                <w:lang w:val="en-GB"/>
              </w:rPr>
              <w:t>15.</w:t>
            </w:r>
            <w:r w:rsidR="000915EB" w:rsidRPr="00156708">
              <w:rPr>
                <w:color w:val="000000"/>
                <w:lang w:val="en-GB"/>
              </w:rPr>
              <w:t>94</w:t>
            </w:r>
          </w:p>
        </w:tc>
      </w:tr>
      <w:tr w:rsidR="00446F24" w:rsidRPr="00156708" w14:paraId="40938B2F" w14:textId="77777777" w:rsidTr="009A1116">
        <w:trPr>
          <w:trHeight w:val="251"/>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2C3BB2B8" w14:textId="77777777" w:rsidR="00446F24" w:rsidRPr="00156708" w:rsidRDefault="00A76E5D" w:rsidP="00B85BE4">
            <w:pPr>
              <w:spacing w:line="276" w:lineRule="auto"/>
              <w:rPr>
                <w:color w:val="FFFFFF" w:themeColor="background1"/>
                <w:lang w:val="en-GB"/>
              </w:rPr>
            </w:pPr>
            <w:r w:rsidRPr="00156708">
              <w:rPr>
                <w:color w:val="FFFFFF" w:themeColor="background1"/>
                <w:lang w:val="en-GB"/>
              </w:rPr>
              <w:t>Total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0943FE09" w14:textId="77777777" w:rsidR="00446F24" w:rsidRPr="00156708" w:rsidRDefault="00DC2766" w:rsidP="00B85BE4">
            <w:pPr>
              <w:spacing w:line="276" w:lineRule="auto"/>
              <w:jc w:val="center"/>
              <w:rPr>
                <w:color w:val="FFFFFF" w:themeColor="background1"/>
                <w:lang w:val="en-GB"/>
              </w:rPr>
            </w:pPr>
            <w:r w:rsidRPr="00156708">
              <w:rPr>
                <w:color w:val="FFFFFF" w:themeColor="background1"/>
                <w:lang w:val="en-GB"/>
              </w:rPr>
              <w:t>mil€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07553CC" w14:textId="77777777" w:rsidR="00446F24" w:rsidRPr="00156708" w:rsidRDefault="00DC2766" w:rsidP="00B85BE4">
            <w:pPr>
              <w:spacing w:line="276" w:lineRule="auto"/>
              <w:jc w:val="right"/>
              <w:rPr>
                <w:color w:val="FFFFFF" w:themeColor="background1"/>
                <w:lang w:val="en-GB"/>
              </w:rPr>
            </w:pPr>
            <w:r w:rsidRPr="00156708">
              <w:rPr>
                <w:color w:val="FFFFFF" w:themeColor="background1"/>
                <w:lang w:val="en-GB"/>
              </w:rPr>
              <w:fldChar w:fldCharType="begin"/>
            </w:r>
            <w:r w:rsidRPr="00156708">
              <w:rPr>
                <w:color w:val="FFFFFF" w:themeColor="background1"/>
                <w:lang w:val="en-GB"/>
              </w:rPr>
              <w:instrText xml:space="preserve"> =SUM(ABOVE) </w:instrText>
            </w:r>
            <w:r w:rsidRPr="00156708">
              <w:rPr>
                <w:color w:val="FFFFFF" w:themeColor="background1"/>
                <w:lang w:val="en-GB"/>
              </w:rPr>
              <w:fldChar w:fldCharType="separate"/>
            </w:r>
            <w:r w:rsidR="000915EB" w:rsidRPr="00156708">
              <w:rPr>
                <w:color w:val="FFFFFF" w:themeColor="background1"/>
                <w:lang w:val="en-GB"/>
              </w:rPr>
              <w:t>56.36</w:t>
            </w:r>
            <w:r w:rsidRPr="00156708">
              <w:rPr>
                <w:color w:val="FFFFFF" w:themeColor="background1"/>
                <w:lang w:val="en-GB"/>
              </w:rPr>
              <w:fldChar w:fldCharType="end"/>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001C7941" w14:textId="77777777" w:rsidR="00446F24" w:rsidRPr="00156708" w:rsidRDefault="00DC2766" w:rsidP="00B85BE4">
            <w:pPr>
              <w:spacing w:line="276" w:lineRule="auto"/>
              <w:jc w:val="right"/>
              <w:rPr>
                <w:color w:val="FFFFFF" w:themeColor="background1"/>
                <w:lang w:val="en-GB"/>
              </w:rPr>
            </w:pPr>
            <w:r w:rsidRPr="00156708">
              <w:rPr>
                <w:color w:val="FFFFFF" w:themeColor="background1"/>
                <w:lang w:val="en-GB"/>
              </w:rPr>
              <w:t>0.</w:t>
            </w:r>
            <w:r w:rsidR="000915EB" w:rsidRPr="00156708">
              <w:rPr>
                <w:color w:val="FFFFFF" w:themeColor="background1"/>
                <w:lang w:val="en-GB"/>
              </w:rPr>
              <w:t>15</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5F64524E" w14:textId="77777777" w:rsidR="00446F24" w:rsidRPr="00156708" w:rsidRDefault="00DC2766" w:rsidP="00B85BE4">
            <w:pPr>
              <w:spacing w:line="276" w:lineRule="auto"/>
              <w:jc w:val="right"/>
              <w:rPr>
                <w:color w:val="FFFFFF" w:themeColor="background1"/>
                <w:lang w:val="en-GB"/>
              </w:rPr>
            </w:pPr>
            <w:r w:rsidRPr="00156708">
              <w:rPr>
                <w:color w:val="FFFFFF" w:themeColor="background1"/>
                <w:lang w:val="en-GB"/>
              </w:rPr>
              <w:fldChar w:fldCharType="begin"/>
            </w:r>
            <w:r w:rsidRPr="00156708">
              <w:rPr>
                <w:color w:val="FFFFFF" w:themeColor="background1"/>
                <w:lang w:val="en-GB"/>
              </w:rPr>
              <w:instrText xml:space="preserve"> =SUM(ABOVE) </w:instrText>
            </w:r>
            <w:r w:rsidRPr="00156708">
              <w:rPr>
                <w:color w:val="FFFFFF" w:themeColor="background1"/>
                <w:lang w:val="en-GB"/>
              </w:rPr>
              <w:fldChar w:fldCharType="separate"/>
            </w:r>
            <w:r w:rsidR="000915EB" w:rsidRPr="00156708">
              <w:rPr>
                <w:color w:val="FFFFFF" w:themeColor="background1"/>
                <w:lang w:val="en-GB"/>
              </w:rPr>
              <w:t>57.28</w:t>
            </w:r>
            <w:r w:rsidRPr="00156708">
              <w:rPr>
                <w:color w:val="FFFFFF" w:themeColor="background1"/>
                <w:lang w:val="en-GB"/>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26B6742C" w14:textId="77777777" w:rsidR="00446F24" w:rsidRPr="00156708" w:rsidRDefault="000915EB" w:rsidP="00B85BE4">
            <w:pPr>
              <w:spacing w:line="276" w:lineRule="auto"/>
              <w:jc w:val="right"/>
              <w:rPr>
                <w:color w:val="FFFFFF" w:themeColor="background1"/>
                <w:lang w:val="en-GB"/>
              </w:rPr>
            </w:pPr>
            <w:r w:rsidRPr="00156708">
              <w:rPr>
                <w:color w:val="FFFFFF" w:themeColor="background1"/>
                <w:lang w:val="en-GB"/>
              </w:rPr>
              <w:fldChar w:fldCharType="begin"/>
            </w:r>
            <w:r w:rsidRPr="00156708">
              <w:rPr>
                <w:color w:val="FFFFFF" w:themeColor="background1"/>
                <w:lang w:val="en-GB"/>
              </w:rPr>
              <w:instrText xml:space="preserve"> =SUM(ABOVE) </w:instrText>
            </w:r>
            <w:r w:rsidRPr="00156708">
              <w:rPr>
                <w:color w:val="FFFFFF" w:themeColor="background1"/>
                <w:lang w:val="en-GB"/>
              </w:rPr>
              <w:fldChar w:fldCharType="separate"/>
            </w:r>
            <w:r w:rsidRPr="00156708">
              <w:rPr>
                <w:color w:val="FFFFFF" w:themeColor="background1"/>
                <w:lang w:val="en-GB"/>
              </w:rPr>
              <w:t>57.42</w:t>
            </w:r>
            <w:r w:rsidRPr="00156708">
              <w:rPr>
                <w:color w:val="FFFFFF" w:themeColor="background1"/>
                <w:lang w:val="en-GB"/>
              </w:rPr>
              <w:fldChar w:fldCharType="end"/>
            </w:r>
          </w:p>
        </w:tc>
      </w:tr>
    </w:tbl>
    <w:p w14:paraId="774F63AF" w14:textId="77777777" w:rsidR="00446F24" w:rsidRPr="00156708" w:rsidRDefault="00446F24" w:rsidP="00446F24">
      <w:pPr>
        <w:pStyle w:val="Heading1"/>
        <w:numPr>
          <w:ilvl w:val="0"/>
          <w:numId w:val="0"/>
        </w:numPr>
        <w:spacing w:before="0"/>
        <w:ind w:left="720"/>
        <w:rPr>
          <w:rFonts w:asciiTheme="minorHAnsi" w:hAnsiTheme="minorHAnsi" w:cstheme="minorHAnsi"/>
        </w:rPr>
      </w:pPr>
    </w:p>
    <w:p w14:paraId="3BB03A11" w14:textId="77777777" w:rsidR="006B37BB" w:rsidRPr="00156708" w:rsidRDefault="00DC2766" w:rsidP="00B85BE4">
      <w:pPr>
        <w:jc w:val="both"/>
        <w:rPr>
          <w:lang w:val="en-GB"/>
        </w:rPr>
      </w:pPr>
      <w:r w:rsidRPr="00156708">
        <w:rPr>
          <w:lang w:val="en-GB"/>
        </w:rPr>
        <w:t>Despite KEDS's request to increase OPEX costs (increase in salaries, derivatives, maintenance) for 2020 by 2% (€ 0.5mil) compared to OPEX allowances for 2020 evaluated during PRR2, ERO has allowed OPEX increases for KEDS during the periodic review 2018-2022 and considers that further increases are unreasonable, taking into account the efficiency required over the years.</w:t>
      </w:r>
    </w:p>
    <w:p w14:paraId="72B08400" w14:textId="77777777" w:rsidR="000915EB" w:rsidRPr="00156708" w:rsidRDefault="009254D7" w:rsidP="004565A0">
      <w:pPr>
        <w:pStyle w:val="Heading2"/>
        <w:tabs>
          <w:tab w:val="num" w:pos="810"/>
        </w:tabs>
        <w:ind w:left="810"/>
        <w:jc w:val="left"/>
      </w:pPr>
      <w:bookmarkStart w:id="8" w:name="_Toc81818994"/>
      <w:r w:rsidRPr="00156708">
        <w:t>Additional c</w:t>
      </w:r>
      <w:r w:rsidR="000915EB" w:rsidRPr="00156708">
        <w:t>osts related to COVID-19</w:t>
      </w:r>
      <w:bookmarkEnd w:id="8"/>
    </w:p>
    <w:p w14:paraId="78C4EE6E" w14:textId="77777777" w:rsidR="000915EB" w:rsidRPr="00156708" w:rsidRDefault="000915EB" w:rsidP="00B85BE4">
      <w:pPr>
        <w:jc w:val="both"/>
        <w:rPr>
          <w:lang w:val="en-GB"/>
        </w:rPr>
      </w:pPr>
      <w:r w:rsidRPr="00156708">
        <w:rPr>
          <w:lang w:val="en-GB"/>
        </w:rPr>
        <w:t xml:space="preserve">Regarding the additional costs of health insurance in the amount of 19 thousand euros/month, </w:t>
      </w:r>
      <w:r w:rsidR="009254D7" w:rsidRPr="00156708">
        <w:rPr>
          <w:lang w:val="en-GB"/>
        </w:rPr>
        <w:t>ERO considers these costs to be justifiable in principle</w:t>
      </w:r>
      <w:r w:rsidRPr="00156708">
        <w:rPr>
          <w:lang w:val="en-GB"/>
        </w:rPr>
        <w:t xml:space="preserve">, however requested from KEDS to prove that it has selected the most </w:t>
      </w:r>
      <w:r w:rsidR="009254D7" w:rsidRPr="00156708">
        <w:rPr>
          <w:lang w:val="en-GB"/>
        </w:rPr>
        <w:t>favourable</w:t>
      </w:r>
      <w:r w:rsidRPr="00156708">
        <w:rPr>
          <w:lang w:val="en-GB"/>
        </w:rPr>
        <w:t xml:space="preserve"> contract through a competitive process. Given that KEDS did not provide evidence at the request of ERO, these costs are not recognized at this stage. KEDS will be able to present this evidence during the public consultation, otherwise the additional costs related to health insurance will not be recognized in the MAR of the relevant tariff year 2021. Regarding the costs of vehicle insurance, they have been approved in an amount </w:t>
      </w:r>
      <w:r w:rsidR="0067025D" w:rsidRPr="00156708">
        <w:rPr>
          <w:lang w:val="en-GB"/>
        </w:rPr>
        <w:t>of 15</w:t>
      </w:r>
      <w:r w:rsidRPr="00156708">
        <w:rPr>
          <w:lang w:val="en-GB"/>
        </w:rPr>
        <w:t xml:space="preserve"> thousand euros, because these are out of the control of the licensee.</w:t>
      </w:r>
    </w:p>
    <w:p w14:paraId="35FBEAAC" w14:textId="794F1375" w:rsidR="0067025D" w:rsidRPr="00156708" w:rsidRDefault="0067025D" w:rsidP="00B85BE4">
      <w:pPr>
        <w:jc w:val="both"/>
        <w:rPr>
          <w:lang w:val="en-GB"/>
        </w:rPr>
      </w:pPr>
      <w:r w:rsidRPr="00156708">
        <w:rPr>
          <w:lang w:val="en-GB"/>
        </w:rPr>
        <w:t>KEDS in its application has requested the recognition of additional costs of € 0.44 million on behalf of additional payments for the staff, as incentives for their engagement during the COVID-19 pandemic. KEDS also supports his request on the grounds that other operators in the energy sector have applied such</w:t>
      </w:r>
      <w:r w:rsidR="00B01797" w:rsidRPr="00156708">
        <w:rPr>
          <w:lang w:val="en-GB"/>
        </w:rPr>
        <w:t xml:space="preserve"> </w:t>
      </w:r>
      <w:r w:rsidRPr="00156708">
        <w:rPr>
          <w:lang w:val="en-GB"/>
        </w:rPr>
        <w:t>incentives.</w:t>
      </w:r>
      <w:r w:rsidR="00B01797" w:rsidRPr="00156708">
        <w:rPr>
          <w:lang w:val="en-GB"/>
        </w:rPr>
        <w:t xml:space="preserve"> </w:t>
      </w:r>
      <w:r w:rsidRPr="00156708">
        <w:rPr>
          <w:lang w:val="en-GB"/>
        </w:rPr>
        <w:t>ERO has carefully handled DSO requests regarding additional costs related to COVID-19, and has also analysed the application of incentives set by other operators, including KEK JSC.</w:t>
      </w:r>
    </w:p>
    <w:p w14:paraId="1C6693F1" w14:textId="77777777" w:rsidR="0067025D" w:rsidRPr="00156708" w:rsidRDefault="0067025D" w:rsidP="00B85BE4">
      <w:pPr>
        <w:jc w:val="both"/>
        <w:rPr>
          <w:lang w:val="en-GB"/>
        </w:rPr>
      </w:pPr>
      <w:r w:rsidRPr="00156708">
        <w:rPr>
          <w:lang w:val="en-GB"/>
        </w:rPr>
        <w:t xml:space="preserve">Given the difficult financial situation of household and business customers, </w:t>
      </w:r>
      <w:r w:rsidR="001837F5" w:rsidRPr="00156708">
        <w:rPr>
          <w:lang w:val="en-GB"/>
        </w:rPr>
        <w:t>adding</w:t>
      </w:r>
      <w:r w:rsidRPr="00156708">
        <w:rPr>
          <w:lang w:val="en-GB"/>
        </w:rPr>
        <w:t xml:space="preserve"> </w:t>
      </w:r>
      <w:r w:rsidR="001837F5" w:rsidRPr="00156708">
        <w:rPr>
          <w:lang w:val="en-GB"/>
        </w:rPr>
        <w:t xml:space="preserve">additional </w:t>
      </w:r>
      <w:r w:rsidR="00F724DD" w:rsidRPr="00156708">
        <w:rPr>
          <w:lang w:val="en-GB"/>
        </w:rPr>
        <w:t>costs would</w:t>
      </w:r>
      <w:r w:rsidRPr="00156708">
        <w:rPr>
          <w:lang w:val="en-GB"/>
        </w:rPr>
        <w:t xml:space="preserve"> further complicate their situation. Therefore, ERO does not consider it reasonable to carry additional costs which are related to direct payments to DSO employees. ERO would like to clarify that the DSO could consider such a payment to workers, only through its profit, as other operators have done, </w:t>
      </w:r>
      <w:r w:rsidR="001837F5" w:rsidRPr="00156708">
        <w:rPr>
          <w:lang w:val="en-GB"/>
        </w:rPr>
        <w:t>by not reflecting</w:t>
      </w:r>
      <w:r w:rsidRPr="00156708">
        <w:rPr>
          <w:lang w:val="en-GB"/>
        </w:rPr>
        <w:t xml:space="preserve"> these costs in their prices.</w:t>
      </w:r>
    </w:p>
    <w:p w14:paraId="264634A8" w14:textId="77777777" w:rsidR="00F724DD" w:rsidRPr="00156708" w:rsidRDefault="00F724DD" w:rsidP="00B85BE4">
      <w:pPr>
        <w:jc w:val="both"/>
        <w:rPr>
          <w:lang w:val="en-GB"/>
        </w:rPr>
      </w:pPr>
      <w:r w:rsidRPr="00156708">
        <w:rPr>
          <w:lang w:val="en-GB"/>
        </w:rPr>
        <w:t xml:space="preserve">ERO, also in the documents referred to by the DSO in the application for MAR, has clarified that it considers justifiable in principle to recognize the costs associated with maintaining health as a result of COVID-19, according to the Guidelines of the National Institute of Public Health, but not incentives because they would further burden the </w:t>
      </w:r>
      <w:r w:rsidR="001B48F3" w:rsidRPr="00156708">
        <w:rPr>
          <w:lang w:val="en-GB"/>
        </w:rPr>
        <w:t>final</w:t>
      </w:r>
      <w:r w:rsidRPr="00156708">
        <w:rPr>
          <w:lang w:val="en-GB"/>
        </w:rPr>
        <w:t xml:space="preserve"> consumer.</w:t>
      </w:r>
    </w:p>
    <w:p w14:paraId="6E5EDC08" w14:textId="77777777" w:rsidR="00446F24" w:rsidRPr="00156708" w:rsidRDefault="00A76E5D" w:rsidP="00446F24">
      <w:pPr>
        <w:pStyle w:val="Heading2"/>
        <w:tabs>
          <w:tab w:val="num" w:pos="810"/>
        </w:tabs>
        <w:ind w:left="810"/>
        <w:jc w:val="left"/>
      </w:pPr>
      <w:bookmarkStart w:id="9" w:name="_Toc81818995"/>
      <w:r w:rsidRPr="00156708">
        <w:lastRenderedPageBreak/>
        <w:t>Adjustment of Pass-Through Costs</w:t>
      </w:r>
      <w:bookmarkEnd w:id="9"/>
    </w:p>
    <w:p w14:paraId="482C184A" w14:textId="77777777" w:rsidR="00446F24" w:rsidRPr="00156708" w:rsidRDefault="00DC2766" w:rsidP="00446F24">
      <w:pPr>
        <w:spacing w:before="120"/>
        <w:jc w:val="both"/>
        <w:rPr>
          <w:lang w:val="en-GB"/>
        </w:rPr>
      </w:pPr>
      <w:r w:rsidRPr="00156708">
        <w:rPr>
          <w:lang w:val="en-GB"/>
        </w:rPr>
        <w:t>Due to differences between the actual and forecast energy from DSO, related to DSO obligations towards Market Operator (MO) and System Operator (SO), the adjustments to reflect these differences were carried out. The value of these adjustments is 0.</w:t>
      </w:r>
      <w:r w:rsidR="00270F5C" w:rsidRPr="00156708">
        <w:rPr>
          <w:lang w:val="en-GB"/>
        </w:rPr>
        <w:t xml:space="preserve">16 </w:t>
      </w:r>
      <w:r w:rsidRPr="00156708">
        <w:rPr>
          <w:lang w:val="en-GB"/>
        </w:rPr>
        <w:t xml:space="preserve">million Euros (the difference between </w:t>
      </w:r>
      <w:r w:rsidR="00270F5C" w:rsidRPr="00156708">
        <w:rPr>
          <w:lang w:val="en-GB"/>
        </w:rPr>
        <w:t>0.92</w:t>
      </w:r>
      <w:r w:rsidRPr="00156708">
        <w:rPr>
          <w:lang w:val="en-GB"/>
        </w:rPr>
        <w:t xml:space="preserve"> million Euros and </w:t>
      </w:r>
      <w:r w:rsidR="00270F5C" w:rsidRPr="00156708">
        <w:rPr>
          <w:lang w:val="en-GB"/>
        </w:rPr>
        <w:t>1.07</w:t>
      </w:r>
      <w:r w:rsidRPr="00156708">
        <w:rPr>
          <w:lang w:val="en-GB"/>
        </w:rPr>
        <w:t xml:space="preserve"> million Euros).</w:t>
      </w:r>
    </w:p>
    <w:p w14:paraId="5EACB29C" w14:textId="77777777" w:rsidR="00446F24" w:rsidRPr="00156708" w:rsidRDefault="00DC2766" w:rsidP="00446F24">
      <w:pPr>
        <w:pStyle w:val="Heading2"/>
        <w:tabs>
          <w:tab w:val="num" w:pos="810"/>
        </w:tabs>
        <w:ind w:left="810"/>
        <w:jc w:val="left"/>
      </w:pPr>
      <w:bookmarkStart w:id="10" w:name="_Toc81818996"/>
      <w:r w:rsidRPr="00156708">
        <w:t>Adjustments of the Costs of Losses</w:t>
      </w:r>
      <w:bookmarkEnd w:id="10"/>
    </w:p>
    <w:p w14:paraId="224D01CF" w14:textId="77777777" w:rsidR="00446F24" w:rsidRPr="00156708" w:rsidRDefault="00DC2766" w:rsidP="00446F24">
      <w:pPr>
        <w:spacing w:before="120"/>
        <w:jc w:val="both"/>
        <w:rPr>
          <w:lang w:val="en-GB"/>
        </w:rPr>
      </w:pPr>
      <w:r w:rsidRPr="00156708">
        <w:rPr>
          <w:lang w:val="en-GB"/>
        </w:rPr>
        <w:t>Adjustment of the cost of losses for DSO is carried out through the following formula:</w:t>
      </w:r>
    </w:p>
    <w:p w14:paraId="7F4B34B1" w14:textId="77777777" w:rsidR="00446F24" w:rsidRPr="00156708" w:rsidRDefault="00DC2766" w:rsidP="00446F24">
      <w:pPr>
        <w:ind w:firstLine="720"/>
        <w:rPr>
          <w:lang w:val="en-GB"/>
        </w:rPr>
      </w:pPr>
      <w:r w:rsidRPr="00156708">
        <w:rPr>
          <w:lang w:val="en-GB"/>
        </w:rPr>
        <w:t>(LSSCat-1 – LSSCft-1) * (1+ It)</w:t>
      </w:r>
    </w:p>
    <w:p w14:paraId="033169FC" w14:textId="51443D69" w:rsidR="00446F24" w:rsidRPr="00156708" w:rsidRDefault="00DC2766" w:rsidP="00446F24">
      <w:pPr>
        <w:jc w:val="both"/>
        <w:rPr>
          <w:lang w:val="en-GB"/>
        </w:rPr>
      </w:pPr>
      <w:r w:rsidRPr="00156708">
        <w:rPr>
          <w:lang w:val="en-GB"/>
        </w:rPr>
        <w:t xml:space="preserve">The value of the adjusted cost for losses is </w:t>
      </w:r>
      <w:r w:rsidR="00F45B08" w:rsidRPr="00156708">
        <w:rPr>
          <w:lang w:val="en-GB"/>
        </w:rPr>
        <w:t>-5.3</w:t>
      </w:r>
      <w:r w:rsidRPr="00156708">
        <w:rPr>
          <w:lang w:val="en-GB"/>
        </w:rPr>
        <w:t xml:space="preserve"> million euros, results due to </w:t>
      </w:r>
      <w:r w:rsidR="008E3191" w:rsidRPr="00156708">
        <w:rPr>
          <w:lang w:val="en-GB"/>
        </w:rPr>
        <w:t xml:space="preserve">differences of the actual </w:t>
      </w:r>
      <w:r w:rsidRPr="00156708">
        <w:rPr>
          <w:lang w:val="en-GB"/>
        </w:rPr>
        <w:t>energy flows</w:t>
      </w:r>
      <w:r w:rsidR="008E3191" w:rsidRPr="00156708">
        <w:rPr>
          <w:lang w:val="en-GB"/>
        </w:rPr>
        <w:t xml:space="preserve"> compared to the projected ones</w:t>
      </w:r>
      <w:r w:rsidRPr="00156708">
        <w:rPr>
          <w:lang w:val="en-GB"/>
        </w:rPr>
        <w:t xml:space="preserve">, </w:t>
      </w:r>
      <w:r w:rsidR="008E3191" w:rsidRPr="00156708">
        <w:rPr>
          <w:lang w:val="en-GB"/>
        </w:rPr>
        <w:t xml:space="preserve">also it occurs due to the differences of the </w:t>
      </w:r>
      <w:r w:rsidRPr="00156708">
        <w:rPr>
          <w:lang w:val="en-GB"/>
        </w:rPr>
        <w:t xml:space="preserve">realized </w:t>
      </w:r>
      <w:r w:rsidR="008E3191" w:rsidRPr="00156708">
        <w:rPr>
          <w:lang w:val="en-GB"/>
        </w:rPr>
        <w:t xml:space="preserve">prices </w:t>
      </w:r>
      <w:r w:rsidRPr="00156708">
        <w:rPr>
          <w:lang w:val="en-GB"/>
        </w:rPr>
        <w:t>towards the forecast ones. The details on the calculations are provided in the following table.</w:t>
      </w:r>
    </w:p>
    <w:p w14:paraId="43D86AC4" w14:textId="02BDF585" w:rsidR="00156708" w:rsidRDefault="00156708" w:rsidP="00156708">
      <w:pPr>
        <w:pStyle w:val="Caption"/>
        <w:ind w:firstLine="720"/>
      </w:pPr>
      <w:r>
        <w:t xml:space="preserve">Table </w:t>
      </w:r>
      <w:r>
        <w:fldChar w:fldCharType="begin"/>
      </w:r>
      <w:r>
        <w:instrText xml:space="preserve"> SEQ Table \* ARABIC </w:instrText>
      </w:r>
      <w:r>
        <w:fldChar w:fldCharType="separate"/>
      </w:r>
      <w:r>
        <w:rPr>
          <w:noProof/>
        </w:rPr>
        <w:t>3</w:t>
      </w:r>
      <w:r>
        <w:fldChar w:fldCharType="end"/>
      </w:r>
      <w:r>
        <w:t xml:space="preserve"> -</w:t>
      </w:r>
      <w:r w:rsidRPr="00156708">
        <w:t xml:space="preserve"> </w:t>
      </w:r>
      <w:r w:rsidR="009A1116" w:rsidRPr="00156708">
        <w:t>Adjustments</w:t>
      </w:r>
      <w:r w:rsidRPr="00156708">
        <w:t xml:space="preserve"> for the Cost of Losses</w:t>
      </w:r>
    </w:p>
    <w:tbl>
      <w:tblPr>
        <w:tblW w:w="4439" w:type="pct"/>
        <w:jc w:val="center"/>
        <w:tblLook w:val="04A0" w:firstRow="1" w:lastRow="0" w:firstColumn="1" w:lastColumn="0" w:noHBand="0" w:noVBand="1"/>
      </w:tblPr>
      <w:tblGrid>
        <w:gridCol w:w="2694"/>
        <w:gridCol w:w="993"/>
        <w:gridCol w:w="1350"/>
        <w:gridCol w:w="1439"/>
        <w:gridCol w:w="1529"/>
      </w:tblGrid>
      <w:tr w:rsidR="00B01797" w:rsidRPr="00156708" w14:paraId="78FD5D3E" w14:textId="77777777" w:rsidTr="00156708">
        <w:trPr>
          <w:trHeight w:val="457"/>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noWrap/>
            <w:vAlign w:val="center"/>
            <w:hideMark/>
          </w:tcPr>
          <w:p w14:paraId="4A9483ED" w14:textId="77777777" w:rsidR="007D6305" w:rsidRPr="00156708" w:rsidRDefault="007D6305" w:rsidP="00B01797">
            <w:pPr>
              <w:spacing w:after="0"/>
              <w:rPr>
                <w:color w:val="FFFFFF" w:themeColor="background1"/>
                <w:sz w:val="20"/>
                <w:szCs w:val="20"/>
                <w:lang w:val="en-GB"/>
              </w:rPr>
            </w:pPr>
            <w:r w:rsidRPr="00156708">
              <w:rPr>
                <w:color w:val="FFFFFF" w:themeColor="background1"/>
                <w:sz w:val="20"/>
                <w:szCs w:val="20"/>
                <w:lang w:val="en-GB"/>
              </w:rPr>
              <w:t>DSO MAR</w:t>
            </w:r>
          </w:p>
        </w:tc>
        <w:tc>
          <w:tcPr>
            <w:tcW w:w="620"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3E95FDB4" w14:textId="0320983B"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Unit</w:t>
            </w:r>
          </w:p>
        </w:tc>
        <w:tc>
          <w:tcPr>
            <w:tcW w:w="843"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noWrap/>
            <w:vAlign w:val="center"/>
            <w:hideMark/>
          </w:tcPr>
          <w:p w14:paraId="1B32BDBB" w14:textId="77777777"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Allowed</w:t>
            </w:r>
          </w:p>
          <w:p w14:paraId="04A57286" w14:textId="77777777"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2020</w:t>
            </w:r>
          </w:p>
        </w:tc>
        <w:tc>
          <w:tcPr>
            <w:tcW w:w="89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noWrap/>
            <w:vAlign w:val="center"/>
            <w:hideMark/>
          </w:tcPr>
          <w:p w14:paraId="5A272C03" w14:textId="77777777"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Realized</w:t>
            </w:r>
          </w:p>
          <w:p w14:paraId="2BD044CF" w14:textId="77777777"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2020</w:t>
            </w:r>
          </w:p>
        </w:tc>
        <w:tc>
          <w:tcPr>
            <w:tcW w:w="955"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6FEC8B3E" w14:textId="77777777"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Proposed</w:t>
            </w:r>
          </w:p>
          <w:p w14:paraId="60A6C5C1" w14:textId="77777777" w:rsidR="007D6305" w:rsidRPr="00156708" w:rsidRDefault="007D6305" w:rsidP="00B01797">
            <w:pPr>
              <w:spacing w:after="0"/>
              <w:jc w:val="center"/>
              <w:rPr>
                <w:color w:val="FFFFFF" w:themeColor="background1"/>
                <w:sz w:val="20"/>
                <w:szCs w:val="20"/>
                <w:lang w:val="en-GB"/>
              </w:rPr>
            </w:pPr>
            <w:r w:rsidRPr="00156708">
              <w:rPr>
                <w:color w:val="FFFFFF" w:themeColor="background1"/>
                <w:sz w:val="20"/>
                <w:szCs w:val="20"/>
                <w:lang w:val="en-GB"/>
              </w:rPr>
              <w:t>2021</w:t>
            </w:r>
          </w:p>
        </w:tc>
      </w:tr>
      <w:tr w:rsidR="00B01797" w:rsidRPr="00156708" w14:paraId="600B81C9" w14:textId="77777777" w:rsidTr="00156708">
        <w:trPr>
          <w:trHeight w:val="314"/>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2AEF1573"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Indexation Parameter</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116B56B" w14:textId="77777777" w:rsidR="007D6305" w:rsidRPr="00156708" w:rsidRDefault="007D6305" w:rsidP="00B01797">
            <w:pPr>
              <w:spacing w:after="0" w:line="240" w:lineRule="auto"/>
              <w:jc w:val="center"/>
              <w:rPr>
                <w:rFonts w:eastAsia="Times New Roman" w:cs="Calibri"/>
                <w:sz w:val="20"/>
                <w:szCs w:val="20"/>
                <w:lang w:val="en-GB"/>
              </w:rPr>
            </w:pPr>
          </w:p>
        </w:tc>
        <w:tc>
          <w:tcPr>
            <w:tcW w:w="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4F3A9F24"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 </w:t>
            </w:r>
          </w:p>
        </w:tc>
        <w:tc>
          <w:tcPr>
            <w:tcW w:w="8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16F7F6AE"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 </w:t>
            </w:r>
          </w:p>
        </w:tc>
        <w:tc>
          <w:tcPr>
            <w:tcW w:w="955" w:type="pct"/>
            <w:tcBorders>
              <w:top w:val="single" w:sz="4" w:space="0" w:color="FFFFFF" w:themeColor="background1"/>
              <w:left w:val="single" w:sz="4" w:space="0" w:color="FFFFFF" w:themeColor="background1"/>
              <w:bottom w:val="single" w:sz="4" w:space="0" w:color="FFFFFF" w:themeColor="background1"/>
            </w:tcBorders>
            <w:shd w:val="clear" w:color="auto" w:fill="DBE5F1" w:themeFill="accent1" w:themeFillTint="33"/>
            <w:vAlign w:val="center"/>
          </w:tcPr>
          <w:p w14:paraId="41BF3971" w14:textId="77777777" w:rsidR="007D6305" w:rsidRPr="00156708" w:rsidRDefault="007D6305" w:rsidP="00B01797">
            <w:pPr>
              <w:spacing w:after="0" w:line="240" w:lineRule="auto"/>
              <w:jc w:val="right"/>
              <w:rPr>
                <w:rFonts w:eastAsia="Times New Roman" w:cs="Calibri"/>
                <w:b/>
                <w:bCs/>
                <w:sz w:val="20"/>
                <w:szCs w:val="20"/>
                <w:lang w:val="en-GB"/>
              </w:rPr>
            </w:pPr>
          </w:p>
        </w:tc>
      </w:tr>
      <w:tr w:rsidR="00B01797" w:rsidRPr="00156708" w14:paraId="7E5913D6" w14:textId="77777777" w:rsidTr="00156708">
        <w:trPr>
          <w:trHeight w:val="341"/>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47EDEC7"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It</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2353B35"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w:t>
            </w:r>
          </w:p>
        </w:tc>
        <w:tc>
          <w:tcPr>
            <w:tcW w:w="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F2D1B99" w14:textId="77777777" w:rsidR="007D6305" w:rsidRPr="00156708" w:rsidRDefault="007D6305" w:rsidP="00B01797">
            <w:pPr>
              <w:spacing w:after="0" w:line="240" w:lineRule="auto"/>
              <w:jc w:val="right"/>
              <w:rPr>
                <w:rFonts w:eastAsia="Times New Roman" w:cs="Calibri"/>
                <w:b/>
                <w:bCs/>
                <w:sz w:val="20"/>
                <w:szCs w:val="20"/>
                <w:lang w:val="en-GB"/>
              </w:rPr>
            </w:pPr>
          </w:p>
        </w:tc>
        <w:tc>
          <w:tcPr>
            <w:tcW w:w="8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0889108"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7.38%</w:t>
            </w:r>
          </w:p>
        </w:tc>
        <w:tc>
          <w:tcPr>
            <w:tcW w:w="955" w:type="pct"/>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2309F38" w14:textId="77777777" w:rsidR="007D6305" w:rsidRPr="00156708" w:rsidRDefault="007D6305" w:rsidP="00B01797">
            <w:pPr>
              <w:spacing w:after="0" w:line="240" w:lineRule="auto"/>
              <w:jc w:val="right"/>
              <w:rPr>
                <w:rFonts w:eastAsia="Times New Roman" w:cs="Calibri"/>
                <w:b/>
                <w:bCs/>
                <w:sz w:val="20"/>
                <w:szCs w:val="20"/>
                <w:lang w:val="en-GB"/>
              </w:rPr>
            </w:pPr>
          </w:p>
        </w:tc>
      </w:tr>
      <w:tr w:rsidR="00B01797" w:rsidRPr="00156708" w14:paraId="22B513AB" w14:textId="77777777" w:rsidTr="00156708">
        <w:trPr>
          <w:trHeight w:val="350"/>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3A5AF98B"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Allowed Losses  (LSSCt)</w:t>
            </w:r>
          </w:p>
        </w:tc>
        <w:tc>
          <w:tcPr>
            <w:tcW w:w="62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BE5F1" w:themeFill="accent1" w:themeFillTint="33"/>
            <w:vAlign w:val="center"/>
          </w:tcPr>
          <w:p w14:paraId="4F242CA0" w14:textId="77777777" w:rsidR="007D6305" w:rsidRPr="00156708" w:rsidRDefault="007D6305" w:rsidP="00B01797">
            <w:pPr>
              <w:spacing w:after="0" w:line="240" w:lineRule="auto"/>
              <w:jc w:val="center"/>
              <w:rPr>
                <w:rFonts w:eastAsia="Times New Roman" w:cs="Calibri"/>
                <w:sz w:val="20"/>
                <w:szCs w:val="20"/>
                <w:lang w:val="en-GB"/>
              </w:rPr>
            </w:pPr>
          </w:p>
        </w:tc>
        <w:tc>
          <w:tcPr>
            <w:tcW w:w="84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BE5F1" w:themeFill="accent1" w:themeFillTint="33"/>
            <w:noWrap/>
            <w:vAlign w:val="center"/>
            <w:hideMark/>
          </w:tcPr>
          <w:p w14:paraId="39D0DBE1"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 </w:t>
            </w:r>
          </w:p>
        </w:tc>
        <w:tc>
          <w:tcPr>
            <w:tcW w:w="89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BE5F1" w:themeFill="accent1" w:themeFillTint="33"/>
            <w:noWrap/>
            <w:vAlign w:val="center"/>
            <w:hideMark/>
          </w:tcPr>
          <w:p w14:paraId="1C9013D8"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 </w:t>
            </w:r>
          </w:p>
        </w:tc>
        <w:tc>
          <w:tcPr>
            <w:tcW w:w="955" w:type="pct"/>
            <w:tcBorders>
              <w:top w:val="single" w:sz="4" w:space="0" w:color="FFFFFF" w:themeColor="background1"/>
              <w:left w:val="single" w:sz="4" w:space="0" w:color="FFFFFF" w:themeColor="background1"/>
              <w:bottom w:val="single" w:sz="4" w:space="0" w:color="auto"/>
            </w:tcBorders>
            <w:shd w:val="clear" w:color="auto" w:fill="DBE5F1" w:themeFill="accent1" w:themeFillTint="33"/>
            <w:vAlign w:val="center"/>
          </w:tcPr>
          <w:p w14:paraId="5E55F56C" w14:textId="77777777" w:rsidR="007D6305" w:rsidRPr="00156708" w:rsidRDefault="007D6305" w:rsidP="00B01797">
            <w:pPr>
              <w:spacing w:after="0" w:line="240" w:lineRule="auto"/>
              <w:jc w:val="right"/>
              <w:rPr>
                <w:rFonts w:eastAsia="Times New Roman" w:cs="Calibri"/>
                <w:b/>
                <w:bCs/>
                <w:sz w:val="20"/>
                <w:szCs w:val="20"/>
                <w:lang w:val="en-GB"/>
              </w:rPr>
            </w:pPr>
          </w:p>
        </w:tc>
      </w:tr>
      <w:tr w:rsidR="00B01797" w:rsidRPr="00156708" w14:paraId="11EF87E0" w14:textId="77777777" w:rsidTr="00156708">
        <w:trPr>
          <w:trHeight w:val="341"/>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14:paraId="17C03C06"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LSSAt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4CB6ECC"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65FED"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17.6</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DC71"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17.6</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5167B09E"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16.4</w:t>
            </w:r>
          </w:p>
        </w:tc>
      </w:tr>
      <w:tr w:rsidR="00B01797" w:rsidRPr="00156708" w14:paraId="2453B347" w14:textId="77777777" w:rsidTr="00156708">
        <w:trPr>
          <w:trHeight w:val="350"/>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14:paraId="2D3C5420"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REUEt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7E74087E"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GWh</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6C4CE"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5,414</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F691"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5,549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4C7E973"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5,451.6</w:t>
            </w:r>
          </w:p>
        </w:tc>
      </w:tr>
      <w:tr w:rsidR="00B01797" w:rsidRPr="00156708" w14:paraId="7DC51289" w14:textId="77777777" w:rsidTr="00156708">
        <w:trPr>
          <w:trHeight w:val="350"/>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14:paraId="3A115DBF"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WHEAt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7462FA5"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€/MWh</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9CD0"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49.19</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C987"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42.57</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A2A2473"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46.05</w:t>
            </w:r>
          </w:p>
        </w:tc>
      </w:tr>
      <w:tr w:rsidR="00B01797" w:rsidRPr="00156708" w14:paraId="2544F7D8" w14:textId="77777777" w:rsidTr="00156708">
        <w:trPr>
          <w:trHeight w:val="350"/>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14:paraId="0C650BE8"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LSSCat-1</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1B8679C2"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mil€</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9BCFB" w14:textId="77777777" w:rsidR="007D6305" w:rsidRPr="00156708" w:rsidRDefault="007D6305" w:rsidP="00B01797">
            <w:pPr>
              <w:spacing w:after="0" w:line="240" w:lineRule="auto"/>
              <w:jc w:val="right"/>
              <w:rPr>
                <w:rFonts w:eastAsia="Times New Roman" w:cs="Calibri"/>
                <w:b/>
                <w:bCs/>
                <w:sz w:val="20"/>
                <w:szCs w:val="20"/>
                <w:lang w:val="en-GB"/>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390D2"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41.58</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67A57F" w14:textId="77777777" w:rsidR="007D6305" w:rsidRPr="00156708" w:rsidRDefault="007D6305" w:rsidP="00B01797">
            <w:pPr>
              <w:spacing w:after="0" w:line="240" w:lineRule="auto"/>
              <w:jc w:val="right"/>
              <w:rPr>
                <w:rFonts w:eastAsia="Times New Roman" w:cs="Calibri"/>
                <w:b/>
                <w:bCs/>
                <w:sz w:val="20"/>
                <w:szCs w:val="20"/>
                <w:lang w:val="en-GB"/>
              </w:rPr>
            </w:pPr>
          </w:p>
        </w:tc>
      </w:tr>
      <w:tr w:rsidR="00B01797" w:rsidRPr="00156708" w14:paraId="1ABA0EA8" w14:textId="77777777" w:rsidTr="00156708">
        <w:trPr>
          <w:trHeight w:val="350"/>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14:paraId="61E4D2DD"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LSSCft-1</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227A475F"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mil€</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CE3E"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46.88</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0C58" w14:textId="77777777" w:rsidR="007D6305" w:rsidRPr="00156708" w:rsidRDefault="007D6305" w:rsidP="00B01797">
            <w:pPr>
              <w:spacing w:after="0" w:line="240" w:lineRule="auto"/>
              <w:jc w:val="right"/>
              <w:rPr>
                <w:rFonts w:eastAsia="Times New Roman" w:cs="Calibri"/>
                <w:b/>
                <w:bCs/>
                <w:sz w:val="20"/>
                <w:szCs w:val="20"/>
                <w:lang w:val="en-GB"/>
              </w:rPr>
            </w:pP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D77746B"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41.17</w:t>
            </w:r>
          </w:p>
        </w:tc>
      </w:tr>
      <w:tr w:rsidR="00B01797" w:rsidRPr="00156708" w14:paraId="30FD634D" w14:textId="77777777" w:rsidTr="00156708">
        <w:trPr>
          <w:trHeight w:val="350"/>
          <w:jc w:val="center"/>
        </w:trPr>
        <w:tc>
          <w:tcPr>
            <w:tcW w:w="1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6ED0F827" w14:textId="77777777" w:rsidR="007D6305" w:rsidRPr="00156708" w:rsidRDefault="007D6305" w:rsidP="00E71E71">
            <w:pPr>
              <w:spacing w:after="0" w:line="240" w:lineRule="auto"/>
              <w:rPr>
                <w:rFonts w:eastAsia="Times New Roman" w:cs="Calibri"/>
                <w:b/>
                <w:bCs/>
                <w:sz w:val="20"/>
                <w:szCs w:val="20"/>
                <w:lang w:val="en-GB"/>
              </w:rPr>
            </w:pPr>
            <w:r w:rsidRPr="00156708">
              <w:rPr>
                <w:rFonts w:eastAsia="Times New Roman" w:cs="Calibri"/>
                <w:b/>
                <w:bCs/>
                <w:sz w:val="20"/>
                <w:szCs w:val="20"/>
                <w:lang w:val="en-GB"/>
              </w:rPr>
              <w:t xml:space="preserve">Adjusted Costs </w:t>
            </w:r>
            <w:r w:rsidRPr="00156708">
              <w:rPr>
                <w:rStyle w:val="FootnoteReference"/>
                <w:rFonts w:eastAsia="Times New Roman" w:cs="Calibri"/>
                <w:b/>
                <w:bCs/>
                <w:sz w:val="20"/>
                <w:szCs w:val="20"/>
                <w:vertAlign w:val="baseline"/>
                <w:lang w:val="en-GB"/>
              </w:rPr>
              <w:footnoteReference w:id="3"/>
            </w:r>
          </w:p>
        </w:tc>
        <w:tc>
          <w:tcPr>
            <w:tcW w:w="620"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61CCE80D" w14:textId="77777777" w:rsidR="007D6305" w:rsidRPr="00156708" w:rsidRDefault="007D6305" w:rsidP="00B01797">
            <w:pPr>
              <w:spacing w:after="0" w:line="240" w:lineRule="auto"/>
              <w:jc w:val="center"/>
              <w:rPr>
                <w:rFonts w:eastAsia="Times New Roman" w:cs="Calibri"/>
                <w:sz w:val="20"/>
                <w:szCs w:val="20"/>
                <w:lang w:val="en-GB"/>
              </w:rPr>
            </w:pPr>
            <w:r w:rsidRPr="00156708">
              <w:rPr>
                <w:rFonts w:eastAsia="Times New Roman" w:cs="Calibri"/>
                <w:sz w:val="20"/>
                <w:szCs w:val="20"/>
                <w:lang w:val="en-GB"/>
              </w:rPr>
              <w:t>mil€</w:t>
            </w:r>
          </w:p>
        </w:tc>
        <w:tc>
          <w:tcPr>
            <w:tcW w:w="843"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0CEF2C8B" w14:textId="77777777" w:rsidR="007D6305" w:rsidRPr="00156708" w:rsidRDefault="007D6305" w:rsidP="00B01797">
            <w:pPr>
              <w:spacing w:after="0" w:line="240" w:lineRule="auto"/>
              <w:jc w:val="right"/>
              <w:rPr>
                <w:rFonts w:eastAsia="Times New Roman" w:cs="Calibri"/>
                <w:b/>
                <w:bCs/>
                <w:sz w:val="20"/>
                <w:szCs w:val="20"/>
                <w:lang w:val="en-GB"/>
              </w:rPr>
            </w:pPr>
          </w:p>
        </w:tc>
        <w:tc>
          <w:tcPr>
            <w:tcW w:w="89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4E8C8099" w14:textId="77777777" w:rsidR="007D6305" w:rsidRPr="00156708" w:rsidRDefault="007D6305" w:rsidP="00B01797">
            <w:pPr>
              <w:spacing w:after="0" w:line="240" w:lineRule="auto"/>
              <w:jc w:val="right"/>
              <w:rPr>
                <w:rFonts w:eastAsia="Times New Roman" w:cs="Calibri"/>
                <w:b/>
                <w:bCs/>
                <w:sz w:val="20"/>
                <w:szCs w:val="20"/>
                <w:lang w:val="en-GB"/>
              </w:rPr>
            </w:pPr>
            <w:r w:rsidRPr="00156708">
              <w:rPr>
                <w:rFonts w:eastAsia="Times New Roman" w:cs="Calibri"/>
                <w:b/>
                <w:bCs/>
                <w:sz w:val="20"/>
                <w:szCs w:val="20"/>
                <w:lang w:val="en-GB"/>
              </w:rPr>
              <w:t>-5.3</w:t>
            </w:r>
          </w:p>
        </w:tc>
        <w:tc>
          <w:tcPr>
            <w:tcW w:w="955" w:type="pct"/>
            <w:tcBorders>
              <w:top w:val="single" w:sz="4" w:space="0" w:color="auto"/>
              <w:left w:val="single" w:sz="4" w:space="0" w:color="FFFFFF" w:themeColor="background1"/>
              <w:bottom w:val="single" w:sz="4" w:space="0" w:color="FFFFFF" w:themeColor="background1"/>
            </w:tcBorders>
            <w:shd w:val="clear" w:color="auto" w:fill="DBE5F1" w:themeFill="accent1" w:themeFillTint="33"/>
            <w:vAlign w:val="center"/>
          </w:tcPr>
          <w:p w14:paraId="7F2E5EF2" w14:textId="77777777" w:rsidR="007D6305" w:rsidRPr="00156708" w:rsidRDefault="007D6305" w:rsidP="00B01797">
            <w:pPr>
              <w:spacing w:after="0" w:line="240" w:lineRule="auto"/>
              <w:jc w:val="right"/>
              <w:rPr>
                <w:rFonts w:eastAsia="Times New Roman" w:cs="Calibri"/>
                <w:b/>
                <w:bCs/>
                <w:sz w:val="20"/>
                <w:szCs w:val="20"/>
                <w:lang w:val="en-GB"/>
              </w:rPr>
            </w:pPr>
          </w:p>
        </w:tc>
      </w:tr>
    </w:tbl>
    <w:p w14:paraId="03D73E58" w14:textId="77777777" w:rsidR="0098311C" w:rsidRPr="00156708" w:rsidRDefault="0098311C" w:rsidP="004565A0">
      <w:pPr>
        <w:pStyle w:val="Caption"/>
      </w:pPr>
    </w:p>
    <w:p w14:paraId="737F6060" w14:textId="77777777" w:rsidR="00446F24" w:rsidRPr="00156708" w:rsidRDefault="00DC2766" w:rsidP="00446F24">
      <w:pPr>
        <w:pStyle w:val="Equation"/>
        <w:keepLines/>
        <w:ind w:left="2410" w:hanging="992"/>
      </w:pPr>
      <w:r w:rsidRPr="00156708">
        <w:t>Where:</w:t>
      </w:r>
      <w:r w:rsidRPr="00156708">
        <w:tab/>
      </w:r>
    </w:p>
    <w:p w14:paraId="78A13BBB" w14:textId="77777777" w:rsidR="00446F24" w:rsidRPr="00156708" w:rsidRDefault="00DC2766" w:rsidP="00446F24">
      <w:pPr>
        <w:pStyle w:val="Equation"/>
        <w:ind w:left="2873" w:hanging="1455"/>
      </w:pPr>
      <w:r w:rsidRPr="00156708">
        <w:t>LSSA</w:t>
      </w:r>
      <w:r w:rsidRPr="00156708">
        <w:rPr>
          <w:vertAlign w:val="subscript"/>
        </w:rPr>
        <w:t>t</w:t>
      </w:r>
      <w:r w:rsidRPr="00156708">
        <w:tab/>
      </w:r>
      <w:r w:rsidRPr="00156708">
        <w:tab/>
        <w:t>is the Loss Allowance, which is a percentage of energy entering the Distribution System, in Relevant Year t</w:t>
      </w:r>
    </w:p>
    <w:p w14:paraId="5C7D74AF" w14:textId="5BCCE603" w:rsidR="00446F24" w:rsidRPr="00156708" w:rsidRDefault="00DC2766" w:rsidP="00446F24">
      <w:pPr>
        <w:pStyle w:val="Equation"/>
        <w:ind w:left="2873" w:hanging="1455"/>
        <w:jc w:val="both"/>
      </w:pPr>
      <w:r w:rsidRPr="00156708">
        <w:t>REUE</w:t>
      </w:r>
      <w:r w:rsidRPr="00156708">
        <w:rPr>
          <w:vertAlign w:val="subscript"/>
        </w:rPr>
        <w:t>t</w:t>
      </w:r>
      <w:r w:rsidRPr="00156708">
        <w:tab/>
        <w:t>is the energy units (in MWh) or (</w:t>
      </w:r>
      <w:r w:rsidR="009A1116" w:rsidRPr="00156708">
        <w:t>GWh) entering</w:t>
      </w:r>
      <w:r w:rsidRPr="00156708">
        <w:t xml:space="preserve"> the Distribution System in Relevant Year t</w:t>
      </w:r>
    </w:p>
    <w:p w14:paraId="53F2523D" w14:textId="77777777" w:rsidR="00446F24" w:rsidRPr="00156708" w:rsidRDefault="00DC2766" w:rsidP="00446F24">
      <w:pPr>
        <w:pStyle w:val="Equation"/>
        <w:ind w:left="2873" w:hanging="1455"/>
        <w:jc w:val="both"/>
      </w:pPr>
      <w:r w:rsidRPr="00156708">
        <w:t>WHEA</w:t>
      </w:r>
      <w:r w:rsidRPr="00156708">
        <w:rPr>
          <w:vertAlign w:val="subscript"/>
        </w:rPr>
        <w:t>t</w:t>
      </w:r>
      <w:r w:rsidRPr="00156708">
        <w:tab/>
      </w:r>
      <w:r w:rsidRPr="00156708">
        <w:tab/>
        <w:t>is the average wholesale energy cost (in €/MWh) as in Relevant Year t</w:t>
      </w:r>
    </w:p>
    <w:p w14:paraId="1249C0E2" w14:textId="77777777" w:rsidR="00446F24" w:rsidRPr="00156708" w:rsidRDefault="00DC2766" w:rsidP="00446F24">
      <w:pPr>
        <w:pStyle w:val="Equation"/>
        <w:ind w:left="2873" w:hanging="1455"/>
        <w:jc w:val="both"/>
      </w:pPr>
      <w:r w:rsidRPr="00156708">
        <w:t>LSSCa</w:t>
      </w:r>
      <w:r w:rsidRPr="00156708">
        <w:rPr>
          <w:vertAlign w:val="subscript"/>
        </w:rPr>
        <w:t>t-1</w:t>
      </w:r>
      <w:r w:rsidRPr="00156708">
        <w:rPr>
          <w:vertAlign w:val="subscript"/>
        </w:rPr>
        <w:tab/>
      </w:r>
      <w:r w:rsidRPr="00156708">
        <w:t>is the actual allowed cost of losses in Relevant Year t-1 (calculated using the Loss Allowance)</w:t>
      </w:r>
    </w:p>
    <w:p w14:paraId="327965F5" w14:textId="77777777" w:rsidR="00446F24" w:rsidRPr="00156708" w:rsidRDefault="00DC2766" w:rsidP="00446F24">
      <w:pPr>
        <w:pStyle w:val="Equation"/>
        <w:ind w:left="2873" w:hanging="1455"/>
        <w:jc w:val="both"/>
      </w:pPr>
      <w:r w:rsidRPr="00156708">
        <w:lastRenderedPageBreak/>
        <w:t>LSSCf</w:t>
      </w:r>
      <w:r w:rsidRPr="00156708">
        <w:rPr>
          <w:vertAlign w:val="subscript"/>
        </w:rPr>
        <w:t>t-1</w:t>
      </w:r>
      <w:r w:rsidRPr="00156708">
        <w:rPr>
          <w:vertAlign w:val="subscript"/>
        </w:rPr>
        <w:tab/>
      </w:r>
      <w:r w:rsidRPr="00156708">
        <w:rPr>
          <w:vertAlign w:val="subscript"/>
        </w:rPr>
        <w:tab/>
      </w:r>
      <w:r w:rsidRPr="00156708">
        <w:t>is the forecast cost of losses in Relevant Year t-1 (calculated using the Loss Allowance</w:t>
      </w:r>
    </w:p>
    <w:p w14:paraId="76494942" w14:textId="77777777" w:rsidR="00446F24" w:rsidRPr="00156708" w:rsidRDefault="00DC2766" w:rsidP="00446F24">
      <w:pPr>
        <w:pStyle w:val="Equation"/>
        <w:ind w:left="2873" w:hanging="1455"/>
        <w:jc w:val="both"/>
      </w:pPr>
      <w:r w:rsidRPr="00156708">
        <w:t>I</w:t>
      </w:r>
      <w:r w:rsidRPr="00156708">
        <w:rPr>
          <w:vertAlign w:val="subscript"/>
        </w:rPr>
        <w:t>t</w:t>
      </w:r>
      <w:r w:rsidRPr="00156708">
        <w:tab/>
        <w:t>is the interest rate for the Relevant Year t calculated based on EURIBOR plus S%, where S is a value to be determined by the Regulator at Periodic Reviews and which reflects the premium payable by the licensee for short-term loans above the EURIBOR rate</w:t>
      </w:r>
    </w:p>
    <w:p w14:paraId="748C6056" w14:textId="77777777" w:rsidR="005D3BE6" w:rsidRPr="00156708" w:rsidRDefault="005D3BE6" w:rsidP="009A1116">
      <w:pPr>
        <w:pStyle w:val="Equation"/>
        <w:spacing w:line="276" w:lineRule="auto"/>
        <w:ind w:left="0" w:firstLine="0"/>
        <w:jc w:val="both"/>
        <w:rPr>
          <w:i w:val="0"/>
        </w:rPr>
      </w:pPr>
      <w:r w:rsidRPr="00156708">
        <w:rPr>
          <w:i w:val="0"/>
        </w:rPr>
        <w:t>ERO in its preliminary evaluation has foreseen the costs of purchasing energy to cover losses based on current prices realized in 2020, however during the public consultation process, the parties must provide evidence that they have complied with the principles set out in the legal and regulatory framework for the purchase and sale of energy to cover losses.</w:t>
      </w:r>
    </w:p>
    <w:p w14:paraId="4858AAB8" w14:textId="77777777" w:rsidR="006B37BB" w:rsidRPr="00156708" w:rsidRDefault="005D3BE6" w:rsidP="004565A0">
      <w:pPr>
        <w:pStyle w:val="Heading2"/>
      </w:pPr>
      <w:bookmarkStart w:id="11" w:name="_Toc81818997"/>
      <w:r w:rsidRPr="00156708">
        <w:rPr>
          <w:szCs w:val="24"/>
        </w:rPr>
        <w:t>Adjustments of Non-Tariff Revenues</w:t>
      </w:r>
      <w:bookmarkEnd w:id="11"/>
    </w:p>
    <w:p w14:paraId="0C9A28D8" w14:textId="77777777" w:rsidR="00EE3DFC" w:rsidRPr="00A264E0" w:rsidRDefault="00EE3DFC" w:rsidP="00A264E0">
      <w:pPr>
        <w:spacing w:before="120"/>
        <w:jc w:val="both"/>
        <w:rPr>
          <w:lang w:val="en-GB"/>
        </w:rPr>
      </w:pPr>
      <w:bookmarkStart w:id="12" w:name="_Toc81398400"/>
      <w:r w:rsidRPr="00A264E0">
        <w:rPr>
          <w:lang w:val="en-GB"/>
        </w:rPr>
        <w:t xml:space="preserve">Other revenues realized from unregulated activities such as: revenues from distribution services, services for energy consent, other services, revenues from the lease of assets, revenues from various economic operators, sale of assets, etc. </w:t>
      </w:r>
      <w:r w:rsidR="00DC2766" w:rsidRPr="00A264E0">
        <w:rPr>
          <w:lang w:val="en-GB"/>
        </w:rPr>
        <w:t xml:space="preserve">are deducted from the Maximum Allowed Revenues. The value of these revenues realized from DSO in </w:t>
      </w:r>
      <w:r w:rsidRPr="00A264E0">
        <w:rPr>
          <w:lang w:val="en-GB"/>
        </w:rPr>
        <w:t xml:space="preserve">2020 </w:t>
      </w:r>
      <w:r w:rsidR="00DC2766" w:rsidRPr="00A264E0">
        <w:rPr>
          <w:lang w:val="en-GB"/>
        </w:rPr>
        <w:t xml:space="preserve">is reported by KEDS in an amount of </w:t>
      </w:r>
      <w:r w:rsidRPr="00A264E0">
        <w:rPr>
          <w:lang w:val="en-GB"/>
        </w:rPr>
        <w:t>7.26</w:t>
      </w:r>
      <w:r w:rsidR="00DC2766" w:rsidRPr="00A264E0">
        <w:rPr>
          <w:lang w:val="en-GB"/>
        </w:rPr>
        <w:t xml:space="preserve"> million Euros. </w:t>
      </w:r>
      <w:r w:rsidRPr="00A264E0">
        <w:rPr>
          <w:lang w:val="en-GB"/>
        </w:rPr>
        <w:t>ERO in the preliminary assessment has reviewed the data according to the audited statements, which results that unregulated revenues for 2020 are € 6.6mil.</w:t>
      </w:r>
      <w:bookmarkEnd w:id="12"/>
    </w:p>
    <w:p w14:paraId="111D8B56" w14:textId="77777777" w:rsidR="0043128D" w:rsidRPr="00A264E0" w:rsidRDefault="00EE3DFC" w:rsidP="00A264E0">
      <w:pPr>
        <w:spacing w:before="120"/>
        <w:jc w:val="both"/>
        <w:rPr>
          <w:lang w:val="en-GB"/>
        </w:rPr>
      </w:pPr>
      <w:bookmarkStart w:id="13" w:name="_Toc81398401"/>
      <w:r w:rsidRPr="00A264E0">
        <w:rPr>
          <w:lang w:val="en-GB"/>
        </w:rPr>
        <w:t>The following table presents the details on unregulated revenues:</w:t>
      </w:r>
      <w:bookmarkEnd w:id="13"/>
    </w:p>
    <w:p w14:paraId="38BEE221" w14:textId="05AD6B5A" w:rsidR="00156708" w:rsidRDefault="00156708" w:rsidP="00156708">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w:t>
      </w:r>
      <w:r w:rsidRPr="00156708">
        <w:t xml:space="preserve"> </w:t>
      </w:r>
      <w:r>
        <w:t>U</w:t>
      </w:r>
      <w:r w:rsidRPr="00156708">
        <w:t>nregulated revenues</w:t>
      </w:r>
    </w:p>
    <w:tbl>
      <w:tblPr>
        <w:tblW w:w="4303" w:type="dxa"/>
        <w:tblLook w:val="04A0" w:firstRow="1" w:lastRow="0" w:firstColumn="1" w:lastColumn="0" w:noHBand="0" w:noVBand="1"/>
      </w:tblPr>
      <w:tblGrid>
        <w:gridCol w:w="3443"/>
        <w:gridCol w:w="860"/>
      </w:tblGrid>
      <w:tr w:rsidR="0043128D" w:rsidRPr="00156708" w14:paraId="035B35CB" w14:textId="77777777" w:rsidTr="00E71E71">
        <w:trPr>
          <w:trHeight w:val="300"/>
        </w:trPr>
        <w:tc>
          <w:tcPr>
            <w:tcW w:w="34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57723CE" w14:textId="77777777" w:rsidR="0043128D" w:rsidRPr="00156708" w:rsidRDefault="0043128D" w:rsidP="00E71E71">
            <w:pPr>
              <w:spacing w:after="0" w:line="240" w:lineRule="auto"/>
              <w:rPr>
                <w:rFonts w:asciiTheme="minorHAnsi" w:eastAsia="Times New Roman" w:hAnsiTheme="minorHAnsi" w:cstheme="minorHAnsi"/>
                <w:b/>
                <w:bCs/>
                <w:color w:val="FFFFFF" w:themeColor="background1"/>
                <w:sz w:val="20"/>
                <w:lang w:val="en-GB"/>
              </w:rPr>
            </w:pPr>
            <w:r w:rsidRPr="00156708">
              <w:rPr>
                <w:rFonts w:asciiTheme="minorHAnsi" w:eastAsia="Times New Roman" w:hAnsiTheme="minorHAnsi" w:cstheme="minorHAnsi"/>
                <w:b/>
                <w:bCs/>
                <w:color w:val="FFFFFF" w:themeColor="background1"/>
                <w:sz w:val="20"/>
                <w:lang w:val="en-GB"/>
              </w:rPr>
              <w:t>Unregulated revenues 2020</w:t>
            </w:r>
          </w:p>
        </w:tc>
        <w:tc>
          <w:tcPr>
            <w:tcW w:w="86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6A56D34" w14:textId="77777777" w:rsidR="0043128D" w:rsidRPr="00156708" w:rsidRDefault="0043128D" w:rsidP="00E71E71">
            <w:pPr>
              <w:spacing w:after="0" w:line="240" w:lineRule="auto"/>
              <w:jc w:val="center"/>
              <w:rPr>
                <w:rFonts w:asciiTheme="minorHAnsi" w:eastAsia="Times New Roman" w:hAnsiTheme="minorHAnsi" w:cstheme="minorHAnsi"/>
                <w:b/>
                <w:bCs/>
                <w:color w:val="FFFFFF" w:themeColor="background1"/>
                <w:sz w:val="20"/>
                <w:lang w:val="en-GB"/>
              </w:rPr>
            </w:pPr>
            <w:r w:rsidRPr="00156708">
              <w:rPr>
                <w:rFonts w:asciiTheme="minorHAnsi" w:eastAsia="Times New Roman" w:hAnsiTheme="minorHAnsi" w:cstheme="minorHAnsi"/>
                <w:b/>
                <w:bCs/>
                <w:color w:val="FFFFFF" w:themeColor="background1"/>
                <w:sz w:val="20"/>
                <w:lang w:val="en-GB"/>
              </w:rPr>
              <w:t>€000s</w:t>
            </w:r>
          </w:p>
        </w:tc>
      </w:tr>
      <w:tr w:rsidR="0043128D" w:rsidRPr="00156708" w14:paraId="76B752C2"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5D2B4E50"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Distribution services</w:t>
            </w:r>
          </w:p>
        </w:tc>
        <w:tc>
          <w:tcPr>
            <w:tcW w:w="860" w:type="dxa"/>
            <w:tcBorders>
              <w:top w:val="nil"/>
              <w:left w:val="nil"/>
              <w:bottom w:val="single" w:sz="4" w:space="0" w:color="auto"/>
              <w:right w:val="single" w:sz="4" w:space="0" w:color="auto"/>
            </w:tcBorders>
            <w:shd w:val="clear" w:color="auto" w:fill="auto"/>
            <w:noWrap/>
            <w:vAlign w:val="center"/>
            <w:hideMark/>
          </w:tcPr>
          <w:p w14:paraId="61683B49"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1,545</w:t>
            </w:r>
          </w:p>
        </w:tc>
      </w:tr>
      <w:tr w:rsidR="0043128D" w:rsidRPr="00156708" w14:paraId="41764F15"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71EEC440"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Services for energy consent</w:t>
            </w:r>
          </w:p>
        </w:tc>
        <w:tc>
          <w:tcPr>
            <w:tcW w:w="860" w:type="dxa"/>
            <w:tcBorders>
              <w:top w:val="nil"/>
              <w:left w:val="nil"/>
              <w:bottom w:val="single" w:sz="4" w:space="0" w:color="auto"/>
              <w:right w:val="single" w:sz="4" w:space="0" w:color="auto"/>
            </w:tcBorders>
            <w:shd w:val="clear" w:color="auto" w:fill="auto"/>
            <w:noWrap/>
            <w:vAlign w:val="center"/>
            <w:hideMark/>
          </w:tcPr>
          <w:p w14:paraId="6FEBBB1E"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1,994</w:t>
            </w:r>
          </w:p>
        </w:tc>
      </w:tr>
      <w:tr w:rsidR="0043128D" w:rsidRPr="00156708" w14:paraId="33CC680E"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72C4A2BB"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Other services</w:t>
            </w:r>
          </w:p>
        </w:tc>
        <w:tc>
          <w:tcPr>
            <w:tcW w:w="860" w:type="dxa"/>
            <w:tcBorders>
              <w:top w:val="nil"/>
              <w:left w:val="nil"/>
              <w:bottom w:val="single" w:sz="4" w:space="0" w:color="auto"/>
              <w:right w:val="single" w:sz="4" w:space="0" w:color="auto"/>
            </w:tcBorders>
            <w:shd w:val="clear" w:color="auto" w:fill="auto"/>
            <w:noWrap/>
            <w:vAlign w:val="center"/>
            <w:hideMark/>
          </w:tcPr>
          <w:p w14:paraId="7CA3D26C"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2,091</w:t>
            </w:r>
          </w:p>
        </w:tc>
      </w:tr>
      <w:tr w:rsidR="0043128D" w:rsidRPr="00156708" w14:paraId="6078D5A3"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43C0AD70"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Income from stock without origin</w:t>
            </w:r>
          </w:p>
        </w:tc>
        <w:tc>
          <w:tcPr>
            <w:tcW w:w="860" w:type="dxa"/>
            <w:tcBorders>
              <w:top w:val="nil"/>
              <w:left w:val="nil"/>
              <w:bottom w:val="single" w:sz="4" w:space="0" w:color="auto"/>
              <w:right w:val="single" w:sz="4" w:space="0" w:color="auto"/>
            </w:tcBorders>
            <w:shd w:val="clear" w:color="auto" w:fill="auto"/>
            <w:noWrap/>
            <w:vAlign w:val="center"/>
            <w:hideMark/>
          </w:tcPr>
          <w:p w14:paraId="51CA7F0C"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689</w:t>
            </w:r>
          </w:p>
        </w:tc>
      </w:tr>
      <w:tr w:rsidR="0043128D" w:rsidRPr="00156708" w14:paraId="723E0341"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6A8A5BC"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Other revenues</w:t>
            </w:r>
          </w:p>
        </w:tc>
        <w:tc>
          <w:tcPr>
            <w:tcW w:w="860" w:type="dxa"/>
            <w:tcBorders>
              <w:top w:val="nil"/>
              <w:left w:val="nil"/>
              <w:bottom w:val="single" w:sz="4" w:space="0" w:color="auto"/>
              <w:right w:val="single" w:sz="4" w:space="0" w:color="auto"/>
            </w:tcBorders>
            <w:shd w:val="clear" w:color="auto" w:fill="auto"/>
            <w:noWrap/>
            <w:vAlign w:val="center"/>
            <w:hideMark/>
          </w:tcPr>
          <w:p w14:paraId="5EEAD6C4"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98</w:t>
            </w:r>
          </w:p>
        </w:tc>
      </w:tr>
      <w:tr w:rsidR="0043128D" w:rsidRPr="00156708" w14:paraId="360E97BD"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500FBD96"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Revenues from the lease of assets</w:t>
            </w:r>
          </w:p>
        </w:tc>
        <w:tc>
          <w:tcPr>
            <w:tcW w:w="860" w:type="dxa"/>
            <w:tcBorders>
              <w:top w:val="nil"/>
              <w:left w:val="nil"/>
              <w:bottom w:val="single" w:sz="4" w:space="0" w:color="auto"/>
              <w:right w:val="single" w:sz="4" w:space="0" w:color="auto"/>
            </w:tcBorders>
            <w:shd w:val="clear" w:color="auto" w:fill="auto"/>
            <w:noWrap/>
            <w:vAlign w:val="center"/>
            <w:hideMark/>
          </w:tcPr>
          <w:p w14:paraId="06E90FC4"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100</w:t>
            </w:r>
          </w:p>
        </w:tc>
      </w:tr>
      <w:tr w:rsidR="0043128D" w:rsidRPr="00156708" w14:paraId="2E2748DE" w14:textId="77777777" w:rsidTr="00E71E71">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68DFF6B7" w14:textId="77777777" w:rsidR="0043128D" w:rsidRPr="00156708" w:rsidRDefault="0043128D" w:rsidP="00E71E71">
            <w:pPr>
              <w:spacing w:after="0" w:line="240" w:lineRule="auto"/>
              <w:ind w:firstLineChars="100" w:firstLine="200"/>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Profit from the sale of fixed assets</w:t>
            </w:r>
          </w:p>
        </w:tc>
        <w:tc>
          <w:tcPr>
            <w:tcW w:w="860" w:type="dxa"/>
            <w:tcBorders>
              <w:top w:val="nil"/>
              <w:left w:val="nil"/>
              <w:bottom w:val="single" w:sz="4" w:space="0" w:color="auto"/>
              <w:right w:val="single" w:sz="4" w:space="0" w:color="auto"/>
            </w:tcBorders>
            <w:shd w:val="clear" w:color="auto" w:fill="auto"/>
            <w:noWrap/>
            <w:vAlign w:val="center"/>
            <w:hideMark/>
          </w:tcPr>
          <w:p w14:paraId="7308A823" w14:textId="77777777" w:rsidR="0043128D" w:rsidRPr="00156708" w:rsidRDefault="0043128D" w:rsidP="00E71E71">
            <w:pPr>
              <w:spacing w:after="0" w:line="240" w:lineRule="auto"/>
              <w:jc w:val="center"/>
              <w:rPr>
                <w:rFonts w:asciiTheme="minorHAnsi" w:eastAsia="Times New Roman" w:hAnsiTheme="minorHAnsi" w:cstheme="minorHAnsi"/>
                <w:color w:val="000000"/>
                <w:sz w:val="20"/>
                <w:lang w:val="en-GB"/>
              </w:rPr>
            </w:pPr>
            <w:r w:rsidRPr="00156708">
              <w:rPr>
                <w:rFonts w:asciiTheme="minorHAnsi" w:eastAsia="Times New Roman" w:hAnsiTheme="minorHAnsi" w:cstheme="minorHAnsi"/>
                <w:color w:val="000000"/>
                <w:sz w:val="20"/>
                <w:lang w:val="en-GB"/>
              </w:rPr>
              <w:t>97</w:t>
            </w:r>
          </w:p>
        </w:tc>
      </w:tr>
      <w:tr w:rsidR="0043128D" w:rsidRPr="00156708" w14:paraId="2810C55B" w14:textId="77777777" w:rsidTr="00156708">
        <w:trPr>
          <w:trHeight w:val="300"/>
        </w:trPr>
        <w:tc>
          <w:tcPr>
            <w:tcW w:w="344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42333C2" w14:textId="77777777" w:rsidR="0043128D" w:rsidRPr="00156708" w:rsidRDefault="0043128D"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Total</w:t>
            </w:r>
          </w:p>
        </w:tc>
        <w:tc>
          <w:tcPr>
            <w:tcW w:w="860" w:type="dxa"/>
            <w:tcBorders>
              <w:top w:val="nil"/>
              <w:left w:val="nil"/>
              <w:bottom w:val="single" w:sz="4" w:space="0" w:color="auto"/>
              <w:right w:val="single" w:sz="4" w:space="0" w:color="auto"/>
            </w:tcBorders>
            <w:shd w:val="clear" w:color="auto" w:fill="DBE5F1" w:themeFill="accent1" w:themeFillTint="33"/>
            <w:noWrap/>
            <w:vAlign w:val="center"/>
            <w:hideMark/>
          </w:tcPr>
          <w:p w14:paraId="45855B6A" w14:textId="77777777" w:rsidR="0043128D" w:rsidRPr="00156708" w:rsidRDefault="0043128D"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6,614</w:t>
            </w:r>
          </w:p>
        </w:tc>
      </w:tr>
    </w:tbl>
    <w:p w14:paraId="266FF15A" w14:textId="77777777" w:rsidR="00446F24" w:rsidRPr="00156708" w:rsidRDefault="00446F24" w:rsidP="004565A0">
      <w:pPr>
        <w:pStyle w:val="Heading2"/>
        <w:numPr>
          <w:ilvl w:val="0"/>
          <w:numId w:val="0"/>
        </w:numPr>
        <w:ind w:left="283"/>
        <w:rPr>
          <w:rFonts w:cs="Calibri"/>
        </w:rPr>
      </w:pPr>
    </w:p>
    <w:p w14:paraId="2F8AD380" w14:textId="77777777" w:rsidR="00446F24" w:rsidRPr="00156708" w:rsidRDefault="00DC2766" w:rsidP="00446F24">
      <w:pPr>
        <w:pStyle w:val="Heading2"/>
        <w:tabs>
          <w:tab w:val="num" w:pos="810"/>
        </w:tabs>
        <w:ind w:left="810"/>
        <w:jc w:val="left"/>
      </w:pPr>
      <w:bookmarkStart w:id="14" w:name="_Toc81818998"/>
      <w:r w:rsidRPr="00156708">
        <w:t>Adjustments of Revenues Correction Factor</w:t>
      </w:r>
      <w:bookmarkEnd w:id="14"/>
    </w:p>
    <w:p w14:paraId="7BE0AC1D" w14:textId="41F4B71E" w:rsidR="00446F24" w:rsidRPr="00156708" w:rsidRDefault="00DC2766" w:rsidP="00446F24">
      <w:pPr>
        <w:spacing w:before="120"/>
        <w:jc w:val="both"/>
        <w:rPr>
          <w:lang w:val="en-GB"/>
        </w:rPr>
      </w:pPr>
      <w:r w:rsidRPr="00156708">
        <w:rPr>
          <w:lang w:val="en-GB"/>
        </w:rPr>
        <w:t xml:space="preserve">The correction of revenues for </w:t>
      </w:r>
      <w:r w:rsidR="008E3191" w:rsidRPr="00156708">
        <w:rPr>
          <w:lang w:val="en-GB"/>
        </w:rPr>
        <w:t xml:space="preserve">2020 </w:t>
      </w:r>
      <w:r w:rsidRPr="00156708">
        <w:rPr>
          <w:lang w:val="en-GB"/>
        </w:rPr>
        <w:t>was carried out in line with Rule on Maximum Allowed Revenues. The Principle which is applied is related to the general evaluation of allowed actual costs and actual realized revenues. These calculations were carried out according to the following formula:</w:t>
      </w:r>
    </w:p>
    <w:p w14:paraId="7537D3D6" w14:textId="77777777" w:rsidR="00446F24" w:rsidRPr="00156708" w:rsidRDefault="00DC2766" w:rsidP="00446F24">
      <w:pPr>
        <w:pStyle w:val="Equation"/>
        <w:ind w:left="2835" w:hanging="1701"/>
        <w:jc w:val="both"/>
      </w:pPr>
      <w:r w:rsidRPr="00156708">
        <w:t>KREV</w:t>
      </w:r>
      <w:r w:rsidRPr="00156708">
        <w:rPr>
          <w:vertAlign w:val="subscript"/>
        </w:rPr>
        <w:t>t</w:t>
      </w:r>
      <w:r w:rsidRPr="00156708">
        <w:t xml:space="preserve"> = (AAC</w:t>
      </w:r>
      <w:r w:rsidRPr="00156708">
        <w:rPr>
          <w:vertAlign w:val="subscript"/>
        </w:rPr>
        <w:t>at</w:t>
      </w:r>
      <w:r w:rsidRPr="00156708">
        <w:t>-</w:t>
      </w:r>
      <w:r w:rsidRPr="00156708">
        <w:rPr>
          <w:vertAlign w:val="subscript"/>
        </w:rPr>
        <w:t>1</w:t>
      </w:r>
      <w:r w:rsidRPr="00156708">
        <w:t xml:space="preserve"> – ARR</w:t>
      </w:r>
      <w:r w:rsidRPr="00156708">
        <w:rPr>
          <w:vertAlign w:val="subscript"/>
        </w:rPr>
        <w:t xml:space="preserve">t-1) </w:t>
      </w:r>
      <w:r w:rsidRPr="00156708">
        <w:t>* (1+ I</w:t>
      </w:r>
      <w:r w:rsidRPr="00156708">
        <w:rPr>
          <w:vertAlign w:val="subscript"/>
        </w:rPr>
        <w:t>t</w:t>
      </w:r>
      <w:r w:rsidRPr="00156708">
        <w:t xml:space="preserve">) </w:t>
      </w:r>
    </w:p>
    <w:p w14:paraId="79C6A9F5" w14:textId="77777777" w:rsidR="00446F24" w:rsidRPr="00156708" w:rsidRDefault="00DC2766" w:rsidP="00446F24">
      <w:pPr>
        <w:pStyle w:val="Equation"/>
        <w:ind w:left="2835" w:hanging="1701"/>
        <w:jc w:val="both"/>
      </w:pPr>
      <w:r w:rsidRPr="00156708">
        <w:t xml:space="preserve">Where: </w:t>
      </w:r>
    </w:p>
    <w:p w14:paraId="55730786" w14:textId="77777777" w:rsidR="00446F24" w:rsidRPr="00156708" w:rsidRDefault="00DC2766" w:rsidP="00446F24">
      <w:pPr>
        <w:pStyle w:val="Equation"/>
        <w:ind w:left="2835" w:hanging="1701"/>
        <w:jc w:val="both"/>
      </w:pPr>
      <w:r w:rsidRPr="00156708">
        <w:t>AAC</w:t>
      </w:r>
      <w:r w:rsidRPr="00156708">
        <w:rPr>
          <w:vertAlign w:val="subscript"/>
        </w:rPr>
        <w:t xml:space="preserve">at-1 </w:t>
      </w:r>
      <w:r w:rsidRPr="00156708">
        <w:tab/>
        <w:t>Actual Allowed Cost as determined in Relevant Year t-1</w:t>
      </w:r>
    </w:p>
    <w:p w14:paraId="38F492B2" w14:textId="77777777" w:rsidR="00446F24" w:rsidRPr="00156708" w:rsidRDefault="00DC2766" w:rsidP="00446F24">
      <w:pPr>
        <w:pStyle w:val="Equation"/>
        <w:ind w:left="2835" w:hanging="1701"/>
        <w:jc w:val="both"/>
      </w:pPr>
      <w:r w:rsidRPr="00156708">
        <w:t>ARR</w:t>
      </w:r>
      <w:r w:rsidRPr="00156708">
        <w:rPr>
          <w:vertAlign w:val="subscript"/>
        </w:rPr>
        <w:t xml:space="preserve">t-1 </w:t>
      </w:r>
      <w:r w:rsidRPr="00156708">
        <w:tab/>
        <w:t>is the Actual Regulated Revenues in Relevant Year t-1</w:t>
      </w:r>
    </w:p>
    <w:p w14:paraId="19AC898A" w14:textId="77777777" w:rsidR="00446F24" w:rsidRPr="00156708" w:rsidRDefault="00DC2766" w:rsidP="00446F24">
      <w:pPr>
        <w:pStyle w:val="Equation"/>
        <w:ind w:left="2835" w:hanging="1701"/>
        <w:jc w:val="both"/>
        <w:rPr>
          <w:rFonts w:cs="Calibri"/>
        </w:rPr>
      </w:pPr>
      <w:r w:rsidRPr="00156708">
        <w:rPr>
          <w:rFonts w:cs="Calibri"/>
        </w:rPr>
        <w:lastRenderedPageBreak/>
        <w:t>I</w:t>
      </w:r>
      <w:r w:rsidRPr="00156708">
        <w:rPr>
          <w:rFonts w:cs="Calibri"/>
          <w:vertAlign w:val="subscript"/>
        </w:rPr>
        <w:t>t</w:t>
      </w:r>
      <w:r w:rsidRPr="00156708">
        <w:rPr>
          <w:rFonts w:cs="Calibri"/>
        </w:rPr>
        <w:tab/>
      </w:r>
      <w:r w:rsidRPr="00156708">
        <w:t>is the interest rate for the Relevant Year t calculated based on EURIBOR plus S%, where S is a value to be determined by the Regulator at Periodic Reviews and which reflects the premium payable by the licensee for short-term loans above the EURIBOR rate</w:t>
      </w:r>
    </w:p>
    <w:p w14:paraId="2AABC754" w14:textId="77777777" w:rsidR="00446F24" w:rsidRPr="00156708" w:rsidRDefault="00DC2766" w:rsidP="00446F24">
      <w:pPr>
        <w:jc w:val="both"/>
        <w:rPr>
          <w:lang w:val="en-GB"/>
        </w:rPr>
      </w:pPr>
      <w:r w:rsidRPr="00156708">
        <w:rPr>
          <w:lang w:val="en-GB"/>
        </w:rPr>
        <w:t>The difference between AAC</w:t>
      </w:r>
      <w:r w:rsidRPr="00156708">
        <w:rPr>
          <w:vertAlign w:val="subscript"/>
          <w:lang w:val="en-GB"/>
        </w:rPr>
        <w:t>at</w:t>
      </w:r>
      <w:r w:rsidRPr="00156708">
        <w:rPr>
          <w:lang w:val="en-GB"/>
        </w:rPr>
        <w:t>-</w:t>
      </w:r>
      <w:r w:rsidRPr="00156708">
        <w:rPr>
          <w:vertAlign w:val="subscript"/>
          <w:lang w:val="en-GB"/>
        </w:rPr>
        <w:t xml:space="preserve">1 </w:t>
      </w:r>
      <w:r w:rsidRPr="00156708">
        <w:rPr>
          <w:lang w:val="en-GB"/>
        </w:rPr>
        <w:t xml:space="preserve">in an amount of </w:t>
      </w:r>
      <w:r w:rsidR="0043128D" w:rsidRPr="00156708">
        <w:rPr>
          <w:lang w:val="en-GB"/>
        </w:rPr>
        <w:t>87.06</w:t>
      </w:r>
      <w:r w:rsidRPr="00156708">
        <w:rPr>
          <w:lang w:val="en-GB"/>
        </w:rPr>
        <w:t xml:space="preserve"> mil€ and ARR</w:t>
      </w:r>
      <w:r w:rsidRPr="00156708">
        <w:rPr>
          <w:vertAlign w:val="subscript"/>
          <w:lang w:val="en-GB"/>
        </w:rPr>
        <w:t xml:space="preserve">t-1 </w:t>
      </w:r>
      <w:r w:rsidRPr="00156708">
        <w:rPr>
          <w:lang w:val="en-GB"/>
        </w:rPr>
        <w:t xml:space="preserve">in an amount of </w:t>
      </w:r>
      <w:r w:rsidR="0043128D" w:rsidRPr="00156708">
        <w:rPr>
          <w:lang w:val="en-GB"/>
        </w:rPr>
        <w:t>100.55</w:t>
      </w:r>
      <w:r w:rsidRPr="00156708">
        <w:rPr>
          <w:lang w:val="en-GB"/>
        </w:rPr>
        <w:t xml:space="preserve"> mil€, following the application of interest rate, results in an amount of </w:t>
      </w:r>
      <w:r w:rsidR="0043128D" w:rsidRPr="00156708">
        <w:rPr>
          <w:lang w:val="en-GB"/>
        </w:rPr>
        <w:t>–</w:t>
      </w:r>
      <w:r w:rsidRPr="00156708">
        <w:rPr>
          <w:lang w:val="en-GB"/>
        </w:rPr>
        <w:t xml:space="preserve"> </w:t>
      </w:r>
      <w:r w:rsidR="0043128D" w:rsidRPr="00156708">
        <w:rPr>
          <w:lang w:val="en-GB"/>
        </w:rPr>
        <w:t>1</w:t>
      </w:r>
      <w:r w:rsidRPr="00156708">
        <w:rPr>
          <w:lang w:val="en-GB"/>
        </w:rPr>
        <w:t>4</w:t>
      </w:r>
      <w:r w:rsidR="0043128D" w:rsidRPr="00156708">
        <w:rPr>
          <w:lang w:val="en-GB"/>
        </w:rPr>
        <w:t>.5</w:t>
      </w:r>
      <w:r w:rsidRPr="00156708">
        <w:rPr>
          <w:lang w:val="en-GB"/>
        </w:rPr>
        <w:t xml:space="preserve"> milion Euros. The difference between actual allowed costs and revenues is passed-through as an adjustment during the determination of MAR for 202</w:t>
      </w:r>
      <w:r w:rsidR="0043128D" w:rsidRPr="00156708">
        <w:rPr>
          <w:lang w:val="en-GB"/>
        </w:rPr>
        <w:t>1</w:t>
      </w:r>
      <w:r w:rsidRPr="00156708">
        <w:rPr>
          <w:lang w:val="en-GB"/>
        </w:rPr>
        <w:t>.</w:t>
      </w:r>
    </w:p>
    <w:p w14:paraId="048BF1B4" w14:textId="77777777" w:rsidR="00446F24" w:rsidRPr="00156708" w:rsidRDefault="00DC2766" w:rsidP="00446F24">
      <w:pPr>
        <w:pStyle w:val="Heading1"/>
      </w:pPr>
      <w:bookmarkStart w:id="15" w:name="_Toc81818999"/>
      <w:r w:rsidRPr="00156708">
        <w:t>Proposal for DSO Maximum Allowed Revenues</w:t>
      </w:r>
      <w:bookmarkEnd w:id="15"/>
    </w:p>
    <w:p w14:paraId="07C42A23" w14:textId="77777777" w:rsidR="00446F24" w:rsidRPr="00156708" w:rsidRDefault="00DC2766" w:rsidP="00446F24">
      <w:pPr>
        <w:jc w:val="both"/>
        <w:rPr>
          <w:lang w:val="en-GB"/>
        </w:rPr>
      </w:pPr>
      <w:r w:rsidRPr="00156708">
        <w:rPr>
          <w:lang w:val="en-GB"/>
        </w:rPr>
        <w:t>DSO Maximum Allowed Revenues are calculated according to the following formula:</w:t>
      </w:r>
    </w:p>
    <w:p w14:paraId="0B91267B" w14:textId="77777777" w:rsidR="00446F24" w:rsidRPr="00156708" w:rsidRDefault="00DC2766" w:rsidP="00446F24">
      <w:pPr>
        <w:pStyle w:val="TextS"/>
        <w:ind w:firstLine="0"/>
        <w:rPr>
          <w:i/>
          <w:lang w:val="en-GB"/>
        </w:rPr>
      </w:pPr>
      <w:r w:rsidRPr="00156708">
        <w:rPr>
          <w:i/>
          <w:lang w:val="en-GB"/>
        </w:rPr>
        <w:t xml:space="preserve">MARt = OPMCt + DEPCt + RTNCt + LSSCt + LICCt -NTFR t +ADJt +KREVt </w:t>
      </w:r>
    </w:p>
    <w:p w14:paraId="5A7E0523" w14:textId="77777777" w:rsidR="00446F24" w:rsidRPr="00156708" w:rsidRDefault="00DC2766" w:rsidP="00446F24">
      <w:pPr>
        <w:pStyle w:val="TextS"/>
        <w:ind w:firstLine="0"/>
        <w:rPr>
          <w:i/>
          <w:lang w:val="en-GB"/>
        </w:rPr>
      </w:pPr>
      <w:r w:rsidRPr="00156708">
        <w:rPr>
          <w:i/>
          <w:lang w:val="en-GB"/>
        </w:rPr>
        <w:t>Where</w:t>
      </w:r>
    </w:p>
    <w:p w14:paraId="2F98025B" w14:textId="77777777" w:rsidR="00446F24" w:rsidRPr="00156708" w:rsidRDefault="00DC2766" w:rsidP="00446F24">
      <w:pPr>
        <w:pStyle w:val="Equation"/>
      </w:pPr>
      <w:r w:rsidRPr="00156708">
        <w:t>MAR</w:t>
      </w:r>
      <w:r w:rsidRPr="00156708">
        <w:rPr>
          <w:vertAlign w:val="subscript"/>
        </w:rPr>
        <w:t>t</w:t>
      </w:r>
      <w:r w:rsidRPr="00156708">
        <w:tab/>
        <w:t>Maximum Allowed revenues in relevant year t</w:t>
      </w:r>
    </w:p>
    <w:p w14:paraId="759F3373" w14:textId="77777777" w:rsidR="00446F24" w:rsidRPr="00156708" w:rsidRDefault="00DC2766" w:rsidP="00446F24">
      <w:pPr>
        <w:pStyle w:val="Equation"/>
      </w:pPr>
      <w:r w:rsidRPr="00156708">
        <w:t>OPMC</w:t>
      </w:r>
      <w:r w:rsidRPr="00156708">
        <w:rPr>
          <w:vertAlign w:val="subscript"/>
        </w:rPr>
        <w:t>t</w:t>
      </w:r>
      <w:r w:rsidRPr="00156708">
        <w:tab/>
        <w:t xml:space="preserve"> allowed operational and maintenance costs in relevant year t</w:t>
      </w:r>
    </w:p>
    <w:p w14:paraId="7785AD2C" w14:textId="77777777" w:rsidR="00446F24" w:rsidRPr="00156708" w:rsidRDefault="00DC2766" w:rsidP="00446F24">
      <w:pPr>
        <w:pStyle w:val="Equation"/>
      </w:pPr>
      <w:r w:rsidRPr="00156708">
        <w:t>DEPC</w:t>
      </w:r>
      <w:r w:rsidRPr="00156708">
        <w:rPr>
          <w:vertAlign w:val="subscript"/>
        </w:rPr>
        <w:t>t</w:t>
      </w:r>
      <w:r w:rsidRPr="00156708">
        <w:tab/>
        <w:t xml:space="preserve"> allowed depreciation in relevant year t</w:t>
      </w:r>
    </w:p>
    <w:p w14:paraId="5E516E7D" w14:textId="77777777" w:rsidR="00446F24" w:rsidRPr="00156708" w:rsidRDefault="00DC2766" w:rsidP="00446F24">
      <w:pPr>
        <w:pStyle w:val="Equation"/>
      </w:pPr>
      <w:r w:rsidRPr="00156708">
        <w:t>RTNC</w:t>
      </w:r>
      <w:r w:rsidRPr="00156708">
        <w:rPr>
          <w:vertAlign w:val="subscript"/>
        </w:rPr>
        <w:t>t</w:t>
      </w:r>
      <w:r w:rsidRPr="00156708">
        <w:tab/>
        <w:t xml:space="preserve"> allowed return on capital in relevant year t</w:t>
      </w:r>
    </w:p>
    <w:p w14:paraId="750894D6" w14:textId="77777777" w:rsidR="00446F24" w:rsidRPr="00156708" w:rsidRDefault="00DC2766" w:rsidP="00446F24">
      <w:pPr>
        <w:pStyle w:val="Equation"/>
      </w:pPr>
      <w:r w:rsidRPr="00156708">
        <w:t>LSSC</w:t>
      </w:r>
      <w:r w:rsidRPr="00156708">
        <w:rPr>
          <w:vertAlign w:val="subscript"/>
        </w:rPr>
        <w:t>t</w:t>
      </w:r>
      <w:r w:rsidRPr="00156708">
        <w:rPr>
          <w:vertAlign w:val="subscript"/>
        </w:rPr>
        <w:tab/>
      </w:r>
      <w:r w:rsidRPr="00156708">
        <w:t xml:space="preserve"> allowed cost of losses in relevant year t</w:t>
      </w:r>
    </w:p>
    <w:p w14:paraId="6542D75E" w14:textId="77777777" w:rsidR="00446F24" w:rsidRPr="00156708" w:rsidRDefault="00DC2766" w:rsidP="00446F24">
      <w:pPr>
        <w:pStyle w:val="Equation"/>
      </w:pPr>
      <w:r w:rsidRPr="00156708">
        <w:t>LICC</w:t>
      </w:r>
      <w:r w:rsidRPr="00156708">
        <w:rPr>
          <w:vertAlign w:val="subscript"/>
        </w:rPr>
        <w:t>t</w:t>
      </w:r>
      <w:r w:rsidRPr="00156708">
        <w:tab/>
        <w:t>license tax in relevant year t</w:t>
      </w:r>
    </w:p>
    <w:p w14:paraId="504D1447" w14:textId="77777777" w:rsidR="00446F24" w:rsidRPr="00156708" w:rsidRDefault="00DC2766" w:rsidP="00446F24">
      <w:pPr>
        <w:ind w:left="720"/>
        <w:rPr>
          <w:rFonts w:eastAsia="Times New Roman"/>
          <w:i/>
          <w:szCs w:val="24"/>
          <w:lang w:val="en-GB" w:eastAsia="en-GB"/>
        </w:rPr>
      </w:pPr>
      <w:r w:rsidRPr="00156708">
        <w:rPr>
          <w:rFonts w:eastAsia="Times New Roman"/>
          <w:i/>
          <w:szCs w:val="24"/>
          <w:lang w:val="en-GB" w:eastAsia="en-GB"/>
        </w:rPr>
        <w:t>ADJt                    adjustment of costs</w:t>
      </w:r>
    </w:p>
    <w:p w14:paraId="380FCD8C" w14:textId="610F900D" w:rsidR="00446F24" w:rsidRPr="00156708" w:rsidRDefault="00DC2766" w:rsidP="006B5F48">
      <w:pPr>
        <w:pStyle w:val="Equation"/>
        <w:tabs>
          <w:tab w:val="left" w:pos="720"/>
          <w:tab w:val="left" w:pos="1440"/>
          <w:tab w:val="left" w:pos="2160"/>
          <w:tab w:val="left" w:pos="2880"/>
          <w:tab w:val="left" w:pos="3600"/>
          <w:tab w:val="left" w:pos="4320"/>
          <w:tab w:val="left" w:pos="5040"/>
          <w:tab w:val="left" w:pos="5760"/>
          <w:tab w:val="left" w:pos="7870"/>
        </w:tabs>
      </w:pPr>
      <w:r w:rsidRPr="00156708">
        <w:t>KREV</w:t>
      </w:r>
      <w:r w:rsidRPr="00156708">
        <w:rPr>
          <w:vertAlign w:val="subscript"/>
        </w:rPr>
        <w:t>t</w:t>
      </w:r>
      <w:r w:rsidRPr="00156708">
        <w:tab/>
        <w:t xml:space="preserve"> revenue correction factor in relevant year t</w:t>
      </w:r>
      <w:r w:rsidR="006B5F48">
        <w:tab/>
      </w:r>
      <w:r w:rsidR="006B5F48">
        <w:tab/>
      </w:r>
    </w:p>
    <w:p w14:paraId="514D40F6" w14:textId="46C8D9DF" w:rsidR="00446F24" w:rsidRDefault="00DC2766" w:rsidP="00446F24">
      <w:pPr>
        <w:rPr>
          <w:rFonts w:cs="Calibri"/>
          <w:lang w:val="en-GB"/>
        </w:rPr>
      </w:pPr>
      <w:r w:rsidRPr="00156708">
        <w:rPr>
          <w:rFonts w:cs="Calibri"/>
          <w:lang w:val="en-GB"/>
        </w:rPr>
        <w:t>The calculation of each of these components is elaborated below.</w:t>
      </w:r>
    </w:p>
    <w:p w14:paraId="790C30F1" w14:textId="173270C1" w:rsidR="00156708" w:rsidRDefault="00156708" w:rsidP="00156708">
      <w:pPr>
        <w:jc w:val="both"/>
        <w:rPr>
          <w:lang w:val="en-GB"/>
        </w:rPr>
      </w:pPr>
      <w:r w:rsidRPr="00156708">
        <w:rPr>
          <w:lang w:val="en-GB"/>
        </w:rPr>
        <w:t>As a result of calculations of each cost component, the proposed MAR for DSO for 2020 is €81.44 million.</w:t>
      </w:r>
    </w:p>
    <w:p w14:paraId="051C6399" w14:textId="77777777" w:rsidR="00156708" w:rsidRDefault="00156708">
      <w:pPr>
        <w:rPr>
          <w:lang w:val="en-GB"/>
        </w:rPr>
      </w:pPr>
      <w:r>
        <w:rPr>
          <w:lang w:val="en-GB"/>
        </w:rPr>
        <w:br w:type="page"/>
      </w:r>
    </w:p>
    <w:p w14:paraId="34357648" w14:textId="0894084E" w:rsidR="00156708" w:rsidRDefault="00156708" w:rsidP="00156708">
      <w:pPr>
        <w:pStyle w:val="Caption"/>
        <w:spacing w:after="0"/>
      </w:pPr>
      <w:r>
        <w:lastRenderedPageBreak/>
        <w:t xml:space="preserve">Table </w:t>
      </w:r>
      <w:r>
        <w:fldChar w:fldCharType="begin"/>
      </w:r>
      <w:r>
        <w:instrText xml:space="preserve"> SEQ Table \* ARABIC </w:instrText>
      </w:r>
      <w:r>
        <w:fldChar w:fldCharType="separate"/>
      </w:r>
      <w:r>
        <w:rPr>
          <w:noProof/>
        </w:rPr>
        <w:t>6</w:t>
      </w:r>
      <w:r>
        <w:fldChar w:fldCharType="end"/>
      </w:r>
      <w:r>
        <w:t xml:space="preserve"> -</w:t>
      </w:r>
      <w:r w:rsidRPr="00156708">
        <w:t xml:space="preserve"> Proposal of DSO MAR (KEDS) after the adjustments</w:t>
      </w:r>
    </w:p>
    <w:tbl>
      <w:tblPr>
        <w:tblW w:w="9195" w:type="dxa"/>
        <w:tblLook w:val="04A0" w:firstRow="1" w:lastRow="0" w:firstColumn="1" w:lastColumn="0" w:noHBand="0" w:noVBand="1"/>
      </w:tblPr>
      <w:tblGrid>
        <w:gridCol w:w="5445"/>
        <w:gridCol w:w="892"/>
        <w:gridCol w:w="877"/>
        <w:gridCol w:w="932"/>
        <w:gridCol w:w="1049"/>
      </w:tblGrid>
      <w:tr w:rsidR="00794507" w:rsidRPr="00156708" w14:paraId="12F19592" w14:textId="77777777" w:rsidTr="00156708">
        <w:trPr>
          <w:trHeight w:val="471"/>
        </w:trPr>
        <w:tc>
          <w:tcPr>
            <w:tcW w:w="5445" w:type="dxa"/>
            <w:tcBorders>
              <w:top w:val="nil"/>
              <w:left w:val="nil"/>
              <w:bottom w:val="nil"/>
              <w:right w:val="nil"/>
            </w:tcBorders>
            <w:shd w:val="clear" w:color="000000" w:fill="002060"/>
            <w:noWrap/>
            <w:vAlign w:val="center"/>
            <w:hideMark/>
          </w:tcPr>
          <w:p w14:paraId="7AAE6400" w14:textId="77777777" w:rsidR="00794507" w:rsidRPr="00156708" w:rsidRDefault="00794507" w:rsidP="00E71E71">
            <w:pPr>
              <w:spacing w:after="0" w:line="240" w:lineRule="auto"/>
              <w:rPr>
                <w:rFonts w:asciiTheme="minorHAnsi" w:eastAsia="Times New Roman" w:hAnsiTheme="minorHAnsi" w:cstheme="minorHAnsi"/>
                <w:color w:val="FFFFFF"/>
                <w:sz w:val="20"/>
                <w:szCs w:val="20"/>
                <w:lang w:val="en-GB"/>
              </w:rPr>
            </w:pPr>
            <w:r w:rsidRPr="00156708">
              <w:rPr>
                <w:rFonts w:asciiTheme="minorHAnsi" w:eastAsia="Times New Roman" w:hAnsiTheme="minorHAnsi" w:cstheme="minorHAnsi"/>
                <w:color w:val="FFFFFF"/>
                <w:sz w:val="20"/>
                <w:szCs w:val="20"/>
                <w:lang w:val="en-GB"/>
              </w:rPr>
              <w:t>Maximum Allowed Revenues (mil€)</w:t>
            </w:r>
          </w:p>
        </w:tc>
        <w:tc>
          <w:tcPr>
            <w:tcW w:w="892" w:type="dxa"/>
            <w:tcBorders>
              <w:top w:val="nil"/>
              <w:left w:val="nil"/>
              <w:bottom w:val="nil"/>
              <w:right w:val="nil"/>
            </w:tcBorders>
            <w:shd w:val="clear" w:color="000000" w:fill="002060"/>
          </w:tcPr>
          <w:p w14:paraId="0F3F55A1" w14:textId="77777777" w:rsidR="00794507" w:rsidRPr="00156708" w:rsidRDefault="00794507" w:rsidP="00E71E71">
            <w:pPr>
              <w:spacing w:after="0" w:line="240" w:lineRule="auto"/>
              <w:jc w:val="center"/>
              <w:rPr>
                <w:rFonts w:asciiTheme="minorHAnsi" w:eastAsia="Times New Roman" w:hAnsiTheme="minorHAnsi" w:cstheme="minorHAnsi"/>
                <w:color w:val="FFFFFF"/>
                <w:sz w:val="20"/>
                <w:szCs w:val="20"/>
                <w:lang w:val="en-GB"/>
              </w:rPr>
            </w:pPr>
            <w:r w:rsidRPr="00156708">
              <w:rPr>
                <w:rFonts w:asciiTheme="minorHAnsi" w:eastAsia="Times New Roman" w:hAnsiTheme="minorHAnsi" w:cstheme="minorHAnsi"/>
                <w:color w:val="FFFFFF"/>
                <w:sz w:val="20"/>
                <w:szCs w:val="20"/>
                <w:lang w:val="en-GB"/>
              </w:rPr>
              <w:t>Unit</w:t>
            </w:r>
          </w:p>
        </w:tc>
        <w:tc>
          <w:tcPr>
            <w:tcW w:w="877" w:type="dxa"/>
            <w:tcBorders>
              <w:top w:val="nil"/>
              <w:left w:val="nil"/>
              <w:bottom w:val="nil"/>
              <w:right w:val="nil"/>
            </w:tcBorders>
            <w:shd w:val="clear" w:color="000000" w:fill="002060"/>
            <w:vAlign w:val="center"/>
            <w:hideMark/>
          </w:tcPr>
          <w:p w14:paraId="0BC4BE42" w14:textId="77777777" w:rsidR="00794507" w:rsidRPr="00156708" w:rsidRDefault="00794507" w:rsidP="00E71E71">
            <w:pPr>
              <w:spacing w:after="0" w:line="240" w:lineRule="auto"/>
              <w:jc w:val="center"/>
              <w:rPr>
                <w:rFonts w:asciiTheme="minorHAnsi" w:eastAsia="Times New Roman" w:hAnsiTheme="minorHAnsi" w:cstheme="minorHAnsi"/>
                <w:color w:val="FFFFFF"/>
                <w:sz w:val="20"/>
                <w:szCs w:val="20"/>
                <w:lang w:val="en-GB"/>
              </w:rPr>
            </w:pPr>
            <w:r w:rsidRPr="00156708">
              <w:rPr>
                <w:rFonts w:asciiTheme="minorHAnsi" w:eastAsia="Times New Roman" w:hAnsiTheme="minorHAnsi" w:cstheme="minorHAnsi"/>
                <w:color w:val="FFFFFF"/>
                <w:sz w:val="20"/>
                <w:szCs w:val="20"/>
                <w:lang w:val="en-GB"/>
              </w:rPr>
              <w:t>Allowed 2019</w:t>
            </w:r>
          </w:p>
        </w:tc>
        <w:tc>
          <w:tcPr>
            <w:tcW w:w="932" w:type="dxa"/>
            <w:tcBorders>
              <w:top w:val="nil"/>
              <w:left w:val="nil"/>
              <w:bottom w:val="nil"/>
              <w:right w:val="nil"/>
            </w:tcBorders>
            <w:shd w:val="clear" w:color="000000" w:fill="002060"/>
            <w:vAlign w:val="center"/>
            <w:hideMark/>
          </w:tcPr>
          <w:p w14:paraId="15C3A95E" w14:textId="77777777" w:rsidR="00794507" w:rsidRPr="00156708" w:rsidRDefault="00794507" w:rsidP="00E71E71">
            <w:pPr>
              <w:spacing w:after="0" w:line="240" w:lineRule="auto"/>
              <w:jc w:val="center"/>
              <w:rPr>
                <w:rFonts w:asciiTheme="minorHAnsi" w:eastAsia="Times New Roman" w:hAnsiTheme="minorHAnsi" w:cstheme="minorHAnsi"/>
                <w:color w:val="FFFFFF"/>
                <w:sz w:val="20"/>
                <w:szCs w:val="20"/>
                <w:lang w:val="en-GB"/>
              </w:rPr>
            </w:pPr>
            <w:r w:rsidRPr="00156708">
              <w:rPr>
                <w:rFonts w:asciiTheme="minorHAnsi" w:eastAsia="Times New Roman" w:hAnsiTheme="minorHAnsi" w:cstheme="minorHAnsi"/>
                <w:color w:val="FFFFFF"/>
                <w:sz w:val="20"/>
                <w:szCs w:val="20"/>
                <w:lang w:val="en-GB"/>
              </w:rPr>
              <w:t>Allowed 2020</w:t>
            </w:r>
          </w:p>
        </w:tc>
        <w:tc>
          <w:tcPr>
            <w:tcW w:w="1049" w:type="dxa"/>
            <w:tcBorders>
              <w:top w:val="nil"/>
              <w:left w:val="nil"/>
              <w:bottom w:val="nil"/>
              <w:right w:val="nil"/>
            </w:tcBorders>
            <w:shd w:val="clear" w:color="000000" w:fill="002060"/>
            <w:vAlign w:val="center"/>
            <w:hideMark/>
          </w:tcPr>
          <w:p w14:paraId="0E454841" w14:textId="77777777" w:rsidR="00794507" w:rsidRPr="00156708" w:rsidRDefault="00794507" w:rsidP="00E71E71">
            <w:pPr>
              <w:spacing w:after="0" w:line="240" w:lineRule="auto"/>
              <w:jc w:val="center"/>
              <w:rPr>
                <w:rFonts w:asciiTheme="minorHAnsi" w:eastAsia="Times New Roman" w:hAnsiTheme="minorHAnsi" w:cstheme="minorHAnsi"/>
                <w:color w:val="FFFFFF"/>
                <w:sz w:val="20"/>
                <w:szCs w:val="20"/>
                <w:lang w:val="en-GB"/>
              </w:rPr>
            </w:pPr>
            <w:r w:rsidRPr="00156708">
              <w:rPr>
                <w:rFonts w:asciiTheme="minorHAnsi" w:eastAsia="Times New Roman" w:hAnsiTheme="minorHAnsi" w:cstheme="minorHAnsi"/>
                <w:color w:val="FFFFFF"/>
                <w:sz w:val="20"/>
                <w:szCs w:val="20"/>
                <w:lang w:val="en-GB"/>
              </w:rPr>
              <w:t>Proposed 2021</w:t>
            </w:r>
          </w:p>
        </w:tc>
      </w:tr>
      <w:tr w:rsidR="00794507" w:rsidRPr="00156708" w14:paraId="0437CE20" w14:textId="77777777" w:rsidTr="00156708">
        <w:trPr>
          <w:trHeight w:val="236"/>
        </w:trPr>
        <w:tc>
          <w:tcPr>
            <w:tcW w:w="5445" w:type="dxa"/>
            <w:tcBorders>
              <w:top w:val="nil"/>
              <w:left w:val="nil"/>
              <w:bottom w:val="nil"/>
              <w:right w:val="nil"/>
            </w:tcBorders>
            <w:shd w:val="clear" w:color="000000" w:fill="DBE5F1"/>
            <w:noWrap/>
            <w:vAlign w:val="center"/>
            <w:hideMark/>
          </w:tcPr>
          <w:p w14:paraId="5903BF1B"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Indexation Parameters</w:t>
            </w:r>
          </w:p>
        </w:tc>
        <w:tc>
          <w:tcPr>
            <w:tcW w:w="892" w:type="dxa"/>
            <w:tcBorders>
              <w:top w:val="nil"/>
              <w:left w:val="nil"/>
              <w:bottom w:val="single" w:sz="4" w:space="0" w:color="auto"/>
              <w:right w:val="nil"/>
            </w:tcBorders>
            <w:shd w:val="clear" w:color="000000" w:fill="DBE5F1"/>
          </w:tcPr>
          <w:p w14:paraId="7FC74A11"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single" w:sz="4" w:space="0" w:color="auto"/>
              <w:right w:val="nil"/>
            </w:tcBorders>
            <w:shd w:val="clear" w:color="000000" w:fill="DBE5F1"/>
            <w:noWrap/>
            <w:vAlign w:val="center"/>
            <w:hideMark/>
          </w:tcPr>
          <w:p w14:paraId="1B717786"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932" w:type="dxa"/>
            <w:tcBorders>
              <w:top w:val="nil"/>
              <w:left w:val="nil"/>
              <w:bottom w:val="single" w:sz="4" w:space="0" w:color="auto"/>
              <w:right w:val="nil"/>
            </w:tcBorders>
            <w:shd w:val="clear" w:color="000000" w:fill="DBE5F1"/>
            <w:noWrap/>
            <w:vAlign w:val="center"/>
            <w:hideMark/>
          </w:tcPr>
          <w:p w14:paraId="6B030134"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1049" w:type="dxa"/>
            <w:tcBorders>
              <w:top w:val="nil"/>
              <w:left w:val="nil"/>
              <w:bottom w:val="single" w:sz="4" w:space="0" w:color="auto"/>
              <w:right w:val="nil"/>
            </w:tcBorders>
            <w:shd w:val="clear" w:color="000000" w:fill="DBE5F1"/>
            <w:noWrap/>
            <w:vAlign w:val="center"/>
            <w:hideMark/>
          </w:tcPr>
          <w:p w14:paraId="6D522A90"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r>
      <w:tr w:rsidR="00794507" w:rsidRPr="00156708" w14:paraId="0C110D27" w14:textId="77777777" w:rsidTr="00156708">
        <w:trPr>
          <w:trHeight w:val="236"/>
        </w:trPr>
        <w:tc>
          <w:tcPr>
            <w:tcW w:w="5445" w:type="dxa"/>
            <w:tcBorders>
              <w:top w:val="nil"/>
              <w:left w:val="nil"/>
              <w:bottom w:val="nil"/>
              <w:right w:val="single" w:sz="4" w:space="0" w:color="auto"/>
            </w:tcBorders>
            <w:shd w:val="clear" w:color="000000" w:fill="FFFFFF"/>
            <w:noWrap/>
            <w:vAlign w:val="center"/>
            <w:hideMark/>
          </w:tcPr>
          <w:p w14:paraId="6BEB662F" w14:textId="77777777" w:rsidR="00794507" w:rsidRPr="00156708" w:rsidRDefault="00794507" w:rsidP="00E71E71">
            <w:pPr>
              <w:spacing w:after="0" w:line="240" w:lineRule="auto"/>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Efficiency Factor</w:t>
            </w:r>
          </w:p>
        </w:tc>
        <w:tc>
          <w:tcPr>
            <w:tcW w:w="892" w:type="dxa"/>
            <w:tcBorders>
              <w:top w:val="single" w:sz="4" w:space="0" w:color="auto"/>
              <w:left w:val="single" w:sz="4" w:space="0" w:color="auto"/>
              <w:bottom w:val="single" w:sz="4" w:space="0" w:color="auto"/>
              <w:right w:val="single" w:sz="4" w:space="0" w:color="auto"/>
            </w:tcBorders>
            <w:shd w:val="clear" w:color="000000" w:fill="FFFFFF"/>
          </w:tcPr>
          <w:p w14:paraId="40BBFAA2"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068ADF83"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1.5%</w:t>
            </w:r>
          </w:p>
        </w:tc>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18AD6315"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1.5%</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EE2D6"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1.5%</w:t>
            </w:r>
          </w:p>
        </w:tc>
      </w:tr>
      <w:tr w:rsidR="00794507" w:rsidRPr="00156708" w14:paraId="4DE4DD49" w14:textId="77777777" w:rsidTr="00156708">
        <w:trPr>
          <w:trHeight w:val="236"/>
        </w:trPr>
        <w:tc>
          <w:tcPr>
            <w:tcW w:w="5445" w:type="dxa"/>
            <w:tcBorders>
              <w:top w:val="nil"/>
              <w:left w:val="nil"/>
              <w:bottom w:val="nil"/>
              <w:right w:val="nil"/>
            </w:tcBorders>
            <w:shd w:val="clear" w:color="auto" w:fill="auto"/>
            <w:noWrap/>
            <w:vAlign w:val="center"/>
            <w:hideMark/>
          </w:tcPr>
          <w:p w14:paraId="053249BE" w14:textId="77777777" w:rsidR="00794507" w:rsidRPr="00156708" w:rsidRDefault="00794507" w:rsidP="00E71E71">
            <w:pPr>
              <w:spacing w:after="0" w:line="240" w:lineRule="auto"/>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Inflation</w:t>
            </w:r>
          </w:p>
        </w:tc>
        <w:tc>
          <w:tcPr>
            <w:tcW w:w="892" w:type="dxa"/>
            <w:tcBorders>
              <w:top w:val="single" w:sz="4" w:space="0" w:color="auto"/>
              <w:left w:val="single" w:sz="4" w:space="0" w:color="auto"/>
              <w:bottom w:val="single" w:sz="4" w:space="0" w:color="auto"/>
              <w:right w:val="single" w:sz="4" w:space="0" w:color="auto"/>
            </w:tcBorders>
          </w:tcPr>
          <w:p w14:paraId="7543B6D1"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963FD"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1.19%</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660DC8AF"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0.26%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9D8D15E"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1435F9C9" w14:textId="77777777" w:rsidTr="00156708">
        <w:trPr>
          <w:trHeight w:val="236"/>
        </w:trPr>
        <w:tc>
          <w:tcPr>
            <w:tcW w:w="5445" w:type="dxa"/>
            <w:tcBorders>
              <w:top w:val="nil"/>
              <w:left w:val="nil"/>
              <w:bottom w:val="nil"/>
              <w:right w:val="nil"/>
            </w:tcBorders>
            <w:shd w:val="clear" w:color="auto" w:fill="auto"/>
            <w:noWrap/>
            <w:vAlign w:val="center"/>
            <w:hideMark/>
          </w:tcPr>
          <w:p w14:paraId="600A2710" w14:textId="77777777" w:rsidR="00794507" w:rsidRPr="00156708" w:rsidRDefault="00794507" w:rsidP="00E71E71">
            <w:pPr>
              <w:spacing w:after="0" w:line="240" w:lineRule="auto"/>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Euribor</w:t>
            </w:r>
          </w:p>
        </w:tc>
        <w:tc>
          <w:tcPr>
            <w:tcW w:w="892" w:type="dxa"/>
            <w:tcBorders>
              <w:top w:val="nil"/>
              <w:left w:val="single" w:sz="4" w:space="0" w:color="auto"/>
              <w:bottom w:val="single" w:sz="4" w:space="0" w:color="auto"/>
              <w:right w:val="single" w:sz="4" w:space="0" w:color="auto"/>
            </w:tcBorders>
          </w:tcPr>
          <w:p w14:paraId="00898016"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877" w:type="dxa"/>
            <w:tcBorders>
              <w:top w:val="nil"/>
              <w:left w:val="single" w:sz="4" w:space="0" w:color="auto"/>
              <w:bottom w:val="single" w:sz="4" w:space="0" w:color="auto"/>
              <w:right w:val="single" w:sz="4" w:space="0" w:color="auto"/>
            </w:tcBorders>
            <w:shd w:val="clear" w:color="auto" w:fill="auto"/>
            <w:noWrap/>
            <w:vAlign w:val="center"/>
          </w:tcPr>
          <w:p w14:paraId="3603755B"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-0.2%</w:t>
            </w:r>
          </w:p>
        </w:tc>
        <w:tc>
          <w:tcPr>
            <w:tcW w:w="932" w:type="dxa"/>
            <w:tcBorders>
              <w:top w:val="nil"/>
              <w:left w:val="nil"/>
              <w:bottom w:val="single" w:sz="4" w:space="0" w:color="auto"/>
              <w:right w:val="single" w:sz="4" w:space="0" w:color="auto"/>
            </w:tcBorders>
            <w:shd w:val="clear" w:color="auto" w:fill="auto"/>
            <w:noWrap/>
            <w:vAlign w:val="center"/>
          </w:tcPr>
          <w:p w14:paraId="3DB9E1BA"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-0.3%</w:t>
            </w:r>
          </w:p>
        </w:tc>
        <w:tc>
          <w:tcPr>
            <w:tcW w:w="1049" w:type="dxa"/>
            <w:tcBorders>
              <w:top w:val="nil"/>
              <w:left w:val="nil"/>
              <w:bottom w:val="single" w:sz="4" w:space="0" w:color="auto"/>
              <w:right w:val="single" w:sz="4" w:space="0" w:color="auto"/>
            </w:tcBorders>
            <w:shd w:val="clear" w:color="auto" w:fill="auto"/>
            <w:noWrap/>
            <w:vAlign w:val="center"/>
            <w:hideMark/>
          </w:tcPr>
          <w:p w14:paraId="1F156E52"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61205753" w14:textId="77777777" w:rsidTr="00156708">
        <w:trPr>
          <w:trHeight w:val="236"/>
        </w:trPr>
        <w:tc>
          <w:tcPr>
            <w:tcW w:w="5445" w:type="dxa"/>
            <w:tcBorders>
              <w:top w:val="nil"/>
              <w:left w:val="nil"/>
              <w:bottom w:val="nil"/>
              <w:right w:val="nil"/>
            </w:tcBorders>
            <w:shd w:val="clear" w:color="auto" w:fill="auto"/>
            <w:noWrap/>
            <w:vAlign w:val="center"/>
            <w:hideMark/>
          </w:tcPr>
          <w:p w14:paraId="75BC5E1F" w14:textId="77777777" w:rsidR="00794507" w:rsidRPr="00156708" w:rsidRDefault="00794507" w:rsidP="00E71E71">
            <w:pPr>
              <w:spacing w:after="0" w:line="240" w:lineRule="auto"/>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 xml:space="preserve">S Factor </w:t>
            </w:r>
          </w:p>
        </w:tc>
        <w:tc>
          <w:tcPr>
            <w:tcW w:w="892" w:type="dxa"/>
            <w:tcBorders>
              <w:top w:val="nil"/>
              <w:left w:val="single" w:sz="4" w:space="0" w:color="auto"/>
              <w:bottom w:val="single" w:sz="4" w:space="0" w:color="auto"/>
              <w:right w:val="single" w:sz="4" w:space="0" w:color="auto"/>
            </w:tcBorders>
          </w:tcPr>
          <w:p w14:paraId="5673BDC0"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877" w:type="dxa"/>
            <w:tcBorders>
              <w:top w:val="nil"/>
              <w:left w:val="single" w:sz="4" w:space="0" w:color="auto"/>
              <w:bottom w:val="single" w:sz="4" w:space="0" w:color="auto"/>
              <w:right w:val="single" w:sz="4" w:space="0" w:color="auto"/>
            </w:tcBorders>
            <w:shd w:val="clear" w:color="auto" w:fill="auto"/>
            <w:noWrap/>
            <w:vAlign w:val="center"/>
          </w:tcPr>
          <w:p w14:paraId="31435D92"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7.6%</w:t>
            </w:r>
          </w:p>
        </w:tc>
        <w:tc>
          <w:tcPr>
            <w:tcW w:w="932" w:type="dxa"/>
            <w:tcBorders>
              <w:top w:val="nil"/>
              <w:left w:val="nil"/>
              <w:bottom w:val="single" w:sz="4" w:space="0" w:color="auto"/>
              <w:right w:val="single" w:sz="4" w:space="0" w:color="auto"/>
            </w:tcBorders>
            <w:shd w:val="clear" w:color="auto" w:fill="auto"/>
            <w:noWrap/>
            <w:vAlign w:val="center"/>
          </w:tcPr>
          <w:p w14:paraId="00697652"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7.6%</w:t>
            </w:r>
          </w:p>
        </w:tc>
        <w:tc>
          <w:tcPr>
            <w:tcW w:w="1049" w:type="dxa"/>
            <w:tcBorders>
              <w:top w:val="nil"/>
              <w:left w:val="nil"/>
              <w:bottom w:val="single" w:sz="4" w:space="0" w:color="auto"/>
              <w:right w:val="single" w:sz="4" w:space="0" w:color="auto"/>
            </w:tcBorders>
            <w:shd w:val="clear" w:color="auto" w:fill="auto"/>
            <w:noWrap/>
            <w:vAlign w:val="center"/>
            <w:hideMark/>
          </w:tcPr>
          <w:p w14:paraId="68ECD7D1"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62E9418E" w14:textId="77777777" w:rsidTr="00156708">
        <w:trPr>
          <w:trHeight w:val="236"/>
        </w:trPr>
        <w:tc>
          <w:tcPr>
            <w:tcW w:w="5445" w:type="dxa"/>
            <w:tcBorders>
              <w:top w:val="nil"/>
              <w:left w:val="nil"/>
              <w:bottom w:val="nil"/>
              <w:right w:val="nil"/>
            </w:tcBorders>
            <w:shd w:val="clear" w:color="auto" w:fill="auto"/>
            <w:noWrap/>
            <w:vAlign w:val="center"/>
            <w:hideMark/>
          </w:tcPr>
          <w:p w14:paraId="30C2F0AE" w14:textId="77777777" w:rsidR="00794507" w:rsidRPr="00156708" w:rsidRDefault="00794507" w:rsidP="00E71E71">
            <w:pPr>
              <w:spacing w:after="0" w:line="240" w:lineRule="auto"/>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Interest rate - It</w:t>
            </w:r>
          </w:p>
        </w:tc>
        <w:tc>
          <w:tcPr>
            <w:tcW w:w="892" w:type="dxa"/>
            <w:tcBorders>
              <w:top w:val="nil"/>
              <w:left w:val="single" w:sz="4" w:space="0" w:color="auto"/>
              <w:bottom w:val="single" w:sz="4" w:space="0" w:color="auto"/>
              <w:right w:val="single" w:sz="4" w:space="0" w:color="auto"/>
            </w:tcBorders>
          </w:tcPr>
          <w:p w14:paraId="419821C5"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877" w:type="dxa"/>
            <w:tcBorders>
              <w:top w:val="nil"/>
              <w:left w:val="single" w:sz="4" w:space="0" w:color="auto"/>
              <w:bottom w:val="single" w:sz="4" w:space="0" w:color="auto"/>
              <w:right w:val="single" w:sz="4" w:space="0" w:color="auto"/>
            </w:tcBorders>
            <w:shd w:val="clear" w:color="auto" w:fill="auto"/>
            <w:vAlign w:val="center"/>
          </w:tcPr>
          <w:p w14:paraId="04546540"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7.4%</w:t>
            </w:r>
          </w:p>
        </w:tc>
        <w:tc>
          <w:tcPr>
            <w:tcW w:w="932" w:type="dxa"/>
            <w:tcBorders>
              <w:top w:val="nil"/>
              <w:left w:val="nil"/>
              <w:bottom w:val="single" w:sz="4" w:space="0" w:color="auto"/>
              <w:right w:val="single" w:sz="4" w:space="0" w:color="auto"/>
            </w:tcBorders>
            <w:shd w:val="clear" w:color="auto" w:fill="auto"/>
            <w:noWrap/>
            <w:vAlign w:val="center"/>
          </w:tcPr>
          <w:p w14:paraId="34BD0432"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7.3%</w:t>
            </w:r>
          </w:p>
        </w:tc>
        <w:tc>
          <w:tcPr>
            <w:tcW w:w="1049" w:type="dxa"/>
            <w:tcBorders>
              <w:top w:val="nil"/>
              <w:left w:val="nil"/>
              <w:bottom w:val="single" w:sz="4" w:space="0" w:color="auto"/>
              <w:right w:val="single" w:sz="4" w:space="0" w:color="auto"/>
            </w:tcBorders>
            <w:shd w:val="clear" w:color="auto" w:fill="auto"/>
            <w:vAlign w:val="center"/>
            <w:hideMark/>
          </w:tcPr>
          <w:p w14:paraId="5256B1A1"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p>
        </w:tc>
      </w:tr>
      <w:tr w:rsidR="00794507" w:rsidRPr="00156708" w14:paraId="57F5738E" w14:textId="77777777" w:rsidTr="00156708">
        <w:trPr>
          <w:trHeight w:val="236"/>
        </w:trPr>
        <w:tc>
          <w:tcPr>
            <w:tcW w:w="5445" w:type="dxa"/>
            <w:tcBorders>
              <w:top w:val="nil"/>
              <w:left w:val="nil"/>
              <w:bottom w:val="nil"/>
              <w:right w:val="nil"/>
            </w:tcBorders>
            <w:shd w:val="clear" w:color="auto" w:fill="B8CCE4" w:themeFill="accent1" w:themeFillTint="66"/>
            <w:noWrap/>
            <w:vAlign w:val="center"/>
            <w:hideMark/>
          </w:tcPr>
          <w:p w14:paraId="2984DD26"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Operational and maintenance costs (OPMCt)</w:t>
            </w:r>
          </w:p>
        </w:tc>
        <w:tc>
          <w:tcPr>
            <w:tcW w:w="892" w:type="dxa"/>
            <w:tcBorders>
              <w:top w:val="nil"/>
              <w:left w:val="nil"/>
              <w:bottom w:val="single" w:sz="4" w:space="0" w:color="auto"/>
              <w:right w:val="nil"/>
            </w:tcBorders>
            <w:shd w:val="clear" w:color="auto" w:fill="B8CCE4" w:themeFill="accent1" w:themeFillTint="66"/>
          </w:tcPr>
          <w:p w14:paraId="6924B83E"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p>
        </w:tc>
        <w:tc>
          <w:tcPr>
            <w:tcW w:w="877" w:type="dxa"/>
            <w:tcBorders>
              <w:top w:val="nil"/>
              <w:left w:val="nil"/>
              <w:bottom w:val="single" w:sz="4" w:space="0" w:color="auto"/>
              <w:right w:val="nil"/>
            </w:tcBorders>
            <w:shd w:val="clear" w:color="auto" w:fill="B8CCE4" w:themeFill="accent1" w:themeFillTint="66"/>
            <w:vAlign w:val="center"/>
          </w:tcPr>
          <w:p w14:paraId="40BD20A1"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B8CCE4" w:themeFill="accent1" w:themeFillTint="66"/>
            <w:vAlign w:val="center"/>
            <w:hideMark/>
          </w:tcPr>
          <w:p w14:paraId="32998EDD"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B8CCE4" w:themeFill="accent1" w:themeFillTint="66"/>
            <w:vAlign w:val="center"/>
            <w:hideMark/>
          </w:tcPr>
          <w:p w14:paraId="480A8DF9"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2528BC69"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7E5EF037"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Evaluation during PRR2</w:t>
            </w:r>
          </w:p>
        </w:tc>
        <w:tc>
          <w:tcPr>
            <w:tcW w:w="892" w:type="dxa"/>
            <w:tcBorders>
              <w:top w:val="single" w:sz="4" w:space="0" w:color="auto"/>
              <w:left w:val="single" w:sz="4" w:space="0" w:color="auto"/>
              <w:bottom w:val="single" w:sz="4" w:space="0" w:color="auto"/>
              <w:right w:val="single" w:sz="4" w:space="0" w:color="auto"/>
            </w:tcBorders>
          </w:tcPr>
          <w:p w14:paraId="1B3261D2"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nil"/>
            </w:tcBorders>
            <w:shd w:val="clear" w:color="auto" w:fill="auto"/>
            <w:vAlign w:val="center"/>
          </w:tcPr>
          <w:p w14:paraId="76DF883B"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25.85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87A428E"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25.53</w:t>
            </w:r>
          </w:p>
        </w:tc>
        <w:tc>
          <w:tcPr>
            <w:tcW w:w="1049" w:type="dxa"/>
            <w:tcBorders>
              <w:top w:val="single" w:sz="4" w:space="0" w:color="auto"/>
              <w:left w:val="nil"/>
              <w:bottom w:val="single" w:sz="4" w:space="0" w:color="auto"/>
              <w:right w:val="single" w:sz="4" w:space="0" w:color="auto"/>
            </w:tcBorders>
            <w:shd w:val="clear" w:color="auto" w:fill="auto"/>
            <w:vAlign w:val="center"/>
          </w:tcPr>
          <w:p w14:paraId="05583CFF"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25.21</w:t>
            </w:r>
          </w:p>
        </w:tc>
      </w:tr>
      <w:tr w:rsidR="00794507" w:rsidRPr="00156708" w14:paraId="7CA46E0C" w14:textId="77777777" w:rsidTr="00156708">
        <w:trPr>
          <w:trHeight w:val="236"/>
        </w:trPr>
        <w:tc>
          <w:tcPr>
            <w:tcW w:w="5445" w:type="dxa"/>
            <w:tcBorders>
              <w:top w:val="nil"/>
              <w:left w:val="nil"/>
              <w:bottom w:val="nil"/>
              <w:right w:val="nil"/>
            </w:tcBorders>
            <w:shd w:val="clear" w:color="auto" w:fill="auto"/>
            <w:noWrap/>
            <w:vAlign w:val="center"/>
            <w:hideMark/>
          </w:tcPr>
          <w:p w14:paraId="26D0BD58"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Allowed - OPMCt = OPMCt-1 * (1 + CPIt-1) * (1 – Et)* (1 – Pt)</w:t>
            </w:r>
          </w:p>
        </w:tc>
        <w:tc>
          <w:tcPr>
            <w:tcW w:w="892" w:type="dxa"/>
            <w:tcBorders>
              <w:top w:val="single" w:sz="4" w:space="0" w:color="auto"/>
              <w:left w:val="single" w:sz="4" w:space="0" w:color="auto"/>
              <w:bottom w:val="single" w:sz="4" w:space="0" w:color="auto"/>
              <w:right w:val="single" w:sz="4" w:space="0" w:color="auto"/>
            </w:tcBorders>
          </w:tcPr>
          <w:p w14:paraId="30FCB176" w14:textId="77777777" w:rsidR="00794507" w:rsidRPr="00156708" w:rsidRDefault="00794507" w:rsidP="00E71E71">
            <w:pPr>
              <w:spacing w:after="0" w:line="240" w:lineRule="auto"/>
              <w:jc w:val="center"/>
              <w:rPr>
                <w:rFonts w:asciiTheme="minorHAnsi" w:eastAsia="Times New Roman" w:hAnsiTheme="minorHAnsi" w:cstheme="minorHAnsi"/>
                <w:b/>
                <w:bCs/>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6930C332"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26.30</w:t>
            </w:r>
          </w:p>
        </w:tc>
        <w:tc>
          <w:tcPr>
            <w:tcW w:w="932" w:type="dxa"/>
            <w:tcBorders>
              <w:top w:val="nil"/>
              <w:left w:val="nil"/>
              <w:bottom w:val="single" w:sz="4" w:space="0" w:color="auto"/>
              <w:right w:val="single" w:sz="4" w:space="0" w:color="auto"/>
            </w:tcBorders>
            <w:shd w:val="clear" w:color="auto" w:fill="auto"/>
            <w:vAlign w:val="center"/>
          </w:tcPr>
          <w:p w14:paraId="0EBD525F"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25.84</w:t>
            </w:r>
          </w:p>
        </w:tc>
        <w:tc>
          <w:tcPr>
            <w:tcW w:w="1049" w:type="dxa"/>
            <w:tcBorders>
              <w:top w:val="nil"/>
              <w:left w:val="nil"/>
              <w:bottom w:val="single" w:sz="4" w:space="0" w:color="auto"/>
              <w:right w:val="single" w:sz="4" w:space="0" w:color="auto"/>
            </w:tcBorders>
            <w:shd w:val="clear" w:color="auto" w:fill="auto"/>
            <w:vAlign w:val="center"/>
          </w:tcPr>
          <w:p w14:paraId="100DCDFF"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25.28</w:t>
            </w:r>
          </w:p>
        </w:tc>
      </w:tr>
      <w:tr w:rsidR="00794507" w:rsidRPr="00156708" w14:paraId="10DBB090" w14:textId="77777777" w:rsidTr="00156708">
        <w:trPr>
          <w:trHeight w:val="236"/>
        </w:trPr>
        <w:tc>
          <w:tcPr>
            <w:tcW w:w="5445" w:type="dxa"/>
            <w:tcBorders>
              <w:top w:val="nil"/>
              <w:left w:val="nil"/>
              <w:bottom w:val="nil"/>
              <w:right w:val="nil"/>
            </w:tcBorders>
            <w:shd w:val="clear" w:color="auto" w:fill="auto"/>
            <w:noWrap/>
            <w:vAlign w:val="center"/>
            <w:hideMark/>
          </w:tcPr>
          <w:p w14:paraId="4B1ECE53"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Additional OPEX costs</w:t>
            </w:r>
          </w:p>
        </w:tc>
        <w:tc>
          <w:tcPr>
            <w:tcW w:w="892" w:type="dxa"/>
            <w:tcBorders>
              <w:top w:val="single" w:sz="4" w:space="0" w:color="auto"/>
              <w:left w:val="single" w:sz="4" w:space="0" w:color="auto"/>
              <w:bottom w:val="single" w:sz="4" w:space="0" w:color="auto"/>
              <w:right w:val="single" w:sz="4" w:space="0" w:color="auto"/>
            </w:tcBorders>
          </w:tcPr>
          <w:p w14:paraId="77DE2BAD" w14:textId="77777777" w:rsidR="00794507" w:rsidRPr="00156708" w:rsidRDefault="00794507" w:rsidP="00E71E71">
            <w:pPr>
              <w:spacing w:after="0" w:line="240" w:lineRule="auto"/>
              <w:jc w:val="center"/>
              <w:rPr>
                <w:rFonts w:asciiTheme="minorHAnsi" w:eastAsia="Times New Roman" w:hAnsiTheme="minorHAnsi" w:cstheme="minorHAnsi"/>
                <w:bCs/>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13E90C6" w14:textId="77777777" w:rsidR="00794507" w:rsidRPr="00156708" w:rsidRDefault="00794507" w:rsidP="00156708">
            <w:pPr>
              <w:spacing w:after="0" w:line="240" w:lineRule="auto"/>
              <w:jc w:val="right"/>
              <w:rPr>
                <w:rFonts w:asciiTheme="minorHAnsi" w:eastAsia="Times New Roman" w:hAnsiTheme="minorHAnsi" w:cstheme="minorHAnsi"/>
                <w:bCs/>
                <w:color w:val="000000"/>
                <w:sz w:val="20"/>
                <w:szCs w:val="20"/>
                <w:lang w:val="en-GB"/>
              </w:rPr>
            </w:pPr>
          </w:p>
        </w:tc>
        <w:tc>
          <w:tcPr>
            <w:tcW w:w="932" w:type="dxa"/>
            <w:tcBorders>
              <w:top w:val="nil"/>
              <w:left w:val="nil"/>
              <w:bottom w:val="single" w:sz="4" w:space="0" w:color="auto"/>
              <w:right w:val="single" w:sz="4" w:space="0" w:color="auto"/>
            </w:tcBorders>
            <w:shd w:val="clear" w:color="auto" w:fill="auto"/>
            <w:vAlign w:val="center"/>
            <w:hideMark/>
          </w:tcPr>
          <w:p w14:paraId="7844B865" w14:textId="77777777" w:rsidR="00794507" w:rsidRPr="00156708" w:rsidRDefault="00794507" w:rsidP="00156708">
            <w:pPr>
              <w:spacing w:after="0" w:line="240" w:lineRule="auto"/>
              <w:jc w:val="right"/>
              <w:rPr>
                <w:rFonts w:asciiTheme="minorHAnsi" w:eastAsia="Times New Roman" w:hAnsiTheme="minorHAnsi" w:cstheme="minorHAnsi"/>
                <w:bCs/>
                <w:color w:val="000000"/>
                <w:sz w:val="20"/>
                <w:szCs w:val="20"/>
                <w:lang w:val="en-GB"/>
              </w:rPr>
            </w:pPr>
            <w:r w:rsidRPr="00156708">
              <w:rPr>
                <w:rFonts w:asciiTheme="minorHAnsi" w:eastAsia="Times New Roman" w:hAnsiTheme="minorHAnsi" w:cstheme="minorHAnsi"/>
                <w:bCs/>
                <w:color w:val="000000"/>
                <w:sz w:val="20"/>
                <w:szCs w:val="20"/>
                <w:lang w:val="en-GB"/>
              </w:rPr>
              <w:t>0.24</w:t>
            </w:r>
          </w:p>
        </w:tc>
        <w:tc>
          <w:tcPr>
            <w:tcW w:w="1049" w:type="dxa"/>
            <w:tcBorders>
              <w:top w:val="nil"/>
              <w:left w:val="nil"/>
              <w:bottom w:val="single" w:sz="4" w:space="0" w:color="auto"/>
              <w:right w:val="single" w:sz="4" w:space="0" w:color="auto"/>
            </w:tcBorders>
            <w:shd w:val="clear" w:color="auto" w:fill="auto"/>
            <w:vAlign w:val="center"/>
          </w:tcPr>
          <w:p w14:paraId="7F62EAEE" w14:textId="77777777" w:rsidR="00794507" w:rsidRPr="00156708" w:rsidRDefault="00794507" w:rsidP="00156708">
            <w:pPr>
              <w:spacing w:after="0" w:line="240" w:lineRule="auto"/>
              <w:jc w:val="right"/>
              <w:rPr>
                <w:rFonts w:asciiTheme="minorHAnsi" w:eastAsia="Times New Roman" w:hAnsiTheme="minorHAnsi" w:cstheme="minorHAnsi"/>
                <w:bCs/>
                <w:color w:val="000000"/>
                <w:sz w:val="20"/>
                <w:szCs w:val="20"/>
                <w:lang w:val="en-GB"/>
              </w:rPr>
            </w:pPr>
            <w:r w:rsidRPr="00156708">
              <w:rPr>
                <w:rFonts w:asciiTheme="minorHAnsi" w:eastAsia="Times New Roman" w:hAnsiTheme="minorHAnsi" w:cstheme="minorHAnsi"/>
                <w:bCs/>
                <w:color w:val="000000"/>
                <w:sz w:val="20"/>
                <w:szCs w:val="20"/>
                <w:lang w:val="en-GB"/>
              </w:rPr>
              <w:t>0.24</w:t>
            </w:r>
          </w:p>
        </w:tc>
      </w:tr>
      <w:tr w:rsidR="00794507" w:rsidRPr="00156708" w14:paraId="42804FDC" w14:textId="77777777" w:rsidTr="00156708">
        <w:trPr>
          <w:trHeight w:val="236"/>
        </w:trPr>
        <w:tc>
          <w:tcPr>
            <w:tcW w:w="5445" w:type="dxa"/>
            <w:tcBorders>
              <w:top w:val="nil"/>
              <w:left w:val="nil"/>
              <w:bottom w:val="nil"/>
              <w:right w:val="nil"/>
            </w:tcBorders>
            <w:shd w:val="clear" w:color="auto" w:fill="B8CCE4" w:themeFill="accent1" w:themeFillTint="66"/>
            <w:noWrap/>
            <w:vAlign w:val="center"/>
            <w:hideMark/>
          </w:tcPr>
          <w:p w14:paraId="571140C7"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Depreciation costs (DEPCt)</w:t>
            </w:r>
          </w:p>
        </w:tc>
        <w:tc>
          <w:tcPr>
            <w:tcW w:w="892" w:type="dxa"/>
            <w:tcBorders>
              <w:top w:val="nil"/>
              <w:left w:val="nil"/>
              <w:bottom w:val="single" w:sz="4" w:space="0" w:color="auto"/>
              <w:right w:val="nil"/>
            </w:tcBorders>
            <w:shd w:val="clear" w:color="auto" w:fill="B8CCE4" w:themeFill="accent1" w:themeFillTint="66"/>
          </w:tcPr>
          <w:p w14:paraId="4BEF0289"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single" w:sz="4" w:space="0" w:color="auto"/>
              <w:right w:val="nil"/>
            </w:tcBorders>
            <w:shd w:val="clear" w:color="auto" w:fill="B8CCE4" w:themeFill="accent1" w:themeFillTint="66"/>
            <w:noWrap/>
            <w:vAlign w:val="center"/>
          </w:tcPr>
          <w:p w14:paraId="2B411F5B"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B8CCE4" w:themeFill="accent1" w:themeFillTint="66"/>
            <w:noWrap/>
            <w:vAlign w:val="center"/>
            <w:hideMark/>
          </w:tcPr>
          <w:p w14:paraId="7C5CBAE0"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B8CCE4" w:themeFill="accent1" w:themeFillTint="66"/>
            <w:noWrap/>
            <w:vAlign w:val="center"/>
            <w:hideMark/>
          </w:tcPr>
          <w:p w14:paraId="0C7A14E5"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12042B51"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4F848D61"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Evaluation during PRR2</w:t>
            </w:r>
          </w:p>
        </w:tc>
        <w:tc>
          <w:tcPr>
            <w:tcW w:w="892" w:type="dxa"/>
            <w:tcBorders>
              <w:top w:val="single" w:sz="4" w:space="0" w:color="auto"/>
              <w:left w:val="single" w:sz="4" w:space="0" w:color="auto"/>
              <w:bottom w:val="single" w:sz="4" w:space="0" w:color="auto"/>
              <w:right w:val="single" w:sz="4" w:space="0" w:color="auto"/>
            </w:tcBorders>
          </w:tcPr>
          <w:p w14:paraId="2B308FA4"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nil"/>
            </w:tcBorders>
            <w:shd w:val="clear" w:color="auto" w:fill="auto"/>
            <w:vAlign w:val="center"/>
          </w:tcPr>
          <w:p w14:paraId="01035269"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14.44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77D32B9"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15.23</w:t>
            </w:r>
          </w:p>
        </w:tc>
        <w:tc>
          <w:tcPr>
            <w:tcW w:w="1049" w:type="dxa"/>
            <w:tcBorders>
              <w:top w:val="single" w:sz="4" w:space="0" w:color="auto"/>
              <w:left w:val="nil"/>
              <w:bottom w:val="single" w:sz="4" w:space="0" w:color="auto"/>
              <w:right w:val="single" w:sz="4" w:space="0" w:color="auto"/>
            </w:tcBorders>
            <w:shd w:val="clear" w:color="auto" w:fill="auto"/>
            <w:vAlign w:val="center"/>
          </w:tcPr>
          <w:p w14:paraId="190FE656"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16.17</w:t>
            </w:r>
          </w:p>
        </w:tc>
      </w:tr>
      <w:tr w:rsidR="00794507" w:rsidRPr="00156708" w14:paraId="4ECD0BC0" w14:textId="77777777" w:rsidTr="00156708">
        <w:trPr>
          <w:trHeight w:val="236"/>
        </w:trPr>
        <w:tc>
          <w:tcPr>
            <w:tcW w:w="5445" w:type="dxa"/>
            <w:tcBorders>
              <w:top w:val="nil"/>
              <w:left w:val="nil"/>
              <w:bottom w:val="nil"/>
              <w:right w:val="nil"/>
            </w:tcBorders>
            <w:shd w:val="clear" w:color="auto" w:fill="auto"/>
            <w:noWrap/>
            <w:vAlign w:val="center"/>
            <w:hideMark/>
          </w:tcPr>
          <w:p w14:paraId="44FE6D23"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Allowed - DEPCt = DEPCt-1 * (1 + CPIt-1) * (1 – Pt)</w:t>
            </w:r>
          </w:p>
        </w:tc>
        <w:tc>
          <w:tcPr>
            <w:tcW w:w="892" w:type="dxa"/>
            <w:tcBorders>
              <w:top w:val="single" w:sz="4" w:space="0" w:color="auto"/>
              <w:left w:val="single" w:sz="4" w:space="0" w:color="auto"/>
              <w:bottom w:val="single" w:sz="4" w:space="0" w:color="auto"/>
              <w:right w:val="single" w:sz="4" w:space="0" w:color="auto"/>
            </w:tcBorders>
          </w:tcPr>
          <w:p w14:paraId="6FAD9FB8" w14:textId="77777777" w:rsidR="00794507" w:rsidRPr="00156708" w:rsidRDefault="00794507" w:rsidP="00E71E71">
            <w:pPr>
              <w:spacing w:after="0" w:line="240" w:lineRule="auto"/>
              <w:jc w:val="center"/>
              <w:rPr>
                <w:rFonts w:asciiTheme="minorHAnsi" w:eastAsia="Times New Roman" w:hAnsiTheme="minorHAnsi" w:cstheme="minorHAnsi"/>
                <w:b/>
                <w:bCs/>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72D54509"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14.65</w:t>
            </w:r>
          </w:p>
        </w:tc>
        <w:tc>
          <w:tcPr>
            <w:tcW w:w="932" w:type="dxa"/>
            <w:tcBorders>
              <w:top w:val="nil"/>
              <w:left w:val="nil"/>
              <w:bottom w:val="single" w:sz="4" w:space="0" w:color="auto"/>
              <w:right w:val="single" w:sz="4" w:space="0" w:color="auto"/>
            </w:tcBorders>
            <w:shd w:val="clear" w:color="auto" w:fill="auto"/>
            <w:vAlign w:val="center"/>
          </w:tcPr>
          <w:p w14:paraId="7AC65963"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15.40</w:t>
            </w:r>
          </w:p>
        </w:tc>
        <w:tc>
          <w:tcPr>
            <w:tcW w:w="1049" w:type="dxa"/>
            <w:tcBorders>
              <w:top w:val="nil"/>
              <w:left w:val="nil"/>
              <w:bottom w:val="single" w:sz="4" w:space="0" w:color="auto"/>
              <w:right w:val="single" w:sz="4" w:space="0" w:color="auto"/>
            </w:tcBorders>
            <w:shd w:val="clear" w:color="auto" w:fill="auto"/>
            <w:vAlign w:val="center"/>
          </w:tcPr>
          <w:p w14:paraId="26601331"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16.21</w:t>
            </w:r>
          </w:p>
        </w:tc>
      </w:tr>
      <w:tr w:rsidR="00794507" w:rsidRPr="00156708" w14:paraId="4D2295B2" w14:textId="77777777" w:rsidTr="00156708">
        <w:trPr>
          <w:trHeight w:val="278"/>
        </w:trPr>
        <w:tc>
          <w:tcPr>
            <w:tcW w:w="5445" w:type="dxa"/>
            <w:tcBorders>
              <w:top w:val="nil"/>
              <w:left w:val="nil"/>
              <w:bottom w:val="nil"/>
              <w:right w:val="nil"/>
            </w:tcBorders>
            <w:shd w:val="clear" w:color="auto" w:fill="B8CCE4" w:themeFill="accent1" w:themeFillTint="66"/>
            <w:noWrap/>
            <w:vAlign w:val="center"/>
            <w:hideMark/>
          </w:tcPr>
          <w:p w14:paraId="2B48B37F"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Return costs (RTNCt)</w:t>
            </w:r>
          </w:p>
        </w:tc>
        <w:tc>
          <w:tcPr>
            <w:tcW w:w="892" w:type="dxa"/>
            <w:tcBorders>
              <w:top w:val="nil"/>
              <w:left w:val="nil"/>
              <w:bottom w:val="single" w:sz="4" w:space="0" w:color="auto"/>
              <w:right w:val="nil"/>
            </w:tcBorders>
            <w:shd w:val="clear" w:color="auto" w:fill="B8CCE4" w:themeFill="accent1" w:themeFillTint="66"/>
          </w:tcPr>
          <w:p w14:paraId="1F1AD473"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single" w:sz="4" w:space="0" w:color="auto"/>
              <w:right w:val="nil"/>
            </w:tcBorders>
            <w:shd w:val="clear" w:color="auto" w:fill="B8CCE4" w:themeFill="accent1" w:themeFillTint="66"/>
            <w:noWrap/>
            <w:vAlign w:val="center"/>
          </w:tcPr>
          <w:p w14:paraId="6354F3ED"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B8CCE4" w:themeFill="accent1" w:themeFillTint="66"/>
            <w:noWrap/>
            <w:vAlign w:val="center"/>
            <w:hideMark/>
          </w:tcPr>
          <w:p w14:paraId="4D1EB51F"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B8CCE4" w:themeFill="accent1" w:themeFillTint="66"/>
            <w:noWrap/>
            <w:vAlign w:val="center"/>
            <w:hideMark/>
          </w:tcPr>
          <w:p w14:paraId="2E1740ED"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3F4CE3B1" w14:textId="77777777" w:rsidTr="00156708">
        <w:trPr>
          <w:trHeight w:val="278"/>
        </w:trPr>
        <w:tc>
          <w:tcPr>
            <w:tcW w:w="5445" w:type="dxa"/>
            <w:tcBorders>
              <w:top w:val="nil"/>
              <w:left w:val="nil"/>
              <w:bottom w:val="nil"/>
              <w:right w:val="single" w:sz="4" w:space="0" w:color="auto"/>
            </w:tcBorders>
            <w:shd w:val="clear" w:color="auto" w:fill="auto"/>
            <w:noWrap/>
            <w:vAlign w:val="center"/>
            <w:hideMark/>
          </w:tcPr>
          <w:p w14:paraId="42D5A016" w14:textId="77777777" w:rsidR="00794507" w:rsidRPr="00156708" w:rsidRDefault="00794507" w:rsidP="00E71E71">
            <w:pPr>
              <w:spacing w:after="0" w:line="240" w:lineRule="auto"/>
              <w:ind w:firstLineChars="100" w:firstLine="200"/>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Evaluation during MYT</w:t>
            </w:r>
          </w:p>
        </w:tc>
        <w:tc>
          <w:tcPr>
            <w:tcW w:w="892" w:type="dxa"/>
            <w:tcBorders>
              <w:top w:val="single" w:sz="4" w:space="0" w:color="auto"/>
              <w:left w:val="single" w:sz="4" w:space="0" w:color="auto"/>
              <w:bottom w:val="single" w:sz="4" w:space="0" w:color="auto"/>
              <w:right w:val="single" w:sz="4" w:space="0" w:color="auto"/>
            </w:tcBorders>
          </w:tcPr>
          <w:p w14:paraId="186B3E57"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nil"/>
            </w:tcBorders>
            <w:shd w:val="clear" w:color="auto" w:fill="auto"/>
            <w:vAlign w:val="center"/>
          </w:tcPr>
          <w:p w14:paraId="65435AFB"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13.39</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406450B"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14.95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5F93AC7B"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15.90</w:t>
            </w:r>
          </w:p>
        </w:tc>
      </w:tr>
      <w:tr w:rsidR="00794507" w:rsidRPr="00156708" w14:paraId="1D555997" w14:textId="77777777" w:rsidTr="00156708">
        <w:trPr>
          <w:trHeight w:val="278"/>
        </w:trPr>
        <w:tc>
          <w:tcPr>
            <w:tcW w:w="5445" w:type="dxa"/>
            <w:tcBorders>
              <w:top w:val="nil"/>
              <w:left w:val="nil"/>
              <w:bottom w:val="nil"/>
              <w:right w:val="nil"/>
            </w:tcBorders>
            <w:shd w:val="clear" w:color="auto" w:fill="auto"/>
            <w:noWrap/>
            <w:vAlign w:val="center"/>
            <w:hideMark/>
          </w:tcPr>
          <w:p w14:paraId="03C7E48E" w14:textId="77777777" w:rsidR="00794507" w:rsidRPr="00156708" w:rsidRDefault="00794507" w:rsidP="00E71E71">
            <w:pPr>
              <w:spacing w:after="0" w:line="240" w:lineRule="auto"/>
              <w:ind w:firstLineChars="100" w:firstLine="200"/>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Allowed- RTNCt = RTNCt-1 * (1 + CPIt-1) * (1 – Pt)</w:t>
            </w:r>
          </w:p>
        </w:tc>
        <w:tc>
          <w:tcPr>
            <w:tcW w:w="892" w:type="dxa"/>
            <w:tcBorders>
              <w:top w:val="single" w:sz="4" w:space="0" w:color="auto"/>
              <w:left w:val="single" w:sz="4" w:space="0" w:color="auto"/>
              <w:bottom w:val="single" w:sz="4" w:space="0" w:color="auto"/>
              <w:right w:val="single" w:sz="4" w:space="0" w:color="auto"/>
            </w:tcBorders>
          </w:tcPr>
          <w:p w14:paraId="2697DA9A" w14:textId="77777777" w:rsidR="00794507" w:rsidRPr="00156708" w:rsidRDefault="00794507" w:rsidP="00E71E71">
            <w:pPr>
              <w:spacing w:after="0" w:line="240" w:lineRule="auto"/>
              <w:jc w:val="center"/>
              <w:rPr>
                <w:rFonts w:asciiTheme="minorHAnsi" w:eastAsia="Times New Roman" w:hAnsiTheme="minorHAnsi" w:cstheme="minorHAnsi"/>
                <w:b/>
                <w:bCs/>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AAA1692"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13.59</w:t>
            </w:r>
          </w:p>
        </w:tc>
        <w:tc>
          <w:tcPr>
            <w:tcW w:w="932" w:type="dxa"/>
            <w:tcBorders>
              <w:top w:val="nil"/>
              <w:left w:val="nil"/>
              <w:bottom w:val="single" w:sz="4" w:space="0" w:color="auto"/>
              <w:right w:val="single" w:sz="4" w:space="0" w:color="auto"/>
            </w:tcBorders>
            <w:shd w:val="clear" w:color="auto" w:fill="auto"/>
            <w:vAlign w:val="center"/>
          </w:tcPr>
          <w:p w14:paraId="5A30A399"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15.12</w:t>
            </w:r>
          </w:p>
        </w:tc>
        <w:tc>
          <w:tcPr>
            <w:tcW w:w="1049" w:type="dxa"/>
            <w:tcBorders>
              <w:top w:val="nil"/>
              <w:left w:val="nil"/>
              <w:bottom w:val="single" w:sz="4" w:space="0" w:color="auto"/>
              <w:right w:val="single" w:sz="4" w:space="0" w:color="auto"/>
            </w:tcBorders>
            <w:shd w:val="clear" w:color="auto" w:fill="auto"/>
            <w:vAlign w:val="center"/>
          </w:tcPr>
          <w:p w14:paraId="17010624"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15.94</w:t>
            </w:r>
          </w:p>
        </w:tc>
      </w:tr>
      <w:tr w:rsidR="00794507" w:rsidRPr="00156708" w14:paraId="4423438C" w14:textId="77777777" w:rsidTr="00156708">
        <w:trPr>
          <w:trHeight w:val="278"/>
        </w:trPr>
        <w:tc>
          <w:tcPr>
            <w:tcW w:w="5445" w:type="dxa"/>
            <w:tcBorders>
              <w:top w:val="nil"/>
              <w:left w:val="nil"/>
              <w:bottom w:val="nil"/>
              <w:right w:val="nil"/>
            </w:tcBorders>
            <w:shd w:val="clear" w:color="auto" w:fill="B8CCE4" w:themeFill="accent1" w:themeFillTint="66"/>
            <w:noWrap/>
            <w:vAlign w:val="center"/>
            <w:hideMark/>
          </w:tcPr>
          <w:p w14:paraId="6E5AA668"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Obligations towards KOSTT</w:t>
            </w:r>
          </w:p>
        </w:tc>
        <w:tc>
          <w:tcPr>
            <w:tcW w:w="892" w:type="dxa"/>
            <w:tcBorders>
              <w:top w:val="nil"/>
              <w:left w:val="nil"/>
              <w:bottom w:val="nil"/>
              <w:right w:val="nil"/>
            </w:tcBorders>
            <w:shd w:val="clear" w:color="auto" w:fill="B8CCE4" w:themeFill="accent1" w:themeFillTint="66"/>
          </w:tcPr>
          <w:p w14:paraId="26AED899"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nil"/>
              <w:right w:val="nil"/>
            </w:tcBorders>
            <w:shd w:val="clear" w:color="auto" w:fill="B8CCE4" w:themeFill="accent1" w:themeFillTint="66"/>
            <w:noWrap/>
            <w:vAlign w:val="center"/>
          </w:tcPr>
          <w:p w14:paraId="1CB81FF4"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B8CCE4" w:themeFill="accent1" w:themeFillTint="66"/>
            <w:noWrap/>
            <w:vAlign w:val="center"/>
          </w:tcPr>
          <w:p w14:paraId="5EAE9A39"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B8CCE4" w:themeFill="accent1" w:themeFillTint="66"/>
            <w:noWrap/>
            <w:vAlign w:val="center"/>
            <w:hideMark/>
          </w:tcPr>
          <w:p w14:paraId="6B5F5A97"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1F386D30" w14:textId="77777777" w:rsidTr="00156708">
        <w:trPr>
          <w:trHeight w:val="278"/>
        </w:trPr>
        <w:tc>
          <w:tcPr>
            <w:tcW w:w="5445" w:type="dxa"/>
            <w:tcBorders>
              <w:top w:val="nil"/>
              <w:left w:val="nil"/>
              <w:bottom w:val="nil"/>
              <w:right w:val="nil"/>
            </w:tcBorders>
            <w:shd w:val="clear" w:color="auto" w:fill="auto"/>
            <w:noWrap/>
            <w:vAlign w:val="center"/>
            <w:hideMark/>
          </w:tcPr>
          <w:p w14:paraId="17E332E5"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Obligations towards KOSTT -forecast</w:t>
            </w:r>
          </w:p>
        </w:tc>
        <w:tc>
          <w:tcPr>
            <w:tcW w:w="892" w:type="dxa"/>
            <w:tcBorders>
              <w:top w:val="single" w:sz="4" w:space="0" w:color="auto"/>
              <w:left w:val="single" w:sz="4" w:space="0" w:color="auto"/>
              <w:bottom w:val="single" w:sz="4" w:space="0" w:color="auto"/>
              <w:right w:val="single" w:sz="4" w:space="0" w:color="auto"/>
            </w:tcBorders>
          </w:tcPr>
          <w:p w14:paraId="0224374A"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269B8EC"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1.23</w:t>
            </w:r>
          </w:p>
        </w:tc>
        <w:tc>
          <w:tcPr>
            <w:tcW w:w="932" w:type="dxa"/>
            <w:tcBorders>
              <w:top w:val="single" w:sz="4" w:space="0" w:color="auto"/>
              <w:left w:val="nil"/>
              <w:bottom w:val="single" w:sz="4" w:space="0" w:color="auto"/>
              <w:right w:val="single" w:sz="4" w:space="0" w:color="auto"/>
            </w:tcBorders>
            <w:shd w:val="clear" w:color="auto" w:fill="auto"/>
            <w:vAlign w:val="center"/>
          </w:tcPr>
          <w:p w14:paraId="6CE80190"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sz w:val="20"/>
                <w:szCs w:val="20"/>
                <w:lang w:val="en-GB"/>
              </w:rPr>
              <w:t>0.92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1B90DB43"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2.02</w:t>
            </w:r>
          </w:p>
        </w:tc>
      </w:tr>
      <w:tr w:rsidR="00794507" w:rsidRPr="00156708" w14:paraId="1E559B62" w14:textId="77777777" w:rsidTr="00156708">
        <w:trPr>
          <w:trHeight w:val="278"/>
        </w:trPr>
        <w:tc>
          <w:tcPr>
            <w:tcW w:w="5445" w:type="dxa"/>
            <w:tcBorders>
              <w:top w:val="nil"/>
              <w:left w:val="nil"/>
              <w:bottom w:val="nil"/>
              <w:right w:val="nil"/>
            </w:tcBorders>
            <w:shd w:val="clear" w:color="auto" w:fill="auto"/>
            <w:noWrap/>
            <w:vAlign w:val="center"/>
          </w:tcPr>
          <w:p w14:paraId="52C187BA"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Obligations towards KOSTT – actual</w:t>
            </w:r>
          </w:p>
        </w:tc>
        <w:tc>
          <w:tcPr>
            <w:tcW w:w="892" w:type="dxa"/>
            <w:tcBorders>
              <w:top w:val="single" w:sz="4" w:space="0" w:color="auto"/>
              <w:left w:val="single" w:sz="4" w:space="0" w:color="auto"/>
              <w:bottom w:val="single" w:sz="4" w:space="0" w:color="auto"/>
              <w:right w:val="single" w:sz="4" w:space="0" w:color="auto"/>
            </w:tcBorders>
          </w:tcPr>
          <w:p w14:paraId="6580DABC"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B545B48"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0E3E8BBC"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1.07</w:t>
            </w:r>
          </w:p>
        </w:tc>
        <w:tc>
          <w:tcPr>
            <w:tcW w:w="1049" w:type="dxa"/>
            <w:tcBorders>
              <w:top w:val="single" w:sz="4" w:space="0" w:color="auto"/>
              <w:left w:val="nil"/>
              <w:bottom w:val="single" w:sz="4" w:space="0" w:color="auto"/>
              <w:right w:val="single" w:sz="4" w:space="0" w:color="auto"/>
            </w:tcBorders>
            <w:shd w:val="clear" w:color="auto" w:fill="auto"/>
            <w:vAlign w:val="center"/>
          </w:tcPr>
          <w:p w14:paraId="10837614"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080120BD" w14:textId="77777777" w:rsidTr="00156708">
        <w:trPr>
          <w:trHeight w:val="278"/>
        </w:trPr>
        <w:tc>
          <w:tcPr>
            <w:tcW w:w="5445" w:type="dxa"/>
            <w:tcBorders>
              <w:top w:val="nil"/>
              <w:left w:val="nil"/>
              <w:bottom w:val="nil"/>
              <w:right w:val="nil"/>
            </w:tcBorders>
            <w:shd w:val="clear" w:color="auto" w:fill="B8CCE4" w:themeFill="accent1" w:themeFillTint="66"/>
            <w:noWrap/>
            <w:vAlign w:val="center"/>
            <w:hideMark/>
          </w:tcPr>
          <w:p w14:paraId="5536C854"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Cost of losses  (LSSCt)</w:t>
            </w:r>
          </w:p>
        </w:tc>
        <w:tc>
          <w:tcPr>
            <w:tcW w:w="892" w:type="dxa"/>
            <w:tcBorders>
              <w:top w:val="single" w:sz="4" w:space="0" w:color="auto"/>
              <w:left w:val="nil"/>
              <w:bottom w:val="nil"/>
              <w:right w:val="nil"/>
            </w:tcBorders>
            <w:shd w:val="clear" w:color="auto" w:fill="B8CCE4" w:themeFill="accent1" w:themeFillTint="66"/>
          </w:tcPr>
          <w:p w14:paraId="31B03487"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single" w:sz="4" w:space="0" w:color="auto"/>
              <w:left w:val="nil"/>
              <w:bottom w:val="nil"/>
              <w:right w:val="nil"/>
            </w:tcBorders>
            <w:shd w:val="clear" w:color="auto" w:fill="B8CCE4" w:themeFill="accent1" w:themeFillTint="66"/>
            <w:noWrap/>
            <w:vAlign w:val="center"/>
          </w:tcPr>
          <w:p w14:paraId="4FDBFC1A"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single" w:sz="4" w:space="0" w:color="auto"/>
              <w:left w:val="nil"/>
              <w:bottom w:val="nil"/>
              <w:right w:val="nil"/>
            </w:tcBorders>
            <w:shd w:val="clear" w:color="auto" w:fill="B8CCE4" w:themeFill="accent1" w:themeFillTint="66"/>
            <w:noWrap/>
            <w:vAlign w:val="center"/>
          </w:tcPr>
          <w:p w14:paraId="45636236"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single" w:sz="4" w:space="0" w:color="auto"/>
              <w:left w:val="nil"/>
              <w:bottom w:val="nil"/>
              <w:right w:val="nil"/>
            </w:tcBorders>
            <w:shd w:val="clear" w:color="auto" w:fill="B8CCE4" w:themeFill="accent1" w:themeFillTint="66"/>
            <w:noWrap/>
            <w:vAlign w:val="center"/>
            <w:hideMark/>
          </w:tcPr>
          <w:p w14:paraId="10BB999F"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7B6E6377" w14:textId="77777777" w:rsidTr="00156708">
        <w:trPr>
          <w:trHeight w:val="278"/>
        </w:trPr>
        <w:tc>
          <w:tcPr>
            <w:tcW w:w="5445" w:type="dxa"/>
            <w:tcBorders>
              <w:top w:val="nil"/>
              <w:left w:val="nil"/>
              <w:bottom w:val="nil"/>
              <w:right w:val="nil"/>
            </w:tcBorders>
            <w:shd w:val="clear" w:color="auto" w:fill="auto"/>
            <w:noWrap/>
            <w:vAlign w:val="center"/>
            <w:hideMark/>
          </w:tcPr>
          <w:p w14:paraId="2E519A13"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Forecast</w:t>
            </w:r>
          </w:p>
        </w:tc>
        <w:tc>
          <w:tcPr>
            <w:tcW w:w="892" w:type="dxa"/>
            <w:tcBorders>
              <w:top w:val="nil"/>
              <w:left w:val="nil"/>
              <w:bottom w:val="nil"/>
              <w:right w:val="nil"/>
            </w:tcBorders>
          </w:tcPr>
          <w:p w14:paraId="0B909336"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nil"/>
              <w:right w:val="nil"/>
            </w:tcBorders>
            <w:shd w:val="clear" w:color="auto" w:fill="auto"/>
            <w:noWrap/>
            <w:vAlign w:val="center"/>
          </w:tcPr>
          <w:p w14:paraId="446C3CF5"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auto"/>
            <w:noWrap/>
            <w:vAlign w:val="center"/>
          </w:tcPr>
          <w:p w14:paraId="076B61A4"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auto"/>
            <w:noWrap/>
            <w:vAlign w:val="center"/>
            <w:hideMark/>
          </w:tcPr>
          <w:p w14:paraId="3D8D93DD"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3537DB54" w14:textId="77777777" w:rsidTr="00156708">
        <w:trPr>
          <w:trHeight w:val="278"/>
        </w:trPr>
        <w:tc>
          <w:tcPr>
            <w:tcW w:w="5445" w:type="dxa"/>
            <w:tcBorders>
              <w:top w:val="nil"/>
              <w:left w:val="nil"/>
              <w:bottom w:val="nil"/>
              <w:right w:val="nil"/>
            </w:tcBorders>
            <w:shd w:val="clear" w:color="auto" w:fill="auto"/>
            <w:noWrap/>
            <w:vAlign w:val="center"/>
            <w:hideMark/>
          </w:tcPr>
          <w:p w14:paraId="54EAD8CC"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LSSAt</w:t>
            </w:r>
          </w:p>
        </w:tc>
        <w:tc>
          <w:tcPr>
            <w:tcW w:w="892" w:type="dxa"/>
            <w:tcBorders>
              <w:top w:val="single" w:sz="4" w:space="0" w:color="auto"/>
              <w:left w:val="single" w:sz="4" w:space="0" w:color="auto"/>
              <w:bottom w:val="single" w:sz="4" w:space="0" w:color="auto"/>
              <w:right w:val="single" w:sz="4" w:space="0" w:color="auto"/>
            </w:tcBorders>
          </w:tcPr>
          <w:p w14:paraId="508BDAA8"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05042FD"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4226A33A"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5F50AE34"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16.40%</w:t>
            </w:r>
          </w:p>
        </w:tc>
      </w:tr>
      <w:tr w:rsidR="00794507" w:rsidRPr="00156708" w14:paraId="3FCC55E5" w14:textId="77777777" w:rsidTr="00156708">
        <w:trPr>
          <w:trHeight w:val="278"/>
        </w:trPr>
        <w:tc>
          <w:tcPr>
            <w:tcW w:w="5445" w:type="dxa"/>
            <w:tcBorders>
              <w:top w:val="nil"/>
              <w:left w:val="nil"/>
              <w:bottom w:val="nil"/>
              <w:right w:val="nil"/>
            </w:tcBorders>
            <w:shd w:val="clear" w:color="auto" w:fill="auto"/>
            <w:noWrap/>
            <w:vAlign w:val="center"/>
            <w:hideMark/>
          </w:tcPr>
          <w:p w14:paraId="3AE60892"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REUEt</w:t>
            </w:r>
          </w:p>
        </w:tc>
        <w:tc>
          <w:tcPr>
            <w:tcW w:w="892" w:type="dxa"/>
            <w:tcBorders>
              <w:top w:val="nil"/>
              <w:left w:val="single" w:sz="4" w:space="0" w:color="auto"/>
              <w:bottom w:val="single" w:sz="4" w:space="0" w:color="auto"/>
              <w:right w:val="single" w:sz="4" w:space="0" w:color="auto"/>
            </w:tcBorders>
          </w:tcPr>
          <w:p w14:paraId="25E3A7D3"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nil"/>
              <w:left w:val="single" w:sz="4" w:space="0" w:color="auto"/>
              <w:bottom w:val="single" w:sz="4" w:space="0" w:color="auto"/>
              <w:right w:val="single" w:sz="4" w:space="0" w:color="auto"/>
            </w:tcBorders>
            <w:shd w:val="clear" w:color="auto" w:fill="auto"/>
            <w:vAlign w:val="center"/>
          </w:tcPr>
          <w:p w14:paraId="29AA1AE0"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4,964.9</w:t>
            </w:r>
          </w:p>
        </w:tc>
        <w:tc>
          <w:tcPr>
            <w:tcW w:w="932" w:type="dxa"/>
            <w:tcBorders>
              <w:top w:val="nil"/>
              <w:left w:val="nil"/>
              <w:bottom w:val="single" w:sz="4" w:space="0" w:color="auto"/>
              <w:right w:val="single" w:sz="4" w:space="0" w:color="auto"/>
            </w:tcBorders>
            <w:shd w:val="clear" w:color="auto" w:fill="auto"/>
            <w:vAlign w:val="center"/>
          </w:tcPr>
          <w:p w14:paraId="7DD5D950"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5,414.3</w:t>
            </w:r>
          </w:p>
        </w:tc>
        <w:tc>
          <w:tcPr>
            <w:tcW w:w="1049" w:type="dxa"/>
            <w:tcBorders>
              <w:top w:val="nil"/>
              <w:left w:val="nil"/>
              <w:bottom w:val="single" w:sz="4" w:space="0" w:color="auto"/>
              <w:right w:val="single" w:sz="4" w:space="0" w:color="auto"/>
            </w:tcBorders>
            <w:shd w:val="clear" w:color="auto" w:fill="auto"/>
            <w:vAlign w:val="center"/>
          </w:tcPr>
          <w:p w14:paraId="0FFEDF61"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5,451.6</w:t>
            </w:r>
          </w:p>
        </w:tc>
      </w:tr>
      <w:tr w:rsidR="00794507" w:rsidRPr="00156708" w14:paraId="189B1ED7" w14:textId="77777777" w:rsidTr="00156708">
        <w:trPr>
          <w:trHeight w:val="278"/>
        </w:trPr>
        <w:tc>
          <w:tcPr>
            <w:tcW w:w="5445" w:type="dxa"/>
            <w:tcBorders>
              <w:top w:val="nil"/>
              <w:left w:val="nil"/>
              <w:bottom w:val="nil"/>
              <w:right w:val="nil"/>
            </w:tcBorders>
            <w:shd w:val="clear" w:color="auto" w:fill="auto"/>
            <w:noWrap/>
            <w:vAlign w:val="center"/>
            <w:hideMark/>
          </w:tcPr>
          <w:p w14:paraId="1D07FAE0"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WHEAt</w:t>
            </w:r>
          </w:p>
        </w:tc>
        <w:tc>
          <w:tcPr>
            <w:tcW w:w="892" w:type="dxa"/>
            <w:tcBorders>
              <w:top w:val="nil"/>
              <w:left w:val="single" w:sz="4" w:space="0" w:color="auto"/>
              <w:bottom w:val="single" w:sz="4" w:space="0" w:color="auto"/>
              <w:right w:val="single" w:sz="4" w:space="0" w:color="auto"/>
            </w:tcBorders>
          </w:tcPr>
          <w:p w14:paraId="56301E31"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nil"/>
              <w:left w:val="single" w:sz="4" w:space="0" w:color="auto"/>
              <w:bottom w:val="single" w:sz="4" w:space="0" w:color="auto"/>
              <w:right w:val="single" w:sz="4" w:space="0" w:color="auto"/>
            </w:tcBorders>
            <w:shd w:val="clear" w:color="auto" w:fill="auto"/>
            <w:vAlign w:val="center"/>
          </w:tcPr>
          <w:p w14:paraId="0F032E32"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44.88</w:t>
            </w:r>
          </w:p>
        </w:tc>
        <w:tc>
          <w:tcPr>
            <w:tcW w:w="932" w:type="dxa"/>
            <w:tcBorders>
              <w:top w:val="nil"/>
              <w:left w:val="nil"/>
              <w:bottom w:val="single" w:sz="4" w:space="0" w:color="auto"/>
              <w:right w:val="single" w:sz="4" w:space="0" w:color="auto"/>
            </w:tcBorders>
            <w:shd w:val="clear" w:color="auto" w:fill="auto"/>
            <w:vAlign w:val="center"/>
          </w:tcPr>
          <w:p w14:paraId="080FF954"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49.19</w:t>
            </w:r>
          </w:p>
        </w:tc>
        <w:tc>
          <w:tcPr>
            <w:tcW w:w="1049" w:type="dxa"/>
            <w:tcBorders>
              <w:top w:val="nil"/>
              <w:left w:val="nil"/>
              <w:bottom w:val="single" w:sz="4" w:space="0" w:color="auto"/>
              <w:right w:val="single" w:sz="4" w:space="0" w:color="auto"/>
            </w:tcBorders>
            <w:shd w:val="clear" w:color="auto" w:fill="auto"/>
            <w:vAlign w:val="center"/>
          </w:tcPr>
          <w:p w14:paraId="67DCB1BA"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46.05</w:t>
            </w:r>
          </w:p>
        </w:tc>
      </w:tr>
      <w:tr w:rsidR="00794507" w:rsidRPr="00156708" w14:paraId="4525AADA" w14:textId="77777777" w:rsidTr="00156708">
        <w:trPr>
          <w:trHeight w:val="236"/>
        </w:trPr>
        <w:tc>
          <w:tcPr>
            <w:tcW w:w="5445" w:type="dxa"/>
            <w:tcBorders>
              <w:top w:val="nil"/>
              <w:left w:val="nil"/>
              <w:bottom w:val="nil"/>
              <w:right w:val="nil"/>
            </w:tcBorders>
            <w:shd w:val="clear" w:color="auto" w:fill="auto"/>
            <w:noWrap/>
            <w:vAlign w:val="center"/>
            <w:hideMark/>
          </w:tcPr>
          <w:p w14:paraId="11FAD1A9"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Forecast cost of losses</w:t>
            </w:r>
          </w:p>
        </w:tc>
        <w:tc>
          <w:tcPr>
            <w:tcW w:w="892" w:type="dxa"/>
            <w:tcBorders>
              <w:top w:val="nil"/>
              <w:left w:val="single" w:sz="4" w:space="0" w:color="auto"/>
              <w:bottom w:val="single" w:sz="4" w:space="0" w:color="auto"/>
              <w:right w:val="single" w:sz="4" w:space="0" w:color="auto"/>
            </w:tcBorders>
          </w:tcPr>
          <w:p w14:paraId="5E49F2AB" w14:textId="77777777" w:rsidR="00794507" w:rsidRPr="00156708" w:rsidRDefault="00794507" w:rsidP="00E71E71">
            <w:pPr>
              <w:spacing w:after="0" w:line="240" w:lineRule="auto"/>
              <w:jc w:val="center"/>
              <w:rPr>
                <w:rFonts w:asciiTheme="minorHAnsi" w:eastAsia="Times New Roman" w:hAnsiTheme="minorHAnsi" w:cstheme="minorHAnsi"/>
                <w:b/>
                <w:bCs/>
                <w:color w:val="000000"/>
                <w:sz w:val="20"/>
                <w:szCs w:val="20"/>
                <w:lang w:val="en-GB"/>
              </w:rPr>
            </w:pPr>
            <w:r w:rsidRPr="00156708">
              <w:rPr>
                <w:rFonts w:cstheme="minorHAnsi"/>
                <w:lang w:val="en-GB"/>
              </w:rPr>
              <w:t>€m</w:t>
            </w:r>
          </w:p>
        </w:tc>
        <w:tc>
          <w:tcPr>
            <w:tcW w:w="877" w:type="dxa"/>
            <w:tcBorders>
              <w:top w:val="nil"/>
              <w:left w:val="single" w:sz="4" w:space="0" w:color="auto"/>
              <w:bottom w:val="single" w:sz="4" w:space="0" w:color="auto"/>
              <w:right w:val="single" w:sz="4" w:space="0" w:color="auto"/>
            </w:tcBorders>
            <w:shd w:val="clear" w:color="auto" w:fill="auto"/>
            <w:vAlign w:val="center"/>
          </w:tcPr>
          <w:p w14:paraId="55EF85C0"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41.89</w:t>
            </w:r>
          </w:p>
        </w:tc>
        <w:tc>
          <w:tcPr>
            <w:tcW w:w="932" w:type="dxa"/>
            <w:tcBorders>
              <w:top w:val="nil"/>
              <w:left w:val="nil"/>
              <w:bottom w:val="single" w:sz="4" w:space="0" w:color="auto"/>
              <w:right w:val="single" w:sz="4" w:space="0" w:color="auto"/>
            </w:tcBorders>
            <w:shd w:val="clear" w:color="auto" w:fill="auto"/>
            <w:vAlign w:val="center"/>
          </w:tcPr>
          <w:p w14:paraId="60EB0BB6"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46.88</w:t>
            </w:r>
          </w:p>
        </w:tc>
        <w:tc>
          <w:tcPr>
            <w:tcW w:w="1049" w:type="dxa"/>
            <w:tcBorders>
              <w:top w:val="nil"/>
              <w:left w:val="nil"/>
              <w:bottom w:val="single" w:sz="4" w:space="0" w:color="auto"/>
              <w:right w:val="single" w:sz="4" w:space="0" w:color="auto"/>
            </w:tcBorders>
            <w:shd w:val="clear" w:color="auto" w:fill="auto"/>
            <w:vAlign w:val="center"/>
          </w:tcPr>
          <w:p w14:paraId="342D33B6"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41.17</w:t>
            </w:r>
          </w:p>
        </w:tc>
      </w:tr>
      <w:tr w:rsidR="00794507" w:rsidRPr="00156708" w14:paraId="7DA76E33" w14:textId="77777777" w:rsidTr="00156708">
        <w:trPr>
          <w:trHeight w:val="236"/>
        </w:trPr>
        <w:tc>
          <w:tcPr>
            <w:tcW w:w="5445" w:type="dxa"/>
            <w:tcBorders>
              <w:top w:val="nil"/>
              <w:left w:val="nil"/>
              <w:bottom w:val="nil"/>
              <w:right w:val="nil"/>
            </w:tcBorders>
            <w:shd w:val="clear" w:color="auto" w:fill="auto"/>
            <w:noWrap/>
            <w:vAlign w:val="center"/>
            <w:hideMark/>
          </w:tcPr>
          <w:p w14:paraId="51184FF3"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Actual</w:t>
            </w:r>
          </w:p>
        </w:tc>
        <w:tc>
          <w:tcPr>
            <w:tcW w:w="892" w:type="dxa"/>
            <w:tcBorders>
              <w:top w:val="nil"/>
              <w:left w:val="nil"/>
              <w:bottom w:val="nil"/>
              <w:right w:val="nil"/>
            </w:tcBorders>
          </w:tcPr>
          <w:p w14:paraId="2CC0068E"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nil"/>
              <w:right w:val="nil"/>
            </w:tcBorders>
            <w:shd w:val="clear" w:color="auto" w:fill="auto"/>
            <w:noWrap/>
            <w:vAlign w:val="center"/>
          </w:tcPr>
          <w:p w14:paraId="5DC830ED"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auto"/>
            <w:noWrap/>
            <w:vAlign w:val="center"/>
          </w:tcPr>
          <w:p w14:paraId="6409EEE7"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auto"/>
            <w:noWrap/>
            <w:vAlign w:val="center"/>
          </w:tcPr>
          <w:p w14:paraId="6C1F08F4"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751CB98D" w14:textId="77777777" w:rsidTr="00156708">
        <w:trPr>
          <w:trHeight w:val="236"/>
        </w:trPr>
        <w:tc>
          <w:tcPr>
            <w:tcW w:w="5445" w:type="dxa"/>
            <w:tcBorders>
              <w:top w:val="nil"/>
              <w:left w:val="nil"/>
              <w:bottom w:val="nil"/>
              <w:right w:val="nil"/>
            </w:tcBorders>
            <w:shd w:val="clear" w:color="auto" w:fill="auto"/>
            <w:noWrap/>
            <w:vAlign w:val="center"/>
            <w:hideMark/>
          </w:tcPr>
          <w:p w14:paraId="1B3B9A95"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LSSAt</w:t>
            </w:r>
          </w:p>
        </w:tc>
        <w:tc>
          <w:tcPr>
            <w:tcW w:w="892" w:type="dxa"/>
            <w:tcBorders>
              <w:top w:val="single" w:sz="4" w:space="0" w:color="auto"/>
              <w:left w:val="single" w:sz="4" w:space="0" w:color="auto"/>
              <w:bottom w:val="single" w:sz="4" w:space="0" w:color="auto"/>
              <w:right w:val="single" w:sz="4" w:space="0" w:color="auto"/>
            </w:tcBorders>
          </w:tcPr>
          <w:p w14:paraId="58A609F0"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74D824C9"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230822BD"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297FE9"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p>
        </w:tc>
      </w:tr>
      <w:tr w:rsidR="00794507" w:rsidRPr="00156708" w14:paraId="79171C0A" w14:textId="77777777" w:rsidTr="00156708">
        <w:trPr>
          <w:trHeight w:val="236"/>
        </w:trPr>
        <w:tc>
          <w:tcPr>
            <w:tcW w:w="5445" w:type="dxa"/>
            <w:tcBorders>
              <w:top w:val="nil"/>
              <w:left w:val="nil"/>
              <w:bottom w:val="nil"/>
              <w:right w:val="nil"/>
            </w:tcBorders>
            <w:shd w:val="clear" w:color="auto" w:fill="auto"/>
            <w:noWrap/>
            <w:vAlign w:val="center"/>
            <w:hideMark/>
          </w:tcPr>
          <w:p w14:paraId="6A0740FE"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REUEt</w:t>
            </w:r>
          </w:p>
        </w:tc>
        <w:tc>
          <w:tcPr>
            <w:tcW w:w="892" w:type="dxa"/>
            <w:tcBorders>
              <w:top w:val="nil"/>
              <w:left w:val="single" w:sz="4" w:space="0" w:color="auto"/>
              <w:bottom w:val="single" w:sz="4" w:space="0" w:color="auto"/>
              <w:right w:val="single" w:sz="4" w:space="0" w:color="auto"/>
            </w:tcBorders>
          </w:tcPr>
          <w:p w14:paraId="33554A55"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GWh</w:t>
            </w:r>
          </w:p>
        </w:tc>
        <w:tc>
          <w:tcPr>
            <w:tcW w:w="877" w:type="dxa"/>
            <w:tcBorders>
              <w:top w:val="nil"/>
              <w:left w:val="single" w:sz="4" w:space="0" w:color="auto"/>
              <w:bottom w:val="single" w:sz="4" w:space="0" w:color="auto"/>
              <w:right w:val="single" w:sz="4" w:space="0" w:color="auto"/>
            </w:tcBorders>
            <w:shd w:val="clear" w:color="auto" w:fill="auto"/>
            <w:vAlign w:val="center"/>
          </w:tcPr>
          <w:p w14:paraId="6A117498"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5,322.0</w:t>
            </w:r>
          </w:p>
        </w:tc>
        <w:tc>
          <w:tcPr>
            <w:tcW w:w="932" w:type="dxa"/>
            <w:tcBorders>
              <w:top w:val="nil"/>
              <w:left w:val="nil"/>
              <w:bottom w:val="single" w:sz="4" w:space="0" w:color="auto"/>
              <w:right w:val="single" w:sz="4" w:space="0" w:color="auto"/>
            </w:tcBorders>
            <w:shd w:val="clear" w:color="auto" w:fill="auto"/>
            <w:vAlign w:val="center"/>
          </w:tcPr>
          <w:p w14:paraId="3AB2E3A1"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5,549.5</w:t>
            </w:r>
          </w:p>
        </w:tc>
        <w:tc>
          <w:tcPr>
            <w:tcW w:w="1049" w:type="dxa"/>
            <w:tcBorders>
              <w:top w:val="nil"/>
              <w:left w:val="nil"/>
              <w:bottom w:val="single" w:sz="4" w:space="0" w:color="auto"/>
              <w:right w:val="single" w:sz="4" w:space="0" w:color="auto"/>
            </w:tcBorders>
            <w:shd w:val="clear" w:color="auto" w:fill="auto"/>
            <w:vAlign w:val="center"/>
          </w:tcPr>
          <w:p w14:paraId="7BD36D5A"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p>
        </w:tc>
      </w:tr>
      <w:tr w:rsidR="00794507" w:rsidRPr="00156708" w14:paraId="2509B2A6" w14:textId="77777777" w:rsidTr="00156708">
        <w:trPr>
          <w:trHeight w:val="236"/>
        </w:trPr>
        <w:tc>
          <w:tcPr>
            <w:tcW w:w="5445" w:type="dxa"/>
            <w:tcBorders>
              <w:top w:val="nil"/>
              <w:left w:val="nil"/>
              <w:bottom w:val="nil"/>
              <w:right w:val="nil"/>
            </w:tcBorders>
            <w:shd w:val="clear" w:color="auto" w:fill="auto"/>
            <w:noWrap/>
            <w:vAlign w:val="center"/>
            <w:hideMark/>
          </w:tcPr>
          <w:p w14:paraId="069B9FB3"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WHEAt</w:t>
            </w:r>
          </w:p>
        </w:tc>
        <w:tc>
          <w:tcPr>
            <w:tcW w:w="892" w:type="dxa"/>
            <w:tcBorders>
              <w:top w:val="nil"/>
              <w:left w:val="single" w:sz="4" w:space="0" w:color="auto"/>
              <w:bottom w:val="single" w:sz="4" w:space="0" w:color="auto"/>
              <w:right w:val="single" w:sz="4" w:space="0" w:color="auto"/>
            </w:tcBorders>
          </w:tcPr>
          <w:p w14:paraId="1B4A5771"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€/MWh</w:t>
            </w:r>
          </w:p>
        </w:tc>
        <w:tc>
          <w:tcPr>
            <w:tcW w:w="877" w:type="dxa"/>
            <w:tcBorders>
              <w:top w:val="nil"/>
              <w:left w:val="single" w:sz="4" w:space="0" w:color="auto"/>
              <w:bottom w:val="single" w:sz="4" w:space="0" w:color="auto"/>
              <w:right w:val="single" w:sz="4" w:space="0" w:color="auto"/>
            </w:tcBorders>
            <w:shd w:val="clear" w:color="auto" w:fill="auto"/>
            <w:noWrap/>
            <w:vAlign w:val="center"/>
          </w:tcPr>
          <w:p w14:paraId="0E09537C"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42.89</w:t>
            </w:r>
          </w:p>
        </w:tc>
        <w:tc>
          <w:tcPr>
            <w:tcW w:w="932" w:type="dxa"/>
            <w:tcBorders>
              <w:top w:val="nil"/>
              <w:left w:val="nil"/>
              <w:bottom w:val="single" w:sz="4" w:space="0" w:color="auto"/>
              <w:right w:val="single" w:sz="4" w:space="0" w:color="auto"/>
            </w:tcBorders>
            <w:shd w:val="clear" w:color="auto" w:fill="auto"/>
            <w:noWrap/>
            <w:vAlign w:val="center"/>
          </w:tcPr>
          <w:p w14:paraId="16D46FD3"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42.57</w:t>
            </w:r>
          </w:p>
        </w:tc>
        <w:tc>
          <w:tcPr>
            <w:tcW w:w="1049" w:type="dxa"/>
            <w:tcBorders>
              <w:top w:val="nil"/>
              <w:left w:val="nil"/>
              <w:bottom w:val="single" w:sz="4" w:space="0" w:color="auto"/>
              <w:right w:val="single" w:sz="4" w:space="0" w:color="auto"/>
            </w:tcBorders>
            <w:shd w:val="clear" w:color="auto" w:fill="auto"/>
            <w:noWrap/>
            <w:vAlign w:val="center"/>
          </w:tcPr>
          <w:p w14:paraId="6ED2B8D5"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173D19E6" w14:textId="77777777" w:rsidTr="00156708">
        <w:trPr>
          <w:trHeight w:val="236"/>
        </w:trPr>
        <w:tc>
          <w:tcPr>
            <w:tcW w:w="5445" w:type="dxa"/>
            <w:tcBorders>
              <w:top w:val="nil"/>
              <w:left w:val="nil"/>
              <w:bottom w:val="nil"/>
              <w:right w:val="nil"/>
            </w:tcBorders>
            <w:shd w:val="clear" w:color="auto" w:fill="auto"/>
            <w:noWrap/>
            <w:vAlign w:val="center"/>
            <w:hideMark/>
          </w:tcPr>
          <w:p w14:paraId="00175A1C"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Actual cost of losses</w:t>
            </w:r>
          </w:p>
        </w:tc>
        <w:tc>
          <w:tcPr>
            <w:tcW w:w="892" w:type="dxa"/>
            <w:tcBorders>
              <w:top w:val="nil"/>
              <w:left w:val="single" w:sz="4" w:space="0" w:color="auto"/>
              <w:bottom w:val="single" w:sz="4" w:space="0" w:color="auto"/>
              <w:right w:val="single" w:sz="4" w:space="0" w:color="auto"/>
            </w:tcBorders>
          </w:tcPr>
          <w:p w14:paraId="1AE88272" w14:textId="77777777" w:rsidR="00794507" w:rsidRPr="00156708" w:rsidRDefault="00794507" w:rsidP="00E71E71">
            <w:pPr>
              <w:spacing w:after="0" w:line="240" w:lineRule="auto"/>
              <w:jc w:val="center"/>
              <w:rPr>
                <w:rFonts w:asciiTheme="minorHAnsi" w:eastAsia="Times New Roman" w:hAnsiTheme="minorHAnsi" w:cstheme="minorHAnsi"/>
                <w:b/>
                <w:bCs/>
                <w:color w:val="000000"/>
                <w:sz w:val="20"/>
                <w:szCs w:val="20"/>
                <w:lang w:val="en-GB"/>
              </w:rPr>
            </w:pPr>
            <w:r w:rsidRPr="00156708">
              <w:rPr>
                <w:rFonts w:cstheme="minorHAnsi"/>
                <w:lang w:val="en-GB"/>
              </w:rPr>
              <w:t>€m</w:t>
            </w:r>
          </w:p>
        </w:tc>
        <w:tc>
          <w:tcPr>
            <w:tcW w:w="877" w:type="dxa"/>
            <w:tcBorders>
              <w:top w:val="nil"/>
              <w:left w:val="single" w:sz="4" w:space="0" w:color="auto"/>
              <w:bottom w:val="single" w:sz="4" w:space="0" w:color="auto"/>
              <w:right w:val="single" w:sz="4" w:space="0" w:color="auto"/>
            </w:tcBorders>
            <w:shd w:val="clear" w:color="auto" w:fill="auto"/>
            <w:vAlign w:val="center"/>
          </w:tcPr>
          <w:p w14:paraId="64E11193"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42.91</w:t>
            </w:r>
          </w:p>
        </w:tc>
        <w:tc>
          <w:tcPr>
            <w:tcW w:w="932" w:type="dxa"/>
            <w:tcBorders>
              <w:top w:val="nil"/>
              <w:left w:val="nil"/>
              <w:bottom w:val="single" w:sz="4" w:space="0" w:color="auto"/>
              <w:right w:val="single" w:sz="4" w:space="0" w:color="auto"/>
            </w:tcBorders>
            <w:shd w:val="clear" w:color="auto" w:fill="auto"/>
            <w:vAlign w:val="center"/>
          </w:tcPr>
          <w:p w14:paraId="296C2ACA"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r w:rsidRPr="00156708">
              <w:rPr>
                <w:rFonts w:asciiTheme="minorHAnsi" w:eastAsia="Times New Roman" w:hAnsiTheme="minorHAnsi" w:cstheme="minorHAnsi"/>
                <w:b/>
                <w:bCs/>
                <w:color w:val="000000"/>
                <w:sz w:val="20"/>
                <w:szCs w:val="20"/>
                <w:lang w:val="en-GB"/>
              </w:rPr>
              <w:t>41.58</w:t>
            </w:r>
          </w:p>
        </w:tc>
        <w:tc>
          <w:tcPr>
            <w:tcW w:w="1049" w:type="dxa"/>
            <w:tcBorders>
              <w:top w:val="nil"/>
              <w:left w:val="nil"/>
              <w:bottom w:val="single" w:sz="4" w:space="0" w:color="auto"/>
              <w:right w:val="single" w:sz="4" w:space="0" w:color="auto"/>
            </w:tcBorders>
            <w:shd w:val="clear" w:color="auto" w:fill="auto"/>
            <w:vAlign w:val="center"/>
          </w:tcPr>
          <w:p w14:paraId="35B260EC" w14:textId="77777777" w:rsidR="00794507" w:rsidRPr="00156708" w:rsidRDefault="00794507" w:rsidP="00156708">
            <w:pPr>
              <w:spacing w:after="0" w:line="240" w:lineRule="auto"/>
              <w:jc w:val="right"/>
              <w:rPr>
                <w:rFonts w:asciiTheme="minorHAnsi" w:eastAsia="Times New Roman" w:hAnsiTheme="minorHAnsi" w:cstheme="minorHAnsi"/>
                <w:b/>
                <w:bCs/>
                <w:color w:val="000000"/>
                <w:sz w:val="20"/>
                <w:szCs w:val="20"/>
                <w:lang w:val="en-GB"/>
              </w:rPr>
            </w:pPr>
          </w:p>
        </w:tc>
      </w:tr>
      <w:tr w:rsidR="00794507" w:rsidRPr="00156708" w14:paraId="4D1A746E" w14:textId="77777777" w:rsidTr="00156708">
        <w:trPr>
          <w:trHeight w:val="236"/>
        </w:trPr>
        <w:tc>
          <w:tcPr>
            <w:tcW w:w="5445" w:type="dxa"/>
            <w:tcBorders>
              <w:top w:val="nil"/>
              <w:left w:val="nil"/>
              <w:bottom w:val="nil"/>
              <w:right w:val="nil"/>
            </w:tcBorders>
            <w:shd w:val="clear" w:color="auto" w:fill="B8CCE4" w:themeFill="accent1" w:themeFillTint="66"/>
            <w:noWrap/>
            <w:vAlign w:val="center"/>
            <w:hideMark/>
          </w:tcPr>
          <w:p w14:paraId="1E175011"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Adjustments</w:t>
            </w:r>
          </w:p>
        </w:tc>
        <w:tc>
          <w:tcPr>
            <w:tcW w:w="892" w:type="dxa"/>
            <w:tcBorders>
              <w:top w:val="nil"/>
              <w:left w:val="nil"/>
              <w:bottom w:val="nil"/>
              <w:right w:val="nil"/>
            </w:tcBorders>
            <w:shd w:val="clear" w:color="auto" w:fill="B8CCE4" w:themeFill="accent1" w:themeFillTint="66"/>
          </w:tcPr>
          <w:p w14:paraId="7F6768E6"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nil"/>
              <w:right w:val="nil"/>
            </w:tcBorders>
            <w:shd w:val="clear" w:color="auto" w:fill="B8CCE4" w:themeFill="accent1" w:themeFillTint="66"/>
            <w:noWrap/>
            <w:vAlign w:val="center"/>
          </w:tcPr>
          <w:p w14:paraId="3D303FC2"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nil"/>
              <w:right w:val="nil"/>
            </w:tcBorders>
            <w:shd w:val="clear" w:color="auto" w:fill="B8CCE4" w:themeFill="accent1" w:themeFillTint="66"/>
            <w:noWrap/>
            <w:vAlign w:val="center"/>
          </w:tcPr>
          <w:p w14:paraId="7F0AC738"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nil"/>
              <w:right w:val="nil"/>
            </w:tcBorders>
            <w:shd w:val="clear" w:color="auto" w:fill="B8CCE4" w:themeFill="accent1" w:themeFillTint="66"/>
            <w:noWrap/>
            <w:vAlign w:val="center"/>
          </w:tcPr>
          <w:p w14:paraId="5B89B610"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03E50C83" w14:textId="77777777" w:rsidTr="00156708">
        <w:trPr>
          <w:trHeight w:val="236"/>
        </w:trPr>
        <w:tc>
          <w:tcPr>
            <w:tcW w:w="5445" w:type="dxa"/>
            <w:tcBorders>
              <w:top w:val="nil"/>
              <w:left w:val="nil"/>
              <w:bottom w:val="nil"/>
              <w:right w:val="nil"/>
            </w:tcBorders>
            <w:shd w:val="clear" w:color="auto" w:fill="auto"/>
            <w:noWrap/>
            <w:vAlign w:val="center"/>
            <w:hideMark/>
          </w:tcPr>
          <w:p w14:paraId="0AF17A07"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Unregulated revenues PRR2</w:t>
            </w:r>
          </w:p>
        </w:tc>
        <w:tc>
          <w:tcPr>
            <w:tcW w:w="892" w:type="dxa"/>
            <w:tcBorders>
              <w:top w:val="single" w:sz="4" w:space="0" w:color="auto"/>
              <w:left w:val="single" w:sz="4" w:space="0" w:color="auto"/>
              <w:bottom w:val="single" w:sz="4" w:space="0" w:color="auto"/>
              <w:right w:val="single" w:sz="4" w:space="0" w:color="auto"/>
            </w:tcBorders>
          </w:tcPr>
          <w:p w14:paraId="6CE31EC1"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601FC580"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(3.50)</w:t>
            </w:r>
          </w:p>
        </w:tc>
        <w:tc>
          <w:tcPr>
            <w:tcW w:w="932" w:type="dxa"/>
            <w:tcBorders>
              <w:top w:val="single" w:sz="4" w:space="0" w:color="auto"/>
              <w:left w:val="nil"/>
              <w:bottom w:val="single" w:sz="4" w:space="0" w:color="auto"/>
              <w:right w:val="single" w:sz="4" w:space="0" w:color="auto"/>
            </w:tcBorders>
            <w:shd w:val="clear" w:color="auto" w:fill="auto"/>
            <w:vAlign w:val="center"/>
          </w:tcPr>
          <w:p w14:paraId="3DE8B536"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(3.50)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237CC02C"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(3.50)</w:t>
            </w:r>
          </w:p>
        </w:tc>
      </w:tr>
      <w:tr w:rsidR="00794507" w:rsidRPr="00156708" w14:paraId="5DF19FEC" w14:textId="77777777" w:rsidTr="00156708">
        <w:trPr>
          <w:trHeight w:val="236"/>
        </w:trPr>
        <w:tc>
          <w:tcPr>
            <w:tcW w:w="5445" w:type="dxa"/>
            <w:tcBorders>
              <w:top w:val="nil"/>
              <w:left w:val="nil"/>
              <w:bottom w:val="nil"/>
              <w:right w:val="nil"/>
            </w:tcBorders>
            <w:shd w:val="clear" w:color="auto" w:fill="auto"/>
            <w:noWrap/>
            <w:vAlign w:val="center"/>
            <w:hideMark/>
          </w:tcPr>
          <w:p w14:paraId="051DBDBB"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Adjustments for PRR1</w:t>
            </w:r>
          </w:p>
        </w:tc>
        <w:tc>
          <w:tcPr>
            <w:tcW w:w="892" w:type="dxa"/>
            <w:tcBorders>
              <w:top w:val="single" w:sz="4" w:space="0" w:color="auto"/>
              <w:left w:val="single" w:sz="4" w:space="0" w:color="auto"/>
              <w:bottom w:val="single" w:sz="4" w:space="0" w:color="auto"/>
              <w:right w:val="single" w:sz="4" w:space="0" w:color="auto"/>
            </w:tcBorders>
          </w:tcPr>
          <w:p w14:paraId="610474FD"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30907BF"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(1.50)</w:t>
            </w:r>
          </w:p>
        </w:tc>
        <w:tc>
          <w:tcPr>
            <w:tcW w:w="932" w:type="dxa"/>
            <w:tcBorders>
              <w:top w:val="single" w:sz="4" w:space="0" w:color="auto"/>
              <w:left w:val="nil"/>
              <w:bottom w:val="single" w:sz="4" w:space="0" w:color="auto"/>
              <w:right w:val="single" w:sz="4" w:space="0" w:color="auto"/>
            </w:tcBorders>
            <w:shd w:val="clear" w:color="auto" w:fill="auto"/>
            <w:vAlign w:val="center"/>
          </w:tcPr>
          <w:p w14:paraId="0C7AEB34"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629DE1F0"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(1.50)</w:t>
            </w:r>
          </w:p>
        </w:tc>
      </w:tr>
      <w:tr w:rsidR="00794507" w:rsidRPr="00156708" w14:paraId="058F74A1"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1991194C"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 xml:space="preserve">Adjustment for the price of losses </w:t>
            </w:r>
          </w:p>
        </w:tc>
        <w:tc>
          <w:tcPr>
            <w:tcW w:w="892" w:type="dxa"/>
            <w:tcBorders>
              <w:top w:val="single" w:sz="4" w:space="0" w:color="auto"/>
              <w:left w:val="single" w:sz="4" w:space="0" w:color="auto"/>
              <w:bottom w:val="single" w:sz="4" w:space="0" w:color="auto"/>
              <w:right w:val="single" w:sz="4" w:space="0" w:color="auto"/>
            </w:tcBorders>
          </w:tcPr>
          <w:p w14:paraId="6E84360C"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nil"/>
            </w:tcBorders>
            <w:shd w:val="clear" w:color="auto" w:fill="auto"/>
            <w:noWrap/>
            <w:vAlign w:val="center"/>
          </w:tcPr>
          <w:p w14:paraId="611A6876"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( 2.48)</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4D266BAE"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1049" w:type="dxa"/>
            <w:tcBorders>
              <w:top w:val="nil"/>
              <w:left w:val="nil"/>
              <w:bottom w:val="single" w:sz="4" w:space="0" w:color="auto"/>
              <w:right w:val="single" w:sz="4" w:space="0" w:color="auto"/>
            </w:tcBorders>
            <w:shd w:val="clear" w:color="auto" w:fill="auto"/>
            <w:noWrap/>
            <w:vAlign w:val="center"/>
          </w:tcPr>
          <w:p w14:paraId="55FDD2DE"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0718B5AE"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6B7A0021" w14:textId="77777777" w:rsidR="00794507" w:rsidRPr="00156708" w:rsidRDefault="00794507" w:rsidP="00E71E71">
            <w:pPr>
              <w:spacing w:after="0" w:line="240" w:lineRule="auto"/>
              <w:ind w:firstLineChars="100" w:firstLine="200"/>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 xml:space="preserve">Correction of imbalances </w:t>
            </w:r>
          </w:p>
        </w:tc>
        <w:tc>
          <w:tcPr>
            <w:tcW w:w="892" w:type="dxa"/>
            <w:tcBorders>
              <w:top w:val="single" w:sz="4" w:space="0" w:color="auto"/>
              <w:left w:val="single" w:sz="4" w:space="0" w:color="auto"/>
              <w:bottom w:val="single" w:sz="4" w:space="0" w:color="auto"/>
              <w:right w:val="single" w:sz="4" w:space="0" w:color="auto"/>
            </w:tcBorders>
          </w:tcPr>
          <w:p w14:paraId="4263E24E"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nil"/>
            </w:tcBorders>
            <w:shd w:val="clear" w:color="auto" w:fill="auto"/>
            <w:noWrap/>
            <w:vAlign w:val="center"/>
          </w:tcPr>
          <w:p w14:paraId="0CEDAEF8"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1.74</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155E1166"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w:t>
            </w:r>
          </w:p>
        </w:tc>
        <w:tc>
          <w:tcPr>
            <w:tcW w:w="1049" w:type="dxa"/>
            <w:tcBorders>
              <w:top w:val="nil"/>
              <w:left w:val="nil"/>
              <w:bottom w:val="single" w:sz="4" w:space="0" w:color="auto"/>
              <w:right w:val="single" w:sz="4" w:space="0" w:color="auto"/>
            </w:tcBorders>
            <w:shd w:val="clear" w:color="auto" w:fill="auto"/>
            <w:noWrap/>
            <w:vAlign w:val="center"/>
          </w:tcPr>
          <w:p w14:paraId="54CE3D76"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77F43B1B" w14:textId="77777777" w:rsidTr="00156708">
        <w:trPr>
          <w:trHeight w:val="236"/>
        </w:trPr>
        <w:tc>
          <w:tcPr>
            <w:tcW w:w="5445" w:type="dxa"/>
            <w:tcBorders>
              <w:top w:val="nil"/>
              <w:left w:val="nil"/>
              <w:bottom w:val="nil"/>
              <w:right w:val="nil"/>
            </w:tcBorders>
            <w:shd w:val="clear" w:color="auto" w:fill="auto"/>
            <w:noWrap/>
            <w:vAlign w:val="center"/>
            <w:hideMark/>
          </w:tcPr>
          <w:p w14:paraId="59FE9792"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Actual non-regulated revenues</w:t>
            </w:r>
          </w:p>
        </w:tc>
        <w:tc>
          <w:tcPr>
            <w:tcW w:w="892" w:type="dxa"/>
            <w:tcBorders>
              <w:top w:val="single" w:sz="4" w:space="0" w:color="auto"/>
              <w:left w:val="single" w:sz="4" w:space="0" w:color="auto"/>
              <w:bottom w:val="single" w:sz="4" w:space="0" w:color="auto"/>
              <w:right w:val="single" w:sz="4" w:space="0" w:color="auto"/>
            </w:tcBorders>
          </w:tcPr>
          <w:p w14:paraId="1709A132"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9B6E1"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(6.84)</w:t>
            </w:r>
          </w:p>
        </w:tc>
        <w:tc>
          <w:tcPr>
            <w:tcW w:w="932" w:type="dxa"/>
            <w:tcBorders>
              <w:top w:val="nil"/>
              <w:left w:val="nil"/>
              <w:bottom w:val="single" w:sz="4" w:space="0" w:color="auto"/>
              <w:right w:val="single" w:sz="4" w:space="0" w:color="auto"/>
            </w:tcBorders>
            <w:shd w:val="clear" w:color="auto" w:fill="auto"/>
            <w:noWrap/>
            <w:vAlign w:val="center"/>
          </w:tcPr>
          <w:p w14:paraId="4369CD06"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(6.61)</w:t>
            </w:r>
          </w:p>
        </w:tc>
        <w:tc>
          <w:tcPr>
            <w:tcW w:w="1049" w:type="dxa"/>
            <w:tcBorders>
              <w:top w:val="nil"/>
              <w:left w:val="nil"/>
              <w:bottom w:val="single" w:sz="4" w:space="0" w:color="auto"/>
              <w:right w:val="single" w:sz="4" w:space="0" w:color="auto"/>
            </w:tcBorders>
            <w:shd w:val="clear" w:color="auto" w:fill="auto"/>
            <w:noWrap/>
            <w:vAlign w:val="center"/>
          </w:tcPr>
          <w:p w14:paraId="4CEB3F9D"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54EE4862" w14:textId="77777777" w:rsidTr="00156708">
        <w:trPr>
          <w:trHeight w:val="236"/>
        </w:trPr>
        <w:tc>
          <w:tcPr>
            <w:tcW w:w="5445" w:type="dxa"/>
            <w:tcBorders>
              <w:top w:val="nil"/>
              <w:left w:val="nil"/>
              <w:bottom w:val="nil"/>
              <w:right w:val="nil"/>
            </w:tcBorders>
            <w:shd w:val="clear" w:color="auto" w:fill="auto"/>
            <w:noWrap/>
            <w:vAlign w:val="center"/>
            <w:hideMark/>
          </w:tcPr>
          <w:p w14:paraId="6F8C692D"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Licensing tax:</w:t>
            </w:r>
          </w:p>
        </w:tc>
        <w:tc>
          <w:tcPr>
            <w:tcW w:w="892" w:type="dxa"/>
            <w:tcBorders>
              <w:top w:val="nil"/>
              <w:left w:val="nil"/>
              <w:bottom w:val="nil"/>
              <w:right w:val="nil"/>
            </w:tcBorders>
          </w:tcPr>
          <w:p w14:paraId="78ABD29D"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p>
        </w:tc>
        <w:tc>
          <w:tcPr>
            <w:tcW w:w="877" w:type="dxa"/>
            <w:tcBorders>
              <w:top w:val="nil"/>
              <w:left w:val="nil"/>
              <w:bottom w:val="nil"/>
              <w:right w:val="nil"/>
            </w:tcBorders>
            <w:shd w:val="clear" w:color="auto" w:fill="auto"/>
            <w:noWrap/>
            <w:vAlign w:val="center"/>
          </w:tcPr>
          <w:p w14:paraId="72BBC732"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28D5B43D"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c>
          <w:tcPr>
            <w:tcW w:w="1049" w:type="dxa"/>
            <w:tcBorders>
              <w:top w:val="nil"/>
              <w:left w:val="nil"/>
              <w:bottom w:val="single" w:sz="4" w:space="0" w:color="auto"/>
              <w:right w:val="single" w:sz="4" w:space="0" w:color="auto"/>
            </w:tcBorders>
            <w:shd w:val="clear" w:color="auto" w:fill="auto"/>
            <w:noWrap/>
            <w:vAlign w:val="center"/>
          </w:tcPr>
          <w:p w14:paraId="2970515E"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56CE427A" w14:textId="77777777" w:rsidTr="00156708">
        <w:trPr>
          <w:trHeight w:val="236"/>
        </w:trPr>
        <w:tc>
          <w:tcPr>
            <w:tcW w:w="5445" w:type="dxa"/>
            <w:tcBorders>
              <w:top w:val="nil"/>
              <w:left w:val="nil"/>
              <w:bottom w:val="nil"/>
              <w:right w:val="nil"/>
            </w:tcBorders>
            <w:shd w:val="clear" w:color="auto" w:fill="auto"/>
            <w:noWrap/>
            <w:vAlign w:val="center"/>
            <w:hideMark/>
          </w:tcPr>
          <w:p w14:paraId="545BAB25" w14:textId="77777777" w:rsidR="00794507" w:rsidRPr="00156708" w:rsidRDefault="00794507" w:rsidP="00E71E71">
            <w:pPr>
              <w:spacing w:after="0" w:line="240" w:lineRule="auto"/>
              <w:ind w:firstLineChars="100" w:firstLine="200"/>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Forecast</w:t>
            </w:r>
          </w:p>
        </w:tc>
        <w:tc>
          <w:tcPr>
            <w:tcW w:w="892" w:type="dxa"/>
            <w:tcBorders>
              <w:top w:val="nil"/>
              <w:left w:val="nil"/>
              <w:bottom w:val="nil"/>
              <w:right w:val="nil"/>
            </w:tcBorders>
          </w:tcPr>
          <w:p w14:paraId="5BC19896"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nil"/>
              <w:left w:val="nil"/>
              <w:bottom w:val="nil"/>
              <w:right w:val="nil"/>
            </w:tcBorders>
            <w:shd w:val="clear" w:color="auto" w:fill="auto"/>
            <w:noWrap/>
            <w:vAlign w:val="center"/>
          </w:tcPr>
          <w:p w14:paraId="2D078CC8"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p>
        </w:tc>
        <w:tc>
          <w:tcPr>
            <w:tcW w:w="932" w:type="dxa"/>
            <w:tcBorders>
              <w:top w:val="nil"/>
              <w:left w:val="single" w:sz="4" w:space="0" w:color="auto"/>
              <w:bottom w:val="single" w:sz="4" w:space="0" w:color="auto"/>
              <w:right w:val="single" w:sz="4" w:space="0" w:color="auto"/>
            </w:tcBorders>
            <w:shd w:val="clear" w:color="auto" w:fill="auto"/>
            <w:vAlign w:val="center"/>
          </w:tcPr>
          <w:p w14:paraId="15B0A9C7"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0.15</w:t>
            </w:r>
          </w:p>
        </w:tc>
        <w:tc>
          <w:tcPr>
            <w:tcW w:w="1049" w:type="dxa"/>
            <w:tcBorders>
              <w:top w:val="nil"/>
              <w:left w:val="nil"/>
              <w:bottom w:val="single" w:sz="4" w:space="0" w:color="auto"/>
              <w:right w:val="single" w:sz="4" w:space="0" w:color="auto"/>
            </w:tcBorders>
            <w:shd w:val="clear" w:color="auto" w:fill="auto"/>
            <w:vAlign w:val="center"/>
          </w:tcPr>
          <w:p w14:paraId="356DF7F5"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0.08</w:t>
            </w:r>
          </w:p>
        </w:tc>
      </w:tr>
      <w:tr w:rsidR="00794507" w:rsidRPr="00156708" w14:paraId="31AE1D09" w14:textId="77777777" w:rsidTr="00156708">
        <w:trPr>
          <w:trHeight w:val="236"/>
        </w:trPr>
        <w:tc>
          <w:tcPr>
            <w:tcW w:w="5445" w:type="dxa"/>
            <w:tcBorders>
              <w:top w:val="nil"/>
              <w:left w:val="nil"/>
              <w:bottom w:val="nil"/>
              <w:right w:val="nil"/>
            </w:tcBorders>
            <w:shd w:val="clear" w:color="auto" w:fill="auto"/>
            <w:noWrap/>
            <w:vAlign w:val="center"/>
            <w:hideMark/>
          </w:tcPr>
          <w:p w14:paraId="41D91F4E" w14:textId="793FC507" w:rsidR="00794507" w:rsidRPr="00156708" w:rsidRDefault="00156708" w:rsidP="00E71E71">
            <w:pPr>
              <w:spacing w:after="0" w:line="240" w:lineRule="auto"/>
              <w:ind w:firstLineChars="100" w:firstLine="200"/>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Actual</w:t>
            </w:r>
          </w:p>
        </w:tc>
        <w:tc>
          <w:tcPr>
            <w:tcW w:w="892" w:type="dxa"/>
            <w:tcBorders>
              <w:top w:val="single" w:sz="4" w:space="0" w:color="auto"/>
              <w:left w:val="single" w:sz="4" w:space="0" w:color="auto"/>
              <w:bottom w:val="single" w:sz="4" w:space="0" w:color="auto"/>
              <w:right w:val="single" w:sz="4" w:space="0" w:color="auto"/>
            </w:tcBorders>
          </w:tcPr>
          <w:p w14:paraId="4192DD23"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4D79"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0.07</w:t>
            </w:r>
          </w:p>
        </w:tc>
        <w:tc>
          <w:tcPr>
            <w:tcW w:w="932" w:type="dxa"/>
            <w:tcBorders>
              <w:top w:val="nil"/>
              <w:left w:val="nil"/>
              <w:bottom w:val="single" w:sz="4" w:space="0" w:color="auto"/>
              <w:right w:val="single" w:sz="4" w:space="0" w:color="auto"/>
            </w:tcBorders>
            <w:shd w:val="clear" w:color="auto" w:fill="auto"/>
            <w:noWrap/>
            <w:vAlign w:val="center"/>
          </w:tcPr>
          <w:p w14:paraId="69BAF8EA"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0.06</w:t>
            </w:r>
          </w:p>
        </w:tc>
        <w:tc>
          <w:tcPr>
            <w:tcW w:w="1049" w:type="dxa"/>
            <w:tcBorders>
              <w:top w:val="nil"/>
              <w:left w:val="nil"/>
              <w:bottom w:val="single" w:sz="4" w:space="0" w:color="auto"/>
              <w:right w:val="single" w:sz="4" w:space="0" w:color="auto"/>
            </w:tcBorders>
            <w:shd w:val="clear" w:color="auto" w:fill="auto"/>
            <w:noWrap/>
            <w:vAlign w:val="center"/>
          </w:tcPr>
          <w:p w14:paraId="44EC20AB"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3CA4D802" w14:textId="77777777" w:rsidTr="00156708">
        <w:trPr>
          <w:trHeight w:val="236"/>
        </w:trPr>
        <w:tc>
          <w:tcPr>
            <w:tcW w:w="5445" w:type="dxa"/>
            <w:tcBorders>
              <w:top w:val="nil"/>
              <w:left w:val="nil"/>
              <w:bottom w:val="nil"/>
              <w:right w:val="nil"/>
            </w:tcBorders>
            <w:shd w:val="clear" w:color="auto" w:fill="B8CCE4" w:themeFill="accent1" w:themeFillTint="66"/>
            <w:noWrap/>
            <w:vAlign w:val="center"/>
            <w:hideMark/>
          </w:tcPr>
          <w:p w14:paraId="7F9C9EBC"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KREV – Revenue Correction Factor</w:t>
            </w:r>
          </w:p>
        </w:tc>
        <w:tc>
          <w:tcPr>
            <w:tcW w:w="892" w:type="dxa"/>
            <w:tcBorders>
              <w:top w:val="nil"/>
              <w:left w:val="nil"/>
              <w:bottom w:val="single" w:sz="4" w:space="0" w:color="auto"/>
              <w:right w:val="nil"/>
            </w:tcBorders>
            <w:shd w:val="clear" w:color="auto" w:fill="B8CCE4" w:themeFill="accent1" w:themeFillTint="66"/>
          </w:tcPr>
          <w:p w14:paraId="3682828A"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nil"/>
              <w:left w:val="nil"/>
              <w:bottom w:val="single" w:sz="4" w:space="0" w:color="auto"/>
              <w:right w:val="nil"/>
            </w:tcBorders>
            <w:shd w:val="clear" w:color="auto" w:fill="B8CCE4" w:themeFill="accent1" w:themeFillTint="66"/>
            <w:noWrap/>
            <w:vAlign w:val="center"/>
          </w:tcPr>
          <w:p w14:paraId="47D6C5DE"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nil"/>
              <w:left w:val="nil"/>
              <w:bottom w:val="single" w:sz="4" w:space="0" w:color="auto"/>
              <w:right w:val="nil"/>
            </w:tcBorders>
            <w:shd w:val="clear" w:color="auto" w:fill="B8CCE4" w:themeFill="accent1" w:themeFillTint="66"/>
            <w:noWrap/>
            <w:vAlign w:val="center"/>
          </w:tcPr>
          <w:p w14:paraId="1571B868"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nil"/>
              <w:left w:val="nil"/>
              <w:bottom w:val="single" w:sz="4" w:space="0" w:color="auto"/>
              <w:right w:val="nil"/>
            </w:tcBorders>
            <w:shd w:val="clear" w:color="auto" w:fill="B8CCE4" w:themeFill="accent1" w:themeFillTint="66"/>
            <w:noWrap/>
            <w:vAlign w:val="center"/>
          </w:tcPr>
          <w:p w14:paraId="46BC30B1"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4F3F6BFB"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1AFF992C"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Revenue Correction Factor t-1</w:t>
            </w:r>
          </w:p>
        </w:tc>
        <w:tc>
          <w:tcPr>
            <w:tcW w:w="892" w:type="dxa"/>
            <w:tcBorders>
              <w:top w:val="single" w:sz="4" w:space="0" w:color="auto"/>
              <w:left w:val="single" w:sz="4" w:space="0" w:color="auto"/>
              <w:bottom w:val="single" w:sz="4" w:space="0" w:color="auto"/>
              <w:right w:val="single" w:sz="4" w:space="0" w:color="auto"/>
            </w:tcBorders>
          </w:tcPr>
          <w:p w14:paraId="5AA3FBA8"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A5198"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9.58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0DD6"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(4.14)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48782"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(14.49)</w:t>
            </w:r>
          </w:p>
        </w:tc>
      </w:tr>
      <w:tr w:rsidR="00794507" w:rsidRPr="00156708" w14:paraId="4DCF5235"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4F1E4949" w14:textId="77777777"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 xml:space="preserve">AACt-1 – actual costs for year t-1 </w:t>
            </w:r>
          </w:p>
        </w:tc>
        <w:tc>
          <w:tcPr>
            <w:tcW w:w="892" w:type="dxa"/>
            <w:tcBorders>
              <w:top w:val="single" w:sz="4" w:space="0" w:color="auto"/>
              <w:left w:val="single" w:sz="4" w:space="0" w:color="auto"/>
              <w:bottom w:val="single" w:sz="4" w:space="0" w:color="auto"/>
              <w:right w:val="single" w:sz="4" w:space="0" w:color="auto"/>
            </w:tcBorders>
          </w:tcPr>
          <w:p w14:paraId="57EE4BD6" w14:textId="77777777" w:rsidR="00794507" w:rsidRPr="00156708" w:rsidRDefault="00794507" w:rsidP="00E71E71">
            <w:pPr>
              <w:spacing w:after="0" w:line="240" w:lineRule="auto"/>
              <w:jc w:val="center"/>
              <w:rPr>
                <w:rFonts w:asciiTheme="minorHAnsi" w:eastAsia="Times New Roman" w:hAnsiTheme="minorHAnsi" w:cstheme="minorHAnsi"/>
                <w:color w:val="000000"/>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0342B" w14:textId="77777777" w:rsidR="00794507" w:rsidRPr="00156708" w:rsidRDefault="00794507" w:rsidP="00156708">
            <w:pPr>
              <w:spacing w:after="0" w:line="240" w:lineRule="auto"/>
              <w:jc w:val="right"/>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99.47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E5740"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87.06</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5EF04"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69082E20" w14:textId="77777777" w:rsidTr="00156708">
        <w:trPr>
          <w:trHeight w:val="236"/>
        </w:trPr>
        <w:tc>
          <w:tcPr>
            <w:tcW w:w="5445" w:type="dxa"/>
            <w:tcBorders>
              <w:top w:val="nil"/>
              <w:left w:val="nil"/>
              <w:bottom w:val="nil"/>
              <w:right w:val="single" w:sz="4" w:space="0" w:color="auto"/>
            </w:tcBorders>
            <w:shd w:val="clear" w:color="auto" w:fill="auto"/>
            <w:noWrap/>
            <w:vAlign w:val="center"/>
            <w:hideMark/>
          </w:tcPr>
          <w:p w14:paraId="2591885B" w14:textId="1F890E2D" w:rsidR="00794507" w:rsidRPr="00156708" w:rsidRDefault="00794507" w:rsidP="00E71E71">
            <w:pPr>
              <w:spacing w:after="0" w:line="240" w:lineRule="auto"/>
              <w:rPr>
                <w:rFonts w:asciiTheme="minorHAnsi" w:eastAsia="Times New Roman" w:hAnsiTheme="minorHAnsi" w:cstheme="minorHAnsi"/>
                <w:color w:val="000000"/>
                <w:sz w:val="20"/>
                <w:szCs w:val="20"/>
                <w:lang w:val="en-GB"/>
              </w:rPr>
            </w:pPr>
            <w:r w:rsidRPr="00156708">
              <w:rPr>
                <w:rFonts w:asciiTheme="minorHAnsi" w:eastAsia="Times New Roman" w:hAnsiTheme="minorHAnsi" w:cstheme="minorHAnsi"/>
                <w:color w:val="000000"/>
                <w:sz w:val="20"/>
                <w:szCs w:val="20"/>
                <w:lang w:val="en-GB"/>
              </w:rPr>
              <w:t>ARRt-1 -  actual costs for year t-1</w:t>
            </w:r>
          </w:p>
        </w:tc>
        <w:tc>
          <w:tcPr>
            <w:tcW w:w="892" w:type="dxa"/>
            <w:tcBorders>
              <w:top w:val="single" w:sz="4" w:space="0" w:color="auto"/>
              <w:left w:val="single" w:sz="4" w:space="0" w:color="auto"/>
              <w:bottom w:val="single" w:sz="4" w:space="0" w:color="auto"/>
              <w:right w:val="single" w:sz="4" w:space="0" w:color="auto"/>
            </w:tcBorders>
          </w:tcPr>
          <w:p w14:paraId="5B28E160" w14:textId="77777777" w:rsidR="00794507" w:rsidRPr="00156708" w:rsidRDefault="00794507" w:rsidP="00E71E71">
            <w:pPr>
              <w:spacing w:after="0" w:line="240" w:lineRule="auto"/>
              <w:jc w:val="center"/>
              <w:rPr>
                <w:rFonts w:asciiTheme="minorHAnsi" w:eastAsia="Times New Roman" w:hAnsiTheme="minorHAnsi" w:cstheme="minorHAnsi"/>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B034E"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103.20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AA29A"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r w:rsidRPr="00156708">
              <w:rPr>
                <w:rFonts w:asciiTheme="minorHAnsi" w:eastAsia="Times New Roman" w:hAnsiTheme="minorHAnsi" w:cstheme="minorHAnsi"/>
                <w:sz w:val="20"/>
                <w:szCs w:val="20"/>
                <w:lang w:val="en-GB"/>
              </w:rPr>
              <w:t>100.55</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CAA8F" w14:textId="77777777" w:rsidR="00794507" w:rsidRPr="00156708" w:rsidRDefault="00794507" w:rsidP="00156708">
            <w:pPr>
              <w:spacing w:after="0" w:line="240" w:lineRule="auto"/>
              <w:jc w:val="right"/>
              <w:rPr>
                <w:rFonts w:asciiTheme="minorHAnsi" w:eastAsia="Times New Roman" w:hAnsiTheme="minorHAnsi" w:cstheme="minorHAnsi"/>
                <w:sz w:val="20"/>
                <w:szCs w:val="20"/>
                <w:lang w:val="en-GB"/>
              </w:rPr>
            </w:pPr>
          </w:p>
        </w:tc>
      </w:tr>
      <w:tr w:rsidR="00794507" w:rsidRPr="00156708" w14:paraId="38708808" w14:textId="77777777" w:rsidTr="0015670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79DE7D54"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KREVt = (AACat-1 – ARRt-1) * (1+ It)</w:t>
            </w:r>
          </w:p>
        </w:tc>
        <w:tc>
          <w:tcPr>
            <w:tcW w:w="8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7AFB72"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40D2F09"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(4.14)</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8D25851"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(14.49)</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892F290"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20467C91" w14:textId="77777777" w:rsidTr="00156708">
        <w:trPr>
          <w:trHeight w:val="91"/>
        </w:trPr>
        <w:tc>
          <w:tcPr>
            <w:tcW w:w="5445" w:type="dxa"/>
            <w:tcBorders>
              <w:top w:val="nil"/>
              <w:left w:val="nil"/>
              <w:bottom w:val="nil"/>
              <w:right w:val="nil"/>
            </w:tcBorders>
            <w:shd w:val="clear" w:color="auto" w:fill="FFFFFF" w:themeFill="background1"/>
            <w:noWrap/>
            <w:vAlign w:val="center"/>
            <w:hideMark/>
          </w:tcPr>
          <w:p w14:paraId="501F6F5A" w14:textId="77777777" w:rsidR="00794507" w:rsidRPr="00156708" w:rsidRDefault="00794507" w:rsidP="00E71E71">
            <w:pPr>
              <w:spacing w:after="0" w:line="240" w:lineRule="auto"/>
              <w:rPr>
                <w:rFonts w:asciiTheme="minorHAnsi" w:eastAsia="Times New Roman" w:hAnsiTheme="minorHAnsi" w:cstheme="minorHAnsi"/>
                <w:b/>
                <w:bCs/>
                <w:sz w:val="4"/>
                <w:szCs w:val="4"/>
                <w:lang w:val="en-GB"/>
              </w:rPr>
            </w:pPr>
          </w:p>
        </w:tc>
        <w:tc>
          <w:tcPr>
            <w:tcW w:w="892" w:type="dxa"/>
            <w:tcBorders>
              <w:top w:val="single" w:sz="4" w:space="0" w:color="auto"/>
              <w:left w:val="nil"/>
              <w:bottom w:val="single" w:sz="4" w:space="0" w:color="auto"/>
              <w:right w:val="nil"/>
            </w:tcBorders>
            <w:shd w:val="clear" w:color="auto" w:fill="FFFFFF" w:themeFill="background1"/>
          </w:tcPr>
          <w:p w14:paraId="60FF9E5E"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single" w:sz="4" w:space="0" w:color="auto"/>
              <w:left w:val="nil"/>
              <w:bottom w:val="single" w:sz="4" w:space="0" w:color="auto"/>
              <w:right w:val="nil"/>
            </w:tcBorders>
            <w:shd w:val="clear" w:color="auto" w:fill="FFFFFF" w:themeFill="background1"/>
            <w:noWrap/>
            <w:vAlign w:val="center"/>
          </w:tcPr>
          <w:p w14:paraId="496B71B6"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932" w:type="dxa"/>
            <w:tcBorders>
              <w:top w:val="single" w:sz="4" w:space="0" w:color="auto"/>
              <w:left w:val="nil"/>
              <w:bottom w:val="single" w:sz="4" w:space="0" w:color="auto"/>
              <w:right w:val="nil"/>
            </w:tcBorders>
            <w:shd w:val="clear" w:color="auto" w:fill="FFFFFF" w:themeFill="background1"/>
            <w:noWrap/>
            <w:vAlign w:val="center"/>
          </w:tcPr>
          <w:p w14:paraId="39F62CBB"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c>
          <w:tcPr>
            <w:tcW w:w="1049" w:type="dxa"/>
            <w:tcBorders>
              <w:top w:val="single" w:sz="4" w:space="0" w:color="auto"/>
              <w:left w:val="nil"/>
              <w:bottom w:val="single" w:sz="4" w:space="0" w:color="auto"/>
              <w:right w:val="nil"/>
            </w:tcBorders>
            <w:shd w:val="clear" w:color="auto" w:fill="FFFFFF" w:themeFill="background1"/>
            <w:noWrap/>
            <w:vAlign w:val="center"/>
          </w:tcPr>
          <w:p w14:paraId="341EE511"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p>
        </w:tc>
      </w:tr>
      <w:tr w:rsidR="00794507" w:rsidRPr="00156708" w14:paraId="09287B28" w14:textId="77777777" w:rsidTr="0015670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4B2593C7" w14:textId="77777777" w:rsidR="00794507" w:rsidRPr="00156708" w:rsidRDefault="00794507" w:rsidP="00E71E71">
            <w:pPr>
              <w:spacing w:after="0" w:line="240" w:lineRule="auto"/>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MAR – Maximum Allowed Revenues</w:t>
            </w:r>
          </w:p>
        </w:tc>
        <w:tc>
          <w:tcPr>
            <w:tcW w:w="8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A30F9B"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r w:rsidRPr="00156708">
              <w:rPr>
                <w:rFonts w:cstheme="minorHAnsi"/>
                <w:lang w:val="en-GB"/>
              </w:rPr>
              <w:t>€m</w:t>
            </w:r>
          </w:p>
        </w:tc>
        <w:tc>
          <w:tcPr>
            <w:tcW w:w="87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99AB71A"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101.50</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F6F3BC8"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95.40</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955519A" w14:textId="77777777" w:rsidR="00794507" w:rsidRPr="00156708" w:rsidRDefault="00794507" w:rsidP="00156708">
            <w:pPr>
              <w:spacing w:after="0" w:line="240" w:lineRule="auto"/>
              <w:jc w:val="right"/>
              <w:rPr>
                <w:rFonts w:asciiTheme="minorHAnsi" w:eastAsia="Times New Roman" w:hAnsiTheme="minorHAnsi" w:cstheme="minorHAnsi"/>
                <w:b/>
                <w:bCs/>
                <w:sz w:val="20"/>
                <w:szCs w:val="20"/>
                <w:lang w:val="en-GB"/>
              </w:rPr>
            </w:pPr>
            <w:r w:rsidRPr="00156708">
              <w:rPr>
                <w:rFonts w:asciiTheme="minorHAnsi" w:eastAsia="Times New Roman" w:hAnsiTheme="minorHAnsi" w:cstheme="minorHAnsi"/>
                <w:b/>
                <w:bCs/>
                <w:sz w:val="20"/>
                <w:szCs w:val="20"/>
                <w:lang w:val="en-GB"/>
              </w:rPr>
              <w:t>81.44</w:t>
            </w:r>
          </w:p>
        </w:tc>
      </w:tr>
      <w:tr w:rsidR="00794507" w:rsidRPr="00156708" w14:paraId="6744C8CD" w14:textId="77777777" w:rsidTr="00156708">
        <w:trPr>
          <w:trHeight w:val="58"/>
        </w:trPr>
        <w:tc>
          <w:tcPr>
            <w:tcW w:w="5445" w:type="dxa"/>
            <w:tcBorders>
              <w:top w:val="nil"/>
              <w:left w:val="nil"/>
              <w:bottom w:val="nil"/>
              <w:right w:val="nil"/>
            </w:tcBorders>
            <w:shd w:val="clear" w:color="auto" w:fill="FFFFFF" w:themeFill="background1"/>
            <w:noWrap/>
            <w:vAlign w:val="center"/>
            <w:hideMark/>
          </w:tcPr>
          <w:p w14:paraId="71096AD2" w14:textId="77777777" w:rsidR="00794507" w:rsidRPr="00156708" w:rsidRDefault="00794507" w:rsidP="00E71E71">
            <w:pPr>
              <w:spacing w:after="0" w:line="240" w:lineRule="auto"/>
              <w:rPr>
                <w:rFonts w:asciiTheme="minorHAnsi" w:eastAsia="Times New Roman" w:hAnsiTheme="minorHAnsi" w:cstheme="minorHAnsi"/>
                <w:b/>
                <w:bCs/>
                <w:sz w:val="4"/>
                <w:szCs w:val="4"/>
                <w:lang w:val="en-GB"/>
              </w:rPr>
            </w:pPr>
          </w:p>
        </w:tc>
        <w:tc>
          <w:tcPr>
            <w:tcW w:w="892" w:type="dxa"/>
            <w:tcBorders>
              <w:top w:val="single" w:sz="4" w:space="0" w:color="auto"/>
              <w:left w:val="nil"/>
              <w:bottom w:val="nil"/>
              <w:right w:val="nil"/>
            </w:tcBorders>
            <w:shd w:val="clear" w:color="auto" w:fill="FFFFFF" w:themeFill="background1"/>
          </w:tcPr>
          <w:p w14:paraId="1153EA76"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877" w:type="dxa"/>
            <w:tcBorders>
              <w:top w:val="single" w:sz="4" w:space="0" w:color="auto"/>
              <w:left w:val="nil"/>
              <w:bottom w:val="nil"/>
              <w:right w:val="nil"/>
            </w:tcBorders>
            <w:shd w:val="clear" w:color="auto" w:fill="FFFFFF" w:themeFill="background1"/>
            <w:noWrap/>
            <w:vAlign w:val="center"/>
            <w:hideMark/>
          </w:tcPr>
          <w:p w14:paraId="5B566132"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932" w:type="dxa"/>
            <w:tcBorders>
              <w:top w:val="single" w:sz="4" w:space="0" w:color="auto"/>
              <w:left w:val="nil"/>
              <w:bottom w:val="nil"/>
              <w:right w:val="nil"/>
            </w:tcBorders>
            <w:shd w:val="clear" w:color="auto" w:fill="FFFFFF" w:themeFill="background1"/>
            <w:noWrap/>
            <w:vAlign w:val="center"/>
            <w:hideMark/>
          </w:tcPr>
          <w:p w14:paraId="1BDB9B13"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c>
          <w:tcPr>
            <w:tcW w:w="1049" w:type="dxa"/>
            <w:tcBorders>
              <w:top w:val="single" w:sz="4" w:space="0" w:color="auto"/>
              <w:left w:val="nil"/>
              <w:bottom w:val="nil"/>
              <w:right w:val="nil"/>
            </w:tcBorders>
            <w:shd w:val="clear" w:color="auto" w:fill="FFFFFF" w:themeFill="background1"/>
            <w:noWrap/>
            <w:vAlign w:val="center"/>
            <w:hideMark/>
          </w:tcPr>
          <w:p w14:paraId="52D8EE8F" w14:textId="77777777" w:rsidR="00794507" w:rsidRPr="00156708" w:rsidRDefault="00794507" w:rsidP="00E71E71">
            <w:pPr>
              <w:spacing w:after="0" w:line="240" w:lineRule="auto"/>
              <w:jc w:val="center"/>
              <w:rPr>
                <w:rFonts w:asciiTheme="minorHAnsi" w:eastAsia="Times New Roman" w:hAnsiTheme="minorHAnsi" w:cstheme="minorHAnsi"/>
                <w:b/>
                <w:bCs/>
                <w:sz w:val="20"/>
                <w:szCs w:val="20"/>
                <w:lang w:val="en-GB"/>
              </w:rPr>
            </w:pPr>
          </w:p>
        </w:tc>
      </w:tr>
    </w:tbl>
    <w:p w14:paraId="591ACE5A" w14:textId="2D25A300" w:rsidR="00446F24" w:rsidRPr="00156708" w:rsidRDefault="00446F24" w:rsidP="000B0B18">
      <w:pPr>
        <w:rPr>
          <w:lang w:val="en-GB"/>
        </w:rPr>
      </w:pPr>
    </w:p>
    <w:sectPr w:rsidR="00446F24" w:rsidRPr="00156708" w:rsidSect="000B0B18">
      <w:pgSz w:w="11907" w:h="16839" w:code="9"/>
      <w:pgMar w:top="1350" w:right="1440" w:bottom="1260" w:left="1440" w:header="540" w:footer="37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B50D" w14:textId="77777777" w:rsidR="00392B8A" w:rsidRDefault="00392B8A" w:rsidP="00446F24">
      <w:pPr>
        <w:spacing w:after="0" w:line="240" w:lineRule="auto"/>
      </w:pPr>
      <w:r>
        <w:separator/>
      </w:r>
    </w:p>
  </w:endnote>
  <w:endnote w:type="continuationSeparator" w:id="0">
    <w:p w14:paraId="1607B3BC" w14:textId="77777777" w:rsidR="00392B8A" w:rsidRDefault="00392B8A" w:rsidP="0044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2094920610"/>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64BFFCF2" w14:textId="35307B15" w:rsidR="006B5F48" w:rsidRPr="009A1116" w:rsidRDefault="006B5F48">
            <w:pPr>
              <w:pStyle w:val="Footer"/>
              <w:jc w:val="right"/>
              <w:rPr>
                <w:rFonts w:asciiTheme="minorHAnsi" w:hAnsiTheme="minorHAnsi" w:cstheme="minorHAnsi"/>
                <w:sz w:val="20"/>
                <w:szCs w:val="20"/>
              </w:rPr>
            </w:pPr>
            <w:r w:rsidRPr="009A1116">
              <w:rPr>
                <w:rFonts w:asciiTheme="minorHAnsi" w:hAnsiTheme="minorHAnsi" w:cstheme="minorHAnsi"/>
                <w:sz w:val="20"/>
                <w:szCs w:val="20"/>
              </w:rPr>
              <w:t xml:space="preserve">Page </w:t>
            </w:r>
            <w:r w:rsidRPr="009A1116">
              <w:rPr>
                <w:rFonts w:asciiTheme="minorHAnsi" w:hAnsiTheme="minorHAnsi" w:cstheme="minorHAnsi"/>
                <w:bCs/>
                <w:sz w:val="20"/>
                <w:szCs w:val="20"/>
              </w:rPr>
              <w:fldChar w:fldCharType="begin"/>
            </w:r>
            <w:r w:rsidRPr="009A1116">
              <w:rPr>
                <w:rFonts w:asciiTheme="minorHAnsi" w:hAnsiTheme="minorHAnsi" w:cstheme="minorHAnsi"/>
                <w:bCs/>
                <w:sz w:val="20"/>
                <w:szCs w:val="20"/>
              </w:rPr>
              <w:instrText xml:space="preserve"> PAGE </w:instrText>
            </w:r>
            <w:r w:rsidRPr="009A1116">
              <w:rPr>
                <w:rFonts w:asciiTheme="minorHAnsi" w:hAnsiTheme="minorHAnsi" w:cstheme="minorHAnsi"/>
                <w:bCs/>
                <w:sz w:val="20"/>
                <w:szCs w:val="20"/>
              </w:rPr>
              <w:fldChar w:fldCharType="separate"/>
            </w:r>
            <w:r w:rsidR="00637A32">
              <w:rPr>
                <w:rFonts w:asciiTheme="minorHAnsi" w:hAnsiTheme="minorHAnsi" w:cstheme="minorHAnsi"/>
                <w:bCs/>
                <w:noProof/>
                <w:sz w:val="20"/>
                <w:szCs w:val="20"/>
              </w:rPr>
              <w:t>2</w:t>
            </w:r>
            <w:r w:rsidRPr="009A1116">
              <w:rPr>
                <w:rFonts w:asciiTheme="minorHAnsi" w:hAnsiTheme="minorHAnsi" w:cstheme="minorHAnsi"/>
                <w:bCs/>
                <w:sz w:val="20"/>
                <w:szCs w:val="20"/>
              </w:rPr>
              <w:fldChar w:fldCharType="end"/>
            </w:r>
            <w:r w:rsidRPr="009A1116">
              <w:rPr>
                <w:rFonts w:asciiTheme="minorHAnsi" w:hAnsiTheme="minorHAnsi" w:cstheme="minorHAnsi"/>
                <w:sz w:val="20"/>
                <w:szCs w:val="20"/>
              </w:rPr>
              <w:t xml:space="preserve"> of </w:t>
            </w:r>
            <w:r w:rsidRPr="009A1116">
              <w:rPr>
                <w:rFonts w:asciiTheme="minorHAnsi" w:hAnsiTheme="minorHAnsi" w:cstheme="minorHAnsi"/>
                <w:bCs/>
                <w:sz w:val="20"/>
                <w:szCs w:val="20"/>
              </w:rPr>
              <w:fldChar w:fldCharType="begin"/>
            </w:r>
            <w:r w:rsidRPr="009A1116">
              <w:rPr>
                <w:rFonts w:asciiTheme="minorHAnsi" w:hAnsiTheme="minorHAnsi" w:cstheme="minorHAnsi"/>
                <w:bCs/>
                <w:sz w:val="20"/>
                <w:szCs w:val="20"/>
              </w:rPr>
              <w:instrText xml:space="preserve"> NUMPAGES  </w:instrText>
            </w:r>
            <w:r w:rsidRPr="009A1116">
              <w:rPr>
                <w:rFonts w:asciiTheme="minorHAnsi" w:hAnsiTheme="minorHAnsi" w:cstheme="minorHAnsi"/>
                <w:bCs/>
                <w:sz w:val="20"/>
                <w:szCs w:val="20"/>
              </w:rPr>
              <w:fldChar w:fldCharType="separate"/>
            </w:r>
            <w:r w:rsidR="00637A32">
              <w:rPr>
                <w:rFonts w:asciiTheme="minorHAnsi" w:hAnsiTheme="minorHAnsi" w:cstheme="minorHAnsi"/>
                <w:bCs/>
                <w:noProof/>
                <w:sz w:val="20"/>
                <w:szCs w:val="20"/>
              </w:rPr>
              <w:t>11</w:t>
            </w:r>
            <w:r w:rsidRPr="009A1116">
              <w:rPr>
                <w:rFonts w:asciiTheme="minorHAnsi" w:hAnsiTheme="minorHAnsi" w:cstheme="minorHAnsi"/>
                <w:bCs/>
                <w:sz w:val="20"/>
                <w:szCs w:val="20"/>
              </w:rPr>
              <w:fldChar w:fldCharType="end"/>
            </w:r>
          </w:p>
        </w:sdtContent>
      </w:sdt>
    </w:sdtContent>
  </w:sdt>
  <w:p w14:paraId="5DF53FA0" w14:textId="54232E9C" w:rsidR="00B85BE4" w:rsidRPr="004726DA" w:rsidRDefault="00B85BE4">
    <w:pPr>
      <w:pStyle w:val="Footer"/>
      <w:jc w:val="right"/>
      <w:rPr>
        <w:rFonts w:asciiTheme="minorHAnsi" w:hAnsiTheme="minorHAnsi"/>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7D7D" w14:textId="77777777" w:rsidR="00B85BE4" w:rsidRDefault="00B85BE4" w:rsidP="004F438B">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514E06B7" w14:textId="77777777" w:rsidR="00B85BE4" w:rsidRPr="00CC5C73" w:rsidRDefault="00B85BE4" w:rsidP="004F438B">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lok. 101, Fax: 038 247 620, E-mail: info@ero-ks.org, </w:t>
    </w:r>
    <w:r>
      <w:rPr>
        <w:rFonts w:ascii="Calibri" w:hAnsi="Calibri"/>
        <w:color w:val="005F91"/>
        <w:sz w:val="18"/>
        <w:szCs w:val="18"/>
      </w:rPr>
      <w:t>w</w:t>
    </w:r>
    <w:r w:rsidRPr="00661073">
      <w:rPr>
        <w:rFonts w:ascii="Calibri" w:hAnsi="Calibri"/>
        <w:color w:val="005F91"/>
        <w:sz w:val="18"/>
        <w:szCs w:val="18"/>
      </w:rPr>
      <w:t xml:space="preserve">eb: </w:t>
    </w:r>
    <w:r>
      <w:rPr>
        <w:rFonts w:ascii="Calibri" w:hAnsi="Calibri"/>
        <w:color w:val="005F91"/>
        <w:sz w:val="18"/>
        <w:szCs w:val="18"/>
      </w:rPr>
      <w:t>www</w:t>
    </w:r>
    <w:r w:rsidRPr="00661073">
      <w:rPr>
        <w:rFonts w:ascii="Calibri" w:hAnsi="Calibri"/>
        <w:color w:val="005F91"/>
        <w:sz w:val="18"/>
        <w:szCs w:val="18"/>
      </w:rPr>
      <w:t>.ero-ks.org</w:t>
    </w:r>
  </w:p>
  <w:p w14:paraId="3964804F" w14:textId="77777777" w:rsidR="00B85BE4" w:rsidRDefault="00B85B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2D0D" w14:textId="77777777" w:rsidR="00392B8A" w:rsidRDefault="00392B8A" w:rsidP="00446F24">
      <w:pPr>
        <w:spacing w:after="0" w:line="240" w:lineRule="auto"/>
      </w:pPr>
      <w:r>
        <w:separator/>
      </w:r>
    </w:p>
  </w:footnote>
  <w:footnote w:type="continuationSeparator" w:id="0">
    <w:p w14:paraId="57593436" w14:textId="77777777" w:rsidR="00392B8A" w:rsidRDefault="00392B8A" w:rsidP="00446F24">
      <w:pPr>
        <w:spacing w:after="0" w:line="240" w:lineRule="auto"/>
      </w:pPr>
      <w:r>
        <w:continuationSeparator/>
      </w:r>
    </w:p>
  </w:footnote>
  <w:footnote w:id="1">
    <w:p w14:paraId="18B71D1E" w14:textId="77777777" w:rsidR="00B85BE4" w:rsidRPr="00F42297" w:rsidRDefault="00B85BE4" w:rsidP="00446F24">
      <w:pPr>
        <w:pStyle w:val="FootnoteText"/>
        <w:rPr>
          <w:lang w:val="en-US"/>
        </w:rPr>
      </w:pPr>
      <w:r w:rsidRPr="001B7FB8">
        <w:rPr>
          <w:rStyle w:val="FootnoteReference"/>
          <w:sz w:val="16"/>
          <w:szCs w:val="16"/>
        </w:rPr>
        <w:footnoteRef/>
      </w:r>
      <w:hyperlink r:id="rId1" w:history="1">
        <w:r w:rsidRPr="001B7FB8">
          <w:rPr>
            <w:rStyle w:val="Hyperlink"/>
            <w:sz w:val="16"/>
            <w:szCs w:val="16"/>
          </w:rPr>
          <w:t>https://www.ecb.europa.eu/stats/ecb_statistics/escb/html/table.en.html?id=JDF_ICP_COICOP_ANR&amp;period=2017-12</w:t>
        </w:r>
      </w:hyperlink>
    </w:p>
  </w:footnote>
  <w:footnote w:id="2">
    <w:p w14:paraId="43E4D992" w14:textId="548A71EF" w:rsidR="00B85BE4" w:rsidRPr="00A45692" w:rsidRDefault="00B85BE4" w:rsidP="00446F24">
      <w:pPr>
        <w:pStyle w:val="FootnoteText"/>
        <w:spacing w:after="0"/>
        <w:rPr>
          <w:sz w:val="16"/>
          <w:szCs w:val="16"/>
          <w:lang w:val="en-US"/>
        </w:rPr>
      </w:pPr>
      <w:r>
        <w:rPr>
          <w:rStyle w:val="FootnoteReference"/>
        </w:rPr>
        <w:footnoteRef/>
      </w:r>
      <w:r>
        <w:t xml:space="preserve"> </w:t>
      </w:r>
      <w:r w:rsidRPr="00DC2766">
        <w:rPr>
          <w:sz w:val="16"/>
          <w:szCs w:val="16"/>
          <w:lang w:val="en-US"/>
        </w:rPr>
        <w:t xml:space="preserve">According to allowances of Periodic </w:t>
      </w:r>
      <w:r w:rsidR="009A1116" w:rsidRPr="00DC2766">
        <w:rPr>
          <w:sz w:val="16"/>
          <w:szCs w:val="16"/>
          <w:lang w:val="en-US"/>
        </w:rPr>
        <w:t>Review 2018</w:t>
      </w:r>
      <w:r w:rsidRPr="00DC2766">
        <w:rPr>
          <w:sz w:val="16"/>
          <w:szCs w:val="16"/>
          <w:lang w:val="en-US"/>
        </w:rPr>
        <w:t>-2022 link:</w:t>
      </w:r>
    </w:p>
    <w:p w14:paraId="3D7B8F6E" w14:textId="77777777" w:rsidR="00B85BE4" w:rsidRPr="00966ECD" w:rsidRDefault="00B85BE4" w:rsidP="00446F24">
      <w:pPr>
        <w:pStyle w:val="FootnoteText"/>
        <w:spacing w:after="0"/>
        <w:rPr>
          <w:lang w:val="en-US"/>
        </w:rPr>
      </w:pPr>
      <w:r w:rsidRPr="00DC2766">
        <w:rPr>
          <w:sz w:val="16"/>
          <w:szCs w:val="16"/>
          <w:lang w:val="en-US"/>
        </w:rPr>
        <w:t xml:space="preserve"> http://ero-ks.org/2018/Raportet/Pergjigje%20ndaj%20komenteve%20te%20KEDS_PRR2_final.pdf</w:t>
      </w:r>
    </w:p>
  </w:footnote>
  <w:footnote w:id="3">
    <w:p w14:paraId="483A3D30" w14:textId="77777777" w:rsidR="00B85BE4" w:rsidRPr="0009487F" w:rsidRDefault="00B85BE4" w:rsidP="007D6305">
      <w:pPr>
        <w:pStyle w:val="FootnoteText"/>
        <w:rPr>
          <w:rFonts w:ascii="Arial" w:hAnsi="Arial"/>
          <w:lang w:val="sq-AL"/>
        </w:rPr>
      </w:pPr>
      <w:r>
        <w:rPr>
          <w:rStyle w:val="FootnoteReference"/>
        </w:rPr>
        <w:footnoteRef/>
      </w:r>
      <w:r>
        <w:t xml:space="preserve"> </w:t>
      </w:r>
      <w:r w:rsidRPr="007D6305">
        <w:t>These costs are part of the overall updates and are reflected in the 2021 MAR.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0BAA" w14:textId="79C00E76" w:rsidR="00B85BE4" w:rsidRDefault="000B0B18" w:rsidP="004F438B">
    <w:pPr>
      <w:pStyle w:val="Header"/>
      <w:ind w:left="-810"/>
    </w:pPr>
    <w:r>
      <w:object w:dxaOrig="1171" w:dyaOrig="1740" w14:anchorId="374B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46.35pt">
          <v:imagedata r:id="rId1" o:title=""/>
        </v:shape>
        <o:OLEObject Type="Embed" ProgID="CorelDRAW.Graphic.14" ShapeID="_x0000_i1025" DrawAspect="Content" ObjectID="_1692432591"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38F9" w14:textId="77777777" w:rsidR="00B85BE4" w:rsidRDefault="00B85BE4" w:rsidP="004F438B">
    <w:pPr>
      <w:pStyle w:val="Header"/>
      <w:tabs>
        <w:tab w:val="clear" w:pos="8640"/>
        <w:tab w:val="right" w:pos="9000"/>
      </w:tabs>
      <w:ind w:left="-450"/>
      <w:jc w:val="center"/>
    </w:pPr>
    <w:r>
      <w:rPr>
        <w:noProof/>
        <w:lang w:val="en-US"/>
      </w:rPr>
      <w:drawing>
        <wp:inline distT="0" distB="0" distL="0" distR="0" wp14:anchorId="6DEADEAE" wp14:editId="666DADF2">
          <wp:extent cx="5739130" cy="11734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p w14:paraId="62D68DFC" w14:textId="77777777" w:rsidR="00B85BE4" w:rsidRDefault="00B85B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529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165AC"/>
    <w:multiLevelType w:val="hybridMultilevel"/>
    <w:tmpl w:val="72606134"/>
    <w:lvl w:ilvl="0" w:tplc="4038083A">
      <w:start w:val="1"/>
      <w:numFmt w:val="bullet"/>
      <w:lvlText w:val=""/>
      <w:lvlJc w:val="left"/>
      <w:pPr>
        <w:tabs>
          <w:tab w:val="num" w:pos="720"/>
        </w:tabs>
        <w:ind w:left="720" w:hanging="360"/>
      </w:pPr>
      <w:rPr>
        <w:rFonts w:ascii="Wingdings" w:hAnsi="Wingdings" w:hint="default"/>
        <w:b w:val="0"/>
        <w:i w:val="0"/>
        <w:color w:val="003366"/>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03403"/>
    <w:multiLevelType w:val="hybridMultilevel"/>
    <w:tmpl w:val="75A6DADE"/>
    <w:lvl w:ilvl="0" w:tplc="08090001">
      <w:start w:val="1"/>
      <w:numFmt w:val="bullet"/>
      <w:lvlText w:val=""/>
      <w:lvlJc w:val="left"/>
      <w:pPr>
        <w:ind w:left="720" w:hanging="360"/>
      </w:pPr>
      <w:rPr>
        <w:rFonts w:ascii="Symbol" w:hAnsi="Symbol" w:hint="default"/>
      </w:rPr>
    </w:lvl>
    <w:lvl w:ilvl="1" w:tplc="11E27A3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E74CD"/>
    <w:multiLevelType w:val="hybridMultilevel"/>
    <w:tmpl w:val="59BE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3FE3"/>
    <w:multiLevelType w:val="hybridMultilevel"/>
    <w:tmpl w:val="2BA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CF5"/>
    <w:multiLevelType w:val="hybridMultilevel"/>
    <w:tmpl w:val="95207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F7332"/>
    <w:multiLevelType w:val="hybridMultilevel"/>
    <w:tmpl w:val="2BB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38221C55"/>
    <w:multiLevelType w:val="hybridMultilevel"/>
    <w:tmpl w:val="547806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C6F91"/>
    <w:multiLevelType w:val="hybridMultilevel"/>
    <w:tmpl w:val="C95C8590"/>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2309F"/>
    <w:multiLevelType w:val="hybridMultilevel"/>
    <w:tmpl w:val="E8BA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1003"/>
        </w:tabs>
        <w:ind w:left="1003"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39E46CF"/>
    <w:multiLevelType w:val="hybridMultilevel"/>
    <w:tmpl w:val="7BD6373C"/>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42C82"/>
    <w:multiLevelType w:val="hybridMultilevel"/>
    <w:tmpl w:val="8564DF4C"/>
    <w:lvl w:ilvl="0" w:tplc="04090001">
      <w:start w:val="1"/>
      <w:numFmt w:val="bullet"/>
      <w:lvlText w:val=""/>
      <w:lvlJc w:val="left"/>
      <w:pPr>
        <w:ind w:left="720" w:hanging="360"/>
      </w:pPr>
      <w:rPr>
        <w:rFonts w:ascii="Symbol" w:hAnsi="Symbol" w:hint="default"/>
      </w:rPr>
    </w:lvl>
    <w:lvl w:ilvl="1" w:tplc="179AB5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4135C"/>
    <w:multiLevelType w:val="hybridMultilevel"/>
    <w:tmpl w:val="B412B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05FE2"/>
    <w:multiLevelType w:val="hybridMultilevel"/>
    <w:tmpl w:val="7DC8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015F9"/>
    <w:multiLevelType w:val="multilevel"/>
    <w:tmpl w:val="55E21FB6"/>
    <w:lvl w:ilvl="0">
      <w:start w:val="1"/>
      <w:numFmt w:val="decimal"/>
      <w:lvlText w:val="Schedu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2">
      <w:start w:val="1"/>
      <w:numFmt w:val="decimal"/>
      <w:lvlText w:val="%2.%3"/>
      <w:lvlJc w:val="left"/>
      <w:pPr>
        <w:ind w:left="1440" w:hanging="720"/>
      </w:pPr>
      <w:rPr>
        <w:rFonts w:ascii="Times New Roman" w:hAnsi="Times New Roman" w:hint="default"/>
        <w:b w:val="0"/>
        <w:i w:val="0"/>
        <w:sz w:val="22"/>
      </w:rPr>
    </w:lvl>
    <w:lvl w:ilvl="3">
      <w:start w:val="1"/>
      <w:numFmt w:val="lowerRoman"/>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FA31FB"/>
    <w:multiLevelType w:val="hybridMultilevel"/>
    <w:tmpl w:val="08B2E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6"/>
  </w:num>
  <w:num w:numId="9">
    <w:abstractNumId w:val="15"/>
  </w:num>
  <w:num w:numId="10">
    <w:abstractNumId w:val="13"/>
  </w:num>
  <w:num w:numId="11">
    <w:abstractNumId w:val="3"/>
  </w:num>
  <w:num w:numId="12">
    <w:abstractNumId w:val="2"/>
  </w:num>
  <w:num w:numId="13">
    <w:abstractNumId w:val="8"/>
  </w:num>
  <w:num w:numId="14">
    <w:abstractNumId w:val="14"/>
  </w:num>
  <w:num w:numId="15">
    <w:abstractNumId w:val="12"/>
  </w:num>
  <w:num w:numId="16">
    <w:abstractNumId w:val="9"/>
  </w:num>
  <w:num w:numId="17">
    <w:abstractNumId w:val="10"/>
  </w:num>
  <w:num w:numId="18">
    <w:abstractNumId w:val="6"/>
  </w:num>
  <w:num w:numId="19">
    <w:abstractNumId w:val="17"/>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24"/>
    <w:rsid w:val="00084D38"/>
    <w:rsid w:val="00087B64"/>
    <w:rsid w:val="000915EB"/>
    <w:rsid w:val="000A5734"/>
    <w:rsid w:val="000B0B18"/>
    <w:rsid w:val="000C1A7F"/>
    <w:rsid w:val="000E1564"/>
    <w:rsid w:val="000E4CE7"/>
    <w:rsid w:val="000E616E"/>
    <w:rsid w:val="000F043B"/>
    <w:rsid w:val="000F2117"/>
    <w:rsid w:val="00103452"/>
    <w:rsid w:val="00156708"/>
    <w:rsid w:val="001837F5"/>
    <w:rsid w:val="001B48F3"/>
    <w:rsid w:val="001B7212"/>
    <w:rsid w:val="001D66AC"/>
    <w:rsid w:val="00200427"/>
    <w:rsid w:val="00270F5C"/>
    <w:rsid w:val="002C3DE2"/>
    <w:rsid w:val="00305575"/>
    <w:rsid w:val="003464A8"/>
    <w:rsid w:val="00367E4B"/>
    <w:rsid w:val="003717CF"/>
    <w:rsid w:val="00375640"/>
    <w:rsid w:val="00392B8A"/>
    <w:rsid w:val="003A541A"/>
    <w:rsid w:val="003B6619"/>
    <w:rsid w:val="003D3B45"/>
    <w:rsid w:val="003E2BB4"/>
    <w:rsid w:val="003F0253"/>
    <w:rsid w:val="003F675E"/>
    <w:rsid w:val="00425A6D"/>
    <w:rsid w:val="00425B83"/>
    <w:rsid w:val="0043128D"/>
    <w:rsid w:val="00446F24"/>
    <w:rsid w:val="004565A0"/>
    <w:rsid w:val="00467ED9"/>
    <w:rsid w:val="00495E3B"/>
    <w:rsid w:val="004C50B4"/>
    <w:rsid w:val="004E0EF1"/>
    <w:rsid w:val="004F438B"/>
    <w:rsid w:val="00510425"/>
    <w:rsid w:val="00510E9C"/>
    <w:rsid w:val="00543C19"/>
    <w:rsid w:val="00567CC1"/>
    <w:rsid w:val="005C6F97"/>
    <w:rsid w:val="005D3BE6"/>
    <w:rsid w:val="0062624C"/>
    <w:rsid w:val="00637A32"/>
    <w:rsid w:val="00664155"/>
    <w:rsid w:val="006670DF"/>
    <w:rsid w:val="0067025D"/>
    <w:rsid w:val="006B37BB"/>
    <w:rsid w:val="006B5F48"/>
    <w:rsid w:val="006D20E3"/>
    <w:rsid w:val="0071196E"/>
    <w:rsid w:val="00724E8D"/>
    <w:rsid w:val="007400A1"/>
    <w:rsid w:val="00794507"/>
    <w:rsid w:val="00795B68"/>
    <w:rsid w:val="007A66CF"/>
    <w:rsid w:val="007D6305"/>
    <w:rsid w:val="007E050A"/>
    <w:rsid w:val="007F397A"/>
    <w:rsid w:val="008659BC"/>
    <w:rsid w:val="008719EF"/>
    <w:rsid w:val="00897144"/>
    <w:rsid w:val="008E3191"/>
    <w:rsid w:val="008E5F92"/>
    <w:rsid w:val="009254D7"/>
    <w:rsid w:val="00940764"/>
    <w:rsid w:val="00947560"/>
    <w:rsid w:val="00980571"/>
    <w:rsid w:val="0098311C"/>
    <w:rsid w:val="00986D61"/>
    <w:rsid w:val="009A1116"/>
    <w:rsid w:val="009B6E98"/>
    <w:rsid w:val="00A0137A"/>
    <w:rsid w:val="00A17133"/>
    <w:rsid w:val="00A264E0"/>
    <w:rsid w:val="00A3503D"/>
    <w:rsid w:val="00A350EF"/>
    <w:rsid w:val="00A414A3"/>
    <w:rsid w:val="00A45692"/>
    <w:rsid w:val="00A76E5D"/>
    <w:rsid w:val="00A84517"/>
    <w:rsid w:val="00AB60FD"/>
    <w:rsid w:val="00AF2236"/>
    <w:rsid w:val="00B01797"/>
    <w:rsid w:val="00B142E9"/>
    <w:rsid w:val="00B16B31"/>
    <w:rsid w:val="00B16F13"/>
    <w:rsid w:val="00B738BD"/>
    <w:rsid w:val="00B74436"/>
    <w:rsid w:val="00B85BE4"/>
    <w:rsid w:val="00C00FB9"/>
    <w:rsid w:val="00C0374D"/>
    <w:rsid w:val="00C11B5B"/>
    <w:rsid w:val="00C17E29"/>
    <w:rsid w:val="00C25BCA"/>
    <w:rsid w:val="00C33365"/>
    <w:rsid w:val="00C365DE"/>
    <w:rsid w:val="00C42AE3"/>
    <w:rsid w:val="00C430EB"/>
    <w:rsid w:val="00C51000"/>
    <w:rsid w:val="00CC1205"/>
    <w:rsid w:val="00CD61F8"/>
    <w:rsid w:val="00CF1A53"/>
    <w:rsid w:val="00D33ED5"/>
    <w:rsid w:val="00DC2766"/>
    <w:rsid w:val="00E24E9B"/>
    <w:rsid w:val="00E600AA"/>
    <w:rsid w:val="00E71E71"/>
    <w:rsid w:val="00E868C1"/>
    <w:rsid w:val="00E95176"/>
    <w:rsid w:val="00EE3DFC"/>
    <w:rsid w:val="00F45B08"/>
    <w:rsid w:val="00F60529"/>
    <w:rsid w:val="00F6119A"/>
    <w:rsid w:val="00F724DD"/>
    <w:rsid w:val="00F923E6"/>
    <w:rsid w:val="00FB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8B4D"/>
  <w15:docId w15:val="{1619CDD3-7BD5-4636-A3CE-2588CE48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24"/>
    <w:rPr>
      <w:rFonts w:ascii="Calibri" w:eastAsia="MS Mincho" w:hAnsi="Calibri" w:cs="Times New Roman"/>
    </w:rPr>
  </w:style>
  <w:style w:type="paragraph" w:styleId="Heading1">
    <w:name w:val="heading 1"/>
    <w:basedOn w:val="Normal"/>
    <w:next w:val="Normal"/>
    <w:link w:val="Heading1Char"/>
    <w:uiPriority w:val="99"/>
    <w:qFormat/>
    <w:rsid w:val="00446F24"/>
    <w:pPr>
      <w:keepNext/>
      <w:numPr>
        <w:numId w:val="1"/>
      </w:numPr>
      <w:spacing w:before="360"/>
      <w:outlineLvl w:val="0"/>
    </w:pPr>
    <w:rPr>
      <w:rFonts w:eastAsia="Times New Roman" w:cs="Arial"/>
      <w:b/>
      <w:bCs/>
      <w:color w:val="003366"/>
      <w:sz w:val="28"/>
      <w:szCs w:val="24"/>
      <w:lang w:val="en-GB"/>
    </w:rPr>
  </w:style>
  <w:style w:type="paragraph" w:styleId="Heading2">
    <w:name w:val="heading 2"/>
    <w:basedOn w:val="Normal"/>
    <w:next w:val="Normal"/>
    <w:link w:val="Heading2Char"/>
    <w:uiPriority w:val="99"/>
    <w:qFormat/>
    <w:rsid w:val="00446F24"/>
    <w:pPr>
      <w:keepNext/>
      <w:numPr>
        <w:ilvl w:val="1"/>
        <w:numId w:val="1"/>
      </w:numPr>
      <w:autoSpaceDE w:val="0"/>
      <w:autoSpaceDN w:val="0"/>
      <w:adjustRightInd w:val="0"/>
      <w:jc w:val="both"/>
      <w:outlineLvl w:val="1"/>
    </w:pPr>
    <w:rPr>
      <w:rFonts w:eastAsia="Times New Roman" w:cs="Arial"/>
      <w:b/>
      <w:bCs/>
      <w:color w:val="003366"/>
      <w:sz w:val="24"/>
      <w:lang w:val="en-GB"/>
    </w:rPr>
  </w:style>
  <w:style w:type="paragraph" w:styleId="Heading3">
    <w:name w:val="heading 3"/>
    <w:basedOn w:val="Heading2"/>
    <w:next w:val="Normal"/>
    <w:link w:val="Heading3Char"/>
    <w:uiPriority w:val="99"/>
    <w:qFormat/>
    <w:rsid w:val="00446F24"/>
    <w:pPr>
      <w:numPr>
        <w:ilvl w:val="2"/>
      </w:numPr>
      <w:tabs>
        <w:tab w:val="left" w:pos="2160"/>
      </w:tabs>
      <w:spacing w:after="120"/>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F24"/>
    <w:rPr>
      <w:rFonts w:ascii="Calibri" w:eastAsia="Times New Roman" w:hAnsi="Calibri" w:cs="Arial"/>
      <w:b/>
      <w:bCs/>
      <w:color w:val="003366"/>
      <w:sz w:val="28"/>
      <w:szCs w:val="24"/>
      <w:lang w:val="en-GB"/>
    </w:rPr>
  </w:style>
  <w:style w:type="character" w:customStyle="1" w:styleId="Heading2Char">
    <w:name w:val="Heading 2 Char"/>
    <w:basedOn w:val="DefaultParagraphFont"/>
    <w:link w:val="Heading2"/>
    <w:uiPriority w:val="99"/>
    <w:rsid w:val="00446F24"/>
    <w:rPr>
      <w:rFonts w:ascii="Calibri" w:eastAsia="Times New Roman" w:hAnsi="Calibri" w:cs="Arial"/>
      <w:b/>
      <w:bCs/>
      <w:color w:val="003366"/>
      <w:sz w:val="24"/>
      <w:lang w:val="en-GB"/>
    </w:rPr>
  </w:style>
  <w:style w:type="character" w:customStyle="1" w:styleId="Heading3Char">
    <w:name w:val="Heading 3 Char"/>
    <w:basedOn w:val="DefaultParagraphFont"/>
    <w:link w:val="Heading3"/>
    <w:uiPriority w:val="99"/>
    <w:rsid w:val="00446F24"/>
    <w:rPr>
      <w:rFonts w:ascii="Calibri" w:eastAsia="Times New Roman" w:hAnsi="Calibri" w:cs="Arial"/>
      <w:b/>
      <w:bCs/>
      <w:i/>
      <w:color w:val="003366"/>
      <w:szCs w:val="20"/>
      <w:lang w:val="en-GB"/>
    </w:rPr>
  </w:style>
  <w:style w:type="paragraph" w:styleId="Header">
    <w:name w:val="header"/>
    <w:basedOn w:val="Normal"/>
    <w:link w:val="HeaderChar"/>
    <w:uiPriority w:val="99"/>
    <w:rsid w:val="00446F24"/>
    <w:pPr>
      <w:tabs>
        <w:tab w:val="center" w:pos="4320"/>
        <w:tab w:val="right" w:pos="8640"/>
      </w:tabs>
      <w:spacing w:after="0" w:line="240" w:lineRule="auto"/>
      <w:jc w:val="both"/>
    </w:pPr>
    <w:rPr>
      <w:rFonts w:eastAsia="Times New Roman" w:cs="Arial"/>
      <w:b/>
      <w:color w:val="FFCC00"/>
      <w:szCs w:val="24"/>
      <w:lang w:val="en-GB"/>
    </w:rPr>
  </w:style>
  <w:style w:type="character" w:customStyle="1" w:styleId="HeaderChar">
    <w:name w:val="Header Char"/>
    <w:basedOn w:val="DefaultParagraphFont"/>
    <w:link w:val="Header"/>
    <w:uiPriority w:val="99"/>
    <w:rsid w:val="00446F24"/>
    <w:rPr>
      <w:rFonts w:ascii="Calibri" w:eastAsia="Times New Roman" w:hAnsi="Calibri" w:cs="Arial"/>
      <w:b/>
      <w:color w:val="FFCC00"/>
      <w:szCs w:val="24"/>
      <w:lang w:val="en-GB"/>
    </w:rPr>
  </w:style>
  <w:style w:type="paragraph" w:styleId="Footer">
    <w:name w:val="footer"/>
    <w:basedOn w:val="Normal"/>
    <w:link w:val="FooterChar"/>
    <w:uiPriority w:val="99"/>
    <w:rsid w:val="00446F24"/>
    <w:pPr>
      <w:tabs>
        <w:tab w:val="center" w:pos="4320"/>
        <w:tab w:val="right" w:pos="8640"/>
      </w:tabs>
      <w:jc w:val="both"/>
    </w:pPr>
    <w:rPr>
      <w:rFonts w:ascii="Arial" w:eastAsia="Times New Roman" w:hAnsi="Arial" w:cs="Arial"/>
      <w:szCs w:val="24"/>
      <w:lang w:val="en-GB"/>
    </w:rPr>
  </w:style>
  <w:style w:type="character" w:customStyle="1" w:styleId="FooterChar">
    <w:name w:val="Footer Char"/>
    <w:basedOn w:val="DefaultParagraphFont"/>
    <w:link w:val="Footer"/>
    <w:uiPriority w:val="99"/>
    <w:rsid w:val="00446F24"/>
    <w:rPr>
      <w:rFonts w:ascii="Arial" w:eastAsia="Times New Roman" w:hAnsi="Arial" w:cs="Arial"/>
      <w:szCs w:val="24"/>
      <w:lang w:val="en-GB"/>
    </w:rPr>
  </w:style>
  <w:style w:type="character" w:styleId="PageNumber">
    <w:name w:val="page number"/>
    <w:basedOn w:val="DefaultParagraphFont"/>
    <w:uiPriority w:val="99"/>
    <w:rsid w:val="00446F24"/>
    <w:rPr>
      <w:rFonts w:ascii="Calibri" w:hAnsi="Calibri"/>
      <w:sz w:val="18"/>
    </w:rPr>
  </w:style>
  <w:style w:type="paragraph" w:styleId="Title">
    <w:name w:val="Title"/>
    <w:basedOn w:val="Normal"/>
    <w:link w:val="TitleChar"/>
    <w:uiPriority w:val="99"/>
    <w:qFormat/>
    <w:rsid w:val="00446F24"/>
    <w:pPr>
      <w:shd w:val="pct10" w:color="auto" w:fill="auto"/>
      <w:tabs>
        <w:tab w:val="center" w:pos="4320"/>
      </w:tabs>
      <w:spacing w:before="240"/>
    </w:pPr>
    <w:rPr>
      <w:rFonts w:eastAsia="Times New Roman" w:cs="Arial"/>
      <w:b/>
      <w:bCs/>
      <w:sz w:val="32"/>
      <w:szCs w:val="24"/>
      <w:lang w:val="sq-AL"/>
    </w:rPr>
  </w:style>
  <w:style w:type="character" w:customStyle="1" w:styleId="TitleChar">
    <w:name w:val="Title Char"/>
    <w:basedOn w:val="DefaultParagraphFont"/>
    <w:link w:val="Title"/>
    <w:uiPriority w:val="99"/>
    <w:rsid w:val="00446F24"/>
    <w:rPr>
      <w:rFonts w:ascii="Calibri" w:eastAsia="Times New Roman" w:hAnsi="Calibri" w:cs="Arial"/>
      <w:b/>
      <w:bCs/>
      <w:sz w:val="32"/>
      <w:szCs w:val="24"/>
      <w:shd w:val="pct10" w:color="auto" w:fill="auto"/>
      <w:lang w:val="sq-AL"/>
    </w:rPr>
  </w:style>
  <w:style w:type="paragraph" w:styleId="Caption">
    <w:name w:val="caption"/>
    <w:aliases w:val="Tabellen"/>
    <w:basedOn w:val="Normal"/>
    <w:next w:val="Normal"/>
    <w:uiPriority w:val="35"/>
    <w:qFormat/>
    <w:rsid w:val="00446F24"/>
    <w:pPr>
      <w:keepNext/>
      <w:jc w:val="both"/>
    </w:pPr>
    <w:rPr>
      <w:rFonts w:eastAsia="Times New Roman" w:cs="Arial"/>
      <w:b/>
      <w:bCs/>
      <w:i/>
      <w:color w:val="003366"/>
      <w:szCs w:val="24"/>
      <w:lang w:val="en-GB"/>
    </w:rPr>
  </w:style>
  <w:style w:type="paragraph" w:styleId="FootnoteText">
    <w:name w:val="footnote text"/>
    <w:basedOn w:val="Normal"/>
    <w:link w:val="FootnoteTextChar"/>
    <w:uiPriority w:val="99"/>
    <w:rsid w:val="00446F24"/>
    <w:pPr>
      <w:jc w:val="both"/>
    </w:pPr>
    <w:rPr>
      <w:rFonts w:eastAsia="Times New Roman" w:cs="Arial"/>
      <w:sz w:val="20"/>
      <w:szCs w:val="24"/>
      <w:lang w:val="en-GB"/>
    </w:rPr>
  </w:style>
  <w:style w:type="character" w:customStyle="1" w:styleId="FootnoteTextChar">
    <w:name w:val="Footnote Text Char"/>
    <w:basedOn w:val="DefaultParagraphFont"/>
    <w:link w:val="FootnoteText"/>
    <w:uiPriority w:val="99"/>
    <w:rsid w:val="00446F24"/>
    <w:rPr>
      <w:rFonts w:ascii="Calibri" w:eastAsia="Times New Roman" w:hAnsi="Calibri" w:cs="Arial"/>
      <w:sz w:val="20"/>
      <w:szCs w:val="24"/>
      <w:lang w:val="en-GB"/>
    </w:rPr>
  </w:style>
  <w:style w:type="character" w:styleId="FootnoteReference">
    <w:name w:val="footnote reference"/>
    <w:basedOn w:val="DefaultParagraphFont"/>
    <w:uiPriority w:val="99"/>
    <w:rsid w:val="00446F24"/>
    <w:rPr>
      <w:vertAlign w:val="superscript"/>
    </w:rPr>
  </w:style>
  <w:style w:type="character" w:styleId="Hyperlink">
    <w:name w:val="Hyperlink"/>
    <w:basedOn w:val="DefaultParagraphFont"/>
    <w:uiPriority w:val="99"/>
    <w:rsid w:val="00446F24"/>
    <w:rPr>
      <w:color w:val="0000FF"/>
      <w:u w:val="single"/>
    </w:rPr>
  </w:style>
  <w:style w:type="paragraph" w:styleId="ListBullet">
    <w:name w:val="List Bullet"/>
    <w:basedOn w:val="Normal"/>
    <w:uiPriority w:val="99"/>
    <w:rsid w:val="00446F24"/>
    <w:pPr>
      <w:numPr>
        <w:numId w:val="3"/>
      </w:numPr>
      <w:tabs>
        <w:tab w:val="clear" w:pos="360"/>
        <w:tab w:val="num" w:pos="720"/>
      </w:tabs>
      <w:ind w:left="720"/>
      <w:jc w:val="both"/>
    </w:pPr>
    <w:rPr>
      <w:rFonts w:eastAsia="Times New Roman" w:cs="Arial"/>
      <w:szCs w:val="24"/>
      <w:lang w:val="en-GB"/>
    </w:rPr>
  </w:style>
  <w:style w:type="paragraph" w:styleId="TOC1">
    <w:name w:val="toc 1"/>
    <w:basedOn w:val="Normal"/>
    <w:next w:val="Normal"/>
    <w:autoRedefine/>
    <w:uiPriority w:val="39"/>
    <w:rsid w:val="00446F24"/>
    <w:pPr>
      <w:spacing w:before="200"/>
      <w:jc w:val="both"/>
    </w:pPr>
    <w:rPr>
      <w:rFonts w:eastAsia="Times New Roman" w:cs="Arial"/>
      <w:b/>
      <w:szCs w:val="24"/>
      <w:lang w:val="en-GB"/>
    </w:rPr>
  </w:style>
  <w:style w:type="paragraph" w:styleId="TOC2">
    <w:name w:val="toc 2"/>
    <w:basedOn w:val="Normal"/>
    <w:next w:val="Normal"/>
    <w:autoRedefine/>
    <w:uiPriority w:val="39"/>
    <w:rsid w:val="00446F24"/>
    <w:pPr>
      <w:spacing w:after="100"/>
      <w:ind w:left="245"/>
      <w:jc w:val="both"/>
    </w:pPr>
    <w:rPr>
      <w:rFonts w:eastAsia="Times New Roman" w:cs="Arial"/>
      <w:szCs w:val="24"/>
      <w:lang w:val="en-GB"/>
    </w:rPr>
  </w:style>
  <w:style w:type="paragraph" w:styleId="ListParagraph">
    <w:name w:val="List Paragraph"/>
    <w:basedOn w:val="Normal"/>
    <w:uiPriority w:val="34"/>
    <w:qFormat/>
    <w:rsid w:val="00446F24"/>
    <w:pPr>
      <w:ind w:left="720"/>
      <w:contextualSpacing/>
      <w:jc w:val="both"/>
    </w:pPr>
    <w:rPr>
      <w:rFonts w:eastAsia="Times New Roman" w:cs="Arial"/>
      <w:szCs w:val="24"/>
      <w:lang w:val="en-GB"/>
    </w:rPr>
  </w:style>
  <w:style w:type="paragraph" w:customStyle="1" w:styleId="TextS">
    <w:name w:val="TextS"/>
    <w:basedOn w:val="Normal"/>
    <w:link w:val="TextSChar"/>
    <w:qFormat/>
    <w:rsid w:val="00446F24"/>
    <w:pPr>
      <w:spacing w:before="240" w:after="240" w:line="240" w:lineRule="auto"/>
      <w:ind w:left="720" w:hanging="720"/>
    </w:pPr>
    <w:rPr>
      <w:rFonts w:eastAsia="Times New Roman"/>
      <w:szCs w:val="24"/>
      <w:lang w:val="en-AU" w:eastAsia="en-GB"/>
    </w:rPr>
  </w:style>
  <w:style w:type="character" w:customStyle="1" w:styleId="TextSChar">
    <w:name w:val="TextS Char"/>
    <w:basedOn w:val="DefaultParagraphFont"/>
    <w:link w:val="TextS"/>
    <w:rsid w:val="00446F24"/>
    <w:rPr>
      <w:rFonts w:ascii="Calibri" w:eastAsia="Times New Roman" w:hAnsi="Calibri" w:cs="Times New Roman"/>
      <w:szCs w:val="24"/>
      <w:lang w:val="en-AU" w:eastAsia="en-GB"/>
    </w:rPr>
  </w:style>
  <w:style w:type="paragraph" w:customStyle="1" w:styleId="Equation">
    <w:name w:val="Equation"/>
    <w:basedOn w:val="TextS"/>
    <w:link w:val="EquationChar"/>
    <w:qFormat/>
    <w:rsid w:val="00446F24"/>
    <w:pPr>
      <w:ind w:left="2160" w:hanging="1440"/>
    </w:pPr>
    <w:rPr>
      <w:i/>
      <w:lang w:val="en-GB"/>
    </w:rPr>
  </w:style>
  <w:style w:type="character" w:customStyle="1" w:styleId="EquationChar">
    <w:name w:val="Equation Char"/>
    <w:basedOn w:val="TextSChar"/>
    <w:link w:val="Equation"/>
    <w:rsid w:val="00446F24"/>
    <w:rPr>
      <w:rFonts w:ascii="Calibri" w:eastAsia="Times New Roman" w:hAnsi="Calibri" w:cs="Times New Roman"/>
      <w:i/>
      <w:szCs w:val="24"/>
      <w:lang w:val="en-GB" w:eastAsia="en-GB"/>
    </w:rPr>
  </w:style>
  <w:style w:type="paragraph" w:customStyle="1" w:styleId="ParagraphNumbering">
    <w:name w:val="Paragraph Numbering"/>
    <w:basedOn w:val="Normal"/>
    <w:rsid w:val="00446F24"/>
    <w:pPr>
      <w:numPr>
        <w:numId w:val="6"/>
      </w:numPr>
      <w:jc w:val="both"/>
    </w:pPr>
    <w:rPr>
      <w:rFonts w:cs="Arial"/>
      <w:szCs w:val="20"/>
      <w:lang w:val="en-GB"/>
    </w:rPr>
  </w:style>
  <w:style w:type="paragraph" w:styleId="TOC3">
    <w:name w:val="toc 3"/>
    <w:basedOn w:val="Normal"/>
    <w:next w:val="Normal"/>
    <w:autoRedefine/>
    <w:uiPriority w:val="39"/>
    <w:unhideWhenUsed/>
    <w:rsid w:val="00446F24"/>
    <w:pPr>
      <w:spacing w:after="100"/>
      <w:ind w:left="440"/>
    </w:pPr>
  </w:style>
  <w:style w:type="character" w:styleId="FollowedHyperlink">
    <w:name w:val="FollowedHyperlink"/>
    <w:basedOn w:val="DefaultParagraphFont"/>
    <w:uiPriority w:val="99"/>
    <w:semiHidden/>
    <w:unhideWhenUsed/>
    <w:rsid w:val="00446F24"/>
    <w:rPr>
      <w:color w:val="954F72"/>
      <w:u w:val="single"/>
    </w:rPr>
  </w:style>
  <w:style w:type="paragraph" w:styleId="BalloonText">
    <w:name w:val="Balloon Text"/>
    <w:basedOn w:val="Normal"/>
    <w:link w:val="BalloonTextChar"/>
    <w:uiPriority w:val="99"/>
    <w:semiHidden/>
    <w:unhideWhenUsed/>
    <w:rsid w:val="0044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24"/>
    <w:rPr>
      <w:rFonts w:ascii="Tahoma" w:eastAsia="MS Mincho" w:hAnsi="Tahoma" w:cs="Tahoma"/>
      <w:sz w:val="16"/>
      <w:szCs w:val="16"/>
    </w:rPr>
  </w:style>
  <w:style w:type="character" w:styleId="CommentReference">
    <w:name w:val="annotation reference"/>
    <w:basedOn w:val="DefaultParagraphFont"/>
    <w:unhideWhenUsed/>
    <w:rsid w:val="00446F24"/>
    <w:rPr>
      <w:sz w:val="16"/>
      <w:szCs w:val="16"/>
    </w:rPr>
  </w:style>
  <w:style w:type="paragraph" w:styleId="CommentText">
    <w:name w:val="annotation text"/>
    <w:basedOn w:val="Normal"/>
    <w:link w:val="CommentTextChar"/>
    <w:uiPriority w:val="99"/>
    <w:semiHidden/>
    <w:unhideWhenUsed/>
    <w:rsid w:val="00446F24"/>
    <w:pPr>
      <w:spacing w:line="240" w:lineRule="auto"/>
    </w:pPr>
    <w:rPr>
      <w:sz w:val="20"/>
      <w:szCs w:val="20"/>
    </w:rPr>
  </w:style>
  <w:style w:type="character" w:customStyle="1" w:styleId="CommentTextChar">
    <w:name w:val="Comment Text Char"/>
    <w:basedOn w:val="DefaultParagraphFont"/>
    <w:link w:val="CommentText"/>
    <w:uiPriority w:val="99"/>
    <w:semiHidden/>
    <w:rsid w:val="00446F24"/>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6F24"/>
    <w:rPr>
      <w:b/>
      <w:bCs/>
    </w:rPr>
  </w:style>
  <w:style w:type="character" w:customStyle="1" w:styleId="CommentSubjectChar">
    <w:name w:val="Comment Subject Char"/>
    <w:basedOn w:val="CommentTextChar"/>
    <w:link w:val="CommentSubject"/>
    <w:uiPriority w:val="99"/>
    <w:semiHidden/>
    <w:rsid w:val="00446F24"/>
    <w:rPr>
      <w:rFonts w:ascii="Calibri" w:eastAsia="MS Mincho" w:hAnsi="Calibri" w:cs="Times New Roman"/>
      <w:b/>
      <w:bCs/>
      <w:sz w:val="20"/>
      <w:szCs w:val="20"/>
    </w:rPr>
  </w:style>
  <w:style w:type="paragraph" w:customStyle="1" w:styleId="ReportTitle">
    <w:name w:val="Report Title"/>
    <w:basedOn w:val="Title"/>
    <w:link w:val="ReportTitleChar"/>
    <w:qFormat/>
    <w:rsid w:val="00446F24"/>
    <w:pPr>
      <w:shd w:val="clear" w:color="auto" w:fill="005D97"/>
      <w:spacing w:before="0" w:after="0"/>
      <w:jc w:val="center"/>
    </w:pPr>
    <w:rPr>
      <w:color w:val="8064A2"/>
      <w:sz w:val="48"/>
      <w:szCs w:val="40"/>
      <w:lang w:val="en-US"/>
    </w:rPr>
  </w:style>
  <w:style w:type="paragraph" w:customStyle="1" w:styleId="ReportSubTitle">
    <w:name w:val="Report SubTitle"/>
    <w:basedOn w:val="Title"/>
    <w:link w:val="ReportSubTitleChar"/>
    <w:qFormat/>
    <w:rsid w:val="00446F24"/>
    <w:pPr>
      <w:shd w:val="clear" w:color="auto" w:fill="005D97"/>
      <w:spacing w:before="0" w:after="0"/>
      <w:jc w:val="center"/>
    </w:pPr>
    <w:rPr>
      <w:color w:val="8064A2"/>
      <w:sz w:val="28"/>
      <w:lang w:val="en-US"/>
    </w:rPr>
  </w:style>
  <w:style w:type="character" w:customStyle="1" w:styleId="ReportTitleChar">
    <w:name w:val="Report Title Char"/>
    <w:basedOn w:val="TitleChar"/>
    <w:link w:val="ReportTitle"/>
    <w:rsid w:val="00446F24"/>
    <w:rPr>
      <w:rFonts w:ascii="Calibri" w:eastAsia="Times New Roman" w:hAnsi="Calibri" w:cs="Arial"/>
      <w:b/>
      <w:bCs/>
      <w:color w:val="8064A2"/>
      <w:sz w:val="48"/>
      <w:szCs w:val="40"/>
      <w:shd w:val="clear" w:color="auto" w:fill="005D97"/>
      <w:lang w:val="sq-AL"/>
    </w:rPr>
  </w:style>
  <w:style w:type="character" w:customStyle="1" w:styleId="ReportSubTitleChar">
    <w:name w:val="Report SubTitle Char"/>
    <w:basedOn w:val="TitleChar"/>
    <w:link w:val="ReportSubTitle"/>
    <w:rsid w:val="00446F24"/>
    <w:rPr>
      <w:rFonts w:ascii="Calibri" w:eastAsia="Times New Roman" w:hAnsi="Calibri" w:cs="Arial"/>
      <w:b/>
      <w:bCs/>
      <w:color w:val="8064A2"/>
      <w:sz w:val="28"/>
      <w:szCs w:val="24"/>
      <w:shd w:val="clear" w:color="auto" w:fill="005D97"/>
      <w:lang w:val="sq-AL"/>
    </w:rPr>
  </w:style>
  <w:style w:type="paragraph" w:customStyle="1" w:styleId="HeadingS">
    <w:name w:val="Heading S"/>
    <w:basedOn w:val="Heading1"/>
    <w:next w:val="TextS"/>
    <w:qFormat/>
    <w:rsid w:val="00446F24"/>
    <w:pPr>
      <w:pageBreakBefore/>
      <w:numPr>
        <w:numId w:val="0"/>
      </w:numPr>
      <w:spacing w:before="480" w:after="480" w:line="312" w:lineRule="auto"/>
      <w:ind w:left="360" w:hanging="360"/>
      <w:jc w:val="center"/>
    </w:pPr>
    <w:rPr>
      <w:rFonts w:cs="Times New Roman"/>
      <w:bCs w:val="0"/>
      <w:caps/>
      <w:color w:val="auto"/>
      <w:sz w:val="22"/>
      <w:szCs w:val="22"/>
      <w:lang w:val="en-AU" w:eastAsia="en-GB"/>
    </w:rPr>
  </w:style>
  <w:style w:type="paragraph" w:styleId="Date">
    <w:name w:val="Date"/>
    <w:basedOn w:val="Normal"/>
    <w:next w:val="Normal"/>
    <w:link w:val="DateChar"/>
    <w:uiPriority w:val="99"/>
    <w:semiHidden/>
    <w:unhideWhenUsed/>
    <w:rsid w:val="00446F24"/>
  </w:style>
  <w:style w:type="character" w:customStyle="1" w:styleId="DateChar">
    <w:name w:val="Date Char"/>
    <w:basedOn w:val="DefaultParagraphFont"/>
    <w:link w:val="Date"/>
    <w:uiPriority w:val="99"/>
    <w:semiHidden/>
    <w:rsid w:val="00446F24"/>
    <w:rPr>
      <w:rFonts w:ascii="Calibri" w:eastAsia="MS Mincho" w:hAnsi="Calibri" w:cs="Times New Roman"/>
    </w:rPr>
  </w:style>
  <w:style w:type="paragraph" w:customStyle="1" w:styleId="ReportDate">
    <w:name w:val="Report Date"/>
    <w:basedOn w:val="Normal"/>
    <w:link w:val="ReportDateChar"/>
    <w:qFormat/>
    <w:rsid w:val="00446F24"/>
    <w:pPr>
      <w:tabs>
        <w:tab w:val="left" w:pos="2175"/>
      </w:tabs>
      <w:jc w:val="center"/>
    </w:pPr>
    <w:rPr>
      <w:b/>
      <w:bCs/>
      <w:color w:val="005D97"/>
      <w:sz w:val="36"/>
      <w:szCs w:val="36"/>
    </w:rPr>
  </w:style>
  <w:style w:type="character" w:customStyle="1" w:styleId="ReportDateChar">
    <w:name w:val="Report Date Char"/>
    <w:basedOn w:val="DefaultParagraphFont"/>
    <w:link w:val="ReportDate"/>
    <w:rsid w:val="00446F24"/>
    <w:rPr>
      <w:rFonts w:ascii="Calibri" w:eastAsia="MS Mincho" w:hAnsi="Calibri" w:cs="Times New Roman"/>
      <w:b/>
      <w:bCs/>
      <w:color w:val="005D97"/>
      <w:sz w:val="36"/>
      <w:szCs w:val="36"/>
    </w:rPr>
  </w:style>
  <w:style w:type="paragraph" w:customStyle="1" w:styleId="font5">
    <w:name w:val="font5"/>
    <w:basedOn w:val="Normal"/>
    <w:rsid w:val="00446F24"/>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6">
    <w:name w:val="font6"/>
    <w:basedOn w:val="Normal"/>
    <w:rsid w:val="00446F24"/>
    <w:pPr>
      <w:spacing w:before="100" w:beforeAutospacing="1" w:after="100" w:afterAutospacing="1" w:line="240" w:lineRule="auto"/>
    </w:pPr>
    <w:rPr>
      <w:rFonts w:ascii="Corbel" w:eastAsia="Times New Roman" w:hAnsi="Corbel"/>
      <w:sz w:val="16"/>
      <w:szCs w:val="16"/>
      <w:lang w:val="en-GB" w:eastAsia="en-GB"/>
    </w:rPr>
  </w:style>
  <w:style w:type="paragraph" w:customStyle="1" w:styleId="font7">
    <w:name w:val="font7"/>
    <w:basedOn w:val="Normal"/>
    <w:rsid w:val="00446F24"/>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8">
    <w:name w:val="font8"/>
    <w:basedOn w:val="Normal"/>
    <w:rsid w:val="00446F24"/>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9">
    <w:name w:val="font9"/>
    <w:basedOn w:val="Normal"/>
    <w:rsid w:val="00446F24"/>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10">
    <w:name w:val="font10"/>
    <w:basedOn w:val="Normal"/>
    <w:rsid w:val="00446F24"/>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1">
    <w:name w:val="font11"/>
    <w:basedOn w:val="Normal"/>
    <w:rsid w:val="00446F24"/>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2">
    <w:name w:val="font12"/>
    <w:basedOn w:val="Normal"/>
    <w:rsid w:val="00446F24"/>
    <w:pPr>
      <w:spacing w:before="100" w:beforeAutospacing="1" w:after="100" w:afterAutospacing="1" w:line="240" w:lineRule="auto"/>
    </w:pPr>
    <w:rPr>
      <w:rFonts w:eastAsia="Times New Roman"/>
      <w:sz w:val="16"/>
      <w:szCs w:val="16"/>
      <w:lang w:val="en-GB" w:eastAsia="en-GB"/>
    </w:rPr>
  </w:style>
  <w:style w:type="paragraph" w:customStyle="1" w:styleId="xl280">
    <w:name w:val="xl280"/>
    <w:basedOn w:val="Normal"/>
    <w:rsid w:val="00446F24"/>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1">
    <w:name w:val="xl281"/>
    <w:basedOn w:val="Normal"/>
    <w:rsid w:val="00446F24"/>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2">
    <w:name w:val="xl282"/>
    <w:basedOn w:val="Normal"/>
    <w:rsid w:val="00446F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3">
    <w:name w:val="xl283"/>
    <w:basedOn w:val="Normal"/>
    <w:rsid w:val="00446F24"/>
    <w:pPr>
      <w:shd w:val="clear" w:color="000000" w:fill="FFFFFF"/>
      <w:spacing w:before="100" w:beforeAutospacing="1" w:after="100" w:afterAutospacing="1" w:line="240" w:lineRule="auto"/>
      <w:jc w:val="center"/>
    </w:pPr>
    <w:rPr>
      <w:rFonts w:ascii="Corbel" w:eastAsia="Times New Roman" w:hAnsi="Corbel"/>
      <w:sz w:val="16"/>
      <w:szCs w:val="16"/>
      <w:lang w:val="en-GB" w:eastAsia="en-GB"/>
    </w:rPr>
  </w:style>
  <w:style w:type="paragraph" w:customStyle="1" w:styleId="xl284">
    <w:name w:val="xl284"/>
    <w:basedOn w:val="Normal"/>
    <w:rsid w:val="00446F24"/>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5">
    <w:name w:val="xl285"/>
    <w:basedOn w:val="Normal"/>
    <w:rsid w:val="00446F24"/>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6">
    <w:name w:val="xl286"/>
    <w:basedOn w:val="Normal"/>
    <w:rsid w:val="00446F24"/>
    <w:pPr>
      <w:pBdr>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7">
    <w:name w:val="xl287"/>
    <w:basedOn w:val="Normal"/>
    <w:rsid w:val="00446F24"/>
    <w:pPr>
      <w:shd w:val="clear" w:color="000000" w:fill="002060"/>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88">
    <w:name w:val="xl288"/>
    <w:basedOn w:val="Normal"/>
    <w:rsid w:val="00446F24"/>
    <w:pPr>
      <w:shd w:val="clear" w:color="000000" w:fill="002060"/>
      <w:spacing w:before="100" w:beforeAutospacing="1" w:after="100" w:afterAutospacing="1" w:line="240" w:lineRule="auto"/>
      <w:jc w:val="center"/>
      <w:textAlignment w:val="center"/>
    </w:pPr>
    <w:rPr>
      <w:rFonts w:ascii="Corbel" w:eastAsia="Times New Roman" w:hAnsi="Corbel"/>
      <w:color w:val="FFFFFF"/>
      <w:sz w:val="20"/>
      <w:szCs w:val="20"/>
      <w:lang w:val="en-GB" w:eastAsia="en-GB"/>
    </w:rPr>
  </w:style>
  <w:style w:type="paragraph" w:customStyle="1" w:styleId="xl289">
    <w:name w:val="xl289"/>
    <w:basedOn w:val="Normal"/>
    <w:rsid w:val="00446F24"/>
    <w:pPr>
      <w:spacing w:before="100" w:beforeAutospacing="1" w:after="100" w:afterAutospacing="1" w:line="240" w:lineRule="auto"/>
    </w:pPr>
    <w:rPr>
      <w:rFonts w:ascii="Corbel" w:eastAsia="Times New Roman" w:hAnsi="Corbel"/>
      <w:sz w:val="20"/>
      <w:szCs w:val="20"/>
      <w:lang w:val="en-GB" w:eastAsia="en-GB"/>
    </w:rPr>
  </w:style>
  <w:style w:type="paragraph" w:customStyle="1" w:styleId="xl290">
    <w:name w:val="xl290"/>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1">
    <w:name w:val="xl291"/>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2">
    <w:name w:val="xl292"/>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3">
    <w:name w:val="xl293"/>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4">
    <w:name w:val="xl294"/>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5">
    <w:name w:val="xl295"/>
    <w:basedOn w:val="Normal"/>
    <w:rsid w:val="00446F24"/>
    <w:pPr>
      <w:shd w:val="clear" w:color="000000" w:fill="DCE6F1"/>
      <w:spacing w:before="100" w:beforeAutospacing="1" w:after="100" w:afterAutospacing="1" w:line="240" w:lineRule="auto"/>
    </w:pPr>
    <w:rPr>
      <w:rFonts w:ascii="Corbel" w:eastAsia="Times New Roman" w:hAnsi="Corbel"/>
      <w:sz w:val="20"/>
      <w:szCs w:val="20"/>
      <w:lang w:val="en-GB" w:eastAsia="en-GB"/>
    </w:rPr>
  </w:style>
  <w:style w:type="paragraph" w:customStyle="1" w:styleId="xl296">
    <w:name w:val="xl296"/>
    <w:basedOn w:val="Normal"/>
    <w:rsid w:val="00446F24"/>
    <w:pPr>
      <w:shd w:val="clear" w:color="000000" w:fill="DCE6F1"/>
      <w:spacing w:before="100" w:beforeAutospacing="1" w:after="100" w:afterAutospacing="1" w:line="240" w:lineRule="auto"/>
    </w:pPr>
    <w:rPr>
      <w:rFonts w:ascii="Corbel" w:eastAsia="Times New Roman" w:hAnsi="Corbel"/>
      <w:b/>
      <w:bCs/>
      <w:sz w:val="20"/>
      <w:szCs w:val="20"/>
      <w:lang w:val="en-GB" w:eastAsia="en-GB"/>
    </w:rPr>
  </w:style>
  <w:style w:type="paragraph" w:customStyle="1" w:styleId="xl297">
    <w:name w:val="xl297"/>
    <w:basedOn w:val="Normal"/>
    <w:rsid w:val="00446F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8">
    <w:name w:val="xl298"/>
    <w:basedOn w:val="Normal"/>
    <w:rsid w:val="00446F2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9">
    <w:name w:val="xl299"/>
    <w:basedOn w:val="Normal"/>
    <w:rsid w:val="00446F2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0">
    <w:name w:val="xl300"/>
    <w:basedOn w:val="Normal"/>
    <w:rsid w:val="00446F24"/>
    <w:pPr>
      <w:pBdr>
        <w:top w:val="single" w:sz="4" w:space="0" w:color="auto"/>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1">
    <w:name w:val="xl301"/>
    <w:basedOn w:val="Normal"/>
    <w:rsid w:val="00446F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2">
    <w:name w:val="xl302"/>
    <w:basedOn w:val="Normal"/>
    <w:rsid w:val="00446F24"/>
    <w:pPr>
      <w:shd w:val="clear" w:color="000000" w:fill="002060"/>
      <w:spacing w:before="100" w:beforeAutospacing="1" w:after="100" w:afterAutospacing="1" w:line="240" w:lineRule="auto"/>
      <w:textAlignment w:val="center"/>
    </w:pPr>
    <w:rPr>
      <w:rFonts w:ascii="Corbel" w:eastAsia="Times New Roman" w:hAnsi="Corbel"/>
      <w:color w:val="FFFFFF"/>
      <w:sz w:val="20"/>
      <w:szCs w:val="20"/>
      <w:lang w:val="en-GB" w:eastAsia="en-GB"/>
    </w:rPr>
  </w:style>
  <w:style w:type="paragraph" w:customStyle="1" w:styleId="xl303">
    <w:name w:val="xl303"/>
    <w:basedOn w:val="Normal"/>
    <w:rsid w:val="00446F24"/>
    <w:pPr>
      <w:shd w:val="clear" w:color="000000" w:fill="FFFFFF"/>
      <w:spacing w:before="100" w:beforeAutospacing="1" w:after="100" w:afterAutospacing="1" w:line="240" w:lineRule="auto"/>
      <w:textAlignment w:val="center"/>
    </w:pPr>
    <w:rPr>
      <w:rFonts w:ascii="Corbel" w:eastAsia="Times New Roman" w:hAnsi="Corbel"/>
      <w:sz w:val="20"/>
      <w:szCs w:val="20"/>
      <w:lang w:val="en-GB" w:eastAsia="en-GB"/>
    </w:rPr>
  </w:style>
  <w:style w:type="paragraph" w:customStyle="1" w:styleId="xl304">
    <w:name w:val="xl304"/>
    <w:basedOn w:val="Normal"/>
    <w:rsid w:val="00446F24"/>
    <w:pPr>
      <w:shd w:val="clear" w:color="000000" w:fill="FFFFFF"/>
      <w:spacing w:before="100" w:beforeAutospacing="1" w:after="100" w:afterAutospacing="1" w:line="240" w:lineRule="auto"/>
    </w:pPr>
    <w:rPr>
      <w:rFonts w:ascii="Corbel" w:eastAsia="Times New Roman" w:hAnsi="Corbel"/>
      <w:i/>
      <w:iCs/>
      <w:sz w:val="20"/>
      <w:szCs w:val="20"/>
      <w:lang w:val="en-GB" w:eastAsia="en-GB"/>
    </w:rPr>
  </w:style>
  <w:style w:type="paragraph" w:customStyle="1" w:styleId="xl305">
    <w:name w:val="xl305"/>
    <w:basedOn w:val="Normal"/>
    <w:rsid w:val="00446F24"/>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6">
    <w:name w:val="xl306"/>
    <w:basedOn w:val="Normal"/>
    <w:rsid w:val="00446F24"/>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7">
    <w:name w:val="xl307"/>
    <w:basedOn w:val="Normal"/>
    <w:rsid w:val="00446F24"/>
    <w:pPr>
      <w:shd w:val="clear" w:color="000000" w:fill="FFFFFF"/>
      <w:spacing w:before="100" w:beforeAutospacing="1" w:after="100" w:afterAutospacing="1" w:line="240" w:lineRule="auto"/>
      <w:ind w:firstLineChars="200" w:firstLine="200"/>
    </w:pPr>
    <w:rPr>
      <w:rFonts w:ascii="Corbel" w:eastAsia="Times New Roman" w:hAnsi="Corbel"/>
      <w:sz w:val="20"/>
      <w:szCs w:val="20"/>
      <w:lang w:val="en-GB" w:eastAsia="en-GB"/>
    </w:rPr>
  </w:style>
  <w:style w:type="paragraph" w:customStyle="1" w:styleId="xl308">
    <w:name w:val="xl308"/>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09">
    <w:name w:val="xl309"/>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0">
    <w:name w:val="xl310"/>
    <w:basedOn w:val="Normal"/>
    <w:rsid w:val="00446F24"/>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1">
    <w:name w:val="xl311"/>
    <w:basedOn w:val="Normal"/>
    <w:rsid w:val="00446F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color w:val="0070C0"/>
      <w:sz w:val="20"/>
      <w:szCs w:val="20"/>
      <w:lang w:val="en-GB" w:eastAsia="en-GB"/>
    </w:rPr>
  </w:style>
  <w:style w:type="paragraph" w:customStyle="1" w:styleId="xl312">
    <w:name w:val="xl312"/>
    <w:basedOn w:val="Normal"/>
    <w:rsid w:val="00446F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orbel" w:eastAsia="Times New Roman" w:hAnsi="Corbel"/>
      <w:sz w:val="20"/>
      <w:szCs w:val="20"/>
      <w:lang w:val="en-GB" w:eastAsia="en-GB"/>
    </w:rPr>
  </w:style>
  <w:style w:type="paragraph" w:customStyle="1" w:styleId="xl313">
    <w:name w:val="xl313"/>
    <w:basedOn w:val="Normal"/>
    <w:rsid w:val="00446F24"/>
    <w:pPr>
      <w:shd w:val="clear" w:color="000000" w:fill="FFFFFF"/>
      <w:spacing w:before="100" w:beforeAutospacing="1" w:after="100" w:afterAutospacing="1" w:line="240" w:lineRule="auto"/>
      <w:ind w:firstLineChars="200" w:firstLine="200"/>
      <w:textAlignment w:val="center"/>
    </w:pPr>
    <w:rPr>
      <w:rFonts w:ascii="Corbel" w:eastAsia="Times New Roman" w:hAnsi="Corbel"/>
      <w:sz w:val="20"/>
      <w:szCs w:val="20"/>
      <w:lang w:val="en-GB" w:eastAsia="en-GB"/>
    </w:rPr>
  </w:style>
  <w:style w:type="paragraph" w:styleId="TOCHeading">
    <w:name w:val="TOC Heading"/>
    <w:basedOn w:val="Heading1"/>
    <w:next w:val="Normal"/>
    <w:uiPriority w:val="39"/>
    <w:semiHidden/>
    <w:unhideWhenUsed/>
    <w:qFormat/>
    <w:rsid w:val="00446F24"/>
    <w:pPr>
      <w:keepLines/>
      <w:numPr>
        <w:numId w:val="0"/>
      </w:numPr>
      <w:spacing w:before="480" w:after="0"/>
      <w:outlineLvl w:val="9"/>
    </w:pPr>
    <w:rPr>
      <w:rFonts w:ascii="Cambria" w:hAnsi="Cambria" w:cs="Times New Roman"/>
      <w:color w:val="365F91"/>
      <w:szCs w:val="28"/>
      <w:lang w:val="en-US"/>
    </w:rPr>
  </w:style>
  <w:style w:type="table" w:styleId="TableGrid">
    <w:name w:val="Table Grid"/>
    <w:basedOn w:val="TableNormal"/>
    <w:uiPriority w:val="59"/>
    <w:rsid w:val="00446F24"/>
    <w:pPr>
      <w:spacing w:after="0" w:line="240" w:lineRule="auto"/>
    </w:pPr>
    <w:rPr>
      <w:rFonts w:ascii="Calibri" w:eastAsia="Times New Roman" w:hAnsi="Calibri" w:cs="Calibri"/>
      <w:sz w:val="20"/>
      <w:szCs w:val="20"/>
      <w:lang w:val="sq-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0571"/>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ro-ks.org/2018/Raportet/Pergjigje%20ndaj%20komenteve%20te%20KEDS_PRR2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pricing-tariffs@ero-k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ro-ks.org/zrre/sites/default/files/Konsultimet%20Publike/Aplikimi%20i%20OSSH-s%C3%AB%202021%20-%208%20Mars%20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ecb_statistics/escb/html/table.en.html?id=JDF_ICP_COICOP_ANR&amp;period=2017-12"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4805-527B-4C0E-B23D-5B31ACAA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dc:creator>
  <cp:lastModifiedBy>Ymer Rudari</cp:lastModifiedBy>
  <cp:revision>3</cp:revision>
  <cp:lastPrinted>2019-03-04T09:58:00Z</cp:lastPrinted>
  <dcterms:created xsi:type="dcterms:W3CDTF">2021-09-06T09:09:00Z</dcterms:created>
  <dcterms:modified xsi:type="dcterms:W3CDTF">2021-09-06T09:23:00Z</dcterms:modified>
</cp:coreProperties>
</file>