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4F5" w:rsidRPr="00C76102" w:rsidRDefault="001264F5" w:rsidP="001264F5">
      <w:pPr>
        <w:rPr>
          <w:lang w:val="en-GB"/>
        </w:rPr>
      </w:pPr>
      <w:bookmarkStart w:id="0" w:name="_GoBack"/>
      <w:bookmarkEnd w:id="0"/>
    </w:p>
    <w:p w:rsidR="001264F5" w:rsidRPr="00C76102" w:rsidRDefault="001264F5" w:rsidP="001264F5">
      <w:pPr>
        <w:rPr>
          <w:lang w:val="en-GB"/>
        </w:rPr>
      </w:pPr>
    </w:p>
    <w:p w:rsidR="001264F5" w:rsidRPr="00C76102" w:rsidRDefault="001264F5" w:rsidP="001264F5">
      <w:pPr>
        <w:rPr>
          <w:lang w:val="en-GB"/>
        </w:rPr>
      </w:pPr>
    </w:p>
    <w:p w:rsidR="001264F5" w:rsidRPr="00C76102" w:rsidRDefault="007821E1" w:rsidP="001264F5">
      <w:pPr>
        <w:pStyle w:val="Title"/>
        <w:shd w:val="clear" w:color="auto" w:fill="005D97"/>
        <w:jc w:val="center"/>
        <w:rPr>
          <w:color w:val="DF8D1D"/>
          <w:szCs w:val="32"/>
          <w:lang w:val="en-GB"/>
        </w:rPr>
      </w:pPr>
      <w:r w:rsidRPr="00C76102">
        <w:rPr>
          <w:color w:val="DF8D1D"/>
          <w:szCs w:val="32"/>
          <w:lang w:val="en-GB"/>
        </w:rPr>
        <w:t xml:space="preserve">Consultation Paper </w:t>
      </w:r>
    </w:p>
    <w:p w:rsidR="001264F5" w:rsidRPr="00C76102" w:rsidRDefault="00F17371" w:rsidP="001264F5">
      <w:pPr>
        <w:pStyle w:val="Title"/>
        <w:shd w:val="clear" w:color="auto" w:fill="005D97"/>
        <w:jc w:val="center"/>
        <w:rPr>
          <w:color w:val="DF8D1D"/>
          <w:sz w:val="28"/>
          <w:szCs w:val="28"/>
          <w:lang w:val="en-GB"/>
        </w:rPr>
      </w:pPr>
      <w:r w:rsidRPr="00C76102">
        <w:rPr>
          <w:color w:val="DF8D1D"/>
          <w:sz w:val="28"/>
          <w:szCs w:val="28"/>
          <w:lang w:val="en-GB"/>
        </w:rPr>
        <w:t>Annual Adjustments of Maximum Allowed Revenues for USS</w:t>
      </w:r>
    </w:p>
    <w:p w:rsidR="001264F5" w:rsidRPr="00C76102" w:rsidRDefault="00794829" w:rsidP="001264F5">
      <w:pPr>
        <w:pStyle w:val="Title"/>
        <w:shd w:val="clear" w:color="auto" w:fill="005D97"/>
        <w:jc w:val="center"/>
        <w:rPr>
          <w:color w:val="DF8D1D"/>
          <w:sz w:val="28"/>
          <w:szCs w:val="28"/>
          <w:lang w:val="en-GB"/>
        </w:rPr>
      </w:pPr>
      <w:r w:rsidRPr="00C76102">
        <w:rPr>
          <w:color w:val="DF8D1D"/>
          <w:sz w:val="28"/>
          <w:szCs w:val="28"/>
          <w:lang w:val="en-GB"/>
        </w:rPr>
        <w:t>(April 2020-March 2021)</w:t>
      </w:r>
    </w:p>
    <w:p w:rsidR="001264F5" w:rsidRPr="00C76102" w:rsidRDefault="001264F5" w:rsidP="001264F5">
      <w:pPr>
        <w:rPr>
          <w:lang w:val="en-GB"/>
        </w:rPr>
      </w:pPr>
    </w:p>
    <w:p w:rsidR="001264F5" w:rsidRPr="00C76102" w:rsidRDefault="001264F5" w:rsidP="001264F5">
      <w:pPr>
        <w:rPr>
          <w:lang w:val="en-GB"/>
        </w:rPr>
      </w:pPr>
    </w:p>
    <w:tbl>
      <w:tblPr>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999"/>
      </w:tblGrid>
      <w:tr w:rsidR="001264F5" w:rsidRPr="00C76102" w:rsidTr="00343289">
        <w:tc>
          <w:tcPr>
            <w:tcW w:w="9198" w:type="dxa"/>
            <w:shd w:val="clear" w:color="auto" w:fill="E0E0E0"/>
          </w:tcPr>
          <w:p w:rsidR="007821E1" w:rsidRPr="00C76102" w:rsidRDefault="007821E1" w:rsidP="007821E1">
            <w:pPr>
              <w:spacing w:before="120"/>
              <w:jc w:val="center"/>
              <w:rPr>
                <w:b/>
                <w:color w:val="0070C0"/>
                <w:lang w:val="en-GB"/>
              </w:rPr>
            </w:pPr>
            <w:r w:rsidRPr="00C76102">
              <w:rPr>
                <w:b/>
                <w:color w:val="0070C0"/>
                <w:lang w:val="en-GB"/>
              </w:rPr>
              <w:t>DISCLAIMER</w:t>
            </w:r>
          </w:p>
          <w:p w:rsidR="001264F5" w:rsidRPr="00C76102" w:rsidRDefault="007821E1" w:rsidP="00343289">
            <w:pPr>
              <w:keepNext/>
              <w:jc w:val="both"/>
              <w:rPr>
                <w:b/>
                <w:bCs/>
                <w:lang w:val="en-GB"/>
              </w:rPr>
            </w:pPr>
            <w:r w:rsidRPr="00C76102">
              <w:rPr>
                <w:b/>
                <w:color w:val="0070C0"/>
                <w:lang w:val="en-GB"/>
              </w:rPr>
              <w:t xml:space="preserve">This Consultation Paper has been prepared by ERO for the purpose of informing stakeholders. </w:t>
            </w:r>
            <w:r w:rsidRPr="00C76102">
              <w:rPr>
                <w:b/>
                <w:color w:val="0070C0"/>
                <w:u w:val="single"/>
                <w:lang w:val="en-GB"/>
              </w:rPr>
              <w:t>It does not represent a decision by the ERO and should not be interpreted as such.</w:t>
            </w:r>
          </w:p>
        </w:tc>
      </w:tr>
    </w:tbl>
    <w:p w:rsidR="001264F5" w:rsidRPr="00C76102" w:rsidRDefault="001264F5" w:rsidP="001264F5">
      <w:pPr>
        <w:rPr>
          <w:lang w:val="en-GB"/>
        </w:rPr>
      </w:pPr>
    </w:p>
    <w:p w:rsidR="001264F5" w:rsidRPr="00C76102" w:rsidRDefault="001264F5" w:rsidP="001264F5">
      <w:pPr>
        <w:rPr>
          <w:lang w:val="en-GB"/>
        </w:rPr>
      </w:pPr>
    </w:p>
    <w:p w:rsidR="001264F5" w:rsidRPr="00C76102" w:rsidRDefault="001264F5" w:rsidP="001264F5">
      <w:pPr>
        <w:rPr>
          <w:lang w:val="en-GB"/>
        </w:rPr>
      </w:pPr>
    </w:p>
    <w:p w:rsidR="001264F5" w:rsidRPr="00C76102" w:rsidRDefault="001264F5" w:rsidP="001264F5">
      <w:pPr>
        <w:rPr>
          <w:lang w:val="en-GB"/>
        </w:rPr>
      </w:pPr>
    </w:p>
    <w:p w:rsidR="001264F5" w:rsidRPr="00C76102" w:rsidRDefault="001264F5" w:rsidP="001264F5">
      <w:pPr>
        <w:rPr>
          <w:lang w:val="en-GB"/>
        </w:rPr>
      </w:pPr>
    </w:p>
    <w:p w:rsidR="001264F5" w:rsidRPr="00C76102" w:rsidRDefault="001264F5" w:rsidP="001264F5">
      <w:pPr>
        <w:rPr>
          <w:lang w:val="en-GB"/>
        </w:rPr>
      </w:pPr>
    </w:p>
    <w:p w:rsidR="001264F5" w:rsidRPr="00C76102" w:rsidRDefault="001264F5" w:rsidP="001264F5">
      <w:pPr>
        <w:pStyle w:val="ReportDate"/>
        <w:rPr>
          <w:highlight w:val="yellow"/>
          <w:lang w:val="en-GB"/>
        </w:rPr>
      </w:pPr>
    </w:p>
    <w:p w:rsidR="001264F5" w:rsidRPr="00C76102" w:rsidRDefault="001264F5" w:rsidP="001264F5">
      <w:pPr>
        <w:pStyle w:val="ReportDate"/>
        <w:rPr>
          <w:highlight w:val="yellow"/>
          <w:lang w:val="en-GB"/>
        </w:rPr>
      </w:pPr>
    </w:p>
    <w:p w:rsidR="00AD2298" w:rsidRPr="00C76102" w:rsidRDefault="00AD2298" w:rsidP="001264F5">
      <w:pPr>
        <w:pStyle w:val="ReportDate"/>
        <w:rPr>
          <w:highlight w:val="yellow"/>
          <w:lang w:val="en-GB"/>
        </w:rPr>
      </w:pPr>
    </w:p>
    <w:p w:rsidR="001264F5" w:rsidRPr="00C76102" w:rsidRDefault="00AD2298" w:rsidP="001264F5">
      <w:pPr>
        <w:pStyle w:val="ReportDate"/>
        <w:rPr>
          <w:b w:val="0"/>
          <w:bCs w:val="0"/>
          <w:sz w:val="28"/>
          <w:szCs w:val="28"/>
          <w:lang w:val="en-GB"/>
        </w:rPr>
      </w:pPr>
      <w:r w:rsidRPr="00C76102">
        <w:rPr>
          <w:sz w:val="28"/>
          <w:szCs w:val="28"/>
          <w:lang w:val="en-GB"/>
        </w:rPr>
        <w:t>August 2021</w:t>
      </w:r>
    </w:p>
    <w:p w:rsidR="00FB3B1E" w:rsidRPr="00C76102" w:rsidRDefault="00FB3B1E">
      <w:pPr>
        <w:rPr>
          <w:rFonts w:eastAsia="Times New Roman" w:cstheme="minorHAnsi"/>
          <w:b/>
          <w:bCs/>
          <w:color w:val="003366"/>
          <w:sz w:val="28"/>
          <w:szCs w:val="24"/>
          <w:lang w:val="en-GB"/>
        </w:rPr>
      </w:pPr>
      <w:r w:rsidRPr="00C76102">
        <w:rPr>
          <w:rFonts w:cstheme="minorHAnsi"/>
          <w:lang w:val="en-GB"/>
        </w:rPr>
        <w:br w:type="page"/>
      </w:r>
    </w:p>
    <w:sdt>
      <w:sdtPr>
        <w:rPr>
          <w:rFonts w:asciiTheme="minorHAnsi" w:eastAsia="MS Mincho" w:hAnsiTheme="minorHAnsi" w:cstheme="minorBidi"/>
          <w:b w:val="0"/>
          <w:bCs w:val="0"/>
          <w:color w:val="auto"/>
          <w:sz w:val="22"/>
          <w:szCs w:val="22"/>
          <w:lang w:val="en-GB"/>
        </w:rPr>
        <w:id w:val="546984360"/>
        <w:docPartObj>
          <w:docPartGallery w:val="Table of Contents"/>
          <w:docPartUnique/>
        </w:docPartObj>
      </w:sdtPr>
      <w:sdtEndPr/>
      <w:sdtContent>
        <w:p w:rsidR="00FB3B1E" w:rsidRPr="00C76102" w:rsidRDefault="00FB3B1E" w:rsidP="00FB3B1E">
          <w:pPr>
            <w:pStyle w:val="TOCHeading"/>
            <w:spacing w:before="0" w:after="240"/>
            <w:rPr>
              <w:lang w:val="en-GB"/>
            </w:rPr>
          </w:pPr>
        </w:p>
        <w:p w:rsidR="00FB3B1E" w:rsidRPr="00C76102" w:rsidRDefault="00CF0A50" w:rsidP="00FB3B1E">
          <w:pPr>
            <w:pStyle w:val="TOCHeading"/>
            <w:spacing w:before="0" w:after="240"/>
            <w:rPr>
              <w:lang w:val="en-GB"/>
            </w:rPr>
          </w:pPr>
          <w:r w:rsidRPr="00C76102">
            <w:rPr>
              <w:lang w:val="en-GB"/>
            </w:rPr>
            <w:t>Table of Contents</w:t>
          </w:r>
        </w:p>
        <w:p w:rsidR="00C76102" w:rsidRDefault="00AC11D0">
          <w:pPr>
            <w:pStyle w:val="TOC1"/>
            <w:tabs>
              <w:tab w:val="right" w:leader="dot" w:pos="9019"/>
            </w:tabs>
            <w:rPr>
              <w:rFonts w:eastAsiaTheme="minorEastAsia"/>
              <w:noProof/>
              <w:lang w:val="en-US"/>
            </w:rPr>
          </w:pPr>
          <w:r w:rsidRPr="00C76102">
            <w:rPr>
              <w:lang w:val="en-GB"/>
            </w:rPr>
            <w:fldChar w:fldCharType="begin"/>
          </w:r>
          <w:r w:rsidR="00FB3B1E" w:rsidRPr="00C76102">
            <w:rPr>
              <w:lang w:val="en-GB"/>
            </w:rPr>
            <w:instrText xml:space="preserve"> TOC \o "1-3" \h \z \u </w:instrText>
          </w:r>
          <w:r w:rsidRPr="00C76102">
            <w:rPr>
              <w:lang w:val="en-GB"/>
            </w:rPr>
            <w:fldChar w:fldCharType="separate"/>
          </w:r>
          <w:hyperlink w:anchor="_Toc81818654" w:history="1">
            <w:r w:rsidR="00C76102" w:rsidRPr="002411F4">
              <w:rPr>
                <w:rStyle w:val="Hyperlink"/>
                <w:rFonts w:cstheme="minorHAnsi"/>
                <w:noProof/>
                <w:lang w:val="en-GB"/>
              </w:rPr>
              <w:t>Introduction</w:t>
            </w:r>
            <w:r w:rsidR="00C76102">
              <w:rPr>
                <w:noProof/>
                <w:webHidden/>
              </w:rPr>
              <w:tab/>
            </w:r>
            <w:r w:rsidR="00C76102">
              <w:rPr>
                <w:noProof/>
                <w:webHidden/>
              </w:rPr>
              <w:fldChar w:fldCharType="begin"/>
            </w:r>
            <w:r w:rsidR="00C76102">
              <w:rPr>
                <w:noProof/>
                <w:webHidden/>
              </w:rPr>
              <w:instrText xml:space="preserve"> PAGEREF _Toc81818654 \h </w:instrText>
            </w:r>
            <w:r w:rsidR="00C76102">
              <w:rPr>
                <w:noProof/>
                <w:webHidden/>
              </w:rPr>
            </w:r>
            <w:r w:rsidR="00C76102">
              <w:rPr>
                <w:noProof/>
                <w:webHidden/>
              </w:rPr>
              <w:fldChar w:fldCharType="separate"/>
            </w:r>
            <w:r w:rsidR="00C76102">
              <w:rPr>
                <w:noProof/>
                <w:webHidden/>
              </w:rPr>
              <w:t>3</w:t>
            </w:r>
            <w:r w:rsidR="00C76102">
              <w:rPr>
                <w:noProof/>
                <w:webHidden/>
              </w:rPr>
              <w:fldChar w:fldCharType="end"/>
            </w:r>
          </w:hyperlink>
        </w:p>
        <w:p w:rsidR="00C76102" w:rsidRDefault="00EF3C6D">
          <w:pPr>
            <w:pStyle w:val="TOC1"/>
            <w:tabs>
              <w:tab w:val="left" w:pos="440"/>
              <w:tab w:val="right" w:leader="dot" w:pos="9019"/>
            </w:tabs>
            <w:rPr>
              <w:rFonts w:eastAsiaTheme="minorEastAsia"/>
              <w:noProof/>
              <w:lang w:val="en-US"/>
            </w:rPr>
          </w:pPr>
          <w:hyperlink w:anchor="_Toc81818655" w:history="1">
            <w:r w:rsidR="00C76102" w:rsidRPr="002411F4">
              <w:rPr>
                <w:rStyle w:val="Hyperlink"/>
                <w:rFonts w:cstheme="minorHAnsi"/>
                <w:noProof/>
                <w:lang w:val="en-GB"/>
              </w:rPr>
              <w:t>1</w:t>
            </w:r>
            <w:r w:rsidR="00C76102">
              <w:rPr>
                <w:rFonts w:eastAsiaTheme="minorEastAsia"/>
                <w:noProof/>
                <w:lang w:val="en-US"/>
              </w:rPr>
              <w:tab/>
            </w:r>
            <w:r w:rsidR="00C76102" w:rsidRPr="002411F4">
              <w:rPr>
                <w:rStyle w:val="Hyperlink"/>
                <w:rFonts w:cstheme="minorHAnsi"/>
                <w:noProof/>
                <w:lang w:val="en-GB"/>
              </w:rPr>
              <w:t>Electricity Balance 2020</w:t>
            </w:r>
            <w:r w:rsidR="00C76102">
              <w:rPr>
                <w:noProof/>
                <w:webHidden/>
              </w:rPr>
              <w:tab/>
            </w:r>
            <w:r w:rsidR="00C76102">
              <w:rPr>
                <w:noProof/>
                <w:webHidden/>
              </w:rPr>
              <w:fldChar w:fldCharType="begin"/>
            </w:r>
            <w:r w:rsidR="00C76102">
              <w:rPr>
                <w:noProof/>
                <w:webHidden/>
              </w:rPr>
              <w:instrText xml:space="preserve"> PAGEREF _Toc81818655 \h </w:instrText>
            </w:r>
            <w:r w:rsidR="00C76102">
              <w:rPr>
                <w:noProof/>
                <w:webHidden/>
              </w:rPr>
            </w:r>
            <w:r w:rsidR="00C76102">
              <w:rPr>
                <w:noProof/>
                <w:webHidden/>
              </w:rPr>
              <w:fldChar w:fldCharType="separate"/>
            </w:r>
            <w:r w:rsidR="00C76102">
              <w:rPr>
                <w:noProof/>
                <w:webHidden/>
              </w:rPr>
              <w:t>4</w:t>
            </w:r>
            <w:r w:rsidR="00C76102">
              <w:rPr>
                <w:noProof/>
                <w:webHidden/>
              </w:rPr>
              <w:fldChar w:fldCharType="end"/>
            </w:r>
          </w:hyperlink>
        </w:p>
        <w:p w:rsidR="00C76102" w:rsidRDefault="00EF3C6D">
          <w:pPr>
            <w:pStyle w:val="TOC1"/>
            <w:tabs>
              <w:tab w:val="left" w:pos="440"/>
              <w:tab w:val="right" w:leader="dot" w:pos="9019"/>
            </w:tabs>
            <w:rPr>
              <w:rFonts w:eastAsiaTheme="minorEastAsia"/>
              <w:noProof/>
              <w:lang w:val="en-US"/>
            </w:rPr>
          </w:pPr>
          <w:hyperlink w:anchor="_Toc81818656" w:history="1">
            <w:r w:rsidR="00C76102" w:rsidRPr="002411F4">
              <w:rPr>
                <w:rStyle w:val="Hyperlink"/>
                <w:rFonts w:cstheme="minorHAnsi"/>
                <w:noProof/>
                <w:lang w:val="en-GB"/>
              </w:rPr>
              <w:t>2</w:t>
            </w:r>
            <w:r w:rsidR="00C76102">
              <w:rPr>
                <w:rFonts w:eastAsiaTheme="minorEastAsia"/>
                <w:noProof/>
                <w:lang w:val="en-US"/>
              </w:rPr>
              <w:tab/>
            </w:r>
            <w:r w:rsidR="00C76102" w:rsidRPr="002411F4">
              <w:rPr>
                <w:rStyle w:val="Hyperlink"/>
                <w:rFonts w:cstheme="minorHAnsi"/>
                <w:noProof/>
                <w:lang w:val="en-GB"/>
              </w:rPr>
              <w:t>Wholesale Costs - Energy Purchase</w:t>
            </w:r>
            <w:r w:rsidR="00C76102">
              <w:rPr>
                <w:noProof/>
                <w:webHidden/>
              </w:rPr>
              <w:tab/>
            </w:r>
            <w:r w:rsidR="00C76102">
              <w:rPr>
                <w:noProof/>
                <w:webHidden/>
              </w:rPr>
              <w:fldChar w:fldCharType="begin"/>
            </w:r>
            <w:r w:rsidR="00C76102">
              <w:rPr>
                <w:noProof/>
                <w:webHidden/>
              </w:rPr>
              <w:instrText xml:space="preserve"> PAGEREF _Toc81818656 \h </w:instrText>
            </w:r>
            <w:r w:rsidR="00C76102">
              <w:rPr>
                <w:noProof/>
                <w:webHidden/>
              </w:rPr>
            </w:r>
            <w:r w:rsidR="00C76102">
              <w:rPr>
                <w:noProof/>
                <w:webHidden/>
              </w:rPr>
              <w:fldChar w:fldCharType="separate"/>
            </w:r>
            <w:r w:rsidR="00C76102">
              <w:rPr>
                <w:noProof/>
                <w:webHidden/>
              </w:rPr>
              <w:t>5</w:t>
            </w:r>
            <w:r w:rsidR="00C76102">
              <w:rPr>
                <w:noProof/>
                <w:webHidden/>
              </w:rPr>
              <w:fldChar w:fldCharType="end"/>
            </w:r>
          </w:hyperlink>
        </w:p>
        <w:p w:rsidR="00C76102" w:rsidRDefault="00EF3C6D">
          <w:pPr>
            <w:pStyle w:val="TOC2"/>
            <w:tabs>
              <w:tab w:val="left" w:pos="880"/>
              <w:tab w:val="right" w:leader="dot" w:pos="9019"/>
            </w:tabs>
            <w:rPr>
              <w:rFonts w:eastAsiaTheme="minorEastAsia"/>
              <w:noProof/>
              <w:lang w:val="en-US"/>
            </w:rPr>
          </w:pPr>
          <w:hyperlink w:anchor="_Toc81818657" w:history="1">
            <w:r w:rsidR="00C76102" w:rsidRPr="002411F4">
              <w:rPr>
                <w:rStyle w:val="Hyperlink"/>
                <w:noProof/>
                <w:lang w:val="en-GB"/>
              </w:rPr>
              <w:t>2.1</w:t>
            </w:r>
            <w:r w:rsidR="00C76102">
              <w:rPr>
                <w:rFonts w:eastAsiaTheme="minorEastAsia"/>
                <w:noProof/>
                <w:lang w:val="en-US"/>
              </w:rPr>
              <w:tab/>
            </w:r>
            <w:r w:rsidR="00C76102" w:rsidRPr="002411F4">
              <w:rPr>
                <w:rStyle w:val="Hyperlink"/>
                <w:noProof/>
                <w:lang w:val="en-GB"/>
              </w:rPr>
              <w:t>Adjustments of Revenues for 2020</w:t>
            </w:r>
            <w:r w:rsidR="00C76102">
              <w:rPr>
                <w:noProof/>
                <w:webHidden/>
              </w:rPr>
              <w:tab/>
            </w:r>
            <w:r w:rsidR="00C76102">
              <w:rPr>
                <w:noProof/>
                <w:webHidden/>
              </w:rPr>
              <w:fldChar w:fldCharType="begin"/>
            </w:r>
            <w:r w:rsidR="00C76102">
              <w:rPr>
                <w:noProof/>
                <w:webHidden/>
              </w:rPr>
              <w:instrText xml:space="preserve"> PAGEREF _Toc81818657 \h </w:instrText>
            </w:r>
            <w:r w:rsidR="00C76102">
              <w:rPr>
                <w:noProof/>
                <w:webHidden/>
              </w:rPr>
            </w:r>
            <w:r w:rsidR="00C76102">
              <w:rPr>
                <w:noProof/>
                <w:webHidden/>
              </w:rPr>
              <w:fldChar w:fldCharType="separate"/>
            </w:r>
            <w:r w:rsidR="00C76102">
              <w:rPr>
                <w:noProof/>
                <w:webHidden/>
              </w:rPr>
              <w:t>6</w:t>
            </w:r>
            <w:r w:rsidR="00C76102">
              <w:rPr>
                <w:noProof/>
                <w:webHidden/>
              </w:rPr>
              <w:fldChar w:fldCharType="end"/>
            </w:r>
          </w:hyperlink>
        </w:p>
        <w:p w:rsidR="00C76102" w:rsidRDefault="00EF3C6D">
          <w:pPr>
            <w:pStyle w:val="TOC1"/>
            <w:tabs>
              <w:tab w:val="left" w:pos="440"/>
              <w:tab w:val="right" w:leader="dot" w:pos="9019"/>
            </w:tabs>
            <w:rPr>
              <w:rFonts w:eastAsiaTheme="minorEastAsia"/>
              <w:noProof/>
              <w:lang w:val="en-US"/>
            </w:rPr>
          </w:pPr>
          <w:hyperlink w:anchor="_Toc81818658" w:history="1">
            <w:r w:rsidR="00C76102" w:rsidRPr="002411F4">
              <w:rPr>
                <w:rStyle w:val="Hyperlink"/>
                <w:rFonts w:cstheme="minorHAnsi"/>
                <w:noProof/>
                <w:lang w:val="en-GB"/>
              </w:rPr>
              <w:t>3</w:t>
            </w:r>
            <w:r w:rsidR="00C76102">
              <w:rPr>
                <w:rFonts w:eastAsiaTheme="minorEastAsia"/>
                <w:noProof/>
                <w:lang w:val="en-US"/>
              </w:rPr>
              <w:tab/>
            </w:r>
            <w:r w:rsidR="00C76102" w:rsidRPr="002411F4">
              <w:rPr>
                <w:rStyle w:val="Hyperlink"/>
                <w:rFonts w:cstheme="minorHAnsi"/>
                <w:noProof/>
                <w:lang w:val="en-GB"/>
              </w:rPr>
              <w:t>Pass-through Costs</w:t>
            </w:r>
            <w:r w:rsidR="00C76102">
              <w:rPr>
                <w:noProof/>
                <w:webHidden/>
              </w:rPr>
              <w:tab/>
            </w:r>
            <w:r w:rsidR="00C76102">
              <w:rPr>
                <w:noProof/>
                <w:webHidden/>
              </w:rPr>
              <w:fldChar w:fldCharType="begin"/>
            </w:r>
            <w:r w:rsidR="00C76102">
              <w:rPr>
                <w:noProof/>
                <w:webHidden/>
              </w:rPr>
              <w:instrText xml:space="preserve"> PAGEREF _Toc81818658 \h </w:instrText>
            </w:r>
            <w:r w:rsidR="00C76102">
              <w:rPr>
                <w:noProof/>
                <w:webHidden/>
              </w:rPr>
            </w:r>
            <w:r w:rsidR="00C76102">
              <w:rPr>
                <w:noProof/>
                <w:webHidden/>
              </w:rPr>
              <w:fldChar w:fldCharType="separate"/>
            </w:r>
            <w:r w:rsidR="00C76102">
              <w:rPr>
                <w:noProof/>
                <w:webHidden/>
              </w:rPr>
              <w:t>8</w:t>
            </w:r>
            <w:r w:rsidR="00C76102">
              <w:rPr>
                <w:noProof/>
                <w:webHidden/>
              </w:rPr>
              <w:fldChar w:fldCharType="end"/>
            </w:r>
          </w:hyperlink>
        </w:p>
        <w:p w:rsidR="00C76102" w:rsidRDefault="00EF3C6D">
          <w:pPr>
            <w:pStyle w:val="TOC1"/>
            <w:tabs>
              <w:tab w:val="left" w:pos="440"/>
              <w:tab w:val="right" w:leader="dot" w:pos="9019"/>
            </w:tabs>
            <w:rPr>
              <w:rFonts w:eastAsiaTheme="minorEastAsia"/>
              <w:noProof/>
              <w:lang w:val="en-US"/>
            </w:rPr>
          </w:pPr>
          <w:hyperlink w:anchor="_Toc81818659" w:history="1">
            <w:r w:rsidR="00C76102" w:rsidRPr="002411F4">
              <w:rPr>
                <w:rStyle w:val="Hyperlink"/>
                <w:rFonts w:cstheme="minorHAnsi"/>
                <w:noProof/>
                <w:lang w:val="en-GB"/>
              </w:rPr>
              <w:t>4</w:t>
            </w:r>
            <w:r w:rsidR="00C76102">
              <w:rPr>
                <w:rFonts w:eastAsiaTheme="minorEastAsia"/>
                <w:noProof/>
                <w:lang w:val="en-US"/>
              </w:rPr>
              <w:tab/>
            </w:r>
            <w:r w:rsidR="00C76102" w:rsidRPr="002411F4">
              <w:rPr>
                <w:rStyle w:val="Hyperlink"/>
                <w:rFonts w:cstheme="minorHAnsi"/>
                <w:noProof/>
                <w:lang w:val="en-GB"/>
              </w:rPr>
              <w:t>Retail Costs of the Supplier</w:t>
            </w:r>
            <w:r w:rsidR="00C76102">
              <w:rPr>
                <w:noProof/>
                <w:webHidden/>
              </w:rPr>
              <w:tab/>
            </w:r>
            <w:r w:rsidR="00C76102">
              <w:rPr>
                <w:noProof/>
                <w:webHidden/>
              </w:rPr>
              <w:fldChar w:fldCharType="begin"/>
            </w:r>
            <w:r w:rsidR="00C76102">
              <w:rPr>
                <w:noProof/>
                <w:webHidden/>
              </w:rPr>
              <w:instrText xml:space="preserve"> PAGEREF _Toc81818659 \h </w:instrText>
            </w:r>
            <w:r w:rsidR="00C76102">
              <w:rPr>
                <w:noProof/>
                <w:webHidden/>
              </w:rPr>
            </w:r>
            <w:r w:rsidR="00C76102">
              <w:rPr>
                <w:noProof/>
                <w:webHidden/>
              </w:rPr>
              <w:fldChar w:fldCharType="separate"/>
            </w:r>
            <w:r w:rsidR="00C76102">
              <w:rPr>
                <w:noProof/>
                <w:webHidden/>
              </w:rPr>
              <w:t>8</w:t>
            </w:r>
            <w:r w:rsidR="00C76102">
              <w:rPr>
                <w:noProof/>
                <w:webHidden/>
              </w:rPr>
              <w:fldChar w:fldCharType="end"/>
            </w:r>
          </w:hyperlink>
        </w:p>
        <w:p w:rsidR="00C76102" w:rsidRDefault="00EF3C6D">
          <w:pPr>
            <w:pStyle w:val="TOC1"/>
            <w:tabs>
              <w:tab w:val="left" w:pos="440"/>
              <w:tab w:val="right" w:leader="dot" w:pos="9019"/>
            </w:tabs>
            <w:rPr>
              <w:rFonts w:eastAsiaTheme="minorEastAsia"/>
              <w:noProof/>
              <w:lang w:val="en-US"/>
            </w:rPr>
          </w:pPr>
          <w:hyperlink w:anchor="_Toc81818660" w:history="1">
            <w:r w:rsidR="00C76102" w:rsidRPr="002411F4">
              <w:rPr>
                <w:rStyle w:val="Hyperlink"/>
                <w:rFonts w:cstheme="minorHAnsi"/>
                <w:noProof/>
                <w:lang w:val="en-GB"/>
              </w:rPr>
              <w:t>5</w:t>
            </w:r>
            <w:r w:rsidR="00C76102">
              <w:rPr>
                <w:rFonts w:eastAsiaTheme="minorEastAsia"/>
                <w:noProof/>
                <w:lang w:val="en-US"/>
              </w:rPr>
              <w:tab/>
            </w:r>
            <w:r w:rsidR="00C76102" w:rsidRPr="002411F4">
              <w:rPr>
                <w:rStyle w:val="Hyperlink"/>
                <w:rFonts w:cstheme="minorHAnsi"/>
                <w:noProof/>
                <w:lang w:val="en-GB"/>
              </w:rPr>
              <w:t>Maximum Allowed Revenues</w:t>
            </w:r>
            <w:r w:rsidR="00C76102">
              <w:rPr>
                <w:noProof/>
                <w:webHidden/>
              </w:rPr>
              <w:tab/>
            </w:r>
            <w:r w:rsidR="00C76102">
              <w:rPr>
                <w:noProof/>
                <w:webHidden/>
              </w:rPr>
              <w:fldChar w:fldCharType="begin"/>
            </w:r>
            <w:r w:rsidR="00C76102">
              <w:rPr>
                <w:noProof/>
                <w:webHidden/>
              </w:rPr>
              <w:instrText xml:space="preserve"> PAGEREF _Toc81818660 \h </w:instrText>
            </w:r>
            <w:r w:rsidR="00C76102">
              <w:rPr>
                <w:noProof/>
                <w:webHidden/>
              </w:rPr>
            </w:r>
            <w:r w:rsidR="00C76102">
              <w:rPr>
                <w:noProof/>
                <w:webHidden/>
              </w:rPr>
              <w:fldChar w:fldCharType="separate"/>
            </w:r>
            <w:r w:rsidR="00C76102">
              <w:rPr>
                <w:noProof/>
                <w:webHidden/>
              </w:rPr>
              <w:t>9</w:t>
            </w:r>
            <w:r w:rsidR="00C76102">
              <w:rPr>
                <w:noProof/>
                <w:webHidden/>
              </w:rPr>
              <w:fldChar w:fldCharType="end"/>
            </w:r>
          </w:hyperlink>
        </w:p>
        <w:p w:rsidR="00FB3B1E" w:rsidRPr="00C76102" w:rsidRDefault="00AC11D0">
          <w:pPr>
            <w:rPr>
              <w:lang w:val="en-GB"/>
            </w:rPr>
          </w:pPr>
          <w:r w:rsidRPr="00C76102">
            <w:rPr>
              <w:lang w:val="en-GB"/>
            </w:rPr>
            <w:fldChar w:fldCharType="end"/>
          </w:r>
        </w:p>
      </w:sdtContent>
    </w:sdt>
    <w:p w:rsidR="00FB3B1E" w:rsidRPr="00C76102" w:rsidRDefault="00FB3B1E">
      <w:pPr>
        <w:rPr>
          <w:rFonts w:eastAsia="Times New Roman" w:cstheme="minorHAnsi"/>
          <w:b/>
          <w:bCs/>
          <w:color w:val="003366"/>
          <w:sz w:val="28"/>
          <w:szCs w:val="24"/>
          <w:lang w:val="en-GB"/>
        </w:rPr>
      </w:pPr>
      <w:r w:rsidRPr="00C76102">
        <w:rPr>
          <w:rFonts w:cstheme="minorHAnsi"/>
          <w:lang w:val="en-GB"/>
        </w:rPr>
        <w:br w:type="page"/>
      </w:r>
    </w:p>
    <w:p w:rsidR="00A200BD" w:rsidRPr="00C76102" w:rsidRDefault="00F722DC" w:rsidP="00A200BD">
      <w:pPr>
        <w:pStyle w:val="Heading1"/>
        <w:numPr>
          <w:ilvl w:val="0"/>
          <w:numId w:val="0"/>
        </w:numPr>
        <w:spacing w:before="0"/>
        <w:ind w:left="720"/>
        <w:rPr>
          <w:rFonts w:asciiTheme="minorHAnsi" w:hAnsiTheme="minorHAnsi" w:cstheme="minorHAnsi"/>
          <w:lang w:val="en-GB"/>
        </w:rPr>
      </w:pPr>
      <w:bookmarkStart w:id="1" w:name="_Toc81818654"/>
      <w:r w:rsidRPr="00C76102">
        <w:rPr>
          <w:rFonts w:asciiTheme="minorHAnsi" w:hAnsiTheme="minorHAnsi" w:cstheme="minorHAnsi"/>
          <w:lang w:val="en-GB"/>
        </w:rPr>
        <w:lastRenderedPageBreak/>
        <w:t>Introduction</w:t>
      </w:r>
      <w:bookmarkEnd w:id="1"/>
    </w:p>
    <w:p w:rsidR="00A200BD" w:rsidRPr="00C76102" w:rsidRDefault="00606D68" w:rsidP="008773FD">
      <w:pPr>
        <w:jc w:val="both"/>
        <w:rPr>
          <w:lang w:val="en-GB"/>
        </w:rPr>
      </w:pPr>
      <w:r w:rsidRPr="00C76102">
        <w:rPr>
          <w:rFonts w:cs="Calibri"/>
          <w:lang w:val="en-GB"/>
        </w:rPr>
        <w:t>The Energy Regulatory Office (ERO) is currently carrying out the Regular Annual Adjustment for Maximum Allowed Revenue</w:t>
      </w:r>
      <w:r w:rsidR="00385EB1" w:rsidRPr="00C76102">
        <w:rPr>
          <w:rFonts w:cs="Calibri"/>
          <w:lang w:val="en-GB"/>
        </w:rPr>
        <w:t>s</w:t>
      </w:r>
      <w:r w:rsidRPr="00C76102">
        <w:rPr>
          <w:rFonts w:cs="Calibri"/>
          <w:lang w:val="en-GB"/>
        </w:rPr>
        <w:t xml:space="preserve"> (MAR) to be recovered by the </w:t>
      </w:r>
      <w:r w:rsidR="009846A2" w:rsidRPr="00C76102">
        <w:rPr>
          <w:rFonts w:cs="Calibri"/>
          <w:lang w:val="en-GB"/>
        </w:rPr>
        <w:t>r</w:t>
      </w:r>
      <w:r w:rsidRPr="00C76102">
        <w:rPr>
          <w:rFonts w:cs="Calibri"/>
          <w:lang w:val="en-GB"/>
        </w:rPr>
        <w:t xml:space="preserve">egulated </w:t>
      </w:r>
      <w:r w:rsidR="009846A2" w:rsidRPr="00C76102">
        <w:rPr>
          <w:rFonts w:cs="Calibri"/>
          <w:lang w:val="en-GB"/>
        </w:rPr>
        <w:t>c</w:t>
      </w:r>
      <w:r w:rsidRPr="00C76102">
        <w:rPr>
          <w:rFonts w:cs="Calibri"/>
          <w:lang w:val="en-GB"/>
        </w:rPr>
        <w:t xml:space="preserve">ompanies. Under this process, </w:t>
      </w:r>
      <w:r w:rsidR="00385EB1" w:rsidRPr="00C76102">
        <w:rPr>
          <w:rFonts w:cs="Calibri"/>
          <w:lang w:val="en-GB"/>
        </w:rPr>
        <w:t xml:space="preserve">ERO will make a preliminary proposal for the updated MAR </w:t>
      </w:r>
      <w:r w:rsidR="00BE271D" w:rsidRPr="00C76102">
        <w:rPr>
          <w:rFonts w:cs="Calibri"/>
          <w:lang w:val="en-GB"/>
        </w:rPr>
        <w:t xml:space="preserve">for the </w:t>
      </w:r>
      <w:r w:rsidR="00385EB1" w:rsidRPr="00C76102">
        <w:rPr>
          <w:rFonts w:cs="Calibri"/>
          <w:lang w:val="en-GB"/>
        </w:rPr>
        <w:t xml:space="preserve">Transmission System </w:t>
      </w:r>
      <w:r w:rsidR="00BE271D" w:rsidRPr="00C76102">
        <w:rPr>
          <w:rFonts w:cs="Calibri"/>
          <w:lang w:val="en-GB"/>
        </w:rPr>
        <w:t>O</w:t>
      </w:r>
      <w:r w:rsidR="00385EB1" w:rsidRPr="00C76102">
        <w:rPr>
          <w:rFonts w:cs="Calibri"/>
          <w:lang w:val="en-GB"/>
        </w:rPr>
        <w:t>perator and Market Operator (KOSTT, TSO/MO), Distribution System Operator (DSO, KEDS) and</w:t>
      </w:r>
      <w:r w:rsidR="009846A2" w:rsidRPr="00C76102">
        <w:rPr>
          <w:rFonts w:cs="Calibri"/>
          <w:lang w:val="en-GB"/>
        </w:rPr>
        <w:t xml:space="preserve"> will determine the revenues of the</w:t>
      </w:r>
      <w:r w:rsidR="00385EB1" w:rsidRPr="00C76102">
        <w:rPr>
          <w:rFonts w:cs="Calibri"/>
          <w:lang w:val="en-GB"/>
        </w:rPr>
        <w:t xml:space="preserve"> Universal Service Supplier (USS). This preliminary evaluation is based on the proposals submitted by the regulated </w:t>
      </w:r>
      <w:r w:rsidR="00BE271D" w:rsidRPr="00C76102">
        <w:rPr>
          <w:rFonts w:cs="Calibri"/>
          <w:lang w:val="en-GB"/>
        </w:rPr>
        <w:t>c</w:t>
      </w:r>
      <w:r w:rsidR="00385EB1" w:rsidRPr="00C76102">
        <w:rPr>
          <w:rFonts w:cs="Calibri"/>
          <w:lang w:val="en-GB"/>
        </w:rPr>
        <w:t>ompanies as well as decisions on Maximum Allowed Revenues for the regulatory period 2018-2022</w:t>
      </w:r>
      <w:r w:rsidR="009846A2" w:rsidRPr="00C76102">
        <w:rPr>
          <w:rFonts w:cs="Calibri"/>
          <w:lang w:val="en-GB"/>
        </w:rPr>
        <w:t xml:space="preserve"> for the TSO/MO and the DSO</w:t>
      </w:r>
      <w:r w:rsidR="00385EB1" w:rsidRPr="00C76102">
        <w:rPr>
          <w:rFonts w:cs="Calibri"/>
          <w:lang w:val="en-GB"/>
        </w:rPr>
        <w:t>.</w:t>
      </w:r>
    </w:p>
    <w:p w:rsidR="00A200BD" w:rsidRPr="00C76102" w:rsidRDefault="00F722DC" w:rsidP="008773FD">
      <w:pPr>
        <w:jc w:val="both"/>
        <w:rPr>
          <w:lang w:val="en-GB"/>
        </w:rPr>
      </w:pPr>
      <w:r w:rsidRPr="00C76102">
        <w:rPr>
          <w:lang w:val="en-GB"/>
        </w:rPr>
        <w:t xml:space="preserve">This </w:t>
      </w:r>
      <w:r w:rsidR="00BE271D" w:rsidRPr="00C76102">
        <w:rPr>
          <w:lang w:val="en-GB"/>
        </w:rPr>
        <w:t>Consultation</w:t>
      </w:r>
      <w:r w:rsidRPr="00C76102">
        <w:rPr>
          <w:lang w:val="en-GB"/>
        </w:rPr>
        <w:t xml:space="preserve"> Paper represents ERO’s evaluation on the proposal for Maximum Allowed Revenues (MAR) for Universal Service Supplier (USS) fo</w:t>
      </w:r>
      <w:r w:rsidR="00BE271D" w:rsidRPr="00C76102">
        <w:rPr>
          <w:lang w:val="en-GB"/>
        </w:rPr>
        <w:t>r</w:t>
      </w:r>
      <w:r w:rsidRPr="00C76102">
        <w:rPr>
          <w:lang w:val="en-GB"/>
        </w:rPr>
        <w:t xml:space="preserve"> the relevant tariff year </w:t>
      </w:r>
      <w:r w:rsidR="00B85E63" w:rsidRPr="00C76102">
        <w:rPr>
          <w:lang w:val="en-GB"/>
        </w:rPr>
        <w:t>202</w:t>
      </w:r>
      <w:r w:rsidR="009846A2" w:rsidRPr="00C76102">
        <w:rPr>
          <w:lang w:val="en-GB"/>
        </w:rPr>
        <w:t>1</w:t>
      </w:r>
      <w:r w:rsidRPr="00C76102">
        <w:rPr>
          <w:lang w:val="en-GB"/>
        </w:rPr>
        <w:t>.</w:t>
      </w:r>
      <w:r w:rsidR="005B574D" w:rsidRPr="00C76102">
        <w:rPr>
          <w:lang w:val="en-GB"/>
        </w:rPr>
        <w:t xml:space="preserve"> The adjustment process for the relevant tariff year 2021 covers the period 1 April 2021 - 31 March 2022, but due to the lack of the quorum of the Board, this process was postponed. The delay in making decisions on the Maximum Allowed Revenues and tariffs for this relevant tariff year will be </w:t>
      </w:r>
      <w:r w:rsidR="00354A2B" w:rsidRPr="00C76102">
        <w:rPr>
          <w:lang w:val="en-GB"/>
        </w:rPr>
        <w:t>adjusted</w:t>
      </w:r>
      <w:r w:rsidR="005B574D" w:rsidRPr="00C76102">
        <w:rPr>
          <w:lang w:val="en-GB"/>
        </w:rPr>
        <w:t xml:space="preserve"> in the next relevant tariff year 2022.</w:t>
      </w:r>
      <w:r w:rsidRPr="00C76102">
        <w:rPr>
          <w:lang w:val="en-GB"/>
        </w:rPr>
        <w:t xml:space="preserve"> </w:t>
      </w:r>
    </w:p>
    <w:p w:rsidR="00685EAF" w:rsidRPr="00C76102" w:rsidRDefault="00B85E63">
      <w:pPr>
        <w:spacing w:after="0" w:line="240" w:lineRule="auto"/>
        <w:rPr>
          <w:rFonts w:cs="Calibri"/>
          <w:lang w:val="en-GB"/>
        </w:rPr>
      </w:pPr>
      <w:r w:rsidRPr="00C76102">
        <w:rPr>
          <w:rFonts w:cs="Calibri"/>
          <w:lang w:val="en-GB"/>
        </w:rPr>
        <w:t xml:space="preserve">The parties who want to submit their eventual comments on ERO's proposals are invited to submit their written comments </w:t>
      </w:r>
      <w:proofErr w:type="gramStart"/>
      <w:r w:rsidRPr="00C76102">
        <w:rPr>
          <w:rFonts w:cs="Calibri"/>
          <w:lang w:val="en-GB"/>
        </w:rPr>
        <w:t xml:space="preserve">at  </w:t>
      </w:r>
      <w:r w:rsidR="00F17371" w:rsidRPr="00C76102">
        <w:rPr>
          <w:rFonts w:cs="Calibri"/>
          <w:color w:val="0000FF"/>
          <w:u w:val="single"/>
          <w:lang w:val="en-GB"/>
        </w:rPr>
        <w:t>ero.pricing-tariffs@ero-ks.org</w:t>
      </w:r>
      <w:proofErr w:type="gramEnd"/>
      <w:r w:rsidRPr="00C76102">
        <w:rPr>
          <w:rFonts w:cs="Calibri"/>
          <w:lang w:val="en-GB"/>
        </w:rPr>
        <w:t xml:space="preserve">, by </w:t>
      </w:r>
      <w:r w:rsidR="00AD2298" w:rsidRPr="00C76102">
        <w:rPr>
          <w:rFonts w:cs="Calibri"/>
          <w:lang w:val="en-GB"/>
        </w:rPr>
        <w:t>7</w:t>
      </w:r>
      <w:r w:rsidR="005B574D" w:rsidRPr="00C76102">
        <w:rPr>
          <w:rFonts w:cs="Calibri"/>
          <w:lang w:val="en-GB"/>
        </w:rPr>
        <w:t xml:space="preserve"> September 2021</w:t>
      </w:r>
      <w:r w:rsidRPr="00C76102">
        <w:rPr>
          <w:rFonts w:cs="Calibri"/>
          <w:lang w:val="en-GB"/>
        </w:rPr>
        <w:t xml:space="preserve"> at the latest. </w:t>
      </w:r>
      <w:r w:rsidR="005B574D" w:rsidRPr="00C76102">
        <w:rPr>
          <w:rFonts w:cs="Calibri"/>
          <w:lang w:val="en-GB"/>
        </w:rPr>
        <w:t>Comments can</w:t>
      </w:r>
      <w:r w:rsidRPr="00C76102">
        <w:rPr>
          <w:rFonts w:cs="Calibri"/>
          <w:lang w:val="en-GB"/>
        </w:rPr>
        <w:t xml:space="preserve"> also be mailed to:</w:t>
      </w:r>
    </w:p>
    <w:p w:rsidR="00685EAF" w:rsidRPr="00C76102" w:rsidRDefault="00685EAF">
      <w:pPr>
        <w:spacing w:after="0" w:line="240" w:lineRule="auto"/>
        <w:rPr>
          <w:rFonts w:cs="Calibri"/>
          <w:lang w:val="en-GB"/>
        </w:rPr>
      </w:pPr>
    </w:p>
    <w:p w:rsidR="00685EAF" w:rsidRPr="00C76102" w:rsidRDefault="00F17371">
      <w:pPr>
        <w:spacing w:after="0" w:line="240" w:lineRule="auto"/>
        <w:ind w:firstLine="720"/>
        <w:rPr>
          <w:rFonts w:cs="Calibri"/>
          <w:i/>
          <w:sz w:val="20"/>
          <w:szCs w:val="20"/>
          <w:lang w:val="en-GB"/>
        </w:rPr>
      </w:pPr>
      <w:proofErr w:type="spellStart"/>
      <w:r w:rsidRPr="00C76102">
        <w:rPr>
          <w:i/>
          <w:sz w:val="20"/>
          <w:szCs w:val="20"/>
          <w:lang w:val="en-GB"/>
        </w:rPr>
        <w:t>Zyra</w:t>
      </w:r>
      <w:proofErr w:type="spellEnd"/>
      <w:r w:rsidRPr="00C76102">
        <w:rPr>
          <w:i/>
          <w:sz w:val="20"/>
          <w:szCs w:val="20"/>
          <w:lang w:val="en-GB"/>
        </w:rPr>
        <w:t xml:space="preserve"> e </w:t>
      </w:r>
      <w:proofErr w:type="spellStart"/>
      <w:r w:rsidRPr="00C76102">
        <w:rPr>
          <w:i/>
          <w:sz w:val="20"/>
          <w:szCs w:val="20"/>
          <w:lang w:val="en-GB"/>
        </w:rPr>
        <w:t>Rregullatorit</w:t>
      </w:r>
      <w:proofErr w:type="spellEnd"/>
      <w:r w:rsidRPr="00C76102">
        <w:rPr>
          <w:i/>
          <w:sz w:val="20"/>
          <w:szCs w:val="20"/>
          <w:lang w:val="en-GB"/>
        </w:rPr>
        <w:t xml:space="preserve"> </w:t>
      </w:r>
      <w:proofErr w:type="spellStart"/>
      <w:r w:rsidRPr="00C76102">
        <w:rPr>
          <w:i/>
          <w:sz w:val="20"/>
          <w:szCs w:val="20"/>
          <w:lang w:val="en-GB"/>
        </w:rPr>
        <w:t>për</w:t>
      </w:r>
      <w:proofErr w:type="spellEnd"/>
      <w:r w:rsidRPr="00C76102">
        <w:rPr>
          <w:i/>
          <w:sz w:val="20"/>
          <w:szCs w:val="20"/>
          <w:lang w:val="en-GB"/>
        </w:rPr>
        <w:t xml:space="preserve"> </w:t>
      </w:r>
      <w:proofErr w:type="spellStart"/>
      <w:r w:rsidRPr="00C76102">
        <w:rPr>
          <w:i/>
          <w:sz w:val="20"/>
          <w:szCs w:val="20"/>
          <w:lang w:val="en-GB"/>
        </w:rPr>
        <w:t>Energji</w:t>
      </w:r>
      <w:proofErr w:type="spellEnd"/>
    </w:p>
    <w:p w:rsidR="00343289" w:rsidRPr="00C76102" w:rsidRDefault="00F17371" w:rsidP="00343289">
      <w:pPr>
        <w:spacing w:after="0" w:line="240" w:lineRule="auto"/>
        <w:ind w:left="720"/>
        <w:rPr>
          <w:rFonts w:cs="Calibri"/>
          <w:i/>
          <w:sz w:val="20"/>
          <w:szCs w:val="20"/>
          <w:lang w:val="en-GB"/>
        </w:rPr>
      </w:pPr>
      <w:proofErr w:type="spellStart"/>
      <w:r w:rsidRPr="00C76102">
        <w:rPr>
          <w:i/>
          <w:sz w:val="20"/>
          <w:szCs w:val="20"/>
          <w:lang w:val="en-GB"/>
        </w:rPr>
        <w:t>Departamenti</w:t>
      </w:r>
      <w:proofErr w:type="spellEnd"/>
      <w:r w:rsidRPr="00C76102">
        <w:rPr>
          <w:i/>
          <w:sz w:val="20"/>
          <w:szCs w:val="20"/>
          <w:lang w:val="en-GB"/>
        </w:rPr>
        <w:t xml:space="preserve"> </w:t>
      </w:r>
      <w:proofErr w:type="spellStart"/>
      <w:r w:rsidRPr="00C76102">
        <w:rPr>
          <w:i/>
          <w:sz w:val="20"/>
          <w:szCs w:val="20"/>
          <w:lang w:val="en-GB"/>
        </w:rPr>
        <w:t>për</w:t>
      </w:r>
      <w:proofErr w:type="spellEnd"/>
      <w:r w:rsidRPr="00C76102">
        <w:rPr>
          <w:i/>
          <w:sz w:val="20"/>
          <w:szCs w:val="20"/>
          <w:lang w:val="en-GB"/>
        </w:rPr>
        <w:t xml:space="preserve"> </w:t>
      </w:r>
      <w:proofErr w:type="spellStart"/>
      <w:r w:rsidRPr="00C76102">
        <w:rPr>
          <w:i/>
          <w:sz w:val="20"/>
          <w:szCs w:val="20"/>
          <w:lang w:val="en-GB"/>
        </w:rPr>
        <w:t>Tarifa</w:t>
      </w:r>
      <w:proofErr w:type="spellEnd"/>
      <w:r w:rsidRPr="00C76102">
        <w:rPr>
          <w:i/>
          <w:sz w:val="20"/>
          <w:szCs w:val="20"/>
          <w:lang w:val="en-GB"/>
        </w:rPr>
        <w:t xml:space="preserve"> </w:t>
      </w:r>
      <w:proofErr w:type="spellStart"/>
      <w:r w:rsidRPr="00C76102">
        <w:rPr>
          <w:i/>
          <w:sz w:val="20"/>
          <w:szCs w:val="20"/>
          <w:lang w:val="en-GB"/>
        </w:rPr>
        <w:t>dhe</w:t>
      </w:r>
      <w:proofErr w:type="spellEnd"/>
      <w:r w:rsidRPr="00C76102">
        <w:rPr>
          <w:i/>
          <w:sz w:val="20"/>
          <w:szCs w:val="20"/>
          <w:lang w:val="en-GB"/>
        </w:rPr>
        <w:t xml:space="preserve"> </w:t>
      </w:r>
      <w:proofErr w:type="spellStart"/>
      <w:r w:rsidRPr="00C76102">
        <w:rPr>
          <w:i/>
          <w:caps/>
          <w:sz w:val="20"/>
          <w:szCs w:val="20"/>
          <w:lang w:val="en-GB"/>
        </w:rPr>
        <w:t>ç</w:t>
      </w:r>
      <w:r w:rsidRPr="00C76102">
        <w:rPr>
          <w:i/>
          <w:sz w:val="20"/>
          <w:szCs w:val="20"/>
          <w:lang w:val="en-GB"/>
        </w:rPr>
        <w:t>mime</w:t>
      </w:r>
      <w:proofErr w:type="spellEnd"/>
    </w:p>
    <w:p w:rsidR="00343289" w:rsidRPr="00C76102" w:rsidRDefault="00F17371" w:rsidP="00343289">
      <w:pPr>
        <w:spacing w:after="0" w:line="240" w:lineRule="auto"/>
        <w:ind w:left="720"/>
        <w:rPr>
          <w:rFonts w:cs="Calibri"/>
          <w:i/>
          <w:sz w:val="20"/>
          <w:szCs w:val="20"/>
          <w:lang w:val="en-GB"/>
        </w:rPr>
      </w:pPr>
      <w:r w:rsidRPr="00C76102">
        <w:rPr>
          <w:i/>
          <w:sz w:val="20"/>
          <w:szCs w:val="20"/>
          <w:lang w:val="en-GB"/>
        </w:rPr>
        <w:t xml:space="preserve">Rr. Dervish </w:t>
      </w:r>
      <w:proofErr w:type="spellStart"/>
      <w:r w:rsidRPr="00C76102">
        <w:rPr>
          <w:i/>
          <w:sz w:val="20"/>
          <w:szCs w:val="20"/>
          <w:lang w:val="en-GB"/>
        </w:rPr>
        <w:t>Rozhaja</w:t>
      </w:r>
      <w:proofErr w:type="spellEnd"/>
      <w:r w:rsidRPr="00C76102">
        <w:rPr>
          <w:i/>
          <w:sz w:val="20"/>
          <w:szCs w:val="20"/>
          <w:lang w:val="en-GB"/>
        </w:rPr>
        <w:t xml:space="preserve"> </w:t>
      </w:r>
      <w:proofErr w:type="spellStart"/>
      <w:r w:rsidRPr="00C76102">
        <w:rPr>
          <w:i/>
          <w:sz w:val="20"/>
          <w:szCs w:val="20"/>
          <w:lang w:val="en-GB"/>
        </w:rPr>
        <w:t>Nr</w:t>
      </w:r>
      <w:proofErr w:type="spellEnd"/>
      <w:r w:rsidRPr="00C76102">
        <w:rPr>
          <w:i/>
          <w:sz w:val="20"/>
          <w:szCs w:val="20"/>
          <w:lang w:val="en-GB"/>
        </w:rPr>
        <w:t>. 12</w:t>
      </w:r>
    </w:p>
    <w:p w:rsidR="00343289" w:rsidRPr="00C76102" w:rsidRDefault="00F17371" w:rsidP="00343289">
      <w:pPr>
        <w:spacing w:line="240" w:lineRule="auto"/>
        <w:ind w:left="720"/>
        <w:rPr>
          <w:rFonts w:cs="Calibri"/>
          <w:i/>
          <w:sz w:val="20"/>
          <w:szCs w:val="20"/>
          <w:lang w:val="en-GB"/>
        </w:rPr>
      </w:pPr>
      <w:proofErr w:type="spellStart"/>
      <w:r w:rsidRPr="00C76102">
        <w:rPr>
          <w:i/>
          <w:sz w:val="20"/>
          <w:szCs w:val="20"/>
          <w:lang w:val="en-GB"/>
        </w:rPr>
        <w:t>Prishtinë</w:t>
      </w:r>
      <w:proofErr w:type="spellEnd"/>
      <w:r w:rsidRPr="00C76102">
        <w:rPr>
          <w:i/>
          <w:sz w:val="20"/>
          <w:szCs w:val="20"/>
          <w:lang w:val="en-GB"/>
        </w:rPr>
        <w:t xml:space="preserve">, 10000, </w:t>
      </w:r>
      <w:proofErr w:type="spellStart"/>
      <w:r w:rsidRPr="00C76102">
        <w:rPr>
          <w:i/>
          <w:sz w:val="20"/>
          <w:szCs w:val="20"/>
          <w:lang w:val="en-GB"/>
        </w:rPr>
        <w:t>Kosovë</w:t>
      </w:r>
      <w:proofErr w:type="spellEnd"/>
    </w:p>
    <w:tbl>
      <w:tblPr>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5041"/>
      </w:tblGrid>
      <w:tr w:rsidR="00B85E63" w:rsidRPr="00C76102" w:rsidTr="00B85E63">
        <w:trPr>
          <w:jc w:val="center"/>
        </w:trPr>
        <w:tc>
          <w:tcPr>
            <w:tcW w:w="4248" w:type="dxa"/>
            <w:shd w:val="clear" w:color="auto" w:fill="auto"/>
            <w:vAlign w:val="center"/>
          </w:tcPr>
          <w:p w:rsidR="00B85E63" w:rsidRPr="00C76102" w:rsidRDefault="00F17371" w:rsidP="00B85E63">
            <w:pPr>
              <w:spacing w:before="120" w:after="0" w:line="240" w:lineRule="auto"/>
              <w:rPr>
                <w:rFonts w:cs="Calibri"/>
                <w:highlight w:val="yellow"/>
                <w:lang w:val="en-GB"/>
              </w:rPr>
            </w:pPr>
            <w:r w:rsidRPr="00C76102">
              <w:rPr>
                <w:rFonts w:cs="Calibri"/>
                <w:lang w:val="en-GB"/>
              </w:rPr>
              <w:t>USS Tariff Application for 202</w:t>
            </w:r>
            <w:r w:rsidR="005B574D" w:rsidRPr="00C76102">
              <w:rPr>
                <w:rFonts w:cs="Calibri"/>
                <w:lang w:val="en-GB"/>
              </w:rPr>
              <w:t>1</w:t>
            </w:r>
          </w:p>
        </w:tc>
        <w:tc>
          <w:tcPr>
            <w:tcW w:w="5041" w:type="dxa"/>
            <w:shd w:val="clear" w:color="auto" w:fill="auto"/>
          </w:tcPr>
          <w:p w:rsidR="00B85E63" w:rsidRPr="00C76102" w:rsidRDefault="00EF3C6D" w:rsidP="00B85E63">
            <w:pPr>
              <w:spacing w:before="120" w:after="0" w:line="240" w:lineRule="auto"/>
              <w:rPr>
                <w:rStyle w:val="Hyperlink"/>
                <w:lang w:val="en-GB"/>
              </w:rPr>
            </w:pPr>
            <w:hyperlink r:id="rId8" w:history="1">
              <w:r w:rsidR="001F295F" w:rsidRPr="00C76102">
                <w:rPr>
                  <w:rStyle w:val="Hyperlink"/>
                  <w:lang w:val="en-GB"/>
                </w:rPr>
                <w:t>https://www.ero-ks.org/zrre/sites/default/files/Konsultimet%20Publike/Application%20USS%202021%20-%208%20March%202021.pdf</w:t>
              </w:r>
            </w:hyperlink>
            <w:r w:rsidR="001F295F" w:rsidRPr="00C76102">
              <w:rPr>
                <w:rStyle w:val="Hyperlink"/>
                <w:lang w:val="en-GB"/>
              </w:rPr>
              <w:t xml:space="preserve"> </w:t>
            </w:r>
          </w:p>
          <w:p w:rsidR="001F295F" w:rsidRPr="00C76102" w:rsidRDefault="001F295F" w:rsidP="00B85E63">
            <w:pPr>
              <w:spacing w:before="120" w:after="0" w:line="240" w:lineRule="auto"/>
              <w:rPr>
                <w:lang w:val="en-GB"/>
              </w:rPr>
            </w:pPr>
          </w:p>
        </w:tc>
      </w:tr>
      <w:tr w:rsidR="00B85E63" w:rsidRPr="00C76102" w:rsidTr="00B85E63">
        <w:trPr>
          <w:jc w:val="center"/>
        </w:trPr>
        <w:tc>
          <w:tcPr>
            <w:tcW w:w="4248" w:type="dxa"/>
            <w:shd w:val="clear" w:color="auto" w:fill="auto"/>
            <w:vAlign w:val="center"/>
          </w:tcPr>
          <w:p w:rsidR="00B85E63" w:rsidRPr="00C76102" w:rsidRDefault="00F17371" w:rsidP="00B85E63">
            <w:pPr>
              <w:spacing w:before="120" w:after="0" w:line="240" w:lineRule="auto"/>
              <w:rPr>
                <w:rFonts w:cs="Calibri"/>
                <w:highlight w:val="yellow"/>
                <w:lang w:val="en-GB"/>
              </w:rPr>
            </w:pPr>
            <w:r w:rsidRPr="00C76102">
              <w:rPr>
                <w:rFonts w:cs="Calibri"/>
                <w:lang w:val="en-GB"/>
              </w:rPr>
              <w:t>KOSTT Tariff Application for 202</w:t>
            </w:r>
            <w:r w:rsidR="005B574D" w:rsidRPr="00C76102">
              <w:rPr>
                <w:rFonts w:cs="Calibri"/>
                <w:lang w:val="en-GB"/>
              </w:rPr>
              <w:t>1</w:t>
            </w:r>
          </w:p>
        </w:tc>
        <w:tc>
          <w:tcPr>
            <w:tcW w:w="5041" w:type="dxa"/>
            <w:shd w:val="clear" w:color="auto" w:fill="auto"/>
          </w:tcPr>
          <w:p w:rsidR="00B85E63" w:rsidRPr="00C76102" w:rsidRDefault="00EF3C6D" w:rsidP="00B85E63">
            <w:pPr>
              <w:spacing w:before="120" w:after="0" w:line="240" w:lineRule="auto"/>
              <w:rPr>
                <w:rStyle w:val="Hyperlink"/>
                <w:lang w:val="en-GB"/>
              </w:rPr>
            </w:pPr>
            <w:hyperlink r:id="rId9" w:history="1">
              <w:r w:rsidR="001F295F" w:rsidRPr="00C76102">
                <w:rPr>
                  <w:rStyle w:val="Hyperlink"/>
                  <w:lang w:val="en-GB"/>
                </w:rPr>
                <w:t>https://www.ero-ks.org/zrre/sites/default/files/Konsultimet%20Publike/Aplikacioni_%20p%C3%ABrshtetjet%20vjetore%202021_%20KOSTT.pdf</w:t>
              </w:r>
            </w:hyperlink>
            <w:r w:rsidR="001F295F" w:rsidRPr="00C76102">
              <w:rPr>
                <w:rStyle w:val="Hyperlink"/>
                <w:lang w:val="en-GB"/>
              </w:rPr>
              <w:t xml:space="preserve"> </w:t>
            </w:r>
          </w:p>
          <w:p w:rsidR="001F295F" w:rsidRPr="00C76102" w:rsidRDefault="001F295F" w:rsidP="00B85E63">
            <w:pPr>
              <w:spacing w:before="120" w:after="0" w:line="240" w:lineRule="auto"/>
              <w:rPr>
                <w:lang w:val="en-GB"/>
              </w:rPr>
            </w:pPr>
          </w:p>
        </w:tc>
      </w:tr>
      <w:tr w:rsidR="00B85E63" w:rsidRPr="00C76102" w:rsidTr="00B85E63">
        <w:trPr>
          <w:jc w:val="center"/>
        </w:trPr>
        <w:tc>
          <w:tcPr>
            <w:tcW w:w="4248" w:type="dxa"/>
            <w:shd w:val="clear" w:color="auto" w:fill="auto"/>
            <w:vAlign w:val="center"/>
          </w:tcPr>
          <w:p w:rsidR="00B85E63" w:rsidRPr="00C76102" w:rsidRDefault="00F17371" w:rsidP="00B85E63">
            <w:pPr>
              <w:spacing w:before="120" w:after="0" w:line="240" w:lineRule="auto"/>
              <w:rPr>
                <w:rFonts w:cs="Calibri"/>
                <w:highlight w:val="yellow"/>
                <w:lang w:val="en-GB"/>
              </w:rPr>
            </w:pPr>
            <w:r w:rsidRPr="00C76102">
              <w:rPr>
                <w:rFonts w:cs="Calibri"/>
                <w:lang w:val="en-GB"/>
              </w:rPr>
              <w:t>KEDS Tariff Application for 202</w:t>
            </w:r>
            <w:r w:rsidR="005B574D" w:rsidRPr="00C76102">
              <w:rPr>
                <w:rFonts w:cs="Calibri"/>
                <w:lang w:val="en-GB"/>
              </w:rPr>
              <w:t>1</w:t>
            </w:r>
          </w:p>
        </w:tc>
        <w:tc>
          <w:tcPr>
            <w:tcW w:w="5041" w:type="dxa"/>
            <w:shd w:val="clear" w:color="auto" w:fill="auto"/>
          </w:tcPr>
          <w:p w:rsidR="001F295F" w:rsidRPr="00C76102" w:rsidRDefault="00EF3C6D" w:rsidP="00B85E63">
            <w:pPr>
              <w:spacing w:before="120" w:after="0" w:line="240" w:lineRule="auto"/>
              <w:rPr>
                <w:rStyle w:val="Hyperlink"/>
                <w:lang w:val="en-GB"/>
              </w:rPr>
            </w:pPr>
            <w:hyperlink r:id="rId10" w:history="1">
              <w:r w:rsidR="001F295F" w:rsidRPr="00C76102">
                <w:rPr>
                  <w:rStyle w:val="Hyperlink"/>
                  <w:lang w:val="en-GB"/>
                </w:rPr>
                <w:t>https://www.ero-ks.org/zrre/sites/default/files/Konsultimet%20Publike/Application%20DSO%202021%20-%208%20March%202021.pdf</w:t>
              </w:r>
            </w:hyperlink>
          </w:p>
          <w:p w:rsidR="001F295F" w:rsidRPr="00C76102" w:rsidRDefault="001F295F" w:rsidP="00B85E63">
            <w:pPr>
              <w:spacing w:before="120" w:after="0" w:line="240" w:lineRule="auto"/>
              <w:rPr>
                <w:color w:val="0000FF"/>
                <w:u w:val="single"/>
                <w:lang w:val="en-GB"/>
              </w:rPr>
            </w:pPr>
          </w:p>
        </w:tc>
      </w:tr>
    </w:tbl>
    <w:p w:rsidR="001264F5" w:rsidRPr="00C76102" w:rsidRDefault="001264F5" w:rsidP="008773FD">
      <w:pPr>
        <w:jc w:val="both"/>
        <w:rPr>
          <w:lang w:val="en-GB"/>
        </w:rPr>
      </w:pPr>
    </w:p>
    <w:p w:rsidR="001264F5" w:rsidRPr="00C76102" w:rsidRDefault="001264F5" w:rsidP="008773FD">
      <w:pPr>
        <w:jc w:val="both"/>
        <w:rPr>
          <w:lang w:val="en-GB"/>
        </w:rPr>
      </w:pPr>
    </w:p>
    <w:p w:rsidR="001264F5" w:rsidRPr="00C76102" w:rsidRDefault="001264F5" w:rsidP="008773FD">
      <w:pPr>
        <w:jc w:val="both"/>
        <w:rPr>
          <w:lang w:val="en-GB"/>
        </w:rPr>
      </w:pPr>
    </w:p>
    <w:p w:rsidR="00343289" w:rsidRPr="00C76102" w:rsidRDefault="00343289">
      <w:pPr>
        <w:rPr>
          <w:lang w:val="en-GB"/>
        </w:rPr>
      </w:pPr>
      <w:r w:rsidRPr="00C76102">
        <w:rPr>
          <w:lang w:val="en-GB"/>
        </w:rPr>
        <w:br w:type="page"/>
      </w:r>
    </w:p>
    <w:p w:rsidR="00A200BD" w:rsidRPr="00C76102" w:rsidRDefault="00B0375E" w:rsidP="008773FD">
      <w:pPr>
        <w:pStyle w:val="Heading1"/>
        <w:numPr>
          <w:ilvl w:val="0"/>
          <w:numId w:val="2"/>
        </w:numPr>
        <w:spacing w:before="0"/>
        <w:rPr>
          <w:rFonts w:asciiTheme="minorHAnsi" w:hAnsiTheme="minorHAnsi" w:cstheme="minorHAnsi"/>
          <w:lang w:val="en-GB"/>
        </w:rPr>
      </w:pPr>
      <w:bookmarkStart w:id="2" w:name="_Toc81818655"/>
      <w:r w:rsidRPr="00C76102">
        <w:rPr>
          <w:rFonts w:asciiTheme="minorHAnsi" w:hAnsiTheme="minorHAnsi" w:cstheme="minorHAnsi"/>
          <w:lang w:val="en-GB"/>
        </w:rPr>
        <w:lastRenderedPageBreak/>
        <w:t xml:space="preserve">Electricity Balance </w:t>
      </w:r>
      <w:r w:rsidR="00B85E63" w:rsidRPr="00C76102">
        <w:rPr>
          <w:rFonts w:asciiTheme="minorHAnsi" w:hAnsiTheme="minorHAnsi" w:cstheme="minorHAnsi"/>
          <w:lang w:val="en-GB"/>
        </w:rPr>
        <w:t>2020</w:t>
      </w:r>
      <w:bookmarkEnd w:id="2"/>
    </w:p>
    <w:p w:rsidR="005B574D" w:rsidRPr="00C76102" w:rsidRDefault="005B574D" w:rsidP="00C76102">
      <w:pPr>
        <w:jc w:val="both"/>
        <w:rPr>
          <w:lang w:val="en-GB"/>
        </w:rPr>
      </w:pPr>
      <w:r w:rsidRPr="00C76102">
        <w:rPr>
          <w:lang w:val="en-GB"/>
        </w:rPr>
        <w:t>In this tariff review ERO has used the approved balance sheet for 2021. However, the handling of electricity consumption by customers connected to the voltage level of 35kV and 10 kV was carried out in accordance with the position of the Board of ERO to continue the supply of these customers from USS at regulated tariffs. Given that KESCO has applied for the MAR of 2021 based on the deregulation of customers connected to the voltage level of 35kV and 10kV, there will be differences in the basis of the analysis used by ERO.</w:t>
      </w:r>
    </w:p>
    <w:p w:rsidR="00343289" w:rsidRPr="00C76102" w:rsidRDefault="004A6866" w:rsidP="00343289">
      <w:pPr>
        <w:jc w:val="both"/>
        <w:rPr>
          <w:lang w:val="en-GB"/>
        </w:rPr>
      </w:pPr>
      <w:r w:rsidRPr="00C76102">
        <w:rPr>
          <w:lang w:val="en-GB"/>
        </w:rPr>
        <w:t xml:space="preserve">Such Balance shall reflect only the costs of </w:t>
      </w:r>
      <w:r w:rsidR="000C3E79" w:rsidRPr="00C76102">
        <w:rPr>
          <w:lang w:val="en-GB"/>
        </w:rPr>
        <w:t>electricity</w:t>
      </w:r>
      <w:r w:rsidRPr="00C76102">
        <w:rPr>
          <w:lang w:val="en-GB"/>
        </w:rPr>
        <w:t xml:space="preserve"> supply for customers who are entitled the supply under the criteria of universal service. In this regard, the volumes for wholesale purchase of energy for USS are:</w:t>
      </w:r>
    </w:p>
    <w:p w:rsidR="00D52EE6" w:rsidRPr="00C76102" w:rsidRDefault="004A6866" w:rsidP="00D52EE6">
      <w:pPr>
        <w:pStyle w:val="ListParagraph"/>
        <w:numPr>
          <w:ilvl w:val="0"/>
          <w:numId w:val="11"/>
        </w:numPr>
        <w:jc w:val="both"/>
        <w:rPr>
          <w:lang w:val="en-GB"/>
        </w:rPr>
      </w:pPr>
      <w:r w:rsidRPr="00C76102">
        <w:rPr>
          <w:lang w:val="en-GB"/>
        </w:rPr>
        <w:t>Energy purchases from KEK JSC;</w:t>
      </w:r>
    </w:p>
    <w:p w:rsidR="00D52EE6" w:rsidRPr="00C76102" w:rsidRDefault="004A6866" w:rsidP="00D52EE6">
      <w:pPr>
        <w:pStyle w:val="ListParagraph"/>
        <w:numPr>
          <w:ilvl w:val="0"/>
          <w:numId w:val="11"/>
        </w:numPr>
        <w:jc w:val="both"/>
        <w:rPr>
          <w:lang w:val="en-GB"/>
        </w:rPr>
      </w:pPr>
      <w:r w:rsidRPr="00C76102">
        <w:rPr>
          <w:lang w:val="en-GB"/>
        </w:rPr>
        <w:t>Energy purchases from generators connected to transmission level;</w:t>
      </w:r>
    </w:p>
    <w:p w:rsidR="00D52EE6" w:rsidRPr="00C76102" w:rsidRDefault="002568F8" w:rsidP="00D52EE6">
      <w:pPr>
        <w:pStyle w:val="ListParagraph"/>
        <w:numPr>
          <w:ilvl w:val="0"/>
          <w:numId w:val="11"/>
        </w:numPr>
        <w:jc w:val="both"/>
        <w:rPr>
          <w:lang w:val="en-GB"/>
        </w:rPr>
      </w:pPr>
      <w:r w:rsidRPr="00C76102">
        <w:rPr>
          <w:lang w:val="en-GB"/>
        </w:rPr>
        <w:t>Energy purchases from generators connected to distribution level; and</w:t>
      </w:r>
    </w:p>
    <w:p w:rsidR="00D52EE6" w:rsidRPr="00C76102" w:rsidRDefault="002568F8" w:rsidP="00D52EE6">
      <w:pPr>
        <w:pStyle w:val="ListParagraph"/>
        <w:numPr>
          <w:ilvl w:val="0"/>
          <w:numId w:val="11"/>
        </w:numPr>
        <w:jc w:val="both"/>
        <w:rPr>
          <w:lang w:val="en-GB"/>
        </w:rPr>
      </w:pPr>
      <w:r w:rsidRPr="00C76102">
        <w:rPr>
          <w:lang w:val="en-GB"/>
        </w:rPr>
        <w:t>Import.</w:t>
      </w:r>
    </w:p>
    <w:p w:rsidR="000025F6" w:rsidRPr="00C76102" w:rsidRDefault="002568F8" w:rsidP="00BD3D95">
      <w:pPr>
        <w:jc w:val="both"/>
        <w:rPr>
          <w:lang w:val="en-GB"/>
        </w:rPr>
      </w:pPr>
      <w:r w:rsidRPr="00C76102">
        <w:rPr>
          <w:lang w:val="en-GB"/>
        </w:rPr>
        <w:t>The amount of energy for export during this forecast is not considered as energy of the USS, since USS shall only nominate the amounts required to cover the consumption of Universal Service Customers. This amount of energy shall be managed by the respective producer, in line with dispatching priorities. The consumption of universal service customers does not include</w:t>
      </w:r>
      <w:r w:rsidR="00E45F55" w:rsidRPr="00C76102">
        <w:rPr>
          <w:lang w:val="en-GB"/>
        </w:rPr>
        <w:t xml:space="preserve"> </w:t>
      </w:r>
      <w:r w:rsidRPr="00C76102">
        <w:rPr>
          <w:lang w:val="en-GB"/>
        </w:rPr>
        <w:t>the categories of customers connected to the transmission level</w:t>
      </w:r>
      <w:r w:rsidR="00E45F55" w:rsidRPr="00C76102">
        <w:rPr>
          <w:lang w:val="en-GB"/>
        </w:rPr>
        <w:t>.</w:t>
      </w:r>
    </w:p>
    <w:p w:rsidR="00D52EE6" w:rsidRPr="00C76102" w:rsidRDefault="00471D12" w:rsidP="00C0378D">
      <w:pPr>
        <w:jc w:val="both"/>
        <w:rPr>
          <w:lang w:val="en-GB"/>
        </w:rPr>
      </w:pPr>
      <w:r w:rsidRPr="00C76102">
        <w:rPr>
          <w:lang w:val="en-GB"/>
        </w:rPr>
        <w:t xml:space="preserve">The following table presents the sources of supply </w:t>
      </w:r>
      <w:r w:rsidR="0030441B" w:rsidRPr="00C76102">
        <w:rPr>
          <w:lang w:val="en-GB"/>
        </w:rPr>
        <w:t>for covering</w:t>
      </w:r>
      <w:r w:rsidRPr="00C76102">
        <w:rPr>
          <w:lang w:val="en-GB"/>
        </w:rPr>
        <w:t xml:space="preserve"> the demand of USS customers.</w:t>
      </w:r>
    </w:p>
    <w:p w:rsidR="001F295F" w:rsidRPr="00C76102" w:rsidRDefault="001F295F" w:rsidP="001F295F">
      <w:pPr>
        <w:pStyle w:val="Caption"/>
        <w:rPr>
          <w:lang w:val="en-GB"/>
        </w:rPr>
      </w:pPr>
      <w:r w:rsidRPr="00C76102">
        <w:rPr>
          <w:lang w:val="en-GB"/>
        </w:rPr>
        <w:t xml:space="preserve">Table </w:t>
      </w:r>
      <w:r w:rsidRPr="00C76102">
        <w:rPr>
          <w:lang w:val="en-GB"/>
        </w:rPr>
        <w:fldChar w:fldCharType="begin"/>
      </w:r>
      <w:r w:rsidRPr="00C76102">
        <w:rPr>
          <w:lang w:val="en-GB"/>
        </w:rPr>
        <w:instrText xml:space="preserve"> SEQ Table \* ARABIC </w:instrText>
      </w:r>
      <w:r w:rsidRPr="00C76102">
        <w:rPr>
          <w:lang w:val="en-GB"/>
        </w:rPr>
        <w:fldChar w:fldCharType="separate"/>
      </w:r>
      <w:r w:rsidR="00C76102" w:rsidRPr="00C76102">
        <w:rPr>
          <w:noProof/>
          <w:lang w:val="en-GB"/>
        </w:rPr>
        <w:t>1</w:t>
      </w:r>
      <w:r w:rsidRPr="00C76102">
        <w:rPr>
          <w:lang w:val="en-GB"/>
        </w:rPr>
        <w:fldChar w:fldCharType="end"/>
      </w:r>
      <w:r w:rsidRPr="00C76102">
        <w:rPr>
          <w:lang w:val="en-GB"/>
        </w:rPr>
        <w:t xml:space="preserve"> - </w:t>
      </w:r>
      <w:r w:rsidRPr="00C76102">
        <w:rPr>
          <w:color w:val="17365D" w:themeColor="text2" w:themeShade="BF"/>
          <w:lang w:val="en-GB"/>
        </w:rPr>
        <w:t>Electricity Balance for USS</w:t>
      </w:r>
    </w:p>
    <w:tbl>
      <w:tblPr>
        <w:tblW w:w="5000" w:type="pct"/>
        <w:jc w:val="center"/>
        <w:tblLook w:val="04A0" w:firstRow="1" w:lastRow="0" w:firstColumn="1" w:lastColumn="0" w:noHBand="0" w:noVBand="1"/>
      </w:tblPr>
      <w:tblGrid>
        <w:gridCol w:w="6840"/>
        <w:gridCol w:w="2189"/>
      </w:tblGrid>
      <w:tr w:rsidR="00BD043F" w:rsidRPr="00C76102" w:rsidTr="00AD630F">
        <w:trPr>
          <w:trHeight w:val="319"/>
          <w:jc w:val="center"/>
        </w:trPr>
        <w:tc>
          <w:tcPr>
            <w:tcW w:w="3788" w:type="pct"/>
            <w:tcBorders>
              <w:top w:val="nil"/>
              <w:left w:val="nil"/>
              <w:bottom w:val="nil"/>
              <w:right w:val="nil"/>
            </w:tcBorders>
            <w:shd w:val="clear" w:color="000000" w:fill="376091"/>
            <w:noWrap/>
            <w:vAlign w:val="center"/>
            <w:hideMark/>
          </w:tcPr>
          <w:p w:rsidR="00BD043F" w:rsidRPr="00C76102" w:rsidRDefault="00471D12" w:rsidP="00BD043F">
            <w:pPr>
              <w:spacing w:after="0" w:line="240" w:lineRule="auto"/>
              <w:rPr>
                <w:rFonts w:eastAsia="Times New Roman" w:cstheme="minorHAnsi"/>
                <w:b/>
                <w:bCs/>
                <w:color w:val="FFFFFF"/>
                <w:lang w:val="en-GB"/>
              </w:rPr>
            </w:pPr>
            <w:r w:rsidRPr="00C76102">
              <w:rPr>
                <w:rFonts w:eastAsia="Times New Roman" w:cstheme="minorHAnsi"/>
                <w:b/>
                <w:bCs/>
                <w:color w:val="FFFFFF"/>
                <w:lang w:val="en-GB"/>
              </w:rPr>
              <w:t>Energy Purchases</w:t>
            </w:r>
          </w:p>
        </w:tc>
        <w:tc>
          <w:tcPr>
            <w:tcW w:w="1212" w:type="pct"/>
            <w:tcBorders>
              <w:top w:val="nil"/>
              <w:left w:val="nil"/>
              <w:bottom w:val="nil"/>
              <w:right w:val="nil"/>
            </w:tcBorders>
            <w:shd w:val="clear" w:color="000000" w:fill="376091"/>
            <w:noWrap/>
            <w:vAlign w:val="center"/>
            <w:hideMark/>
          </w:tcPr>
          <w:p w:rsidR="00BD043F" w:rsidRPr="00C76102" w:rsidRDefault="00BD043F" w:rsidP="00BD043F">
            <w:pPr>
              <w:spacing w:after="0" w:line="240" w:lineRule="auto"/>
              <w:jc w:val="right"/>
              <w:rPr>
                <w:rFonts w:eastAsia="Times New Roman" w:cstheme="minorHAnsi"/>
                <w:b/>
                <w:bCs/>
                <w:color w:val="FFFFFF"/>
                <w:lang w:val="en-GB"/>
              </w:rPr>
            </w:pPr>
            <w:r w:rsidRPr="00C76102">
              <w:rPr>
                <w:rFonts w:eastAsia="Times New Roman" w:cstheme="minorHAnsi"/>
                <w:b/>
                <w:bCs/>
                <w:color w:val="FFFFFF"/>
                <w:lang w:val="en-GB"/>
              </w:rPr>
              <w:t>G</w:t>
            </w:r>
            <w:r w:rsidR="00C6478E" w:rsidRPr="00C76102">
              <w:rPr>
                <w:rFonts w:eastAsia="Times New Roman" w:cstheme="minorHAnsi"/>
                <w:b/>
                <w:bCs/>
                <w:color w:val="FFFFFF"/>
                <w:lang w:val="en-GB"/>
              </w:rPr>
              <w:t>W</w:t>
            </w:r>
            <w:r w:rsidRPr="00C76102">
              <w:rPr>
                <w:rFonts w:eastAsia="Times New Roman" w:cstheme="minorHAnsi"/>
                <w:b/>
                <w:bCs/>
                <w:color w:val="FFFFFF"/>
                <w:lang w:val="en-GB"/>
              </w:rPr>
              <w:t>h</w:t>
            </w:r>
          </w:p>
        </w:tc>
      </w:tr>
      <w:tr w:rsidR="00BD043F" w:rsidRPr="00C76102" w:rsidTr="00AD630F">
        <w:trPr>
          <w:trHeight w:val="319"/>
          <w:jc w:val="center"/>
        </w:trPr>
        <w:tc>
          <w:tcPr>
            <w:tcW w:w="3788" w:type="pct"/>
            <w:tcBorders>
              <w:top w:val="nil"/>
              <w:left w:val="nil"/>
              <w:bottom w:val="nil"/>
              <w:right w:val="nil"/>
            </w:tcBorders>
            <w:shd w:val="clear" w:color="000000" w:fill="FFFFFF"/>
            <w:noWrap/>
            <w:vAlign w:val="center"/>
            <w:hideMark/>
          </w:tcPr>
          <w:p w:rsidR="00BD043F" w:rsidRPr="00C76102" w:rsidRDefault="00471D12" w:rsidP="00AD630F">
            <w:pPr>
              <w:spacing w:after="0" w:line="240" w:lineRule="auto"/>
              <w:ind w:firstLineChars="300" w:firstLine="660"/>
              <w:rPr>
                <w:rFonts w:eastAsia="Times New Roman" w:cstheme="minorHAnsi"/>
                <w:color w:val="000000"/>
                <w:lang w:val="en-GB"/>
              </w:rPr>
            </w:pPr>
            <w:r w:rsidRPr="00C76102">
              <w:rPr>
                <w:rFonts w:eastAsia="Times New Roman" w:cstheme="minorHAnsi"/>
                <w:color w:val="000000"/>
                <w:lang w:val="en-GB"/>
              </w:rPr>
              <w:t>Amounts supplied by KEK</w:t>
            </w:r>
          </w:p>
        </w:tc>
        <w:tc>
          <w:tcPr>
            <w:tcW w:w="1212" w:type="pct"/>
            <w:tcBorders>
              <w:top w:val="nil"/>
              <w:left w:val="nil"/>
              <w:bottom w:val="nil"/>
              <w:right w:val="nil"/>
            </w:tcBorders>
            <w:shd w:val="clear" w:color="000000" w:fill="FFFFFF"/>
            <w:noWrap/>
            <w:vAlign w:val="center"/>
            <w:hideMark/>
          </w:tcPr>
          <w:p w:rsidR="00BD043F" w:rsidRPr="00C76102" w:rsidRDefault="00BD043F" w:rsidP="00E45F55">
            <w:pPr>
              <w:spacing w:after="0" w:line="240" w:lineRule="auto"/>
              <w:jc w:val="right"/>
              <w:rPr>
                <w:rFonts w:eastAsia="Times New Roman" w:cstheme="minorHAnsi"/>
                <w:color w:val="000000"/>
                <w:lang w:val="en-GB"/>
              </w:rPr>
            </w:pPr>
            <w:r w:rsidRPr="00C76102">
              <w:rPr>
                <w:rFonts w:eastAsia="Times New Roman" w:cstheme="minorHAnsi"/>
                <w:color w:val="000000"/>
                <w:lang w:val="en-GB"/>
              </w:rPr>
              <w:t xml:space="preserve">            </w:t>
            </w:r>
            <w:r w:rsidR="00C6478E" w:rsidRPr="00C76102">
              <w:rPr>
                <w:rFonts w:eastAsia="Times New Roman" w:cstheme="minorHAnsi"/>
                <w:color w:val="000000"/>
                <w:lang w:val="en-GB"/>
              </w:rPr>
              <w:t>3,</w:t>
            </w:r>
            <w:r w:rsidR="00E45F55" w:rsidRPr="00C76102">
              <w:rPr>
                <w:rFonts w:eastAsia="Times New Roman" w:cstheme="minorHAnsi"/>
                <w:color w:val="000000"/>
                <w:lang w:val="en-GB"/>
              </w:rPr>
              <w:t>732</w:t>
            </w:r>
            <w:r w:rsidR="00623D23" w:rsidRPr="00C76102">
              <w:rPr>
                <w:rFonts w:eastAsia="Times New Roman" w:cstheme="minorHAnsi"/>
                <w:color w:val="000000"/>
                <w:lang w:val="en-GB"/>
              </w:rPr>
              <w:t xml:space="preserve"> </w:t>
            </w:r>
          </w:p>
        </w:tc>
      </w:tr>
      <w:tr w:rsidR="00BD043F" w:rsidRPr="00C76102" w:rsidTr="00AD630F">
        <w:trPr>
          <w:trHeight w:val="319"/>
          <w:jc w:val="center"/>
        </w:trPr>
        <w:tc>
          <w:tcPr>
            <w:tcW w:w="3788" w:type="pct"/>
            <w:tcBorders>
              <w:top w:val="nil"/>
              <w:left w:val="nil"/>
              <w:bottom w:val="nil"/>
              <w:right w:val="nil"/>
            </w:tcBorders>
            <w:shd w:val="clear" w:color="000000" w:fill="FFFFFF"/>
            <w:noWrap/>
            <w:vAlign w:val="center"/>
            <w:hideMark/>
          </w:tcPr>
          <w:p w:rsidR="00BD043F" w:rsidRPr="00C76102" w:rsidRDefault="00471D12" w:rsidP="00471D12">
            <w:pPr>
              <w:spacing w:after="0" w:line="240" w:lineRule="auto"/>
              <w:ind w:firstLineChars="300" w:firstLine="660"/>
              <w:rPr>
                <w:rFonts w:eastAsia="Times New Roman" w:cstheme="minorHAnsi"/>
                <w:color w:val="000000"/>
                <w:lang w:val="en-GB"/>
              </w:rPr>
            </w:pPr>
            <w:r w:rsidRPr="00C76102">
              <w:rPr>
                <w:rFonts w:eastAsia="Times New Roman" w:cstheme="minorHAnsi"/>
                <w:color w:val="000000"/>
                <w:lang w:val="en-GB"/>
              </w:rPr>
              <w:t xml:space="preserve"> </w:t>
            </w:r>
            <w:r w:rsidR="00623D23" w:rsidRPr="00C76102">
              <w:rPr>
                <w:rFonts w:eastAsia="Times New Roman" w:cstheme="minorHAnsi"/>
                <w:color w:val="000000"/>
                <w:lang w:val="en-GB"/>
              </w:rPr>
              <w:t>O</w:t>
            </w:r>
            <w:r w:rsidRPr="00C76102">
              <w:rPr>
                <w:rFonts w:eastAsia="Times New Roman" w:cstheme="minorHAnsi"/>
                <w:color w:val="000000"/>
                <w:lang w:val="en-GB"/>
              </w:rPr>
              <w:t>ther generators at TSO level</w:t>
            </w:r>
          </w:p>
        </w:tc>
        <w:tc>
          <w:tcPr>
            <w:tcW w:w="1212" w:type="pct"/>
            <w:tcBorders>
              <w:top w:val="nil"/>
              <w:left w:val="nil"/>
              <w:bottom w:val="nil"/>
              <w:right w:val="nil"/>
            </w:tcBorders>
            <w:shd w:val="clear" w:color="000000" w:fill="FFFFFF"/>
            <w:noWrap/>
            <w:vAlign w:val="center"/>
            <w:hideMark/>
          </w:tcPr>
          <w:p w:rsidR="00BD043F" w:rsidRPr="00C76102" w:rsidRDefault="00623D23" w:rsidP="00623D23">
            <w:pPr>
              <w:spacing w:after="0" w:line="240" w:lineRule="auto"/>
              <w:jc w:val="right"/>
              <w:rPr>
                <w:rFonts w:eastAsia="Times New Roman" w:cstheme="minorHAnsi"/>
                <w:color w:val="000000"/>
                <w:lang w:val="en-GB"/>
              </w:rPr>
            </w:pPr>
            <w:r w:rsidRPr="00C76102">
              <w:rPr>
                <w:rFonts w:eastAsia="Times New Roman" w:cstheme="minorHAnsi"/>
                <w:color w:val="000000"/>
                <w:lang w:val="en-GB"/>
              </w:rPr>
              <w:t>2</w:t>
            </w:r>
            <w:r w:rsidR="00E45F55" w:rsidRPr="00C76102">
              <w:rPr>
                <w:rFonts w:eastAsia="Times New Roman" w:cstheme="minorHAnsi"/>
                <w:color w:val="000000"/>
                <w:lang w:val="en-GB"/>
              </w:rPr>
              <w:t>16</w:t>
            </w:r>
          </w:p>
        </w:tc>
      </w:tr>
      <w:tr w:rsidR="00BD043F" w:rsidRPr="00C76102" w:rsidTr="00AD630F">
        <w:trPr>
          <w:trHeight w:val="319"/>
          <w:jc w:val="center"/>
        </w:trPr>
        <w:tc>
          <w:tcPr>
            <w:tcW w:w="3788" w:type="pct"/>
            <w:tcBorders>
              <w:top w:val="nil"/>
              <w:left w:val="nil"/>
              <w:bottom w:val="nil"/>
              <w:right w:val="nil"/>
            </w:tcBorders>
            <w:shd w:val="clear" w:color="000000" w:fill="FFFFFF"/>
            <w:noWrap/>
            <w:vAlign w:val="center"/>
            <w:hideMark/>
          </w:tcPr>
          <w:p w:rsidR="00BD043F" w:rsidRPr="00C76102" w:rsidRDefault="00471D12" w:rsidP="00AD630F">
            <w:pPr>
              <w:spacing w:after="0" w:line="240" w:lineRule="auto"/>
              <w:ind w:firstLineChars="300" w:firstLine="660"/>
              <w:rPr>
                <w:rFonts w:eastAsia="Times New Roman" w:cstheme="minorHAnsi"/>
                <w:color w:val="000000"/>
                <w:lang w:val="en-GB"/>
              </w:rPr>
            </w:pPr>
            <w:r w:rsidRPr="00C76102">
              <w:rPr>
                <w:rFonts w:eastAsia="Times New Roman" w:cstheme="minorHAnsi"/>
                <w:color w:val="000000"/>
                <w:lang w:val="en-GB"/>
              </w:rPr>
              <w:t>Generators at DSO level</w:t>
            </w:r>
          </w:p>
        </w:tc>
        <w:tc>
          <w:tcPr>
            <w:tcW w:w="1212" w:type="pct"/>
            <w:tcBorders>
              <w:top w:val="nil"/>
              <w:left w:val="nil"/>
              <w:bottom w:val="nil"/>
              <w:right w:val="nil"/>
            </w:tcBorders>
            <w:shd w:val="clear" w:color="000000" w:fill="FFFFFF"/>
            <w:noWrap/>
            <w:vAlign w:val="center"/>
            <w:hideMark/>
          </w:tcPr>
          <w:p w:rsidR="00BD043F" w:rsidRPr="00C76102" w:rsidRDefault="00BD043F" w:rsidP="00623D23">
            <w:pPr>
              <w:spacing w:after="0" w:line="240" w:lineRule="auto"/>
              <w:jc w:val="right"/>
              <w:rPr>
                <w:rFonts w:eastAsia="Times New Roman" w:cstheme="minorHAnsi"/>
                <w:color w:val="000000"/>
                <w:lang w:val="en-GB"/>
              </w:rPr>
            </w:pPr>
            <w:r w:rsidRPr="00C76102">
              <w:rPr>
                <w:rFonts w:eastAsia="Times New Roman" w:cstheme="minorHAnsi"/>
                <w:color w:val="000000"/>
                <w:lang w:val="en-GB"/>
              </w:rPr>
              <w:t xml:space="preserve">                </w:t>
            </w:r>
            <w:r w:rsidR="00E45F55" w:rsidRPr="00C76102">
              <w:rPr>
                <w:rFonts w:eastAsia="Times New Roman" w:cstheme="minorHAnsi"/>
                <w:color w:val="000000"/>
                <w:lang w:val="en-GB"/>
              </w:rPr>
              <w:t>199</w:t>
            </w:r>
            <w:r w:rsidR="00623D23" w:rsidRPr="00C76102">
              <w:rPr>
                <w:rFonts w:eastAsia="Times New Roman" w:cstheme="minorHAnsi"/>
                <w:color w:val="000000"/>
                <w:lang w:val="en-GB"/>
              </w:rPr>
              <w:t xml:space="preserve"> </w:t>
            </w:r>
          </w:p>
        </w:tc>
      </w:tr>
      <w:tr w:rsidR="00BD043F" w:rsidRPr="00C76102" w:rsidTr="00AD630F">
        <w:trPr>
          <w:trHeight w:val="319"/>
          <w:jc w:val="center"/>
        </w:trPr>
        <w:tc>
          <w:tcPr>
            <w:tcW w:w="3788" w:type="pct"/>
            <w:tcBorders>
              <w:top w:val="nil"/>
              <w:left w:val="nil"/>
              <w:right w:val="nil"/>
            </w:tcBorders>
            <w:shd w:val="clear" w:color="000000" w:fill="FFFFFF"/>
            <w:noWrap/>
            <w:vAlign w:val="center"/>
            <w:hideMark/>
          </w:tcPr>
          <w:p w:rsidR="00BD043F" w:rsidRPr="00C76102" w:rsidRDefault="00471D12" w:rsidP="00AD630F">
            <w:pPr>
              <w:spacing w:after="0" w:line="240" w:lineRule="auto"/>
              <w:ind w:firstLineChars="300" w:firstLine="660"/>
              <w:rPr>
                <w:rFonts w:eastAsia="Times New Roman" w:cstheme="minorHAnsi"/>
                <w:color w:val="000000"/>
                <w:lang w:val="en-GB"/>
              </w:rPr>
            </w:pPr>
            <w:r w:rsidRPr="00C76102">
              <w:rPr>
                <w:rFonts w:eastAsia="Times New Roman" w:cstheme="minorHAnsi"/>
                <w:color w:val="000000"/>
                <w:lang w:val="en-GB"/>
              </w:rPr>
              <w:t>Import</w:t>
            </w:r>
          </w:p>
        </w:tc>
        <w:tc>
          <w:tcPr>
            <w:tcW w:w="1212" w:type="pct"/>
            <w:tcBorders>
              <w:top w:val="nil"/>
              <w:left w:val="nil"/>
              <w:right w:val="nil"/>
            </w:tcBorders>
            <w:shd w:val="clear" w:color="000000" w:fill="FFFFFF"/>
            <w:noWrap/>
            <w:vAlign w:val="center"/>
            <w:hideMark/>
          </w:tcPr>
          <w:p w:rsidR="00BD043F" w:rsidRPr="00C76102" w:rsidRDefault="00E45F55" w:rsidP="00A1639C">
            <w:pPr>
              <w:spacing w:after="0" w:line="240" w:lineRule="auto"/>
              <w:jc w:val="right"/>
              <w:rPr>
                <w:rFonts w:eastAsia="Times New Roman" w:cstheme="minorHAnsi"/>
                <w:lang w:val="en-GB"/>
              </w:rPr>
            </w:pPr>
            <w:r w:rsidRPr="00C76102">
              <w:rPr>
                <w:rFonts w:eastAsia="Times New Roman" w:cstheme="minorHAnsi"/>
                <w:lang w:val="en-GB"/>
              </w:rPr>
              <w:t>83</w:t>
            </w:r>
          </w:p>
        </w:tc>
      </w:tr>
      <w:tr w:rsidR="00BD043F" w:rsidRPr="00C76102" w:rsidTr="00AD630F">
        <w:trPr>
          <w:trHeight w:val="351"/>
          <w:jc w:val="center"/>
        </w:trPr>
        <w:tc>
          <w:tcPr>
            <w:tcW w:w="3788" w:type="pct"/>
            <w:tcBorders>
              <w:top w:val="nil"/>
              <w:left w:val="nil"/>
              <w:bottom w:val="dotted" w:sz="4" w:space="0" w:color="auto"/>
              <w:right w:val="nil"/>
            </w:tcBorders>
            <w:shd w:val="clear" w:color="000000" w:fill="FFFFFF"/>
            <w:noWrap/>
            <w:vAlign w:val="center"/>
            <w:hideMark/>
          </w:tcPr>
          <w:p w:rsidR="00BD043F" w:rsidRPr="00C76102" w:rsidRDefault="00BD043F" w:rsidP="00C67B2F">
            <w:pPr>
              <w:spacing w:after="0" w:line="240" w:lineRule="auto"/>
              <w:rPr>
                <w:rFonts w:eastAsia="Times New Roman" w:cstheme="minorHAnsi"/>
                <w:b/>
                <w:bCs/>
                <w:lang w:val="en-GB"/>
              </w:rPr>
            </w:pPr>
            <w:r w:rsidRPr="00C76102">
              <w:rPr>
                <w:rFonts w:eastAsia="Times New Roman" w:cstheme="minorHAnsi"/>
                <w:b/>
                <w:bCs/>
                <w:lang w:val="en-GB"/>
              </w:rPr>
              <w:t xml:space="preserve"> </w:t>
            </w:r>
            <w:r w:rsidR="00471D12" w:rsidRPr="00C76102">
              <w:rPr>
                <w:rFonts w:eastAsia="Times New Roman" w:cstheme="minorHAnsi"/>
                <w:b/>
                <w:bCs/>
                <w:lang w:val="en-GB"/>
              </w:rPr>
              <w:t>Total supplied amount</w:t>
            </w:r>
          </w:p>
        </w:tc>
        <w:tc>
          <w:tcPr>
            <w:tcW w:w="1212" w:type="pct"/>
            <w:tcBorders>
              <w:top w:val="nil"/>
              <w:left w:val="nil"/>
              <w:bottom w:val="dotted" w:sz="4" w:space="0" w:color="auto"/>
              <w:right w:val="nil"/>
            </w:tcBorders>
            <w:shd w:val="clear" w:color="000000" w:fill="FFFFFF"/>
            <w:noWrap/>
            <w:vAlign w:val="center"/>
            <w:hideMark/>
          </w:tcPr>
          <w:p w:rsidR="00BD043F" w:rsidRPr="00C76102" w:rsidRDefault="00BD043F" w:rsidP="00623D23">
            <w:pPr>
              <w:spacing w:after="0" w:line="240" w:lineRule="auto"/>
              <w:jc w:val="right"/>
              <w:rPr>
                <w:rFonts w:eastAsia="Times New Roman" w:cstheme="minorHAnsi"/>
                <w:b/>
                <w:bCs/>
                <w:lang w:val="en-GB"/>
              </w:rPr>
            </w:pPr>
            <w:r w:rsidRPr="00C76102">
              <w:rPr>
                <w:rFonts w:eastAsia="Times New Roman" w:cstheme="minorHAnsi"/>
                <w:b/>
                <w:bCs/>
                <w:lang w:val="en-GB"/>
              </w:rPr>
              <w:t xml:space="preserve">            </w:t>
            </w:r>
            <w:r w:rsidR="00623D23" w:rsidRPr="00C76102">
              <w:rPr>
                <w:rFonts w:eastAsia="Times New Roman" w:cstheme="minorHAnsi"/>
                <w:b/>
                <w:bCs/>
                <w:lang w:val="en-GB"/>
              </w:rPr>
              <w:t>4,</w:t>
            </w:r>
            <w:r w:rsidR="00E45F55" w:rsidRPr="00C76102">
              <w:rPr>
                <w:rFonts w:eastAsia="Times New Roman" w:cstheme="minorHAnsi"/>
                <w:b/>
                <w:bCs/>
                <w:lang w:val="en-GB"/>
              </w:rPr>
              <w:t>23</w:t>
            </w:r>
            <w:r w:rsidR="00623D23" w:rsidRPr="00C76102">
              <w:rPr>
                <w:rFonts w:eastAsia="Times New Roman" w:cstheme="minorHAnsi"/>
                <w:b/>
                <w:bCs/>
                <w:lang w:val="en-GB"/>
              </w:rPr>
              <w:t>1</w:t>
            </w:r>
          </w:p>
        </w:tc>
      </w:tr>
      <w:tr w:rsidR="00BD043F" w:rsidRPr="00C76102" w:rsidTr="00AD630F">
        <w:trPr>
          <w:trHeight w:val="319"/>
          <w:jc w:val="center"/>
        </w:trPr>
        <w:tc>
          <w:tcPr>
            <w:tcW w:w="3788" w:type="pct"/>
            <w:tcBorders>
              <w:top w:val="dotted" w:sz="4" w:space="0" w:color="auto"/>
              <w:left w:val="nil"/>
              <w:bottom w:val="nil"/>
              <w:right w:val="nil"/>
            </w:tcBorders>
            <w:shd w:val="clear" w:color="000000" w:fill="FFFFFF"/>
            <w:noWrap/>
            <w:vAlign w:val="center"/>
            <w:hideMark/>
          </w:tcPr>
          <w:p w:rsidR="00BD043F" w:rsidRPr="00C76102" w:rsidRDefault="00BD043F" w:rsidP="00C67B2F">
            <w:pPr>
              <w:spacing w:after="0" w:line="240" w:lineRule="auto"/>
              <w:rPr>
                <w:rFonts w:eastAsia="Times New Roman" w:cstheme="minorHAnsi"/>
                <w:b/>
                <w:bCs/>
                <w:lang w:val="en-GB"/>
              </w:rPr>
            </w:pPr>
            <w:r w:rsidRPr="00C76102">
              <w:rPr>
                <w:rFonts w:eastAsia="Times New Roman" w:cstheme="minorHAnsi"/>
                <w:b/>
                <w:bCs/>
                <w:lang w:val="en-GB"/>
              </w:rPr>
              <w:t xml:space="preserve"> </w:t>
            </w:r>
            <w:r w:rsidR="00C67B2F" w:rsidRPr="00C76102">
              <w:rPr>
                <w:rFonts w:eastAsia="Times New Roman" w:cstheme="minorHAnsi"/>
                <w:b/>
                <w:bCs/>
                <w:lang w:val="en-GB"/>
              </w:rPr>
              <w:t>Consumption by categories of USS customers</w:t>
            </w:r>
          </w:p>
        </w:tc>
        <w:tc>
          <w:tcPr>
            <w:tcW w:w="1212" w:type="pct"/>
            <w:tcBorders>
              <w:top w:val="dotted" w:sz="4" w:space="0" w:color="auto"/>
              <w:left w:val="nil"/>
              <w:bottom w:val="nil"/>
              <w:right w:val="nil"/>
            </w:tcBorders>
            <w:shd w:val="clear" w:color="000000" w:fill="FFFFFF"/>
            <w:noWrap/>
            <w:vAlign w:val="center"/>
            <w:hideMark/>
          </w:tcPr>
          <w:p w:rsidR="00BD043F" w:rsidRPr="00C76102" w:rsidRDefault="00BD043F" w:rsidP="00A1639C">
            <w:pPr>
              <w:spacing w:after="0" w:line="240" w:lineRule="auto"/>
              <w:jc w:val="right"/>
              <w:rPr>
                <w:rFonts w:eastAsia="Times New Roman" w:cstheme="minorHAnsi"/>
                <w:b/>
                <w:bCs/>
                <w:lang w:val="en-GB"/>
              </w:rPr>
            </w:pPr>
            <w:r w:rsidRPr="00C76102">
              <w:rPr>
                <w:rFonts w:eastAsia="Times New Roman" w:cstheme="minorHAnsi"/>
                <w:b/>
                <w:bCs/>
                <w:lang w:val="en-GB"/>
              </w:rPr>
              <w:t> </w:t>
            </w:r>
          </w:p>
        </w:tc>
      </w:tr>
      <w:tr w:rsidR="00BD043F" w:rsidRPr="00C76102" w:rsidTr="00AD630F">
        <w:trPr>
          <w:trHeight w:val="319"/>
          <w:jc w:val="center"/>
        </w:trPr>
        <w:tc>
          <w:tcPr>
            <w:tcW w:w="3788" w:type="pct"/>
            <w:tcBorders>
              <w:top w:val="nil"/>
              <w:left w:val="nil"/>
              <w:bottom w:val="nil"/>
              <w:right w:val="nil"/>
            </w:tcBorders>
            <w:shd w:val="clear" w:color="000000" w:fill="FFFFFF"/>
            <w:noWrap/>
            <w:vAlign w:val="center"/>
            <w:hideMark/>
          </w:tcPr>
          <w:p w:rsidR="00BD043F" w:rsidRPr="00C76102" w:rsidRDefault="00BD043F" w:rsidP="00C67B2F">
            <w:pPr>
              <w:spacing w:after="0" w:line="240" w:lineRule="auto"/>
              <w:ind w:firstLineChars="200" w:firstLine="440"/>
              <w:rPr>
                <w:rFonts w:eastAsia="Times New Roman" w:cstheme="minorHAnsi"/>
                <w:color w:val="000000"/>
                <w:lang w:val="en-GB"/>
              </w:rPr>
            </w:pPr>
            <w:r w:rsidRPr="00C76102">
              <w:rPr>
                <w:rFonts w:eastAsia="Times New Roman" w:cstheme="minorHAnsi"/>
                <w:color w:val="000000"/>
                <w:lang w:val="en-GB"/>
              </w:rPr>
              <w:t xml:space="preserve">  </w:t>
            </w:r>
            <w:r w:rsidR="00C67B2F" w:rsidRPr="00C76102">
              <w:rPr>
                <w:rFonts w:eastAsia="Times New Roman" w:cstheme="minorHAnsi"/>
                <w:color w:val="000000"/>
                <w:lang w:val="en-GB"/>
              </w:rPr>
              <w:t xml:space="preserve">Customers </w:t>
            </w:r>
            <w:r w:rsidRPr="00C76102">
              <w:rPr>
                <w:rFonts w:eastAsia="Times New Roman" w:cstheme="minorHAnsi"/>
                <w:color w:val="000000"/>
                <w:lang w:val="en-GB"/>
              </w:rPr>
              <w:t>35 kV</w:t>
            </w:r>
          </w:p>
        </w:tc>
        <w:tc>
          <w:tcPr>
            <w:tcW w:w="1212" w:type="pct"/>
            <w:tcBorders>
              <w:top w:val="nil"/>
              <w:left w:val="nil"/>
              <w:bottom w:val="nil"/>
              <w:right w:val="nil"/>
            </w:tcBorders>
            <w:shd w:val="clear" w:color="000000" w:fill="FFFFFF"/>
            <w:noWrap/>
            <w:vAlign w:val="center"/>
            <w:hideMark/>
          </w:tcPr>
          <w:p w:rsidR="00BD043F" w:rsidRPr="00C76102" w:rsidRDefault="00E45F55" w:rsidP="00180CE9">
            <w:pPr>
              <w:spacing w:after="0" w:line="240" w:lineRule="auto"/>
              <w:jc w:val="right"/>
              <w:rPr>
                <w:rFonts w:eastAsia="Times New Roman" w:cstheme="minorHAnsi"/>
                <w:color w:val="000000"/>
                <w:lang w:val="en-GB"/>
              </w:rPr>
            </w:pPr>
            <w:r w:rsidRPr="00C76102">
              <w:rPr>
                <w:rFonts w:eastAsia="Times New Roman" w:cstheme="minorHAnsi"/>
                <w:color w:val="000000"/>
                <w:lang w:val="en-GB"/>
              </w:rPr>
              <w:t>59</w:t>
            </w:r>
          </w:p>
        </w:tc>
      </w:tr>
      <w:tr w:rsidR="00BD043F" w:rsidRPr="00C76102" w:rsidTr="00AD630F">
        <w:trPr>
          <w:trHeight w:val="319"/>
          <w:jc w:val="center"/>
        </w:trPr>
        <w:tc>
          <w:tcPr>
            <w:tcW w:w="3788" w:type="pct"/>
            <w:tcBorders>
              <w:top w:val="nil"/>
              <w:left w:val="nil"/>
              <w:bottom w:val="nil"/>
              <w:right w:val="nil"/>
            </w:tcBorders>
            <w:shd w:val="clear" w:color="000000" w:fill="FFFFFF"/>
            <w:noWrap/>
            <w:vAlign w:val="center"/>
            <w:hideMark/>
          </w:tcPr>
          <w:p w:rsidR="00BD043F" w:rsidRPr="00C76102" w:rsidRDefault="00BD043F" w:rsidP="00C67B2F">
            <w:pPr>
              <w:spacing w:after="0" w:line="240" w:lineRule="auto"/>
              <w:ind w:firstLineChars="200" w:firstLine="440"/>
              <w:rPr>
                <w:rFonts w:eastAsia="Times New Roman" w:cstheme="minorHAnsi"/>
                <w:color w:val="000000"/>
                <w:lang w:val="en-GB"/>
              </w:rPr>
            </w:pPr>
            <w:r w:rsidRPr="00C76102">
              <w:rPr>
                <w:rFonts w:eastAsia="Times New Roman" w:cstheme="minorHAnsi"/>
                <w:color w:val="000000"/>
                <w:lang w:val="en-GB"/>
              </w:rPr>
              <w:t xml:space="preserve">   </w:t>
            </w:r>
            <w:r w:rsidR="00C67B2F" w:rsidRPr="00C76102">
              <w:rPr>
                <w:rFonts w:eastAsia="Times New Roman" w:cstheme="minorHAnsi"/>
                <w:color w:val="000000"/>
                <w:lang w:val="en-GB"/>
              </w:rPr>
              <w:t>Customers</w:t>
            </w:r>
            <w:r w:rsidRPr="00C76102">
              <w:rPr>
                <w:rFonts w:eastAsia="Times New Roman" w:cstheme="minorHAnsi"/>
                <w:color w:val="000000"/>
                <w:lang w:val="en-GB"/>
              </w:rPr>
              <w:t xml:space="preserve"> 10 kV</w:t>
            </w:r>
          </w:p>
        </w:tc>
        <w:tc>
          <w:tcPr>
            <w:tcW w:w="1212" w:type="pct"/>
            <w:tcBorders>
              <w:top w:val="nil"/>
              <w:left w:val="nil"/>
              <w:bottom w:val="nil"/>
              <w:right w:val="nil"/>
            </w:tcBorders>
            <w:shd w:val="clear" w:color="000000" w:fill="FFFFFF"/>
            <w:noWrap/>
            <w:vAlign w:val="center"/>
            <w:hideMark/>
          </w:tcPr>
          <w:p w:rsidR="00BD043F" w:rsidRPr="00C76102" w:rsidRDefault="00BD043F" w:rsidP="00623D23">
            <w:pPr>
              <w:spacing w:after="0" w:line="240" w:lineRule="auto"/>
              <w:jc w:val="right"/>
              <w:rPr>
                <w:rFonts w:eastAsia="Times New Roman" w:cstheme="minorHAnsi"/>
                <w:color w:val="000000"/>
                <w:lang w:val="en-GB"/>
              </w:rPr>
            </w:pPr>
            <w:r w:rsidRPr="00C76102">
              <w:rPr>
                <w:rFonts w:eastAsia="Times New Roman" w:cstheme="minorHAnsi"/>
                <w:color w:val="000000"/>
                <w:lang w:val="en-GB"/>
              </w:rPr>
              <w:t xml:space="preserve">                </w:t>
            </w:r>
            <w:r w:rsidR="00623D23" w:rsidRPr="00C76102">
              <w:rPr>
                <w:rFonts w:eastAsia="Times New Roman" w:cstheme="minorHAnsi"/>
                <w:color w:val="000000"/>
                <w:lang w:val="en-GB"/>
              </w:rPr>
              <w:t>4</w:t>
            </w:r>
            <w:r w:rsidR="00E45F55" w:rsidRPr="00C76102">
              <w:rPr>
                <w:rFonts w:eastAsia="Times New Roman" w:cstheme="minorHAnsi"/>
                <w:color w:val="000000"/>
                <w:lang w:val="en-GB"/>
              </w:rPr>
              <w:t>50</w:t>
            </w:r>
            <w:r w:rsidR="00623D23" w:rsidRPr="00C76102">
              <w:rPr>
                <w:rFonts w:eastAsia="Times New Roman" w:cstheme="minorHAnsi"/>
                <w:color w:val="000000"/>
                <w:lang w:val="en-GB"/>
              </w:rPr>
              <w:t xml:space="preserve"> </w:t>
            </w:r>
          </w:p>
        </w:tc>
      </w:tr>
      <w:tr w:rsidR="00BD043F" w:rsidRPr="00C76102" w:rsidTr="00AD630F">
        <w:trPr>
          <w:trHeight w:val="319"/>
          <w:jc w:val="center"/>
        </w:trPr>
        <w:tc>
          <w:tcPr>
            <w:tcW w:w="3788" w:type="pct"/>
            <w:tcBorders>
              <w:top w:val="nil"/>
              <w:left w:val="nil"/>
              <w:bottom w:val="nil"/>
              <w:right w:val="nil"/>
            </w:tcBorders>
            <w:shd w:val="clear" w:color="000000" w:fill="FFFFFF"/>
            <w:noWrap/>
            <w:vAlign w:val="center"/>
            <w:hideMark/>
          </w:tcPr>
          <w:p w:rsidR="00BD043F" w:rsidRPr="00C76102" w:rsidRDefault="00C67B2F" w:rsidP="00AD630F">
            <w:pPr>
              <w:spacing w:after="0" w:line="240" w:lineRule="auto"/>
              <w:ind w:firstLineChars="200" w:firstLine="440"/>
              <w:rPr>
                <w:rFonts w:eastAsia="Times New Roman" w:cstheme="minorHAnsi"/>
                <w:color w:val="000000"/>
                <w:lang w:val="en-GB"/>
              </w:rPr>
            </w:pPr>
            <w:r w:rsidRPr="00C76102">
              <w:rPr>
                <w:rFonts w:eastAsia="Times New Roman" w:cstheme="minorHAnsi"/>
                <w:color w:val="000000"/>
                <w:lang w:val="en-GB"/>
              </w:rPr>
              <w:t xml:space="preserve">Customers </w:t>
            </w:r>
            <w:r w:rsidR="00BD043F" w:rsidRPr="00C76102">
              <w:rPr>
                <w:rFonts w:eastAsia="Times New Roman" w:cstheme="minorHAnsi"/>
                <w:color w:val="000000"/>
                <w:lang w:val="en-GB"/>
              </w:rPr>
              <w:t>0.4 kV</w:t>
            </w:r>
          </w:p>
        </w:tc>
        <w:tc>
          <w:tcPr>
            <w:tcW w:w="1212" w:type="pct"/>
            <w:tcBorders>
              <w:top w:val="nil"/>
              <w:left w:val="nil"/>
              <w:bottom w:val="nil"/>
              <w:right w:val="nil"/>
            </w:tcBorders>
            <w:shd w:val="clear" w:color="000000" w:fill="FFFFFF"/>
            <w:noWrap/>
            <w:vAlign w:val="center"/>
            <w:hideMark/>
          </w:tcPr>
          <w:p w:rsidR="00BD043F" w:rsidRPr="00C76102" w:rsidRDefault="00E45F55" w:rsidP="00A1639C">
            <w:pPr>
              <w:spacing w:after="0" w:line="240" w:lineRule="auto"/>
              <w:jc w:val="right"/>
              <w:rPr>
                <w:rFonts w:eastAsia="Times New Roman" w:cstheme="minorHAnsi"/>
                <w:color w:val="000000"/>
                <w:lang w:val="en-GB"/>
              </w:rPr>
            </w:pPr>
            <w:r w:rsidRPr="00C76102">
              <w:rPr>
                <w:rFonts w:eastAsia="Times New Roman" w:cstheme="minorHAnsi"/>
                <w:color w:val="000000"/>
                <w:lang w:val="en-GB"/>
              </w:rPr>
              <w:t>3,722</w:t>
            </w:r>
          </w:p>
        </w:tc>
      </w:tr>
      <w:tr w:rsidR="00BD043F" w:rsidRPr="00C76102" w:rsidTr="00AD630F">
        <w:trPr>
          <w:trHeight w:val="319"/>
          <w:jc w:val="center"/>
        </w:trPr>
        <w:tc>
          <w:tcPr>
            <w:tcW w:w="3788" w:type="pct"/>
            <w:tcBorders>
              <w:top w:val="nil"/>
              <w:left w:val="nil"/>
              <w:bottom w:val="nil"/>
              <w:right w:val="nil"/>
            </w:tcBorders>
            <w:shd w:val="clear" w:color="000000" w:fill="376091"/>
            <w:noWrap/>
            <w:vAlign w:val="center"/>
            <w:hideMark/>
          </w:tcPr>
          <w:p w:rsidR="00BD043F" w:rsidRPr="00C76102" w:rsidRDefault="00C67B2F" w:rsidP="00BD043F">
            <w:pPr>
              <w:spacing w:after="0" w:line="240" w:lineRule="auto"/>
              <w:rPr>
                <w:rFonts w:eastAsia="Times New Roman" w:cstheme="minorHAnsi"/>
                <w:b/>
                <w:bCs/>
                <w:color w:val="FFFFFF"/>
                <w:lang w:val="en-GB"/>
              </w:rPr>
            </w:pPr>
            <w:r w:rsidRPr="00C76102">
              <w:rPr>
                <w:rFonts w:eastAsia="Times New Roman" w:cstheme="minorHAnsi"/>
                <w:b/>
                <w:bCs/>
                <w:color w:val="FFFFFF"/>
                <w:lang w:val="en-GB"/>
              </w:rPr>
              <w:t>Total consumption of USS customers</w:t>
            </w:r>
          </w:p>
        </w:tc>
        <w:tc>
          <w:tcPr>
            <w:tcW w:w="1212" w:type="pct"/>
            <w:tcBorders>
              <w:top w:val="nil"/>
              <w:left w:val="nil"/>
              <w:bottom w:val="nil"/>
              <w:right w:val="nil"/>
            </w:tcBorders>
            <w:shd w:val="clear" w:color="000000" w:fill="376091"/>
            <w:noWrap/>
            <w:vAlign w:val="center"/>
            <w:hideMark/>
          </w:tcPr>
          <w:p w:rsidR="00BD043F" w:rsidRPr="00C76102" w:rsidRDefault="00180CE9" w:rsidP="00623D23">
            <w:pPr>
              <w:spacing w:after="0" w:line="240" w:lineRule="auto"/>
              <w:jc w:val="right"/>
              <w:rPr>
                <w:rFonts w:eastAsia="Times New Roman" w:cstheme="minorHAnsi"/>
                <w:b/>
                <w:bCs/>
                <w:color w:val="FFFFFF"/>
                <w:lang w:val="en-GB"/>
              </w:rPr>
            </w:pPr>
            <w:r w:rsidRPr="00C76102">
              <w:rPr>
                <w:rFonts w:eastAsia="Times New Roman" w:cstheme="minorHAnsi"/>
                <w:b/>
                <w:bCs/>
                <w:color w:val="FFFFFF"/>
                <w:lang w:val="en-GB"/>
              </w:rPr>
              <w:t xml:space="preserve">            </w:t>
            </w:r>
            <w:r w:rsidR="00623D23" w:rsidRPr="00C76102">
              <w:rPr>
                <w:rFonts w:eastAsia="Times New Roman" w:cstheme="minorHAnsi"/>
                <w:b/>
                <w:bCs/>
                <w:color w:val="FFFFFF"/>
                <w:lang w:val="en-GB"/>
              </w:rPr>
              <w:t>4,</w:t>
            </w:r>
            <w:r w:rsidR="00E45F55" w:rsidRPr="00C76102">
              <w:rPr>
                <w:rFonts w:eastAsia="Times New Roman" w:cstheme="minorHAnsi"/>
                <w:b/>
                <w:bCs/>
                <w:color w:val="FFFFFF"/>
                <w:lang w:val="en-GB"/>
              </w:rPr>
              <w:t>231</w:t>
            </w:r>
            <w:r w:rsidR="00BD043F" w:rsidRPr="00C76102">
              <w:rPr>
                <w:rFonts w:eastAsia="Times New Roman" w:cstheme="minorHAnsi"/>
                <w:b/>
                <w:bCs/>
                <w:color w:val="FFFFFF"/>
                <w:lang w:val="en-GB"/>
              </w:rPr>
              <w:t xml:space="preserve"> </w:t>
            </w:r>
          </w:p>
        </w:tc>
      </w:tr>
    </w:tbl>
    <w:p w:rsidR="001D1277" w:rsidRPr="00C76102" w:rsidRDefault="001D1277" w:rsidP="001D1277">
      <w:pPr>
        <w:spacing w:after="0"/>
        <w:ind w:left="360"/>
        <w:jc w:val="both"/>
        <w:rPr>
          <w:lang w:val="en-GB"/>
        </w:rPr>
      </w:pPr>
    </w:p>
    <w:p w:rsidR="00E45F55" w:rsidRPr="00C76102" w:rsidRDefault="00E45F55" w:rsidP="001F295F">
      <w:pPr>
        <w:jc w:val="both"/>
        <w:rPr>
          <w:lang w:val="en-GB"/>
        </w:rPr>
      </w:pPr>
      <w:r w:rsidRPr="00C76102">
        <w:rPr>
          <w:lang w:val="en-GB"/>
        </w:rPr>
        <w:t xml:space="preserve">As shown in the table, the amount of energy that is planned to be consumed by customers entitled to universal service is equal to the amounts to be covered by different sources of supply. The allocation of energy to customers with universal service for energy from renewable sources is done proportionally between the consumption of regulated and unregulated customers. While the energy produced by the Hydropower Plants with whom USS has concession agreements, has been allocated to USS customers, in accordance with the agreements between the parties. </w:t>
      </w:r>
    </w:p>
    <w:p w:rsidR="005129C7" w:rsidRPr="00C76102" w:rsidRDefault="000445AE" w:rsidP="001F295F">
      <w:pPr>
        <w:jc w:val="both"/>
        <w:rPr>
          <w:lang w:val="en-GB"/>
        </w:rPr>
      </w:pPr>
      <w:r w:rsidRPr="00C76102">
        <w:rPr>
          <w:lang w:val="en-GB"/>
        </w:rPr>
        <w:lastRenderedPageBreak/>
        <w:t xml:space="preserve">Recovery </w:t>
      </w:r>
      <w:r w:rsidR="007D16B1" w:rsidRPr="00C76102">
        <w:rPr>
          <w:lang w:val="en-GB"/>
        </w:rPr>
        <w:t xml:space="preserve">of losses in transmission and distribution system are the responsibility of the respective network operators and </w:t>
      </w:r>
      <w:r w:rsidR="00F166A4" w:rsidRPr="00C76102">
        <w:rPr>
          <w:lang w:val="en-GB"/>
        </w:rPr>
        <w:t xml:space="preserve">as </w:t>
      </w:r>
      <w:r w:rsidR="007D16B1" w:rsidRPr="00C76102">
        <w:rPr>
          <w:lang w:val="en-GB"/>
        </w:rPr>
        <w:t xml:space="preserve">it can be seen, they are not shown in this table. </w:t>
      </w:r>
      <w:r w:rsidR="00F166A4" w:rsidRPr="00C76102">
        <w:rPr>
          <w:lang w:val="en-GB"/>
        </w:rPr>
        <w:t xml:space="preserve">They are </w:t>
      </w:r>
      <w:r w:rsidR="007D16B1" w:rsidRPr="00C76102">
        <w:rPr>
          <w:lang w:val="en-GB"/>
        </w:rPr>
        <w:t>handl</w:t>
      </w:r>
      <w:r w:rsidR="00F166A4" w:rsidRPr="00C76102">
        <w:rPr>
          <w:lang w:val="en-GB"/>
        </w:rPr>
        <w:t xml:space="preserve">ed </w:t>
      </w:r>
      <w:r w:rsidR="007D16B1" w:rsidRPr="00C76102">
        <w:rPr>
          <w:lang w:val="en-GB"/>
        </w:rPr>
        <w:t xml:space="preserve">in Consultation Papers for </w:t>
      </w:r>
      <w:r w:rsidR="00D00CB6" w:rsidRPr="00C76102">
        <w:rPr>
          <w:lang w:val="en-GB"/>
        </w:rPr>
        <w:t>the MARs of TSO/MO and DSO.</w:t>
      </w:r>
    </w:p>
    <w:p w:rsidR="008773FD" w:rsidRPr="00C76102" w:rsidRDefault="00B80D8D" w:rsidP="008773FD">
      <w:pPr>
        <w:pStyle w:val="Heading1"/>
        <w:numPr>
          <w:ilvl w:val="0"/>
          <w:numId w:val="2"/>
        </w:numPr>
        <w:spacing w:before="0"/>
        <w:rPr>
          <w:rFonts w:asciiTheme="minorHAnsi" w:hAnsiTheme="minorHAnsi" w:cstheme="minorHAnsi"/>
          <w:lang w:val="en-GB"/>
        </w:rPr>
      </w:pPr>
      <w:bookmarkStart w:id="3" w:name="_Toc81818656"/>
      <w:r w:rsidRPr="00C76102">
        <w:rPr>
          <w:rFonts w:asciiTheme="minorHAnsi" w:hAnsiTheme="minorHAnsi" w:cstheme="minorHAnsi"/>
          <w:lang w:val="en-GB"/>
        </w:rPr>
        <w:t>Wholesale Costs</w:t>
      </w:r>
      <w:r w:rsidR="001F295F" w:rsidRPr="00C76102">
        <w:rPr>
          <w:rFonts w:asciiTheme="minorHAnsi" w:hAnsiTheme="minorHAnsi" w:cstheme="minorHAnsi"/>
          <w:lang w:val="en-GB"/>
        </w:rPr>
        <w:t xml:space="preserve"> </w:t>
      </w:r>
      <w:r w:rsidRPr="00C76102">
        <w:rPr>
          <w:rFonts w:asciiTheme="minorHAnsi" w:hAnsiTheme="minorHAnsi" w:cstheme="minorHAnsi"/>
          <w:lang w:val="en-GB"/>
        </w:rPr>
        <w:t>- Energy Purchase</w:t>
      </w:r>
      <w:bookmarkEnd w:id="3"/>
    </w:p>
    <w:p w:rsidR="005D35F3" w:rsidRPr="00C76102" w:rsidRDefault="00B80D8D" w:rsidP="005D35F3">
      <w:pPr>
        <w:spacing w:after="0"/>
        <w:jc w:val="both"/>
        <w:rPr>
          <w:lang w:val="en-GB"/>
        </w:rPr>
      </w:pPr>
      <w:r w:rsidRPr="00C76102">
        <w:rPr>
          <w:lang w:val="en-GB"/>
        </w:rPr>
        <w:t xml:space="preserve">Following the </w:t>
      </w:r>
      <w:r w:rsidR="00F166A4" w:rsidRPr="00C76102">
        <w:rPr>
          <w:lang w:val="en-GB"/>
        </w:rPr>
        <w:t>determination</w:t>
      </w:r>
      <w:r w:rsidRPr="00C76102">
        <w:rPr>
          <w:lang w:val="en-GB"/>
        </w:rPr>
        <w:t xml:space="preserve"> of required amount of supply in order to cover the demand of USS customers, a calculation of costs for energy purchase in the wholesale market shall also be carried out. In line with the Rule on USS Revenues, the Universal Service Supplier is obliged to provide electricity in a transparent, </w:t>
      </w:r>
      <w:r w:rsidR="00F166A4" w:rsidRPr="00C76102">
        <w:rPr>
          <w:lang w:val="en-GB"/>
        </w:rPr>
        <w:t>competitive</w:t>
      </w:r>
      <w:r w:rsidRPr="00C76102">
        <w:rPr>
          <w:lang w:val="en-GB"/>
        </w:rPr>
        <w:t xml:space="preserve"> and efficient manner. The Universal Service Supplier shall demonstrate that electricity forecast prices that will be procured are justifiable. </w:t>
      </w:r>
    </w:p>
    <w:p w:rsidR="005D35F3" w:rsidRPr="00C76102" w:rsidRDefault="005D35F3" w:rsidP="005D35F3">
      <w:pPr>
        <w:spacing w:after="0"/>
        <w:jc w:val="both"/>
        <w:rPr>
          <w:lang w:val="en-GB"/>
        </w:rPr>
      </w:pPr>
    </w:p>
    <w:p w:rsidR="006D1BE6" w:rsidRPr="00C76102" w:rsidRDefault="006D1BE6" w:rsidP="005D35F3">
      <w:pPr>
        <w:spacing w:after="0"/>
        <w:jc w:val="both"/>
        <w:rPr>
          <w:rFonts w:eastAsia="Calibri" w:cs="Calibri"/>
          <w:lang w:val="en-GB"/>
        </w:rPr>
      </w:pPr>
      <w:r w:rsidRPr="00C76102">
        <w:rPr>
          <w:rFonts w:eastAsia="Calibri" w:cs="Calibri"/>
          <w:lang w:val="en-GB"/>
        </w:rPr>
        <w:t xml:space="preserve">From the Regulator’s research on energy purchases, it was found that energy sales from HPP </w:t>
      </w:r>
      <w:proofErr w:type="spellStart"/>
      <w:r w:rsidRPr="00C76102">
        <w:rPr>
          <w:rFonts w:eastAsia="Calibri" w:cs="Calibri"/>
          <w:lang w:val="en-GB"/>
        </w:rPr>
        <w:t>Ujmani</w:t>
      </w:r>
      <w:proofErr w:type="spellEnd"/>
      <w:r w:rsidRPr="00C76102">
        <w:rPr>
          <w:rFonts w:eastAsia="Calibri" w:cs="Calibri"/>
          <w:lang w:val="en-GB"/>
        </w:rPr>
        <w:t xml:space="preserve"> which is the largest hydropower plant in the country, are realized through a one-year term contract reached in May 2019 (from 17.05.2019 until 16.05.2020). After the expiration of the contract, contrary to the Procedure for Energy Purchase, the sale and purchase of energy from HPP </w:t>
      </w:r>
      <w:proofErr w:type="spellStart"/>
      <w:r w:rsidRPr="00C76102">
        <w:rPr>
          <w:rFonts w:eastAsia="Calibri" w:cs="Calibri"/>
          <w:lang w:val="en-GB"/>
        </w:rPr>
        <w:t>Ujman</w:t>
      </w:r>
      <w:r w:rsidR="007A155E" w:rsidRPr="00C76102">
        <w:rPr>
          <w:rFonts w:eastAsia="Calibri" w:cs="Calibri"/>
          <w:lang w:val="en-GB"/>
        </w:rPr>
        <w:t>i</w:t>
      </w:r>
      <w:proofErr w:type="spellEnd"/>
      <w:r w:rsidRPr="00C76102">
        <w:rPr>
          <w:rFonts w:eastAsia="Calibri" w:cs="Calibri"/>
          <w:lang w:val="en-GB"/>
        </w:rPr>
        <w:t xml:space="preserve"> was extended until 31 December 2020. This has prevented KESCO-USS from purchasing energy more efficiently for the supply of regulated customers. </w:t>
      </w:r>
    </w:p>
    <w:p w:rsidR="006D1BE6" w:rsidRPr="00C76102" w:rsidRDefault="006D1BE6" w:rsidP="005D35F3">
      <w:pPr>
        <w:spacing w:after="0"/>
        <w:jc w:val="both"/>
        <w:rPr>
          <w:rFonts w:eastAsia="Calibri" w:cs="Calibri"/>
          <w:lang w:val="en-GB"/>
        </w:rPr>
      </w:pPr>
    </w:p>
    <w:p w:rsidR="006D1BE6" w:rsidRPr="00C76102" w:rsidRDefault="006D1BE6" w:rsidP="005D35F3">
      <w:pPr>
        <w:spacing w:after="0"/>
        <w:jc w:val="both"/>
        <w:rPr>
          <w:rFonts w:eastAsia="Calibri" w:cs="Calibri"/>
          <w:lang w:val="en-GB"/>
        </w:rPr>
      </w:pPr>
      <w:r w:rsidRPr="00C76102">
        <w:rPr>
          <w:rFonts w:eastAsia="Calibri" w:cs="Calibri"/>
          <w:lang w:val="en-GB"/>
        </w:rPr>
        <w:t xml:space="preserve">KESCO-USS has not foreseen the purchase of energy from HPP </w:t>
      </w:r>
      <w:proofErr w:type="spellStart"/>
      <w:r w:rsidRPr="00C76102">
        <w:rPr>
          <w:rFonts w:eastAsia="Calibri" w:cs="Calibri"/>
          <w:lang w:val="en-GB"/>
        </w:rPr>
        <w:t>Ujman</w:t>
      </w:r>
      <w:r w:rsidR="00BD3D95" w:rsidRPr="00C76102">
        <w:rPr>
          <w:rFonts w:eastAsia="Calibri" w:cs="Calibri"/>
          <w:lang w:val="en-GB"/>
        </w:rPr>
        <w:t>i</w:t>
      </w:r>
      <w:proofErr w:type="spellEnd"/>
      <w:r w:rsidRPr="00C76102">
        <w:rPr>
          <w:rFonts w:eastAsia="Calibri" w:cs="Calibri"/>
          <w:lang w:val="en-GB"/>
        </w:rPr>
        <w:t xml:space="preserve"> even for the tariff year 2021, therefore KESCO-USS must prove that the alternatives used for replacing this energy are more favourable for final customers, as required by the rules on revenues.</w:t>
      </w:r>
    </w:p>
    <w:p w:rsidR="006D1BE6" w:rsidRPr="00C76102" w:rsidRDefault="006D1BE6" w:rsidP="005D35F3">
      <w:pPr>
        <w:spacing w:after="0"/>
        <w:jc w:val="both"/>
        <w:rPr>
          <w:rFonts w:eastAsia="Calibri" w:cs="Calibri"/>
          <w:lang w:val="en-GB"/>
        </w:rPr>
      </w:pPr>
    </w:p>
    <w:p w:rsidR="005D35F3" w:rsidRPr="00C76102" w:rsidRDefault="00490EA0" w:rsidP="005D35F3">
      <w:pPr>
        <w:spacing w:after="0"/>
        <w:jc w:val="both"/>
        <w:rPr>
          <w:rFonts w:eastAsia="Calibri" w:cs="Calibri"/>
          <w:lang w:val="en-GB"/>
        </w:rPr>
      </w:pPr>
      <w:r w:rsidRPr="00C76102">
        <w:rPr>
          <w:rFonts w:eastAsia="Calibri" w:cs="Calibri"/>
          <w:lang w:val="en-GB"/>
        </w:rPr>
        <w:t>During the process of negotiating contracts for the purchase of</w:t>
      </w:r>
      <w:r w:rsidR="008B4EF3" w:rsidRPr="00C76102">
        <w:rPr>
          <w:rFonts w:eastAsia="Calibri" w:cs="Calibri"/>
          <w:lang w:val="en-GB"/>
        </w:rPr>
        <w:t xml:space="preserve"> USS</w:t>
      </w:r>
      <w:r w:rsidRPr="00C76102">
        <w:rPr>
          <w:rFonts w:eastAsia="Calibri" w:cs="Calibri"/>
          <w:lang w:val="en-GB"/>
        </w:rPr>
        <w:t xml:space="preserve"> energy from domestic generation, account should be taken of the fact that the forecasted prices are in line with the historical and projected prices of the Kosovo wholesale market.</w:t>
      </w:r>
    </w:p>
    <w:p w:rsidR="00B943AB" w:rsidRPr="00C76102" w:rsidRDefault="00B943AB" w:rsidP="005D35F3">
      <w:pPr>
        <w:spacing w:after="0"/>
        <w:jc w:val="both"/>
        <w:rPr>
          <w:rFonts w:eastAsia="Calibri" w:cs="Calibri"/>
          <w:lang w:val="en-GB"/>
        </w:rPr>
      </w:pPr>
    </w:p>
    <w:p w:rsidR="00B943AB" w:rsidRPr="00C76102" w:rsidRDefault="00B943AB" w:rsidP="005D35F3">
      <w:pPr>
        <w:spacing w:after="0"/>
        <w:jc w:val="both"/>
        <w:rPr>
          <w:rFonts w:eastAsia="Calibri" w:cs="Calibri"/>
          <w:lang w:val="en-GB"/>
        </w:rPr>
      </w:pPr>
      <w:r w:rsidRPr="00C76102">
        <w:rPr>
          <w:rFonts w:eastAsia="Calibri" w:cs="Calibri"/>
          <w:lang w:val="en-GB"/>
        </w:rPr>
        <w:t>In estimating the cost of purchasing wholesale energy, ERO has taken into account the direct costs of the Supplier to RES according to the Rule on Support Scheme, the costs for purchasing energy from other generators according to the contractual terms.</w:t>
      </w:r>
    </w:p>
    <w:p w:rsidR="00B943AB" w:rsidRPr="00C76102" w:rsidRDefault="00B943AB" w:rsidP="005D35F3">
      <w:pPr>
        <w:spacing w:after="0"/>
        <w:jc w:val="both"/>
        <w:rPr>
          <w:rFonts w:eastAsia="Calibri" w:cs="Calibri"/>
          <w:lang w:val="en-GB"/>
        </w:rPr>
      </w:pPr>
    </w:p>
    <w:p w:rsidR="00024C9E" w:rsidRPr="00C76102" w:rsidRDefault="008B4EF3" w:rsidP="00024C9E">
      <w:pPr>
        <w:spacing w:after="0" w:line="240" w:lineRule="auto"/>
        <w:rPr>
          <w:sz w:val="15"/>
          <w:szCs w:val="15"/>
          <w:lang w:val="en-GB"/>
        </w:rPr>
      </w:pPr>
      <w:r w:rsidRPr="00C76102">
        <w:rPr>
          <w:rFonts w:eastAsia="Calibri" w:cs="Calibri"/>
          <w:lang w:val="en-GB"/>
        </w:rPr>
        <w:t xml:space="preserve">The allowed wholesale energy costs </w:t>
      </w:r>
      <w:r w:rsidRPr="00C76102">
        <w:rPr>
          <w:rFonts w:eastAsia="Calibri" w:cs="Calibri"/>
          <w:spacing w:val="1"/>
          <w:lang w:val="en-GB"/>
        </w:rPr>
        <w:t>(</w:t>
      </w:r>
      <w:r w:rsidRPr="00C76102">
        <w:rPr>
          <w:rFonts w:eastAsia="Calibri" w:cs="Calibri"/>
          <w:lang w:val="en-GB"/>
        </w:rPr>
        <w:t>WHPC</w:t>
      </w:r>
      <w:r w:rsidRPr="00C76102">
        <w:rPr>
          <w:rFonts w:eastAsia="Calibri" w:cs="Calibri"/>
          <w:spacing w:val="-1"/>
          <w:position w:val="-3"/>
          <w:sz w:val="14"/>
          <w:szCs w:val="14"/>
          <w:lang w:val="en-GB"/>
        </w:rPr>
        <w:t>t</w:t>
      </w:r>
      <w:r w:rsidRPr="00C76102">
        <w:rPr>
          <w:rFonts w:eastAsia="Calibri" w:cs="Calibri"/>
          <w:lang w:val="en-GB"/>
        </w:rPr>
        <w:t>) will be calculated according to the following formula:</w:t>
      </w:r>
    </w:p>
    <w:p w:rsidR="00024C9E" w:rsidRPr="00C76102" w:rsidRDefault="00024C9E" w:rsidP="00024C9E">
      <w:pPr>
        <w:pStyle w:val="ListParagraph"/>
        <w:rPr>
          <w:rFonts w:eastAsia="Calibri" w:cs="Calibri"/>
          <w:i/>
          <w:lang w:val="en-GB"/>
        </w:rPr>
      </w:pPr>
    </w:p>
    <w:p w:rsidR="00024C9E" w:rsidRPr="00C76102" w:rsidRDefault="00C6478E" w:rsidP="00024C9E">
      <w:pPr>
        <w:pStyle w:val="ListParagraph"/>
        <w:rPr>
          <w:rFonts w:eastAsia="Calibri" w:cs="Calibri"/>
          <w:i/>
          <w:spacing w:val="-1"/>
          <w:lang w:val="en-GB"/>
        </w:rPr>
      </w:pPr>
      <w:r w:rsidRPr="00C76102">
        <w:rPr>
          <w:rFonts w:eastAsia="Calibri" w:cs="Calibri"/>
          <w:i/>
          <w:lang w:val="en-GB"/>
        </w:rPr>
        <w:t>W</w:t>
      </w:r>
      <w:r w:rsidR="00024C9E" w:rsidRPr="00C76102">
        <w:rPr>
          <w:rFonts w:eastAsia="Calibri" w:cs="Calibri"/>
          <w:i/>
          <w:lang w:val="en-GB"/>
        </w:rPr>
        <w:t>HPC</w:t>
      </w:r>
      <w:r w:rsidR="00024C9E" w:rsidRPr="00C76102">
        <w:rPr>
          <w:rFonts w:eastAsia="Calibri" w:cs="Calibri"/>
          <w:i/>
          <w:position w:val="-3"/>
          <w:sz w:val="14"/>
          <w:szCs w:val="14"/>
          <w:lang w:val="en-GB"/>
        </w:rPr>
        <w:t>t</w:t>
      </w:r>
      <w:r w:rsidR="00024C9E" w:rsidRPr="00C76102">
        <w:rPr>
          <w:rFonts w:eastAsia="Calibri" w:cs="Calibri"/>
          <w:i/>
          <w:spacing w:val="-1"/>
          <w:position w:val="-3"/>
          <w:sz w:val="14"/>
          <w:szCs w:val="14"/>
          <w:lang w:val="en-GB"/>
        </w:rPr>
        <w:t xml:space="preserve"> </w:t>
      </w:r>
      <w:r w:rsidR="00024C9E" w:rsidRPr="00C76102">
        <w:rPr>
          <w:rFonts w:eastAsia="Calibri" w:cs="Calibri"/>
          <w:i/>
          <w:lang w:val="en-GB"/>
        </w:rPr>
        <w:t>=</w:t>
      </w:r>
      <w:r w:rsidR="00024C9E" w:rsidRPr="00C76102">
        <w:rPr>
          <w:rFonts w:eastAsia="Calibri" w:cs="Calibri"/>
          <w:i/>
          <w:spacing w:val="1"/>
          <w:lang w:val="en-GB"/>
        </w:rPr>
        <w:t xml:space="preserve"> (</w:t>
      </w:r>
      <w:r w:rsidR="00024C9E" w:rsidRPr="00C76102">
        <w:rPr>
          <w:rFonts w:eastAsia="Calibri" w:cs="Calibri"/>
          <w:i/>
          <w:lang w:val="en-GB"/>
        </w:rPr>
        <w:t>GE</w:t>
      </w:r>
      <w:r w:rsidR="00024C9E" w:rsidRPr="00C76102">
        <w:rPr>
          <w:rFonts w:eastAsia="Calibri" w:cs="Calibri"/>
          <w:i/>
          <w:spacing w:val="-1"/>
          <w:lang w:val="en-GB"/>
        </w:rPr>
        <w:t>N</w:t>
      </w:r>
      <w:r w:rsidR="00024C9E" w:rsidRPr="00C76102">
        <w:rPr>
          <w:rFonts w:eastAsia="Calibri" w:cs="Calibri"/>
          <w:i/>
          <w:spacing w:val="1"/>
          <w:lang w:val="en-GB"/>
        </w:rPr>
        <w:t>C</w:t>
      </w:r>
      <w:r w:rsidR="00024C9E" w:rsidRPr="00C76102">
        <w:rPr>
          <w:rFonts w:eastAsia="Calibri" w:cs="Calibri"/>
          <w:i/>
          <w:position w:val="-3"/>
          <w:sz w:val="14"/>
          <w:szCs w:val="14"/>
          <w:lang w:val="en-GB"/>
        </w:rPr>
        <w:t>t</w:t>
      </w:r>
      <w:r w:rsidR="00024C9E" w:rsidRPr="00C76102">
        <w:rPr>
          <w:rFonts w:eastAsia="Calibri" w:cs="Calibri"/>
          <w:i/>
          <w:spacing w:val="17"/>
          <w:position w:val="-3"/>
          <w:sz w:val="14"/>
          <w:szCs w:val="14"/>
          <w:lang w:val="en-GB"/>
        </w:rPr>
        <w:t xml:space="preserve"> </w:t>
      </w:r>
      <w:r w:rsidR="00024C9E" w:rsidRPr="00C76102">
        <w:rPr>
          <w:rFonts w:eastAsia="Calibri" w:cs="Calibri"/>
          <w:i/>
          <w:lang w:val="en-GB"/>
        </w:rPr>
        <w:t>+</w:t>
      </w:r>
      <w:r w:rsidR="00024C9E" w:rsidRPr="00C76102">
        <w:rPr>
          <w:rFonts w:eastAsia="Calibri" w:cs="Calibri"/>
          <w:i/>
          <w:spacing w:val="1"/>
          <w:lang w:val="en-GB"/>
        </w:rPr>
        <w:t xml:space="preserve"> </w:t>
      </w:r>
      <w:r w:rsidR="00024C9E" w:rsidRPr="00C76102">
        <w:rPr>
          <w:rFonts w:eastAsia="Calibri" w:cs="Calibri"/>
          <w:i/>
          <w:spacing w:val="-3"/>
          <w:lang w:val="en-GB"/>
        </w:rPr>
        <w:t>I</w:t>
      </w:r>
      <w:r w:rsidR="00024C9E" w:rsidRPr="00C76102">
        <w:rPr>
          <w:rFonts w:eastAsia="Calibri" w:cs="Calibri"/>
          <w:i/>
          <w:spacing w:val="1"/>
          <w:lang w:val="en-GB"/>
        </w:rPr>
        <w:t>M</w:t>
      </w:r>
      <w:r w:rsidR="00024C9E" w:rsidRPr="00C76102">
        <w:rPr>
          <w:rFonts w:eastAsia="Calibri" w:cs="Calibri"/>
          <w:i/>
          <w:spacing w:val="-1"/>
          <w:lang w:val="en-GB"/>
        </w:rPr>
        <w:t>P</w:t>
      </w:r>
      <w:r w:rsidR="00024C9E" w:rsidRPr="00C76102">
        <w:rPr>
          <w:rFonts w:eastAsia="Calibri" w:cs="Calibri"/>
          <w:i/>
          <w:lang w:val="en-GB"/>
        </w:rPr>
        <w:t>C</w:t>
      </w:r>
      <w:r w:rsidR="00024C9E" w:rsidRPr="00C76102">
        <w:rPr>
          <w:rFonts w:eastAsia="Calibri" w:cs="Calibri"/>
          <w:i/>
          <w:position w:val="-3"/>
          <w:sz w:val="14"/>
          <w:szCs w:val="14"/>
          <w:lang w:val="en-GB"/>
        </w:rPr>
        <w:t>t</w:t>
      </w:r>
      <w:r w:rsidR="00024C9E" w:rsidRPr="00C76102">
        <w:rPr>
          <w:rFonts w:eastAsia="Calibri" w:cs="Calibri"/>
          <w:i/>
          <w:spacing w:val="17"/>
          <w:position w:val="-3"/>
          <w:sz w:val="14"/>
          <w:szCs w:val="14"/>
          <w:lang w:val="en-GB"/>
        </w:rPr>
        <w:t xml:space="preserve"> </w:t>
      </w:r>
      <w:r w:rsidR="00024C9E" w:rsidRPr="00C76102">
        <w:rPr>
          <w:rFonts w:eastAsia="Calibri" w:cs="Calibri"/>
          <w:i/>
          <w:lang w:val="en-GB"/>
        </w:rPr>
        <w:t>+</w:t>
      </w:r>
      <w:r w:rsidR="00024C9E" w:rsidRPr="00C76102">
        <w:rPr>
          <w:rFonts w:eastAsia="Calibri" w:cs="Calibri"/>
          <w:i/>
          <w:spacing w:val="1"/>
          <w:lang w:val="en-GB"/>
        </w:rPr>
        <w:t xml:space="preserve"> </w:t>
      </w:r>
      <w:r w:rsidR="00024C9E" w:rsidRPr="00C76102">
        <w:rPr>
          <w:rFonts w:eastAsia="Calibri" w:cs="Calibri"/>
          <w:i/>
          <w:spacing w:val="-3"/>
          <w:lang w:val="en-GB"/>
        </w:rPr>
        <w:t>I</w:t>
      </w:r>
      <w:r w:rsidR="00024C9E" w:rsidRPr="00C76102">
        <w:rPr>
          <w:rFonts w:eastAsia="Calibri" w:cs="Calibri"/>
          <w:i/>
          <w:spacing w:val="1"/>
          <w:lang w:val="en-GB"/>
        </w:rPr>
        <w:t>M</w:t>
      </w:r>
      <w:r w:rsidR="00024C9E" w:rsidRPr="00C76102">
        <w:rPr>
          <w:rFonts w:eastAsia="Calibri" w:cs="Calibri"/>
          <w:i/>
          <w:lang w:val="en-GB"/>
        </w:rPr>
        <w:t>B</w:t>
      </w:r>
      <w:r w:rsidR="00024C9E" w:rsidRPr="00C76102">
        <w:rPr>
          <w:rFonts w:eastAsia="Calibri" w:cs="Calibri"/>
          <w:i/>
          <w:spacing w:val="1"/>
          <w:lang w:val="en-GB"/>
        </w:rPr>
        <w:t>C</w:t>
      </w:r>
      <w:r w:rsidR="00024C9E" w:rsidRPr="00C76102">
        <w:rPr>
          <w:rFonts w:eastAsia="Calibri" w:cs="Calibri"/>
          <w:i/>
          <w:position w:val="-3"/>
          <w:sz w:val="14"/>
          <w:szCs w:val="14"/>
          <w:lang w:val="en-GB"/>
        </w:rPr>
        <w:t>t</w:t>
      </w:r>
      <w:r w:rsidR="00024C9E" w:rsidRPr="00C76102">
        <w:rPr>
          <w:rFonts w:eastAsia="Calibri" w:cs="Calibri"/>
          <w:i/>
          <w:spacing w:val="17"/>
          <w:position w:val="-3"/>
          <w:sz w:val="14"/>
          <w:szCs w:val="14"/>
          <w:lang w:val="en-GB"/>
        </w:rPr>
        <w:t xml:space="preserve"> </w:t>
      </w:r>
      <w:r w:rsidR="00024C9E" w:rsidRPr="00C76102">
        <w:rPr>
          <w:rFonts w:eastAsia="Calibri" w:cs="Calibri"/>
          <w:i/>
          <w:lang w:val="en-GB"/>
        </w:rPr>
        <w:t>*</w:t>
      </w:r>
      <w:r w:rsidR="00024C9E" w:rsidRPr="00C76102">
        <w:rPr>
          <w:rFonts w:eastAsia="Calibri" w:cs="Calibri"/>
          <w:i/>
          <w:spacing w:val="1"/>
          <w:lang w:val="en-GB"/>
        </w:rPr>
        <w:t xml:space="preserve"> </w:t>
      </w:r>
      <w:proofErr w:type="gramStart"/>
      <w:r w:rsidR="00024C9E" w:rsidRPr="00C76102">
        <w:rPr>
          <w:rFonts w:eastAsia="Calibri" w:cs="Calibri"/>
          <w:i/>
          <w:spacing w:val="-3"/>
          <w:lang w:val="en-GB"/>
        </w:rPr>
        <w:t>I</w:t>
      </w:r>
      <w:r w:rsidR="00024C9E" w:rsidRPr="00C76102">
        <w:rPr>
          <w:rFonts w:eastAsia="Calibri" w:cs="Calibri"/>
          <w:i/>
          <w:spacing w:val="1"/>
          <w:lang w:val="en-GB"/>
        </w:rPr>
        <w:t>M</w:t>
      </w:r>
      <w:r w:rsidR="00024C9E" w:rsidRPr="00C76102">
        <w:rPr>
          <w:rFonts w:eastAsia="Calibri" w:cs="Calibri"/>
          <w:i/>
          <w:spacing w:val="-2"/>
          <w:lang w:val="en-GB"/>
        </w:rPr>
        <w:t>B</w:t>
      </w:r>
      <w:r w:rsidR="00024C9E" w:rsidRPr="00C76102">
        <w:rPr>
          <w:rFonts w:eastAsia="Calibri" w:cs="Calibri"/>
          <w:i/>
          <w:lang w:val="en-GB"/>
        </w:rPr>
        <w:t>F</w:t>
      </w:r>
      <w:r w:rsidR="00024C9E" w:rsidRPr="00C76102">
        <w:rPr>
          <w:rFonts w:eastAsia="Calibri" w:cs="Calibri"/>
          <w:i/>
          <w:position w:val="-3"/>
          <w:sz w:val="14"/>
          <w:szCs w:val="14"/>
          <w:lang w:val="en-GB"/>
        </w:rPr>
        <w:t xml:space="preserve">t </w:t>
      </w:r>
      <w:r w:rsidR="00024C9E" w:rsidRPr="00C76102">
        <w:rPr>
          <w:rFonts w:eastAsia="Calibri" w:cs="Calibri"/>
          <w:i/>
          <w:spacing w:val="-1"/>
          <w:lang w:val="en-GB"/>
        </w:rPr>
        <w:t>)</w:t>
      </w:r>
      <w:proofErr w:type="gramEnd"/>
      <w:r w:rsidR="00024C9E" w:rsidRPr="00C76102">
        <w:rPr>
          <w:rFonts w:eastAsia="Calibri" w:cs="Calibri"/>
          <w:i/>
          <w:spacing w:val="-1"/>
          <w:lang w:val="en-GB"/>
        </w:rPr>
        <w:t>*(1+RETM</w:t>
      </w:r>
      <w:r w:rsidR="00024C9E" w:rsidRPr="00C76102">
        <w:rPr>
          <w:rFonts w:eastAsia="Calibri" w:cs="Calibri"/>
          <w:i/>
          <w:spacing w:val="-1"/>
          <w:vertAlign w:val="subscript"/>
          <w:lang w:val="en-GB"/>
        </w:rPr>
        <w:t>t</w:t>
      </w:r>
      <w:r w:rsidR="00024C9E" w:rsidRPr="00C76102">
        <w:rPr>
          <w:rFonts w:eastAsia="Calibri" w:cs="Calibri"/>
          <w:i/>
          <w:spacing w:val="-1"/>
          <w:lang w:val="en-GB"/>
        </w:rPr>
        <w:t>)</w:t>
      </w:r>
    </w:p>
    <w:p w:rsidR="00024C9E" w:rsidRPr="00C76102" w:rsidRDefault="00024C9E" w:rsidP="00024C9E">
      <w:pPr>
        <w:pStyle w:val="ListParagraph"/>
        <w:rPr>
          <w:rFonts w:eastAsia="Calibri" w:cs="Calibri"/>
          <w:i/>
          <w:spacing w:val="-1"/>
          <w:sz w:val="12"/>
          <w:szCs w:val="12"/>
          <w:lang w:val="en-GB"/>
        </w:rPr>
      </w:pPr>
    </w:p>
    <w:p w:rsidR="00024C9E" w:rsidRPr="00C76102" w:rsidRDefault="00F166A4" w:rsidP="00564792">
      <w:pPr>
        <w:pStyle w:val="ListParagraph"/>
        <w:spacing w:after="0" w:line="240" w:lineRule="auto"/>
        <w:rPr>
          <w:rFonts w:eastAsia="Calibri" w:cs="Calibri"/>
          <w:i/>
          <w:lang w:val="en-GB"/>
        </w:rPr>
      </w:pPr>
      <w:r w:rsidRPr="00C76102">
        <w:rPr>
          <w:rFonts w:eastAsia="Calibri" w:cs="Calibri"/>
          <w:i/>
          <w:lang w:val="en-GB"/>
        </w:rPr>
        <w:t>Where</w:t>
      </w:r>
      <w:r w:rsidR="00024C9E" w:rsidRPr="00C76102">
        <w:rPr>
          <w:rFonts w:eastAsia="Calibri" w:cs="Calibri"/>
          <w:i/>
          <w:lang w:val="en-GB"/>
        </w:rPr>
        <w:t>:</w:t>
      </w:r>
    </w:p>
    <w:p w:rsidR="00024C9E" w:rsidRPr="00C76102" w:rsidRDefault="00024C9E" w:rsidP="00564792">
      <w:pPr>
        <w:pStyle w:val="ListParagraph"/>
        <w:spacing w:after="0" w:line="240" w:lineRule="auto"/>
        <w:rPr>
          <w:rFonts w:eastAsia="Calibri" w:cs="Calibri"/>
          <w:sz w:val="12"/>
          <w:szCs w:val="12"/>
          <w:lang w:val="en-GB"/>
        </w:rPr>
      </w:pPr>
    </w:p>
    <w:p w:rsidR="00024C9E" w:rsidRPr="00C76102" w:rsidRDefault="00024C9E" w:rsidP="00564792">
      <w:pPr>
        <w:pStyle w:val="ListParagraph"/>
        <w:spacing w:after="0" w:line="240" w:lineRule="auto"/>
        <w:ind w:left="1710" w:hanging="990"/>
        <w:jc w:val="both"/>
        <w:rPr>
          <w:rFonts w:eastAsia="Calibri" w:cs="Calibri"/>
          <w:i/>
          <w:lang w:val="en-GB"/>
        </w:rPr>
      </w:pPr>
      <w:proofErr w:type="spellStart"/>
      <w:r w:rsidRPr="00C76102">
        <w:rPr>
          <w:rFonts w:eastAsia="Calibri" w:cs="Calibri"/>
          <w:i/>
          <w:lang w:val="en-GB"/>
        </w:rPr>
        <w:t>GENC</w:t>
      </w:r>
      <w:r w:rsidRPr="00C76102">
        <w:rPr>
          <w:rFonts w:eastAsia="Calibri" w:cs="Calibri"/>
          <w:i/>
          <w:vertAlign w:val="subscript"/>
          <w:lang w:val="en-GB"/>
        </w:rPr>
        <w:t>t</w:t>
      </w:r>
      <w:proofErr w:type="spellEnd"/>
      <w:r w:rsidRPr="00C76102">
        <w:rPr>
          <w:rFonts w:eastAsia="Calibri" w:cs="Calibri"/>
          <w:i/>
          <w:lang w:val="en-GB"/>
        </w:rPr>
        <w:t xml:space="preserve">      </w:t>
      </w:r>
      <w:r w:rsidR="001C3094" w:rsidRPr="00C76102">
        <w:rPr>
          <w:rFonts w:eastAsia="Calibri" w:cs="Calibri"/>
          <w:i/>
          <w:lang w:val="en-GB"/>
        </w:rPr>
        <w:t xml:space="preserve">   </w:t>
      </w:r>
      <w:r w:rsidR="008B4EF3" w:rsidRPr="00C76102">
        <w:rPr>
          <w:rFonts w:eastAsia="Calibri" w:cs="Calibri"/>
          <w:i/>
          <w:lang w:val="en-GB"/>
        </w:rPr>
        <w:t>allowed costs of energy purchase from domestic generators in relevant year t</w:t>
      </w:r>
    </w:p>
    <w:p w:rsidR="00024C9E" w:rsidRPr="00C76102" w:rsidRDefault="00024C9E" w:rsidP="00564792">
      <w:pPr>
        <w:spacing w:after="0" w:line="240" w:lineRule="auto"/>
        <w:ind w:left="1710" w:hanging="720"/>
        <w:rPr>
          <w:lang w:val="en-GB"/>
        </w:rPr>
      </w:pPr>
    </w:p>
    <w:p w:rsidR="00024C9E" w:rsidRPr="00C76102" w:rsidRDefault="00024C9E" w:rsidP="00564792">
      <w:pPr>
        <w:pStyle w:val="ListParagraph"/>
        <w:spacing w:after="0" w:line="240" w:lineRule="auto"/>
        <w:ind w:left="1710" w:hanging="990"/>
        <w:jc w:val="both"/>
        <w:rPr>
          <w:rFonts w:eastAsia="Calibri" w:cs="Calibri"/>
          <w:i/>
          <w:lang w:val="en-GB"/>
        </w:rPr>
      </w:pPr>
      <w:proofErr w:type="spellStart"/>
      <w:r w:rsidRPr="00C76102">
        <w:rPr>
          <w:rFonts w:eastAsia="Calibri" w:cs="Calibri"/>
          <w:i/>
          <w:lang w:val="en-GB"/>
        </w:rPr>
        <w:t>IMPC</w:t>
      </w:r>
      <w:r w:rsidRPr="00C76102">
        <w:rPr>
          <w:rFonts w:eastAsia="Calibri" w:cs="Calibri"/>
          <w:i/>
          <w:vertAlign w:val="subscript"/>
          <w:lang w:val="en-GB"/>
        </w:rPr>
        <w:t>t</w:t>
      </w:r>
      <w:proofErr w:type="spellEnd"/>
      <w:r w:rsidRPr="00C76102">
        <w:rPr>
          <w:rFonts w:eastAsia="Calibri" w:cs="Calibri"/>
          <w:i/>
          <w:lang w:val="en-GB"/>
        </w:rPr>
        <w:t xml:space="preserve">     </w:t>
      </w:r>
      <w:r w:rsidR="001C3094" w:rsidRPr="00C76102">
        <w:rPr>
          <w:rFonts w:eastAsia="Calibri" w:cs="Calibri"/>
          <w:i/>
          <w:lang w:val="en-GB"/>
        </w:rPr>
        <w:t xml:space="preserve">    </w:t>
      </w:r>
      <w:r w:rsidRPr="00C76102">
        <w:rPr>
          <w:rFonts w:eastAsia="Calibri" w:cs="Calibri"/>
          <w:i/>
          <w:lang w:val="en-GB"/>
        </w:rPr>
        <w:t xml:space="preserve"> </w:t>
      </w:r>
      <w:r w:rsidR="00E83DBF" w:rsidRPr="00C76102">
        <w:rPr>
          <w:rFonts w:eastAsia="Calibri" w:cs="Calibri"/>
          <w:i/>
          <w:lang w:val="en-GB"/>
        </w:rPr>
        <w:t>allowed costs of energy import in relevant year t</w:t>
      </w:r>
    </w:p>
    <w:p w:rsidR="00024C9E" w:rsidRPr="00C76102" w:rsidRDefault="00024C9E" w:rsidP="00564792">
      <w:pPr>
        <w:spacing w:after="0" w:line="240" w:lineRule="auto"/>
        <w:ind w:left="1710"/>
        <w:rPr>
          <w:rFonts w:ascii="Calibri" w:eastAsia="Calibri" w:hAnsi="Calibri" w:cs="Calibri"/>
          <w:i/>
          <w:lang w:val="en-GB"/>
        </w:rPr>
      </w:pPr>
    </w:p>
    <w:p w:rsidR="00024C9E" w:rsidRPr="00C76102" w:rsidRDefault="00024C9E" w:rsidP="00564792">
      <w:pPr>
        <w:pStyle w:val="ListParagraph"/>
        <w:spacing w:after="0" w:line="240" w:lineRule="auto"/>
        <w:ind w:left="1710" w:hanging="990"/>
        <w:rPr>
          <w:rFonts w:eastAsia="Calibri" w:cs="Calibri"/>
          <w:i/>
          <w:lang w:val="en-GB"/>
        </w:rPr>
      </w:pPr>
      <w:proofErr w:type="spellStart"/>
      <w:r w:rsidRPr="00C76102">
        <w:rPr>
          <w:rFonts w:eastAsia="Calibri" w:cs="Calibri"/>
          <w:i/>
          <w:lang w:val="en-GB"/>
        </w:rPr>
        <w:t>IMBC</w:t>
      </w:r>
      <w:r w:rsidRPr="00C76102">
        <w:rPr>
          <w:rFonts w:eastAsia="Calibri" w:cs="Calibri"/>
          <w:i/>
          <w:vertAlign w:val="subscript"/>
          <w:lang w:val="en-GB"/>
        </w:rPr>
        <w:t>t</w:t>
      </w:r>
      <w:proofErr w:type="spellEnd"/>
      <w:r w:rsidRPr="00C76102">
        <w:rPr>
          <w:rFonts w:eastAsia="Calibri" w:cs="Calibri"/>
          <w:i/>
          <w:lang w:val="en-GB"/>
        </w:rPr>
        <w:tab/>
      </w:r>
      <w:r w:rsidR="00E83DBF" w:rsidRPr="00C76102">
        <w:rPr>
          <w:rFonts w:eastAsia="Calibri" w:cs="Calibri"/>
          <w:i/>
          <w:lang w:val="en-GB"/>
        </w:rPr>
        <w:t>net imbalance costs in relevant year t</w:t>
      </w:r>
    </w:p>
    <w:p w:rsidR="00024C9E" w:rsidRPr="00C76102" w:rsidRDefault="00024C9E" w:rsidP="00564792">
      <w:pPr>
        <w:spacing w:after="0" w:line="240" w:lineRule="auto"/>
        <w:ind w:left="1710" w:hanging="720"/>
        <w:rPr>
          <w:rFonts w:ascii="Calibri" w:eastAsia="Calibri" w:hAnsi="Calibri" w:cs="Calibri"/>
          <w:i/>
          <w:lang w:val="en-GB"/>
        </w:rPr>
      </w:pPr>
    </w:p>
    <w:p w:rsidR="00024C9E" w:rsidRPr="00C76102" w:rsidRDefault="00024C9E" w:rsidP="00564792">
      <w:pPr>
        <w:pStyle w:val="ListParagraph"/>
        <w:spacing w:after="0" w:line="240" w:lineRule="auto"/>
        <w:ind w:left="1710" w:hanging="990"/>
        <w:rPr>
          <w:rFonts w:eastAsia="Calibri" w:cs="Calibri"/>
          <w:i/>
          <w:lang w:val="en-GB"/>
        </w:rPr>
      </w:pPr>
      <w:proofErr w:type="spellStart"/>
      <w:r w:rsidRPr="00C76102">
        <w:rPr>
          <w:rFonts w:eastAsia="Calibri" w:cs="Calibri"/>
          <w:i/>
          <w:lang w:val="en-GB"/>
        </w:rPr>
        <w:t>IMBF</w:t>
      </w:r>
      <w:r w:rsidRPr="00C76102">
        <w:rPr>
          <w:rFonts w:eastAsia="Calibri" w:cs="Calibri"/>
          <w:i/>
          <w:vertAlign w:val="subscript"/>
          <w:lang w:val="en-GB"/>
        </w:rPr>
        <w:t>t</w:t>
      </w:r>
      <w:proofErr w:type="spellEnd"/>
      <w:r w:rsidRPr="00C76102">
        <w:rPr>
          <w:rFonts w:eastAsia="Calibri" w:cs="Calibri"/>
          <w:i/>
          <w:vertAlign w:val="subscript"/>
          <w:lang w:val="en-GB"/>
        </w:rPr>
        <w:t xml:space="preserve"> </w:t>
      </w:r>
      <w:r w:rsidRPr="00C76102">
        <w:rPr>
          <w:rFonts w:eastAsia="Calibri" w:cs="Calibri"/>
          <w:i/>
          <w:lang w:val="en-GB"/>
        </w:rPr>
        <w:t xml:space="preserve">    </w:t>
      </w:r>
      <w:r w:rsidRPr="00C76102">
        <w:rPr>
          <w:rFonts w:eastAsia="Calibri" w:cs="Calibri"/>
          <w:i/>
          <w:lang w:val="en-GB"/>
        </w:rPr>
        <w:tab/>
      </w:r>
      <w:r w:rsidR="00E60B60" w:rsidRPr="00C76102">
        <w:rPr>
          <w:rFonts w:eastAsia="Calibri" w:cs="Calibri"/>
          <w:i/>
          <w:lang w:val="en-GB"/>
        </w:rPr>
        <w:t>imbalance</w:t>
      </w:r>
      <w:r w:rsidR="00E83DBF" w:rsidRPr="00C76102">
        <w:rPr>
          <w:rFonts w:eastAsia="Calibri" w:cs="Calibri"/>
          <w:i/>
          <w:lang w:val="en-GB"/>
        </w:rPr>
        <w:t xml:space="preserve"> sharing factor in relevant year t</w:t>
      </w:r>
    </w:p>
    <w:p w:rsidR="00024C9E" w:rsidRPr="00C76102" w:rsidRDefault="00024C9E" w:rsidP="00564792">
      <w:pPr>
        <w:pStyle w:val="ListParagraph"/>
        <w:spacing w:after="0" w:line="240" w:lineRule="auto"/>
        <w:ind w:left="1710" w:hanging="720"/>
        <w:rPr>
          <w:rFonts w:eastAsia="Calibri" w:cs="Calibri"/>
          <w:i/>
          <w:lang w:val="en-GB"/>
        </w:rPr>
      </w:pPr>
    </w:p>
    <w:p w:rsidR="00024C9E" w:rsidRPr="00C76102" w:rsidRDefault="00024C9E" w:rsidP="00564792">
      <w:pPr>
        <w:pStyle w:val="ListParagraph"/>
        <w:spacing w:after="0" w:line="240" w:lineRule="auto"/>
        <w:ind w:left="1710" w:hanging="990"/>
        <w:rPr>
          <w:rFonts w:eastAsia="Calibri" w:cs="Calibri"/>
          <w:i/>
          <w:spacing w:val="1"/>
          <w:lang w:val="en-GB"/>
        </w:rPr>
      </w:pPr>
      <w:r w:rsidRPr="00C76102">
        <w:rPr>
          <w:rFonts w:eastAsia="Calibri" w:cs="Calibri"/>
          <w:i/>
          <w:lang w:val="en-GB"/>
        </w:rPr>
        <w:t>RE</w:t>
      </w:r>
      <w:r w:rsidRPr="00C76102">
        <w:rPr>
          <w:rFonts w:eastAsia="Calibri" w:cs="Calibri"/>
          <w:i/>
          <w:spacing w:val="1"/>
          <w:lang w:val="en-GB"/>
        </w:rPr>
        <w:t>TM</w:t>
      </w:r>
      <w:r w:rsidRPr="00C76102">
        <w:rPr>
          <w:rFonts w:eastAsia="Calibri" w:cs="Calibri"/>
          <w:i/>
          <w:position w:val="-3"/>
          <w:sz w:val="14"/>
          <w:szCs w:val="14"/>
          <w:lang w:val="en-GB"/>
        </w:rPr>
        <w:t xml:space="preserve">t       </w:t>
      </w:r>
      <w:r w:rsidRPr="00C76102">
        <w:rPr>
          <w:rFonts w:eastAsia="Calibri" w:cs="Calibri"/>
          <w:i/>
          <w:position w:val="-3"/>
          <w:sz w:val="14"/>
          <w:szCs w:val="14"/>
          <w:lang w:val="en-GB"/>
        </w:rPr>
        <w:tab/>
      </w:r>
      <w:r w:rsidR="00E83DBF" w:rsidRPr="00C76102">
        <w:rPr>
          <w:rFonts w:eastAsia="Calibri" w:cs="Calibri"/>
          <w:i/>
          <w:spacing w:val="1"/>
          <w:lang w:val="en-GB"/>
        </w:rPr>
        <w:t>retail margin in relevant year t</w:t>
      </w:r>
    </w:p>
    <w:p w:rsidR="001F295F" w:rsidRPr="00C76102" w:rsidRDefault="001F295F" w:rsidP="00564792">
      <w:pPr>
        <w:pStyle w:val="ListParagraph"/>
        <w:spacing w:after="0" w:line="240" w:lineRule="auto"/>
        <w:ind w:left="1710" w:hanging="990"/>
        <w:rPr>
          <w:rFonts w:eastAsia="Calibri" w:cs="Calibri"/>
          <w:i/>
          <w:spacing w:val="1"/>
          <w:lang w:val="en-GB"/>
        </w:rPr>
      </w:pPr>
    </w:p>
    <w:p w:rsidR="001F295F" w:rsidRPr="00C76102" w:rsidRDefault="001F295F" w:rsidP="00564792">
      <w:pPr>
        <w:pStyle w:val="ListParagraph"/>
        <w:spacing w:after="0" w:line="240" w:lineRule="auto"/>
        <w:ind w:left="1710" w:hanging="990"/>
        <w:rPr>
          <w:rFonts w:eastAsia="Calibri" w:cs="Calibri"/>
          <w:i/>
          <w:spacing w:val="1"/>
          <w:lang w:val="en-GB"/>
        </w:rPr>
      </w:pPr>
      <w:r w:rsidRPr="00C76102">
        <w:rPr>
          <w:rFonts w:eastAsia="Calibri" w:cs="Calibri"/>
          <w:i/>
          <w:spacing w:val="1"/>
          <w:lang w:val="en-GB"/>
        </w:rPr>
        <w:t>The summary of projected wholesale costs for 2021 is given in the following table:</w:t>
      </w:r>
    </w:p>
    <w:p w:rsidR="000458E8" w:rsidRPr="00C76102" w:rsidRDefault="000458E8" w:rsidP="000458E8">
      <w:pPr>
        <w:spacing w:after="0"/>
        <w:rPr>
          <w:rFonts w:eastAsia="Calibri" w:cs="Calibri"/>
          <w:lang w:val="en-GB"/>
        </w:rPr>
      </w:pPr>
    </w:p>
    <w:p w:rsidR="001F295F" w:rsidRPr="00C76102" w:rsidRDefault="001F295F" w:rsidP="001F295F">
      <w:pPr>
        <w:pStyle w:val="Caption"/>
        <w:rPr>
          <w:lang w:val="en-GB"/>
        </w:rPr>
      </w:pPr>
      <w:r w:rsidRPr="00C76102">
        <w:rPr>
          <w:lang w:val="en-GB"/>
        </w:rPr>
        <w:t xml:space="preserve">Table </w:t>
      </w:r>
      <w:r w:rsidRPr="00C76102">
        <w:rPr>
          <w:lang w:val="en-GB"/>
        </w:rPr>
        <w:fldChar w:fldCharType="begin"/>
      </w:r>
      <w:r w:rsidRPr="00C76102">
        <w:rPr>
          <w:lang w:val="en-GB"/>
        </w:rPr>
        <w:instrText xml:space="preserve"> SEQ Table \* ARABIC </w:instrText>
      </w:r>
      <w:r w:rsidRPr="00C76102">
        <w:rPr>
          <w:lang w:val="en-GB"/>
        </w:rPr>
        <w:fldChar w:fldCharType="separate"/>
      </w:r>
      <w:r w:rsidR="00C76102" w:rsidRPr="00C76102">
        <w:rPr>
          <w:noProof/>
          <w:lang w:val="en-GB"/>
        </w:rPr>
        <w:t>2</w:t>
      </w:r>
      <w:r w:rsidRPr="00C76102">
        <w:rPr>
          <w:lang w:val="en-GB"/>
        </w:rPr>
        <w:fldChar w:fldCharType="end"/>
      </w:r>
      <w:r w:rsidRPr="00C76102">
        <w:rPr>
          <w:lang w:val="en-GB"/>
        </w:rPr>
        <w:t xml:space="preserve"> - Energy Purchases</w:t>
      </w:r>
    </w:p>
    <w:tbl>
      <w:tblPr>
        <w:tblW w:w="5000" w:type="pct"/>
        <w:jc w:val="center"/>
        <w:tblLook w:val="04A0" w:firstRow="1" w:lastRow="0" w:firstColumn="1" w:lastColumn="0" w:noHBand="0" w:noVBand="1"/>
      </w:tblPr>
      <w:tblGrid>
        <w:gridCol w:w="5224"/>
        <w:gridCol w:w="1347"/>
        <w:gridCol w:w="1020"/>
        <w:gridCol w:w="1438"/>
      </w:tblGrid>
      <w:tr w:rsidR="006D3E4F" w:rsidRPr="00C76102" w:rsidTr="001F295F">
        <w:trPr>
          <w:trHeight w:val="300"/>
          <w:jc w:val="center"/>
        </w:trPr>
        <w:tc>
          <w:tcPr>
            <w:tcW w:w="2892" w:type="pct"/>
            <w:tcBorders>
              <w:top w:val="nil"/>
              <w:left w:val="nil"/>
              <w:bottom w:val="nil"/>
              <w:right w:val="nil"/>
            </w:tcBorders>
            <w:shd w:val="clear" w:color="000000" w:fill="376091"/>
            <w:noWrap/>
            <w:vAlign w:val="center"/>
            <w:hideMark/>
          </w:tcPr>
          <w:p w:rsidR="00AD630F" w:rsidRPr="00C76102" w:rsidRDefault="006D3E4F" w:rsidP="00AD630F">
            <w:pPr>
              <w:spacing w:after="0" w:line="240" w:lineRule="auto"/>
              <w:rPr>
                <w:rFonts w:eastAsia="Times New Roman" w:cstheme="minorHAnsi"/>
                <w:b/>
                <w:bCs/>
                <w:color w:val="FFFFFF"/>
                <w:lang w:val="en-GB"/>
              </w:rPr>
            </w:pPr>
            <w:r w:rsidRPr="00C76102">
              <w:rPr>
                <w:rFonts w:eastAsia="Times New Roman" w:cstheme="minorHAnsi"/>
                <w:b/>
                <w:bCs/>
                <w:color w:val="FFFFFF"/>
                <w:lang w:val="en-GB"/>
              </w:rPr>
              <w:t>Energy Purchase Costs</w:t>
            </w:r>
          </w:p>
        </w:tc>
        <w:tc>
          <w:tcPr>
            <w:tcW w:w="746" w:type="pct"/>
            <w:tcBorders>
              <w:top w:val="nil"/>
              <w:left w:val="nil"/>
              <w:bottom w:val="nil"/>
              <w:right w:val="nil"/>
            </w:tcBorders>
            <w:shd w:val="clear" w:color="000000" w:fill="376091"/>
            <w:noWrap/>
            <w:vAlign w:val="center"/>
            <w:hideMark/>
          </w:tcPr>
          <w:p w:rsidR="00AD630F" w:rsidRPr="00C76102" w:rsidRDefault="00AD630F" w:rsidP="007A7B60">
            <w:pPr>
              <w:spacing w:after="0" w:line="240" w:lineRule="auto"/>
              <w:jc w:val="right"/>
              <w:rPr>
                <w:rFonts w:eastAsia="Times New Roman" w:cstheme="minorHAnsi"/>
                <w:b/>
                <w:bCs/>
                <w:color w:val="FFFFFF"/>
                <w:lang w:val="en-GB"/>
              </w:rPr>
            </w:pPr>
            <w:r w:rsidRPr="00C76102">
              <w:rPr>
                <w:rFonts w:eastAsia="Times New Roman" w:cstheme="minorHAnsi"/>
                <w:b/>
                <w:bCs/>
                <w:color w:val="FFFFFF"/>
                <w:lang w:val="en-GB"/>
              </w:rPr>
              <w:t>G</w:t>
            </w:r>
            <w:r w:rsidR="00C6478E" w:rsidRPr="00C76102">
              <w:rPr>
                <w:rFonts w:eastAsia="Times New Roman" w:cstheme="minorHAnsi"/>
                <w:b/>
                <w:bCs/>
                <w:color w:val="FFFFFF"/>
                <w:lang w:val="en-GB"/>
              </w:rPr>
              <w:t>W</w:t>
            </w:r>
            <w:r w:rsidRPr="00C76102">
              <w:rPr>
                <w:rFonts w:eastAsia="Times New Roman" w:cstheme="minorHAnsi"/>
                <w:b/>
                <w:bCs/>
                <w:color w:val="FFFFFF"/>
                <w:lang w:val="en-GB"/>
              </w:rPr>
              <w:t>h</w:t>
            </w:r>
          </w:p>
        </w:tc>
        <w:tc>
          <w:tcPr>
            <w:tcW w:w="565" w:type="pct"/>
            <w:tcBorders>
              <w:top w:val="nil"/>
              <w:left w:val="nil"/>
              <w:bottom w:val="nil"/>
              <w:right w:val="nil"/>
            </w:tcBorders>
            <w:shd w:val="clear" w:color="000000" w:fill="376091"/>
            <w:noWrap/>
            <w:vAlign w:val="center"/>
            <w:hideMark/>
          </w:tcPr>
          <w:p w:rsidR="00AD630F" w:rsidRPr="00C76102" w:rsidRDefault="00AD630F" w:rsidP="007A7B60">
            <w:pPr>
              <w:spacing w:after="0" w:line="240" w:lineRule="auto"/>
              <w:jc w:val="right"/>
              <w:rPr>
                <w:rFonts w:eastAsia="Times New Roman" w:cstheme="minorHAnsi"/>
                <w:b/>
                <w:bCs/>
                <w:color w:val="FFFFFF"/>
                <w:lang w:val="en-GB"/>
              </w:rPr>
            </w:pPr>
            <w:r w:rsidRPr="00C76102">
              <w:rPr>
                <w:rFonts w:eastAsia="Times New Roman" w:cstheme="minorHAnsi"/>
                <w:b/>
                <w:bCs/>
                <w:color w:val="FFFFFF"/>
                <w:lang w:val="en-GB"/>
              </w:rPr>
              <w:t>€/M</w:t>
            </w:r>
            <w:r w:rsidR="00C6478E" w:rsidRPr="00C76102">
              <w:rPr>
                <w:rFonts w:eastAsia="Times New Roman" w:cstheme="minorHAnsi"/>
                <w:b/>
                <w:bCs/>
                <w:color w:val="FFFFFF"/>
                <w:lang w:val="en-GB"/>
              </w:rPr>
              <w:t>W</w:t>
            </w:r>
            <w:r w:rsidRPr="00C76102">
              <w:rPr>
                <w:rFonts w:eastAsia="Times New Roman" w:cstheme="minorHAnsi"/>
                <w:b/>
                <w:bCs/>
                <w:color w:val="FFFFFF"/>
                <w:lang w:val="en-GB"/>
              </w:rPr>
              <w:t>h</w:t>
            </w:r>
          </w:p>
        </w:tc>
        <w:tc>
          <w:tcPr>
            <w:tcW w:w="796" w:type="pct"/>
            <w:tcBorders>
              <w:top w:val="nil"/>
              <w:left w:val="nil"/>
              <w:bottom w:val="nil"/>
              <w:right w:val="nil"/>
            </w:tcBorders>
            <w:shd w:val="clear" w:color="000000" w:fill="376091"/>
            <w:noWrap/>
            <w:vAlign w:val="center"/>
            <w:hideMark/>
          </w:tcPr>
          <w:p w:rsidR="00AD630F" w:rsidRPr="00C76102" w:rsidRDefault="00AD630F" w:rsidP="007A7B60">
            <w:pPr>
              <w:spacing w:after="0" w:line="240" w:lineRule="auto"/>
              <w:jc w:val="right"/>
              <w:rPr>
                <w:rFonts w:eastAsia="Times New Roman" w:cstheme="minorHAnsi"/>
                <w:b/>
                <w:bCs/>
                <w:color w:val="FFFFFF"/>
                <w:lang w:val="en-GB"/>
              </w:rPr>
            </w:pPr>
            <w:r w:rsidRPr="00C76102">
              <w:rPr>
                <w:rFonts w:eastAsia="Times New Roman" w:cstheme="minorHAnsi"/>
                <w:b/>
                <w:bCs/>
                <w:color w:val="FFFFFF"/>
                <w:lang w:val="en-GB"/>
              </w:rPr>
              <w:t>€'000</w:t>
            </w:r>
          </w:p>
        </w:tc>
      </w:tr>
      <w:tr w:rsidR="006D3E4F" w:rsidRPr="00C76102" w:rsidTr="001F295F">
        <w:trPr>
          <w:trHeight w:val="300"/>
          <w:jc w:val="center"/>
        </w:trPr>
        <w:tc>
          <w:tcPr>
            <w:tcW w:w="2892" w:type="pct"/>
            <w:tcBorders>
              <w:top w:val="nil"/>
              <w:left w:val="nil"/>
              <w:bottom w:val="nil"/>
              <w:right w:val="nil"/>
            </w:tcBorders>
            <w:shd w:val="clear" w:color="000000" w:fill="FFFFFF"/>
            <w:noWrap/>
            <w:vAlign w:val="bottom"/>
            <w:hideMark/>
          </w:tcPr>
          <w:p w:rsidR="00AD630F" w:rsidRPr="00C76102" w:rsidRDefault="006D3E4F" w:rsidP="006D3E4F">
            <w:pPr>
              <w:spacing w:after="0" w:line="240" w:lineRule="auto"/>
              <w:ind w:firstLineChars="300" w:firstLine="660"/>
              <w:rPr>
                <w:rFonts w:eastAsia="Times New Roman" w:cstheme="minorHAnsi"/>
                <w:color w:val="000000"/>
                <w:lang w:val="en-GB"/>
              </w:rPr>
            </w:pPr>
            <w:r w:rsidRPr="00C76102">
              <w:rPr>
                <w:rFonts w:eastAsia="Times New Roman" w:cstheme="minorHAnsi"/>
                <w:color w:val="000000"/>
                <w:lang w:val="en-GB"/>
              </w:rPr>
              <w:t>Amounts supplied from KEK</w:t>
            </w:r>
          </w:p>
        </w:tc>
        <w:tc>
          <w:tcPr>
            <w:tcW w:w="746" w:type="pct"/>
            <w:tcBorders>
              <w:top w:val="nil"/>
              <w:left w:val="nil"/>
              <w:bottom w:val="nil"/>
              <w:right w:val="nil"/>
            </w:tcBorders>
            <w:shd w:val="clear" w:color="000000" w:fill="FFFFFF"/>
            <w:noWrap/>
            <w:vAlign w:val="bottom"/>
            <w:hideMark/>
          </w:tcPr>
          <w:p w:rsidR="00AD630F" w:rsidRPr="00C76102" w:rsidRDefault="00E322B1" w:rsidP="00B943AB">
            <w:pPr>
              <w:spacing w:after="0" w:line="240" w:lineRule="auto"/>
              <w:jc w:val="right"/>
              <w:rPr>
                <w:rFonts w:eastAsia="Times New Roman" w:cstheme="minorHAnsi"/>
                <w:color w:val="000000"/>
                <w:lang w:val="en-GB"/>
              </w:rPr>
            </w:pPr>
            <w:r w:rsidRPr="00C76102">
              <w:rPr>
                <w:rFonts w:eastAsia="Times New Roman" w:cstheme="minorHAnsi"/>
                <w:color w:val="000000"/>
                <w:lang w:val="en-GB"/>
              </w:rPr>
              <w:t>3,</w:t>
            </w:r>
            <w:r w:rsidR="00B943AB" w:rsidRPr="00C76102">
              <w:rPr>
                <w:rFonts w:eastAsia="Times New Roman" w:cstheme="minorHAnsi"/>
                <w:color w:val="000000"/>
                <w:lang w:val="en-GB"/>
              </w:rPr>
              <w:t xml:space="preserve">732 </w:t>
            </w:r>
          </w:p>
        </w:tc>
        <w:tc>
          <w:tcPr>
            <w:tcW w:w="565" w:type="pct"/>
            <w:tcBorders>
              <w:top w:val="nil"/>
              <w:left w:val="nil"/>
              <w:bottom w:val="nil"/>
              <w:right w:val="nil"/>
            </w:tcBorders>
            <w:shd w:val="clear" w:color="000000" w:fill="FFFFFF"/>
            <w:noWrap/>
            <w:vAlign w:val="bottom"/>
            <w:hideMark/>
          </w:tcPr>
          <w:p w:rsidR="00AD630F" w:rsidRPr="00C76102" w:rsidRDefault="00C6478E" w:rsidP="00AD630F">
            <w:pPr>
              <w:spacing w:after="0" w:line="240" w:lineRule="auto"/>
              <w:jc w:val="right"/>
              <w:rPr>
                <w:rFonts w:eastAsia="Times New Roman" w:cstheme="minorHAnsi"/>
                <w:color w:val="000000"/>
                <w:lang w:val="en-GB"/>
              </w:rPr>
            </w:pPr>
            <w:r w:rsidRPr="00C76102">
              <w:rPr>
                <w:rFonts w:eastAsia="Times New Roman" w:cstheme="minorHAnsi"/>
                <w:color w:val="000000"/>
                <w:lang w:val="en-GB"/>
              </w:rPr>
              <w:t>29.50</w:t>
            </w:r>
          </w:p>
        </w:tc>
        <w:tc>
          <w:tcPr>
            <w:tcW w:w="796" w:type="pct"/>
            <w:tcBorders>
              <w:top w:val="nil"/>
              <w:left w:val="nil"/>
              <w:bottom w:val="nil"/>
              <w:right w:val="nil"/>
            </w:tcBorders>
            <w:shd w:val="clear" w:color="000000" w:fill="FFFFFF"/>
            <w:noWrap/>
            <w:vAlign w:val="bottom"/>
            <w:hideMark/>
          </w:tcPr>
          <w:p w:rsidR="00AD630F" w:rsidRPr="00C76102" w:rsidRDefault="00AD630F" w:rsidP="00FA40AB">
            <w:pPr>
              <w:spacing w:after="0" w:line="240" w:lineRule="auto"/>
              <w:jc w:val="right"/>
              <w:rPr>
                <w:rFonts w:eastAsia="Times New Roman" w:cstheme="minorHAnsi"/>
                <w:color w:val="000000"/>
                <w:lang w:val="en-GB"/>
              </w:rPr>
            </w:pPr>
            <w:r w:rsidRPr="00C76102">
              <w:rPr>
                <w:rFonts w:eastAsia="Times New Roman" w:cstheme="minorHAnsi"/>
                <w:color w:val="000000"/>
                <w:lang w:val="en-GB"/>
              </w:rPr>
              <w:t xml:space="preserve">          </w:t>
            </w:r>
            <w:r w:rsidR="00FA40AB" w:rsidRPr="00C76102">
              <w:rPr>
                <w:rFonts w:eastAsia="Times New Roman" w:cstheme="minorHAnsi"/>
                <w:color w:val="000000"/>
                <w:lang w:val="en-GB"/>
              </w:rPr>
              <w:t>1</w:t>
            </w:r>
            <w:r w:rsidR="00B943AB" w:rsidRPr="00C76102">
              <w:rPr>
                <w:rFonts w:eastAsia="Times New Roman" w:cstheme="minorHAnsi"/>
                <w:color w:val="000000"/>
                <w:lang w:val="en-GB"/>
              </w:rPr>
              <w:t>10</w:t>
            </w:r>
            <w:r w:rsidR="00FA40AB" w:rsidRPr="00C76102">
              <w:rPr>
                <w:rFonts w:eastAsia="Times New Roman" w:cstheme="minorHAnsi"/>
                <w:color w:val="000000"/>
                <w:lang w:val="en-GB"/>
              </w:rPr>
              <w:t>,</w:t>
            </w:r>
            <w:r w:rsidR="00B943AB" w:rsidRPr="00C76102">
              <w:rPr>
                <w:rFonts w:eastAsia="Times New Roman" w:cstheme="minorHAnsi"/>
                <w:color w:val="000000"/>
                <w:lang w:val="en-GB"/>
              </w:rPr>
              <w:t>098</w:t>
            </w:r>
            <w:r w:rsidRPr="00C76102">
              <w:rPr>
                <w:rFonts w:eastAsia="Times New Roman" w:cstheme="minorHAnsi"/>
                <w:color w:val="000000"/>
                <w:lang w:val="en-GB"/>
              </w:rPr>
              <w:t xml:space="preserve"> </w:t>
            </w:r>
          </w:p>
        </w:tc>
      </w:tr>
      <w:tr w:rsidR="006D3E4F" w:rsidRPr="00C76102" w:rsidTr="001F295F">
        <w:trPr>
          <w:trHeight w:val="300"/>
          <w:jc w:val="center"/>
        </w:trPr>
        <w:tc>
          <w:tcPr>
            <w:tcW w:w="2892" w:type="pct"/>
            <w:tcBorders>
              <w:top w:val="nil"/>
              <w:left w:val="nil"/>
              <w:bottom w:val="nil"/>
              <w:right w:val="nil"/>
            </w:tcBorders>
            <w:shd w:val="clear" w:color="000000" w:fill="FFFFFF"/>
            <w:noWrap/>
            <w:vAlign w:val="bottom"/>
            <w:hideMark/>
          </w:tcPr>
          <w:p w:rsidR="00AD630F" w:rsidRPr="00C76102" w:rsidRDefault="006D3E4F" w:rsidP="00354A2B">
            <w:pPr>
              <w:spacing w:after="0" w:line="240" w:lineRule="auto"/>
              <w:ind w:firstLineChars="300" w:firstLine="660"/>
              <w:rPr>
                <w:rFonts w:eastAsia="Times New Roman" w:cstheme="minorHAnsi"/>
                <w:color w:val="000000"/>
                <w:lang w:val="en-GB"/>
              </w:rPr>
            </w:pPr>
            <w:r w:rsidRPr="00C76102">
              <w:rPr>
                <w:rFonts w:eastAsia="Times New Roman" w:cstheme="minorHAnsi"/>
                <w:color w:val="000000"/>
                <w:lang w:val="en-GB"/>
              </w:rPr>
              <w:t xml:space="preserve"> </w:t>
            </w:r>
            <w:r w:rsidR="00354A2B" w:rsidRPr="00C76102">
              <w:rPr>
                <w:rFonts w:eastAsia="Times New Roman" w:cstheme="minorHAnsi"/>
                <w:color w:val="000000"/>
                <w:lang w:val="en-GB"/>
              </w:rPr>
              <w:t>Other g</w:t>
            </w:r>
            <w:r w:rsidRPr="00C76102">
              <w:rPr>
                <w:rFonts w:eastAsia="Times New Roman" w:cstheme="minorHAnsi"/>
                <w:color w:val="000000"/>
                <w:lang w:val="en-GB"/>
              </w:rPr>
              <w:t>enerators at TSO level</w:t>
            </w:r>
          </w:p>
        </w:tc>
        <w:tc>
          <w:tcPr>
            <w:tcW w:w="746" w:type="pct"/>
            <w:tcBorders>
              <w:top w:val="nil"/>
              <w:left w:val="nil"/>
              <w:bottom w:val="nil"/>
              <w:right w:val="nil"/>
            </w:tcBorders>
            <w:shd w:val="clear" w:color="000000" w:fill="FFFFFF"/>
            <w:noWrap/>
            <w:vAlign w:val="bottom"/>
            <w:hideMark/>
          </w:tcPr>
          <w:p w:rsidR="00AD630F" w:rsidRPr="00C76102" w:rsidRDefault="00B943AB" w:rsidP="00B943AB">
            <w:pPr>
              <w:spacing w:after="0" w:line="240" w:lineRule="auto"/>
              <w:jc w:val="right"/>
              <w:rPr>
                <w:rFonts w:eastAsia="Times New Roman" w:cstheme="minorHAnsi"/>
                <w:color w:val="000000"/>
                <w:lang w:val="en-GB"/>
              </w:rPr>
            </w:pPr>
            <w:r w:rsidRPr="00C76102">
              <w:rPr>
                <w:rFonts w:eastAsia="Times New Roman" w:cstheme="minorHAnsi"/>
                <w:color w:val="000000"/>
                <w:lang w:val="en-GB"/>
              </w:rPr>
              <w:t>216</w:t>
            </w:r>
          </w:p>
        </w:tc>
        <w:tc>
          <w:tcPr>
            <w:tcW w:w="565" w:type="pct"/>
            <w:tcBorders>
              <w:top w:val="nil"/>
              <w:left w:val="nil"/>
              <w:bottom w:val="nil"/>
              <w:right w:val="nil"/>
            </w:tcBorders>
            <w:shd w:val="clear" w:color="000000" w:fill="FFFFFF"/>
            <w:noWrap/>
            <w:vAlign w:val="bottom"/>
            <w:hideMark/>
          </w:tcPr>
          <w:p w:rsidR="00AD630F" w:rsidRPr="00C76102" w:rsidRDefault="00B943AB" w:rsidP="00FA40AB">
            <w:pPr>
              <w:spacing w:after="0" w:line="240" w:lineRule="auto"/>
              <w:jc w:val="right"/>
              <w:rPr>
                <w:rFonts w:eastAsia="Times New Roman" w:cstheme="minorHAnsi"/>
                <w:color w:val="000000"/>
                <w:lang w:val="en-GB"/>
              </w:rPr>
            </w:pPr>
            <w:r w:rsidRPr="00C76102">
              <w:rPr>
                <w:rFonts w:eastAsia="Times New Roman" w:cstheme="minorHAnsi"/>
                <w:color w:val="000000"/>
                <w:lang w:val="en-GB"/>
              </w:rPr>
              <w:t>41</w:t>
            </w:r>
            <w:r w:rsidR="00E322B1" w:rsidRPr="00C76102">
              <w:rPr>
                <w:rFonts w:eastAsia="Times New Roman" w:cstheme="minorHAnsi"/>
                <w:color w:val="000000"/>
                <w:lang w:val="en-GB"/>
              </w:rPr>
              <w:t>.</w:t>
            </w:r>
            <w:r w:rsidR="00FA40AB" w:rsidRPr="00C76102">
              <w:rPr>
                <w:rFonts w:eastAsia="Times New Roman" w:cstheme="minorHAnsi"/>
                <w:color w:val="000000"/>
                <w:lang w:val="en-GB"/>
              </w:rPr>
              <w:t>90</w:t>
            </w:r>
          </w:p>
        </w:tc>
        <w:tc>
          <w:tcPr>
            <w:tcW w:w="796" w:type="pct"/>
            <w:tcBorders>
              <w:top w:val="nil"/>
              <w:left w:val="nil"/>
              <w:bottom w:val="nil"/>
              <w:right w:val="nil"/>
            </w:tcBorders>
            <w:shd w:val="clear" w:color="000000" w:fill="FFFFFF"/>
            <w:noWrap/>
            <w:vAlign w:val="bottom"/>
            <w:hideMark/>
          </w:tcPr>
          <w:p w:rsidR="00AD630F" w:rsidRPr="00C76102" w:rsidRDefault="00E322B1" w:rsidP="00FA40AB">
            <w:pPr>
              <w:spacing w:after="0" w:line="240" w:lineRule="auto"/>
              <w:jc w:val="right"/>
              <w:rPr>
                <w:rFonts w:eastAsia="Times New Roman" w:cstheme="minorHAnsi"/>
                <w:color w:val="000000"/>
                <w:lang w:val="en-GB"/>
              </w:rPr>
            </w:pPr>
            <w:r w:rsidRPr="00C76102">
              <w:rPr>
                <w:rFonts w:eastAsia="Times New Roman" w:cstheme="minorHAnsi"/>
                <w:color w:val="000000"/>
                <w:lang w:val="en-GB"/>
              </w:rPr>
              <w:t xml:space="preserve">           </w:t>
            </w:r>
            <w:r w:rsidR="00B943AB" w:rsidRPr="00C76102">
              <w:rPr>
                <w:rFonts w:eastAsia="Times New Roman" w:cstheme="minorHAnsi"/>
                <w:color w:val="000000"/>
                <w:lang w:val="en-GB"/>
              </w:rPr>
              <w:t>9</w:t>
            </w:r>
            <w:r w:rsidRPr="00C76102">
              <w:rPr>
                <w:rFonts w:eastAsia="Times New Roman" w:cstheme="minorHAnsi"/>
                <w:color w:val="000000"/>
                <w:lang w:val="en-GB"/>
              </w:rPr>
              <w:t>,</w:t>
            </w:r>
            <w:r w:rsidR="00B943AB" w:rsidRPr="00C76102">
              <w:rPr>
                <w:rFonts w:eastAsia="Times New Roman" w:cstheme="minorHAnsi"/>
                <w:color w:val="000000"/>
                <w:lang w:val="en-GB"/>
              </w:rPr>
              <w:t>034</w:t>
            </w:r>
            <w:r w:rsidR="00FA40AB" w:rsidRPr="00C76102">
              <w:rPr>
                <w:rFonts w:eastAsia="Times New Roman" w:cstheme="minorHAnsi"/>
                <w:color w:val="000000"/>
                <w:lang w:val="en-GB"/>
              </w:rPr>
              <w:t xml:space="preserve"> </w:t>
            </w:r>
          </w:p>
        </w:tc>
      </w:tr>
      <w:tr w:rsidR="006D3E4F" w:rsidRPr="00C76102" w:rsidTr="001F295F">
        <w:trPr>
          <w:trHeight w:val="300"/>
          <w:jc w:val="center"/>
        </w:trPr>
        <w:tc>
          <w:tcPr>
            <w:tcW w:w="2892" w:type="pct"/>
            <w:tcBorders>
              <w:top w:val="nil"/>
              <w:left w:val="nil"/>
              <w:bottom w:val="nil"/>
              <w:right w:val="nil"/>
            </w:tcBorders>
            <w:shd w:val="clear" w:color="000000" w:fill="FFFFFF"/>
            <w:noWrap/>
            <w:vAlign w:val="bottom"/>
            <w:hideMark/>
          </w:tcPr>
          <w:p w:rsidR="00AD630F" w:rsidRPr="00C76102" w:rsidRDefault="006D3E4F" w:rsidP="00AD630F">
            <w:pPr>
              <w:spacing w:after="0" w:line="240" w:lineRule="auto"/>
              <w:ind w:firstLineChars="300" w:firstLine="660"/>
              <w:rPr>
                <w:rFonts w:eastAsia="Times New Roman" w:cstheme="minorHAnsi"/>
                <w:color w:val="000000"/>
                <w:lang w:val="en-GB"/>
              </w:rPr>
            </w:pPr>
            <w:r w:rsidRPr="00C76102">
              <w:rPr>
                <w:rFonts w:eastAsia="Times New Roman" w:cstheme="minorHAnsi"/>
                <w:color w:val="000000"/>
                <w:lang w:val="en-GB"/>
              </w:rPr>
              <w:t>Generators at DSO level</w:t>
            </w:r>
          </w:p>
        </w:tc>
        <w:tc>
          <w:tcPr>
            <w:tcW w:w="746" w:type="pct"/>
            <w:tcBorders>
              <w:top w:val="nil"/>
              <w:left w:val="nil"/>
              <w:bottom w:val="nil"/>
              <w:right w:val="nil"/>
            </w:tcBorders>
            <w:shd w:val="clear" w:color="000000" w:fill="FFFFFF"/>
            <w:noWrap/>
            <w:vAlign w:val="bottom"/>
            <w:hideMark/>
          </w:tcPr>
          <w:p w:rsidR="00AD630F" w:rsidRPr="00C76102" w:rsidRDefault="00AD630F" w:rsidP="00B943AB">
            <w:pPr>
              <w:spacing w:after="0" w:line="240" w:lineRule="auto"/>
              <w:jc w:val="right"/>
              <w:rPr>
                <w:rFonts w:eastAsia="Times New Roman" w:cstheme="minorHAnsi"/>
                <w:color w:val="000000"/>
                <w:lang w:val="en-GB"/>
              </w:rPr>
            </w:pPr>
            <w:r w:rsidRPr="00C76102">
              <w:rPr>
                <w:rFonts w:eastAsia="Times New Roman" w:cstheme="minorHAnsi"/>
                <w:color w:val="000000"/>
                <w:lang w:val="en-GB"/>
              </w:rPr>
              <w:t xml:space="preserve">                </w:t>
            </w:r>
            <w:r w:rsidR="00B943AB" w:rsidRPr="00C76102">
              <w:rPr>
                <w:rFonts w:eastAsia="Times New Roman" w:cstheme="minorHAnsi"/>
                <w:color w:val="000000"/>
                <w:lang w:val="en-GB"/>
              </w:rPr>
              <w:t xml:space="preserve">199 </w:t>
            </w:r>
          </w:p>
        </w:tc>
        <w:tc>
          <w:tcPr>
            <w:tcW w:w="565" w:type="pct"/>
            <w:tcBorders>
              <w:top w:val="nil"/>
              <w:left w:val="nil"/>
              <w:bottom w:val="nil"/>
              <w:right w:val="nil"/>
            </w:tcBorders>
            <w:shd w:val="clear" w:color="000000" w:fill="FFFFFF"/>
            <w:noWrap/>
            <w:vAlign w:val="bottom"/>
            <w:hideMark/>
          </w:tcPr>
          <w:p w:rsidR="00AD630F" w:rsidRPr="00C76102" w:rsidRDefault="00FA40AB" w:rsidP="00AD630F">
            <w:pPr>
              <w:spacing w:after="0" w:line="240" w:lineRule="auto"/>
              <w:jc w:val="right"/>
              <w:rPr>
                <w:rFonts w:eastAsia="Times New Roman" w:cstheme="minorHAnsi"/>
                <w:color w:val="000000"/>
                <w:lang w:val="en-GB"/>
              </w:rPr>
            </w:pPr>
            <w:r w:rsidRPr="00C76102">
              <w:rPr>
                <w:rFonts w:eastAsia="Times New Roman" w:cstheme="minorHAnsi"/>
                <w:color w:val="000000"/>
                <w:lang w:val="en-GB"/>
              </w:rPr>
              <w:t>4</w:t>
            </w:r>
            <w:r w:rsidR="00B943AB" w:rsidRPr="00C76102">
              <w:rPr>
                <w:rFonts w:eastAsia="Times New Roman" w:cstheme="minorHAnsi"/>
                <w:color w:val="000000"/>
                <w:lang w:val="en-GB"/>
              </w:rPr>
              <w:t>1</w:t>
            </w:r>
            <w:r w:rsidRPr="00C76102">
              <w:rPr>
                <w:rFonts w:eastAsia="Times New Roman" w:cstheme="minorHAnsi"/>
                <w:color w:val="000000"/>
                <w:lang w:val="en-GB"/>
              </w:rPr>
              <w:t>.</w:t>
            </w:r>
            <w:r w:rsidR="00B943AB" w:rsidRPr="00C76102">
              <w:rPr>
                <w:rFonts w:eastAsia="Times New Roman" w:cstheme="minorHAnsi"/>
                <w:color w:val="000000"/>
                <w:lang w:val="en-GB"/>
              </w:rPr>
              <w:t>65</w:t>
            </w:r>
          </w:p>
        </w:tc>
        <w:tc>
          <w:tcPr>
            <w:tcW w:w="796" w:type="pct"/>
            <w:tcBorders>
              <w:top w:val="nil"/>
              <w:left w:val="nil"/>
              <w:bottom w:val="nil"/>
              <w:right w:val="nil"/>
            </w:tcBorders>
            <w:shd w:val="clear" w:color="000000" w:fill="FFFFFF"/>
            <w:noWrap/>
            <w:vAlign w:val="bottom"/>
            <w:hideMark/>
          </w:tcPr>
          <w:p w:rsidR="00AD630F" w:rsidRPr="00C76102" w:rsidRDefault="00E322B1" w:rsidP="00FA40AB">
            <w:pPr>
              <w:spacing w:after="0" w:line="240" w:lineRule="auto"/>
              <w:jc w:val="right"/>
              <w:rPr>
                <w:rFonts w:eastAsia="Times New Roman" w:cstheme="minorHAnsi"/>
                <w:color w:val="000000"/>
                <w:lang w:val="en-GB"/>
              </w:rPr>
            </w:pPr>
            <w:r w:rsidRPr="00C76102">
              <w:rPr>
                <w:rFonts w:eastAsia="Times New Roman" w:cstheme="minorHAnsi"/>
                <w:color w:val="000000"/>
                <w:lang w:val="en-GB"/>
              </w:rPr>
              <w:t xml:space="preserve">            </w:t>
            </w:r>
            <w:r w:rsidR="00B943AB" w:rsidRPr="00C76102">
              <w:rPr>
                <w:rFonts w:eastAsia="Times New Roman" w:cstheme="minorHAnsi"/>
                <w:color w:val="000000"/>
                <w:lang w:val="en-GB"/>
              </w:rPr>
              <w:t>8</w:t>
            </w:r>
            <w:r w:rsidRPr="00C76102">
              <w:rPr>
                <w:rFonts w:eastAsia="Times New Roman" w:cstheme="minorHAnsi"/>
                <w:color w:val="000000"/>
                <w:lang w:val="en-GB"/>
              </w:rPr>
              <w:t>,</w:t>
            </w:r>
            <w:r w:rsidR="00B943AB" w:rsidRPr="00C76102">
              <w:rPr>
                <w:rFonts w:eastAsia="Times New Roman" w:cstheme="minorHAnsi"/>
                <w:color w:val="000000"/>
                <w:lang w:val="en-GB"/>
              </w:rPr>
              <w:t>310</w:t>
            </w:r>
            <w:r w:rsidR="00AD630F" w:rsidRPr="00C76102">
              <w:rPr>
                <w:rFonts w:eastAsia="Times New Roman" w:cstheme="minorHAnsi"/>
                <w:color w:val="000000"/>
                <w:lang w:val="en-GB"/>
              </w:rPr>
              <w:t xml:space="preserve"> </w:t>
            </w:r>
          </w:p>
        </w:tc>
      </w:tr>
      <w:tr w:rsidR="006D3E4F" w:rsidRPr="00C76102" w:rsidTr="001F295F">
        <w:trPr>
          <w:trHeight w:val="300"/>
          <w:jc w:val="center"/>
        </w:trPr>
        <w:tc>
          <w:tcPr>
            <w:tcW w:w="2892" w:type="pct"/>
            <w:tcBorders>
              <w:top w:val="nil"/>
              <w:left w:val="nil"/>
              <w:bottom w:val="nil"/>
              <w:right w:val="nil"/>
            </w:tcBorders>
            <w:shd w:val="clear" w:color="000000" w:fill="FFFFFF"/>
            <w:noWrap/>
            <w:vAlign w:val="bottom"/>
            <w:hideMark/>
          </w:tcPr>
          <w:p w:rsidR="00AD630F" w:rsidRPr="00C76102" w:rsidRDefault="00AD630F" w:rsidP="00AD630F">
            <w:pPr>
              <w:spacing w:after="0" w:line="240" w:lineRule="auto"/>
              <w:ind w:firstLineChars="300" w:firstLine="660"/>
              <w:rPr>
                <w:rFonts w:eastAsia="Times New Roman" w:cstheme="minorHAnsi"/>
                <w:color w:val="000000"/>
                <w:lang w:val="en-GB"/>
              </w:rPr>
            </w:pPr>
            <w:r w:rsidRPr="00C76102">
              <w:rPr>
                <w:rFonts w:eastAsia="Times New Roman" w:cstheme="minorHAnsi"/>
                <w:color w:val="000000"/>
                <w:lang w:val="en-GB"/>
              </w:rPr>
              <w:t>Import</w:t>
            </w:r>
          </w:p>
        </w:tc>
        <w:tc>
          <w:tcPr>
            <w:tcW w:w="746" w:type="pct"/>
            <w:tcBorders>
              <w:top w:val="nil"/>
              <w:left w:val="nil"/>
              <w:bottom w:val="nil"/>
              <w:right w:val="nil"/>
            </w:tcBorders>
            <w:shd w:val="clear" w:color="000000" w:fill="FFFFFF"/>
            <w:noWrap/>
            <w:vAlign w:val="bottom"/>
            <w:hideMark/>
          </w:tcPr>
          <w:p w:rsidR="00AD630F" w:rsidRPr="00C76102" w:rsidRDefault="00B943AB" w:rsidP="00AD630F">
            <w:pPr>
              <w:spacing w:after="0" w:line="240" w:lineRule="auto"/>
              <w:jc w:val="right"/>
              <w:rPr>
                <w:rFonts w:eastAsia="Times New Roman" w:cstheme="minorHAnsi"/>
                <w:lang w:val="en-GB"/>
              </w:rPr>
            </w:pPr>
            <w:r w:rsidRPr="00C76102">
              <w:rPr>
                <w:rFonts w:eastAsia="Times New Roman" w:cstheme="minorHAnsi"/>
                <w:lang w:val="en-GB"/>
              </w:rPr>
              <w:t>83</w:t>
            </w:r>
          </w:p>
        </w:tc>
        <w:tc>
          <w:tcPr>
            <w:tcW w:w="565" w:type="pct"/>
            <w:tcBorders>
              <w:top w:val="nil"/>
              <w:left w:val="nil"/>
              <w:bottom w:val="nil"/>
              <w:right w:val="nil"/>
            </w:tcBorders>
            <w:shd w:val="clear" w:color="000000" w:fill="FFFFFF"/>
            <w:noWrap/>
            <w:vAlign w:val="bottom"/>
            <w:hideMark/>
          </w:tcPr>
          <w:p w:rsidR="00AD630F" w:rsidRPr="00C76102" w:rsidRDefault="00B943AB" w:rsidP="00AD630F">
            <w:pPr>
              <w:spacing w:after="0" w:line="240" w:lineRule="auto"/>
              <w:jc w:val="right"/>
              <w:rPr>
                <w:rFonts w:eastAsia="Times New Roman" w:cstheme="minorHAnsi"/>
                <w:color w:val="000000"/>
                <w:lang w:val="en-GB"/>
              </w:rPr>
            </w:pPr>
            <w:r w:rsidRPr="00C76102">
              <w:rPr>
                <w:rFonts w:eastAsia="Times New Roman" w:cstheme="minorHAnsi"/>
                <w:color w:val="000000"/>
                <w:lang w:val="en-GB"/>
              </w:rPr>
              <w:t>67</w:t>
            </w:r>
            <w:r w:rsidR="00E322B1" w:rsidRPr="00C76102">
              <w:rPr>
                <w:rFonts w:eastAsia="Times New Roman" w:cstheme="minorHAnsi"/>
                <w:color w:val="000000"/>
                <w:lang w:val="en-GB"/>
              </w:rPr>
              <w:t>.</w:t>
            </w:r>
            <w:r w:rsidRPr="00C76102">
              <w:rPr>
                <w:rFonts w:eastAsia="Times New Roman" w:cstheme="minorHAnsi"/>
                <w:color w:val="000000"/>
                <w:lang w:val="en-GB"/>
              </w:rPr>
              <w:t>73</w:t>
            </w:r>
          </w:p>
        </w:tc>
        <w:tc>
          <w:tcPr>
            <w:tcW w:w="796" w:type="pct"/>
            <w:tcBorders>
              <w:top w:val="nil"/>
              <w:left w:val="nil"/>
              <w:bottom w:val="nil"/>
              <w:right w:val="nil"/>
            </w:tcBorders>
            <w:shd w:val="clear" w:color="000000" w:fill="FFFFFF"/>
            <w:noWrap/>
            <w:vAlign w:val="bottom"/>
            <w:hideMark/>
          </w:tcPr>
          <w:p w:rsidR="00AD630F" w:rsidRPr="00C76102" w:rsidRDefault="00B943AB" w:rsidP="00AD630F">
            <w:pPr>
              <w:spacing w:after="0" w:line="240" w:lineRule="auto"/>
              <w:jc w:val="right"/>
              <w:rPr>
                <w:rFonts w:eastAsia="Times New Roman" w:cstheme="minorHAnsi"/>
                <w:lang w:val="en-GB"/>
              </w:rPr>
            </w:pPr>
            <w:r w:rsidRPr="00C76102">
              <w:rPr>
                <w:rFonts w:eastAsia="Times New Roman" w:cstheme="minorHAnsi"/>
                <w:lang w:val="en-GB"/>
              </w:rPr>
              <w:t>5</w:t>
            </w:r>
            <w:r w:rsidR="00FA40AB" w:rsidRPr="00C76102">
              <w:rPr>
                <w:rFonts w:eastAsia="Times New Roman" w:cstheme="minorHAnsi"/>
                <w:lang w:val="en-GB"/>
              </w:rPr>
              <w:t>,</w:t>
            </w:r>
            <w:r w:rsidRPr="00C76102">
              <w:rPr>
                <w:rFonts w:eastAsia="Times New Roman" w:cstheme="minorHAnsi"/>
                <w:lang w:val="en-GB"/>
              </w:rPr>
              <w:t>645</w:t>
            </w:r>
            <w:r w:rsidR="00AD630F" w:rsidRPr="00C76102">
              <w:rPr>
                <w:rFonts w:eastAsia="Times New Roman" w:cstheme="minorHAnsi"/>
                <w:lang w:val="en-GB"/>
              </w:rPr>
              <w:t xml:space="preserve"> </w:t>
            </w:r>
          </w:p>
        </w:tc>
      </w:tr>
      <w:tr w:rsidR="006D3E4F" w:rsidRPr="00C76102" w:rsidTr="001F295F">
        <w:trPr>
          <w:trHeight w:val="300"/>
          <w:jc w:val="center"/>
        </w:trPr>
        <w:tc>
          <w:tcPr>
            <w:tcW w:w="2892" w:type="pct"/>
            <w:tcBorders>
              <w:top w:val="nil"/>
              <w:left w:val="nil"/>
              <w:bottom w:val="nil"/>
              <w:right w:val="nil"/>
            </w:tcBorders>
            <w:shd w:val="clear" w:color="000000" w:fill="FFFFFF"/>
            <w:noWrap/>
            <w:vAlign w:val="bottom"/>
            <w:hideMark/>
          </w:tcPr>
          <w:p w:rsidR="00AD630F" w:rsidRPr="00C76102" w:rsidRDefault="006D3E4F" w:rsidP="00AD630F">
            <w:pPr>
              <w:spacing w:after="0" w:line="240" w:lineRule="auto"/>
              <w:ind w:firstLineChars="300" w:firstLine="660"/>
              <w:rPr>
                <w:rFonts w:eastAsia="Times New Roman" w:cstheme="minorHAnsi"/>
                <w:color w:val="000000"/>
                <w:lang w:val="en-GB"/>
              </w:rPr>
            </w:pPr>
            <w:r w:rsidRPr="00C76102">
              <w:rPr>
                <w:rFonts w:eastAsia="Times New Roman" w:cstheme="minorHAnsi"/>
                <w:color w:val="000000"/>
                <w:lang w:val="en-GB"/>
              </w:rPr>
              <w:t>Imbalance costs</w:t>
            </w:r>
          </w:p>
        </w:tc>
        <w:tc>
          <w:tcPr>
            <w:tcW w:w="746" w:type="pct"/>
            <w:tcBorders>
              <w:top w:val="nil"/>
              <w:left w:val="nil"/>
              <w:bottom w:val="nil"/>
              <w:right w:val="nil"/>
            </w:tcBorders>
            <w:shd w:val="clear" w:color="000000" w:fill="FFFFFF"/>
            <w:noWrap/>
            <w:vAlign w:val="bottom"/>
            <w:hideMark/>
          </w:tcPr>
          <w:p w:rsidR="00AD630F" w:rsidRPr="00C76102" w:rsidRDefault="00AD630F" w:rsidP="00AD630F">
            <w:pPr>
              <w:spacing w:after="0" w:line="240" w:lineRule="auto"/>
              <w:jc w:val="right"/>
              <w:rPr>
                <w:rFonts w:eastAsia="Times New Roman" w:cstheme="minorHAnsi"/>
                <w:lang w:val="en-GB"/>
              </w:rPr>
            </w:pPr>
            <w:r w:rsidRPr="00C76102">
              <w:rPr>
                <w:rFonts w:eastAsia="Times New Roman" w:cstheme="minorHAnsi"/>
                <w:lang w:val="en-GB"/>
              </w:rPr>
              <w:t> </w:t>
            </w:r>
          </w:p>
        </w:tc>
        <w:tc>
          <w:tcPr>
            <w:tcW w:w="565" w:type="pct"/>
            <w:tcBorders>
              <w:top w:val="nil"/>
              <w:left w:val="nil"/>
              <w:bottom w:val="nil"/>
              <w:right w:val="nil"/>
            </w:tcBorders>
            <w:shd w:val="clear" w:color="000000" w:fill="FFFFFF"/>
            <w:noWrap/>
            <w:vAlign w:val="bottom"/>
            <w:hideMark/>
          </w:tcPr>
          <w:p w:rsidR="00AD630F" w:rsidRPr="00C76102" w:rsidRDefault="00AD630F" w:rsidP="00FB0610">
            <w:pPr>
              <w:spacing w:after="0" w:line="240" w:lineRule="auto"/>
              <w:jc w:val="right"/>
              <w:rPr>
                <w:rFonts w:eastAsia="Times New Roman" w:cstheme="minorHAnsi"/>
                <w:lang w:val="en-GB"/>
              </w:rPr>
            </w:pPr>
            <w:r w:rsidRPr="00C76102">
              <w:rPr>
                <w:rFonts w:eastAsia="Times New Roman" w:cstheme="minorHAnsi"/>
                <w:lang w:val="en-GB"/>
              </w:rPr>
              <w:t>-</w:t>
            </w:r>
          </w:p>
        </w:tc>
        <w:tc>
          <w:tcPr>
            <w:tcW w:w="796" w:type="pct"/>
            <w:tcBorders>
              <w:top w:val="nil"/>
              <w:left w:val="nil"/>
              <w:bottom w:val="nil"/>
              <w:right w:val="nil"/>
            </w:tcBorders>
            <w:shd w:val="clear" w:color="000000" w:fill="FFFFFF"/>
            <w:noWrap/>
            <w:vAlign w:val="bottom"/>
            <w:hideMark/>
          </w:tcPr>
          <w:p w:rsidR="00AD630F" w:rsidRPr="00C76102" w:rsidRDefault="00AD630F" w:rsidP="00FB0610">
            <w:pPr>
              <w:spacing w:after="0" w:line="240" w:lineRule="auto"/>
              <w:jc w:val="right"/>
              <w:rPr>
                <w:rFonts w:eastAsia="Times New Roman" w:cstheme="minorHAnsi"/>
                <w:lang w:val="en-GB"/>
              </w:rPr>
            </w:pPr>
            <w:r w:rsidRPr="00C76102">
              <w:rPr>
                <w:rFonts w:eastAsia="Times New Roman" w:cstheme="minorHAnsi"/>
                <w:lang w:val="en-GB"/>
              </w:rPr>
              <w:t>-</w:t>
            </w:r>
          </w:p>
        </w:tc>
      </w:tr>
      <w:tr w:rsidR="006D3E4F" w:rsidRPr="00C76102" w:rsidTr="001F295F">
        <w:trPr>
          <w:trHeight w:val="300"/>
          <w:jc w:val="center"/>
        </w:trPr>
        <w:tc>
          <w:tcPr>
            <w:tcW w:w="2892" w:type="pct"/>
            <w:tcBorders>
              <w:top w:val="nil"/>
              <w:left w:val="nil"/>
              <w:bottom w:val="nil"/>
              <w:right w:val="nil"/>
            </w:tcBorders>
            <w:shd w:val="clear" w:color="000000" w:fill="FFFFFF"/>
            <w:noWrap/>
            <w:vAlign w:val="bottom"/>
            <w:hideMark/>
          </w:tcPr>
          <w:p w:rsidR="00AD630F" w:rsidRPr="00C76102" w:rsidRDefault="006D3E4F" w:rsidP="00AD630F">
            <w:pPr>
              <w:spacing w:after="0" w:line="240" w:lineRule="auto"/>
              <w:ind w:firstLineChars="300" w:firstLine="660"/>
              <w:rPr>
                <w:rFonts w:eastAsia="Times New Roman" w:cstheme="minorHAnsi"/>
                <w:color w:val="000000"/>
                <w:lang w:val="en-GB"/>
              </w:rPr>
            </w:pPr>
            <w:r w:rsidRPr="00C76102">
              <w:rPr>
                <w:rFonts w:eastAsia="Times New Roman" w:cstheme="minorHAnsi"/>
                <w:color w:val="000000"/>
                <w:lang w:val="en-GB"/>
              </w:rPr>
              <w:t xml:space="preserve">Imbalance Sharing </w:t>
            </w:r>
            <w:r w:rsidR="00E60B60" w:rsidRPr="00C76102">
              <w:rPr>
                <w:rFonts w:eastAsia="Times New Roman" w:cstheme="minorHAnsi"/>
                <w:color w:val="000000"/>
                <w:lang w:val="en-GB"/>
              </w:rPr>
              <w:t>Factor</w:t>
            </w:r>
          </w:p>
        </w:tc>
        <w:tc>
          <w:tcPr>
            <w:tcW w:w="746" w:type="pct"/>
            <w:tcBorders>
              <w:top w:val="nil"/>
              <w:left w:val="nil"/>
              <w:bottom w:val="nil"/>
              <w:right w:val="nil"/>
            </w:tcBorders>
            <w:shd w:val="clear" w:color="000000" w:fill="FFFFFF"/>
            <w:noWrap/>
            <w:vAlign w:val="bottom"/>
            <w:hideMark/>
          </w:tcPr>
          <w:p w:rsidR="00AD630F" w:rsidRPr="00C76102" w:rsidRDefault="00AD630F" w:rsidP="00AD630F">
            <w:pPr>
              <w:spacing w:after="0" w:line="240" w:lineRule="auto"/>
              <w:jc w:val="right"/>
              <w:rPr>
                <w:rFonts w:eastAsia="Times New Roman" w:cstheme="minorHAnsi"/>
                <w:lang w:val="en-GB"/>
              </w:rPr>
            </w:pPr>
            <w:r w:rsidRPr="00C76102">
              <w:rPr>
                <w:rFonts w:eastAsia="Times New Roman" w:cstheme="minorHAnsi"/>
                <w:lang w:val="en-GB"/>
              </w:rPr>
              <w:t> </w:t>
            </w:r>
          </w:p>
        </w:tc>
        <w:tc>
          <w:tcPr>
            <w:tcW w:w="565" w:type="pct"/>
            <w:tcBorders>
              <w:top w:val="nil"/>
              <w:left w:val="nil"/>
              <w:bottom w:val="nil"/>
              <w:right w:val="nil"/>
            </w:tcBorders>
            <w:shd w:val="clear" w:color="000000" w:fill="FFFFFF"/>
            <w:noWrap/>
            <w:vAlign w:val="bottom"/>
            <w:hideMark/>
          </w:tcPr>
          <w:p w:rsidR="00AD630F" w:rsidRPr="00C76102" w:rsidRDefault="00AD630F" w:rsidP="00FB0610">
            <w:pPr>
              <w:spacing w:after="0" w:line="240" w:lineRule="auto"/>
              <w:jc w:val="right"/>
              <w:rPr>
                <w:rFonts w:eastAsia="Times New Roman" w:cstheme="minorHAnsi"/>
                <w:lang w:val="en-GB"/>
              </w:rPr>
            </w:pPr>
            <w:r w:rsidRPr="00C76102">
              <w:rPr>
                <w:rFonts w:eastAsia="Times New Roman" w:cstheme="minorHAnsi"/>
                <w:lang w:val="en-GB"/>
              </w:rPr>
              <w:t>-</w:t>
            </w:r>
          </w:p>
        </w:tc>
        <w:tc>
          <w:tcPr>
            <w:tcW w:w="796" w:type="pct"/>
            <w:tcBorders>
              <w:top w:val="nil"/>
              <w:left w:val="nil"/>
              <w:bottom w:val="nil"/>
              <w:right w:val="nil"/>
            </w:tcBorders>
            <w:shd w:val="clear" w:color="000000" w:fill="FFFFFF"/>
            <w:noWrap/>
            <w:vAlign w:val="bottom"/>
            <w:hideMark/>
          </w:tcPr>
          <w:p w:rsidR="00AD630F" w:rsidRPr="00C76102" w:rsidRDefault="00AD630F" w:rsidP="00FB0610">
            <w:pPr>
              <w:spacing w:after="0" w:line="240" w:lineRule="auto"/>
              <w:jc w:val="right"/>
              <w:rPr>
                <w:rFonts w:eastAsia="Times New Roman" w:cstheme="minorHAnsi"/>
                <w:lang w:val="en-GB"/>
              </w:rPr>
            </w:pPr>
            <w:r w:rsidRPr="00C76102">
              <w:rPr>
                <w:rFonts w:eastAsia="Times New Roman" w:cstheme="minorHAnsi"/>
                <w:lang w:val="en-GB"/>
              </w:rPr>
              <w:t>-</w:t>
            </w:r>
          </w:p>
        </w:tc>
      </w:tr>
      <w:tr w:rsidR="006D3E4F" w:rsidRPr="00C76102" w:rsidTr="001F295F">
        <w:trPr>
          <w:trHeight w:val="330"/>
          <w:jc w:val="center"/>
        </w:trPr>
        <w:tc>
          <w:tcPr>
            <w:tcW w:w="2892" w:type="pct"/>
            <w:tcBorders>
              <w:top w:val="nil"/>
              <w:left w:val="nil"/>
              <w:bottom w:val="single" w:sz="4" w:space="0" w:color="auto"/>
              <w:right w:val="nil"/>
            </w:tcBorders>
            <w:shd w:val="clear" w:color="000000" w:fill="FFFFFF"/>
            <w:noWrap/>
            <w:vAlign w:val="bottom"/>
            <w:hideMark/>
          </w:tcPr>
          <w:p w:rsidR="00AD630F" w:rsidRPr="00C76102" w:rsidRDefault="00AD630F" w:rsidP="004458DC">
            <w:pPr>
              <w:spacing w:after="0" w:line="240" w:lineRule="auto"/>
              <w:rPr>
                <w:rFonts w:eastAsia="Times New Roman" w:cstheme="minorHAnsi"/>
                <w:b/>
                <w:bCs/>
                <w:lang w:val="en-GB"/>
              </w:rPr>
            </w:pPr>
            <w:r w:rsidRPr="00C76102">
              <w:rPr>
                <w:rFonts w:eastAsia="Times New Roman" w:cstheme="minorHAnsi"/>
                <w:b/>
                <w:bCs/>
                <w:lang w:val="en-GB"/>
              </w:rPr>
              <w:t xml:space="preserve"> </w:t>
            </w:r>
            <w:r w:rsidR="004458DC" w:rsidRPr="00C76102">
              <w:rPr>
                <w:rFonts w:eastAsia="Times New Roman" w:cstheme="minorHAnsi"/>
                <w:b/>
                <w:bCs/>
                <w:lang w:val="en-GB"/>
              </w:rPr>
              <w:t>Total Supplied Amounts</w:t>
            </w:r>
          </w:p>
        </w:tc>
        <w:tc>
          <w:tcPr>
            <w:tcW w:w="746" w:type="pct"/>
            <w:tcBorders>
              <w:top w:val="nil"/>
              <w:left w:val="nil"/>
              <w:bottom w:val="single" w:sz="4" w:space="0" w:color="auto"/>
              <w:right w:val="nil"/>
            </w:tcBorders>
            <w:shd w:val="clear" w:color="000000" w:fill="FFFFFF"/>
            <w:noWrap/>
            <w:vAlign w:val="bottom"/>
            <w:hideMark/>
          </w:tcPr>
          <w:p w:rsidR="00AD630F" w:rsidRPr="00C76102" w:rsidRDefault="00DF047D" w:rsidP="00B943AB">
            <w:pPr>
              <w:spacing w:after="0" w:line="240" w:lineRule="auto"/>
              <w:jc w:val="right"/>
              <w:rPr>
                <w:rFonts w:eastAsia="Times New Roman" w:cstheme="minorHAnsi"/>
                <w:b/>
                <w:bCs/>
                <w:lang w:val="en-GB"/>
              </w:rPr>
            </w:pPr>
            <w:r w:rsidRPr="00C76102">
              <w:rPr>
                <w:rFonts w:eastAsia="Times New Roman" w:cstheme="minorHAnsi"/>
                <w:b/>
                <w:bCs/>
                <w:lang w:val="en-GB"/>
              </w:rPr>
              <w:t>4,</w:t>
            </w:r>
            <w:r w:rsidR="00B943AB" w:rsidRPr="00C76102">
              <w:rPr>
                <w:rFonts w:eastAsia="Times New Roman" w:cstheme="minorHAnsi"/>
                <w:b/>
                <w:bCs/>
                <w:lang w:val="en-GB"/>
              </w:rPr>
              <w:t>231</w:t>
            </w:r>
          </w:p>
        </w:tc>
        <w:tc>
          <w:tcPr>
            <w:tcW w:w="565" w:type="pct"/>
            <w:tcBorders>
              <w:top w:val="nil"/>
              <w:left w:val="nil"/>
              <w:bottom w:val="single" w:sz="4" w:space="0" w:color="auto"/>
              <w:right w:val="nil"/>
            </w:tcBorders>
            <w:shd w:val="clear" w:color="000000" w:fill="FFFFFF"/>
            <w:noWrap/>
            <w:vAlign w:val="bottom"/>
            <w:hideMark/>
          </w:tcPr>
          <w:p w:rsidR="00AD630F" w:rsidRPr="00C76102" w:rsidRDefault="00FA40AB" w:rsidP="00FA40AB">
            <w:pPr>
              <w:spacing w:after="0" w:line="240" w:lineRule="auto"/>
              <w:jc w:val="right"/>
              <w:rPr>
                <w:rFonts w:eastAsia="Times New Roman" w:cstheme="minorHAnsi"/>
                <w:b/>
                <w:bCs/>
                <w:lang w:val="en-GB"/>
              </w:rPr>
            </w:pPr>
            <w:r w:rsidRPr="00C76102">
              <w:rPr>
                <w:rFonts w:eastAsia="Times New Roman" w:cstheme="minorHAnsi"/>
                <w:b/>
                <w:bCs/>
                <w:lang w:val="en-GB"/>
              </w:rPr>
              <w:t>3</w:t>
            </w:r>
            <w:r w:rsidR="00B943AB" w:rsidRPr="00C76102">
              <w:rPr>
                <w:rFonts w:eastAsia="Times New Roman" w:cstheme="minorHAnsi"/>
                <w:b/>
                <w:bCs/>
                <w:lang w:val="en-GB"/>
              </w:rPr>
              <w:t>1</w:t>
            </w:r>
            <w:r w:rsidR="00564792" w:rsidRPr="00C76102">
              <w:rPr>
                <w:rFonts w:eastAsia="Times New Roman" w:cstheme="minorHAnsi"/>
                <w:b/>
                <w:bCs/>
                <w:lang w:val="en-GB"/>
              </w:rPr>
              <w:t>.</w:t>
            </w:r>
            <w:r w:rsidRPr="00C76102">
              <w:rPr>
                <w:rFonts w:eastAsia="Times New Roman" w:cstheme="minorHAnsi"/>
                <w:b/>
                <w:bCs/>
                <w:lang w:val="en-GB"/>
              </w:rPr>
              <w:t>5</w:t>
            </w:r>
          </w:p>
        </w:tc>
        <w:tc>
          <w:tcPr>
            <w:tcW w:w="796" w:type="pct"/>
            <w:tcBorders>
              <w:top w:val="nil"/>
              <w:left w:val="nil"/>
              <w:bottom w:val="single" w:sz="4" w:space="0" w:color="auto"/>
              <w:right w:val="nil"/>
            </w:tcBorders>
            <w:shd w:val="clear" w:color="000000" w:fill="FFFFFF"/>
            <w:noWrap/>
            <w:vAlign w:val="bottom"/>
            <w:hideMark/>
          </w:tcPr>
          <w:p w:rsidR="00AD630F" w:rsidRPr="00C76102" w:rsidRDefault="00E322B1" w:rsidP="00FA40AB">
            <w:pPr>
              <w:spacing w:after="0" w:line="240" w:lineRule="auto"/>
              <w:jc w:val="right"/>
              <w:rPr>
                <w:rFonts w:eastAsia="Times New Roman" w:cstheme="minorHAnsi"/>
                <w:b/>
                <w:bCs/>
                <w:lang w:val="en-GB"/>
              </w:rPr>
            </w:pPr>
            <w:r w:rsidRPr="00C76102">
              <w:rPr>
                <w:rFonts w:eastAsia="Times New Roman" w:cstheme="minorHAnsi"/>
                <w:b/>
                <w:bCs/>
                <w:lang w:val="en-GB"/>
              </w:rPr>
              <w:t xml:space="preserve">       </w:t>
            </w:r>
            <w:r w:rsidR="00FA40AB" w:rsidRPr="00C76102">
              <w:rPr>
                <w:rFonts w:eastAsia="Times New Roman" w:cstheme="minorHAnsi"/>
                <w:b/>
                <w:bCs/>
                <w:lang w:val="en-GB"/>
              </w:rPr>
              <w:t>13</w:t>
            </w:r>
            <w:r w:rsidR="00B943AB" w:rsidRPr="00C76102">
              <w:rPr>
                <w:rFonts w:eastAsia="Times New Roman" w:cstheme="minorHAnsi"/>
                <w:b/>
                <w:bCs/>
                <w:lang w:val="en-GB"/>
              </w:rPr>
              <w:t>3</w:t>
            </w:r>
            <w:r w:rsidR="00FA40AB" w:rsidRPr="00C76102">
              <w:rPr>
                <w:rFonts w:eastAsia="Times New Roman" w:cstheme="minorHAnsi"/>
                <w:b/>
                <w:bCs/>
                <w:lang w:val="en-GB"/>
              </w:rPr>
              <w:t>,</w:t>
            </w:r>
            <w:r w:rsidR="00B943AB" w:rsidRPr="00C76102">
              <w:rPr>
                <w:rFonts w:eastAsia="Times New Roman" w:cstheme="minorHAnsi"/>
                <w:b/>
                <w:bCs/>
                <w:lang w:val="en-GB"/>
              </w:rPr>
              <w:t>086</w:t>
            </w:r>
          </w:p>
        </w:tc>
      </w:tr>
      <w:tr w:rsidR="006D3E4F" w:rsidRPr="00C76102" w:rsidTr="001F295F">
        <w:trPr>
          <w:trHeight w:val="300"/>
          <w:jc w:val="center"/>
        </w:trPr>
        <w:tc>
          <w:tcPr>
            <w:tcW w:w="2892" w:type="pct"/>
            <w:tcBorders>
              <w:top w:val="nil"/>
              <w:left w:val="nil"/>
              <w:bottom w:val="nil"/>
              <w:right w:val="nil"/>
            </w:tcBorders>
            <w:shd w:val="clear" w:color="000000" w:fill="FFFFFF"/>
            <w:noWrap/>
            <w:vAlign w:val="bottom"/>
            <w:hideMark/>
          </w:tcPr>
          <w:p w:rsidR="00AD630F" w:rsidRPr="00C76102" w:rsidRDefault="004458DC" w:rsidP="00AD630F">
            <w:pPr>
              <w:spacing w:after="0" w:line="240" w:lineRule="auto"/>
              <w:ind w:firstLineChars="200" w:firstLine="440"/>
              <w:rPr>
                <w:rFonts w:eastAsia="Times New Roman" w:cstheme="minorHAnsi"/>
                <w:color w:val="000000"/>
                <w:lang w:val="en-GB"/>
              </w:rPr>
            </w:pPr>
            <w:r w:rsidRPr="00C76102">
              <w:rPr>
                <w:rFonts w:eastAsia="Times New Roman" w:cstheme="minorHAnsi"/>
                <w:color w:val="000000"/>
                <w:lang w:val="en-GB"/>
              </w:rPr>
              <w:t>Retail margin</w:t>
            </w:r>
          </w:p>
        </w:tc>
        <w:tc>
          <w:tcPr>
            <w:tcW w:w="746" w:type="pct"/>
            <w:tcBorders>
              <w:top w:val="nil"/>
              <w:left w:val="nil"/>
              <w:bottom w:val="nil"/>
              <w:right w:val="nil"/>
            </w:tcBorders>
            <w:shd w:val="clear" w:color="000000" w:fill="FFFFFF"/>
            <w:noWrap/>
            <w:vAlign w:val="bottom"/>
            <w:hideMark/>
          </w:tcPr>
          <w:p w:rsidR="00AD630F" w:rsidRPr="00C76102" w:rsidRDefault="00AD630F" w:rsidP="00AD630F">
            <w:pPr>
              <w:spacing w:after="0" w:line="240" w:lineRule="auto"/>
              <w:jc w:val="right"/>
              <w:rPr>
                <w:rFonts w:eastAsia="Times New Roman" w:cstheme="minorHAnsi"/>
                <w:b/>
                <w:bCs/>
                <w:lang w:val="en-GB"/>
              </w:rPr>
            </w:pPr>
            <w:r w:rsidRPr="00C76102">
              <w:rPr>
                <w:rFonts w:eastAsia="Times New Roman" w:cstheme="minorHAnsi"/>
                <w:b/>
                <w:bCs/>
                <w:lang w:val="en-GB"/>
              </w:rPr>
              <w:t> </w:t>
            </w:r>
          </w:p>
        </w:tc>
        <w:tc>
          <w:tcPr>
            <w:tcW w:w="565" w:type="pct"/>
            <w:tcBorders>
              <w:top w:val="nil"/>
              <w:left w:val="nil"/>
              <w:bottom w:val="nil"/>
              <w:right w:val="nil"/>
            </w:tcBorders>
            <w:shd w:val="clear" w:color="000000" w:fill="FFFFFF"/>
            <w:noWrap/>
            <w:vAlign w:val="bottom"/>
            <w:hideMark/>
          </w:tcPr>
          <w:p w:rsidR="00AD630F" w:rsidRPr="00C76102" w:rsidRDefault="00AD630F" w:rsidP="00AD630F">
            <w:pPr>
              <w:spacing w:after="0" w:line="240" w:lineRule="auto"/>
              <w:jc w:val="right"/>
              <w:rPr>
                <w:rFonts w:eastAsia="Times New Roman" w:cstheme="minorHAnsi"/>
                <w:color w:val="000000"/>
                <w:lang w:val="en-GB"/>
              </w:rPr>
            </w:pPr>
            <w:r w:rsidRPr="00C76102">
              <w:rPr>
                <w:rFonts w:eastAsia="Times New Roman" w:cstheme="minorHAnsi"/>
                <w:color w:val="000000"/>
                <w:lang w:val="en-GB"/>
              </w:rPr>
              <w:t>3.00%</w:t>
            </w:r>
          </w:p>
        </w:tc>
        <w:tc>
          <w:tcPr>
            <w:tcW w:w="796" w:type="pct"/>
            <w:tcBorders>
              <w:top w:val="nil"/>
              <w:left w:val="nil"/>
              <w:bottom w:val="nil"/>
              <w:right w:val="nil"/>
            </w:tcBorders>
            <w:shd w:val="clear" w:color="000000" w:fill="FFFFFF"/>
            <w:noWrap/>
            <w:vAlign w:val="bottom"/>
            <w:hideMark/>
          </w:tcPr>
          <w:p w:rsidR="00AD630F" w:rsidRPr="00C76102" w:rsidRDefault="00564792" w:rsidP="00B943AB">
            <w:pPr>
              <w:spacing w:after="0" w:line="240" w:lineRule="auto"/>
              <w:jc w:val="right"/>
              <w:rPr>
                <w:rFonts w:eastAsia="Times New Roman" w:cstheme="minorHAnsi"/>
                <w:lang w:val="en-GB"/>
              </w:rPr>
            </w:pPr>
            <w:r w:rsidRPr="00C76102">
              <w:rPr>
                <w:rFonts w:eastAsia="Times New Roman" w:cstheme="minorHAnsi"/>
                <w:lang w:val="en-GB"/>
              </w:rPr>
              <w:t xml:space="preserve">            3,</w:t>
            </w:r>
            <w:r w:rsidR="00B943AB" w:rsidRPr="00C76102">
              <w:rPr>
                <w:rFonts w:eastAsia="Times New Roman" w:cstheme="minorHAnsi"/>
                <w:lang w:val="en-GB"/>
              </w:rPr>
              <w:t xml:space="preserve">993 </w:t>
            </w:r>
          </w:p>
        </w:tc>
      </w:tr>
      <w:tr w:rsidR="006D3E4F" w:rsidRPr="00C76102" w:rsidTr="001F295F">
        <w:trPr>
          <w:trHeight w:val="300"/>
          <w:jc w:val="center"/>
        </w:trPr>
        <w:tc>
          <w:tcPr>
            <w:tcW w:w="2892" w:type="pct"/>
            <w:tcBorders>
              <w:top w:val="nil"/>
              <w:left w:val="nil"/>
              <w:bottom w:val="nil"/>
              <w:right w:val="nil"/>
            </w:tcBorders>
            <w:shd w:val="clear" w:color="000000" w:fill="376091"/>
            <w:noWrap/>
            <w:vAlign w:val="bottom"/>
            <w:hideMark/>
          </w:tcPr>
          <w:p w:rsidR="00AD630F" w:rsidRPr="00C76102" w:rsidRDefault="004458DC" w:rsidP="00AD630F">
            <w:pPr>
              <w:spacing w:after="0" w:line="240" w:lineRule="auto"/>
              <w:rPr>
                <w:rFonts w:eastAsia="Times New Roman" w:cstheme="minorHAnsi"/>
                <w:b/>
                <w:bCs/>
                <w:color w:val="FFFFFF"/>
                <w:lang w:val="en-GB"/>
              </w:rPr>
            </w:pPr>
            <w:r w:rsidRPr="00C76102">
              <w:rPr>
                <w:rFonts w:eastAsia="Times New Roman" w:cstheme="minorHAnsi"/>
                <w:b/>
                <w:bCs/>
                <w:color w:val="FFFFFF"/>
                <w:lang w:val="en-GB"/>
              </w:rPr>
              <w:t>Total Energy Purchase Costs</w:t>
            </w:r>
          </w:p>
        </w:tc>
        <w:tc>
          <w:tcPr>
            <w:tcW w:w="746" w:type="pct"/>
            <w:tcBorders>
              <w:top w:val="nil"/>
              <w:left w:val="nil"/>
              <w:bottom w:val="nil"/>
              <w:right w:val="nil"/>
            </w:tcBorders>
            <w:shd w:val="clear" w:color="000000" w:fill="376091"/>
            <w:noWrap/>
            <w:vAlign w:val="bottom"/>
            <w:hideMark/>
          </w:tcPr>
          <w:p w:rsidR="00AD630F" w:rsidRPr="00C76102" w:rsidRDefault="00FA40AB" w:rsidP="00AD630F">
            <w:pPr>
              <w:spacing w:after="0" w:line="240" w:lineRule="auto"/>
              <w:jc w:val="right"/>
              <w:rPr>
                <w:rFonts w:eastAsia="Times New Roman" w:cstheme="minorHAnsi"/>
                <w:b/>
                <w:bCs/>
                <w:color w:val="FFFFFF"/>
                <w:lang w:val="en-GB"/>
              </w:rPr>
            </w:pPr>
            <w:r w:rsidRPr="00C76102">
              <w:rPr>
                <w:rFonts w:eastAsia="Times New Roman" w:cstheme="minorHAnsi"/>
                <w:b/>
                <w:bCs/>
                <w:color w:val="FFFFFF"/>
                <w:lang w:val="en-GB"/>
              </w:rPr>
              <w:t>4,</w:t>
            </w:r>
            <w:r w:rsidR="00B943AB" w:rsidRPr="00C76102">
              <w:rPr>
                <w:rFonts w:eastAsia="Times New Roman" w:cstheme="minorHAnsi"/>
                <w:b/>
                <w:bCs/>
                <w:color w:val="FFFFFF"/>
                <w:lang w:val="en-GB"/>
              </w:rPr>
              <w:t>231</w:t>
            </w:r>
            <w:r w:rsidR="00AD630F" w:rsidRPr="00C76102">
              <w:rPr>
                <w:rFonts w:eastAsia="Times New Roman" w:cstheme="minorHAnsi"/>
                <w:b/>
                <w:bCs/>
                <w:color w:val="FFFFFF"/>
                <w:lang w:val="en-GB"/>
              </w:rPr>
              <w:t> </w:t>
            </w:r>
          </w:p>
        </w:tc>
        <w:tc>
          <w:tcPr>
            <w:tcW w:w="565" w:type="pct"/>
            <w:tcBorders>
              <w:top w:val="nil"/>
              <w:left w:val="nil"/>
              <w:bottom w:val="nil"/>
              <w:right w:val="nil"/>
            </w:tcBorders>
            <w:shd w:val="clear" w:color="000000" w:fill="376091"/>
            <w:noWrap/>
            <w:vAlign w:val="bottom"/>
            <w:hideMark/>
          </w:tcPr>
          <w:p w:rsidR="00AD630F" w:rsidRPr="00C76102" w:rsidRDefault="00FA40AB" w:rsidP="00AD630F">
            <w:pPr>
              <w:spacing w:after="0" w:line="240" w:lineRule="auto"/>
              <w:jc w:val="right"/>
              <w:rPr>
                <w:rFonts w:eastAsia="Times New Roman" w:cstheme="minorHAnsi"/>
                <w:b/>
                <w:bCs/>
                <w:color w:val="FFFFFF"/>
                <w:lang w:val="en-GB"/>
              </w:rPr>
            </w:pPr>
            <w:r w:rsidRPr="00C76102">
              <w:rPr>
                <w:rFonts w:eastAsia="Times New Roman" w:cstheme="minorHAnsi"/>
                <w:b/>
                <w:bCs/>
                <w:color w:val="FFFFFF"/>
                <w:lang w:val="en-GB"/>
              </w:rPr>
              <w:t>3</w:t>
            </w:r>
            <w:r w:rsidR="00B943AB" w:rsidRPr="00C76102">
              <w:rPr>
                <w:rFonts w:eastAsia="Times New Roman" w:cstheme="minorHAnsi"/>
                <w:b/>
                <w:bCs/>
                <w:color w:val="FFFFFF"/>
                <w:lang w:val="en-GB"/>
              </w:rPr>
              <w:t>2</w:t>
            </w:r>
            <w:r w:rsidRPr="00C76102">
              <w:rPr>
                <w:rFonts w:eastAsia="Times New Roman" w:cstheme="minorHAnsi"/>
                <w:b/>
                <w:bCs/>
                <w:color w:val="FFFFFF"/>
                <w:lang w:val="en-GB"/>
              </w:rPr>
              <w:t>,</w:t>
            </w:r>
            <w:r w:rsidR="00B943AB" w:rsidRPr="00C76102">
              <w:rPr>
                <w:rFonts w:eastAsia="Times New Roman" w:cstheme="minorHAnsi"/>
                <w:b/>
                <w:bCs/>
                <w:color w:val="FFFFFF"/>
                <w:lang w:val="en-GB"/>
              </w:rPr>
              <w:t>4</w:t>
            </w:r>
            <w:r w:rsidR="00AD630F" w:rsidRPr="00C76102">
              <w:rPr>
                <w:rFonts w:eastAsia="Times New Roman" w:cstheme="minorHAnsi"/>
                <w:b/>
                <w:bCs/>
                <w:color w:val="FFFFFF"/>
                <w:lang w:val="en-GB"/>
              </w:rPr>
              <w:t> </w:t>
            </w:r>
          </w:p>
        </w:tc>
        <w:tc>
          <w:tcPr>
            <w:tcW w:w="796" w:type="pct"/>
            <w:tcBorders>
              <w:top w:val="nil"/>
              <w:left w:val="nil"/>
              <w:bottom w:val="nil"/>
              <w:right w:val="nil"/>
            </w:tcBorders>
            <w:shd w:val="clear" w:color="000000" w:fill="376091"/>
            <w:noWrap/>
            <w:vAlign w:val="bottom"/>
            <w:hideMark/>
          </w:tcPr>
          <w:p w:rsidR="00AD630F" w:rsidRPr="00C76102" w:rsidRDefault="00564792" w:rsidP="00FA40AB">
            <w:pPr>
              <w:spacing w:after="0" w:line="240" w:lineRule="auto"/>
              <w:jc w:val="right"/>
              <w:rPr>
                <w:rFonts w:eastAsia="Times New Roman" w:cstheme="minorHAnsi"/>
                <w:b/>
                <w:bCs/>
                <w:color w:val="FFFFFF"/>
                <w:lang w:val="en-GB"/>
              </w:rPr>
            </w:pPr>
            <w:r w:rsidRPr="00C76102">
              <w:rPr>
                <w:rFonts w:eastAsia="Times New Roman" w:cstheme="minorHAnsi"/>
                <w:b/>
                <w:bCs/>
                <w:color w:val="FFFFFF"/>
                <w:lang w:val="en-GB"/>
              </w:rPr>
              <w:t xml:space="preserve">        </w:t>
            </w:r>
            <w:r w:rsidR="00FA40AB" w:rsidRPr="00C76102">
              <w:rPr>
                <w:rFonts w:eastAsia="Times New Roman" w:cstheme="minorHAnsi"/>
                <w:b/>
                <w:bCs/>
                <w:color w:val="FFFFFF"/>
                <w:lang w:val="en-GB"/>
              </w:rPr>
              <w:t>13</w:t>
            </w:r>
            <w:r w:rsidR="00B943AB" w:rsidRPr="00C76102">
              <w:rPr>
                <w:rFonts w:eastAsia="Times New Roman" w:cstheme="minorHAnsi"/>
                <w:b/>
                <w:bCs/>
                <w:color w:val="FFFFFF"/>
                <w:lang w:val="en-GB"/>
              </w:rPr>
              <w:t>7</w:t>
            </w:r>
            <w:r w:rsidRPr="00C76102">
              <w:rPr>
                <w:rFonts w:eastAsia="Times New Roman" w:cstheme="minorHAnsi"/>
                <w:b/>
                <w:bCs/>
                <w:color w:val="FFFFFF"/>
                <w:lang w:val="en-GB"/>
              </w:rPr>
              <w:t>,</w:t>
            </w:r>
            <w:r w:rsidR="00B943AB" w:rsidRPr="00C76102">
              <w:rPr>
                <w:rFonts w:eastAsia="Times New Roman" w:cstheme="minorHAnsi"/>
                <w:b/>
                <w:bCs/>
                <w:color w:val="FFFFFF"/>
                <w:lang w:val="en-GB"/>
              </w:rPr>
              <w:t>079</w:t>
            </w:r>
            <w:r w:rsidR="00AD630F" w:rsidRPr="00C76102">
              <w:rPr>
                <w:rFonts w:eastAsia="Times New Roman" w:cstheme="minorHAnsi"/>
                <w:b/>
                <w:bCs/>
                <w:color w:val="FFFFFF"/>
                <w:lang w:val="en-GB"/>
              </w:rPr>
              <w:t xml:space="preserve"> </w:t>
            </w:r>
          </w:p>
        </w:tc>
      </w:tr>
    </w:tbl>
    <w:p w:rsidR="00685EAF" w:rsidRPr="00C76102" w:rsidRDefault="00685EAF">
      <w:pPr>
        <w:pStyle w:val="Heading2"/>
        <w:numPr>
          <w:ilvl w:val="0"/>
          <w:numId w:val="0"/>
        </w:numPr>
        <w:ind w:left="810"/>
        <w:rPr>
          <w:lang w:val="en-GB"/>
        </w:rPr>
      </w:pPr>
    </w:p>
    <w:p w:rsidR="00685EAF" w:rsidRPr="00C76102" w:rsidRDefault="00833C45" w:rsidP="001E64E6">
      <w:pPr>
        <w:jc w:val="both"/>
        <w:rPr>
          <w:lang w:val="en-GB"/>
        </w:rPr>
      </w:pPr>
      <w:r w:rsidRPr="00C76102">
        <w:rPr>
          <w:lang w:val="en-GB"/>
        </w:rPr>
        <w:t xml:space="preserve">It is important to emphasize that USS is required by the Rule on USS Revenues, respectively Article 17 and Annex 3, to provide electricity in a transparent, competitive and efficient manner. Consequently, USS </w:t>
      </w:r>
      <w:r w:rsidR="00B943AB" w:rsidRPr="00C76102">
        <w:rPr>
          <w:lang w:val="en-GB"/>
        </w:rPr>
        <w:t>shall demonstrate</w:t>
      </w:r>
      <w:r w:rsidRPr="00C76102">
        <w:rPr>
          <w:lang w:val="en-GB"/>
        </w:rPr>
        <w:t xml:space="preserve"> that the energy purchase prices are reasonable and comply with the requirements of Article 17 of the Rule on USS Revenues.</w:t>
      </w:r>
    </w:p>
    <w:p w:rsidR="00685EAF" w:rsidRPr="00C76102" w:rsidRDefault="00833C45" w:rsidP="001E64E6">
      <w:pPr>
        <w:jc w:val="both"/>
        <w:rPr>
          <w:lang w:val="en-GB"/>
        </w:rPr>
      </w:pPr>
      <w:r w:rsidRPr="00C76102">
        <w:rPr>
          <w:lang w:val="en-GB"/>
        </w:rPr>
        <w:t>In the absence of such evidence, ERO, in its preliminary evaluation has foreseen the costs of purchasing wholesale energy based on current prices realized in 20</w:t>
      </w:r>
      <w:r w:rsidR="00B943AB" w:rsidRPr="00C76102">
        <w:rPr>
          <w:lang w:val="en-GB"/>
        </w:rPr>
        <w:t>20</w:t>
      </w:r>
      <w:r w:rsidRPr="00C76102">
        <w:rPr>
          <w:lang w:val="en-GB"/>
        </w:rPr>
        <w:t>, but during the public consultation process, the parties must respect the above-mentioned principles and prove that they have met all legal, regulatory and procedural requirements related to wholesale energy purchases.</w:t>
      </w:r>
    </w:p>
    <w:p w:rsidR="000D4BEB" w:rsidRPr="00C76102" w:rsidRDefault="004458DC" w:rsidP="00FD6318">
      <w:pPr>
        <w:pStyle w:val="Heading2"/>
        <w:rPr>
          <w:lang w:val="en-GB"/>
        </w:rPr>
      </w:pPr>
      <w:bookmarkStart w:id="4" w:name="_Toc81818657"/>
      <w:r w:rsidRPr="00C76102">
        <w:rPr>
          <w:lang w:val="en-GB"/>
        </w:rPr>
        <w:t>Adjustments</w:t>
      </w:r>
      <w:r w:rsidR="007B7448" w:rsidRPr="00C76102">
        <w:rPr>
          <w:lang w:val="en-GB"/>
        </w:rPr>
        <w:t xml:space="preserve"> of</w:t>
      </w:r>
      <w:r w:rsidRPr="00C76102">
        <w:rPr>
          <w:lang w:val="en-GB"/>
        </w:rPr>
        <w:t xml:space="preserve"> Revenues for 20</w:t>
      </w:r>
      <w:r w:rsidR="00B943AB" w:rsidRPr="00C76102">
        <w:rPr>
          <w:lang w:val="en-GB"/>
        </w:rPr>
        <w:t>20</w:t>
      </w:r>
      <w:bookmarkEnd w:id="4"/>
    </w:p>
    <w:p w:rsidR="000D4BEB" w:rsidRPr="00C76102" w:rsidRDefault="004868CB" w:rsidP="001E64E6">
      <w:pPr>
        <w:jc w:val="both"/>
        <w:rPr>
          <w:lang w:val="en-GB"/>
        </w:rPr>
      </w:pPr>
      <w:r w:rsidRPr="00C76102">
        <w:rPr>
          <w:lang w:val="en-GB"/>
        </w:rPr>
        <w:t>In order to carry ou</w:t>
      </w:r>
      <w:r w:rsidR="00E60B60" w:rsidRPr="00C76102">
        <w:rPr>
          <w:lang w:val="en-GB"/>
        </w:rPr>
        <w:t>t</w:t>
      </w:r>
      <w:r w:rsidRPr="00C76102">
        <w:rPr>
          <w:lang w:val="en-GB"/>
        </w:rPr>
        <w:t xml:space="preserve"> the </w:t>
      </w:r>
      <w:r w:rsidR="00E60B60" w:rsidRPr="00C76102">
        <w:rPr>
          <w:lang w:val="en-GB"/>
        </w:rPr>
        <w:t>adjustments</w:t>
      </w:r>
      <w:r w:rsidRPr="00C76102">
        <w:rPr>
          <w:lang w:val="en-GB"/>
        </w:rPr>
        <w:t xml:space="preserve"> for </w:t>
      </w:r>
      <w:r w:rsidR="007B7448" w:rsidRPr="00C76102">
        <w:rPr>
          <w:lang w:val="en-GB"/>
        </w:rPr>
        <w:t>20</w:t>
      </w:r>
      <w:r w:rsidR="00B943AB" w:rsidRPr="00C76102">
        <w:rPr>
          <w:lang w:val="en-GB"/>
        </w:rPr>
        <w:t>20</w:t>
      </w:r>
      <w:r w:rsidR="007B7448" w:rsidRPr="00C76102">
        <w:rPr>
          <w:lang w:val="en-GB"/>
        </w:rPr>
        <w:t xml:space="preserve"> </w:t>
      </w:r>
      <w:r w:rsidRPr="00C76102">
        <w:rPr>
          <w:lang w:val="en-GB"/>
        </w:rPr>
        <w:t>which shall be applied during the determination of USS MAR for 20</w:t>
      </w:r>
      <w:r w:rsidR="007B7448" w:rsidRPr="00C76102">
        <w:rPr>
          <w:lang w:val="en-GB"/>
        </w:rPr>
        <w:t>2</w:t>
      </w:r>
      <w:r w:rsidR="00B943AB" w:rsidRPr="00C76102">
        <w:rPr>
          <w:lang w:val="en-GB"/>
        </w:rPr>
        <w:t>1</w:t>
      </w:r>
      <w:r w:rsidRPr="00C76102">
        <w:rPr>
          <w:lang w:val="en-GB"/>
        </w:rPr>
        <w:t xml:space="preserve">, firstly the evaluation of </w:t>
      </w:r>
      <w:r w:rsidR="00D41107" w:rsidRPr="00C76102">
        <w:rPr>
          <w:lang w:val="en-GB"/>
        </w:rPr>
        <w:t xml:space="preserve">current </w:t>
      </w:r>
      <w:r w:rsidRPr="00C76102">
        <w:rPr>
          <w:lang w:val="en-GB"/>
        </w:rPr>
        <w:t xml:space="preserve">electricity supply costs for USS customers shall be </w:t>
      </w:r>
      <w:r w:rsidR="00D41107" w:rsidRPr="00C76102">
        <w:rPr>
          <w:lang w:val="en-GB"/>
        </w:rPr>
        <w:t>conducted</w:t>
      </w:r>
      <w:r w:rsidRPr="00C76102">
        <w:rPr>
          <w:lang w:val="en-GB"/>
        </w:rPr>
        <w:t xml:space="preserve">. </w:t>
      </w:r>
      <w:r w:rsidR="00B1344D" w:rsidRPr="00C76102">
        <w:rPr>
          <w:lang w:val="en-GB"/>
        </w:rPr>
        <w:t xml:space="preserve"> Following the evaluation of these costs</w:t>
      </w:r>
      <w:r w:rsidR="00D41107" w:rsidRPr="00C76102">
        <w:rPr>
          <w:lang w:val="en-GB"/>
        </w:rPr>
        <w:t xml:space="preserve"> and revenues </w:t>
      </w:r>
      <w:r w:rsidR="00B1344D" w:rsidRPr="00C76102">
        <w:rPr>
          <w:lang w:val="en-GB"/>
        </w:rPr>
        <w:t xml:space="preserve">which resulted from billing in </w:t>
      </w:r>
      <w:r w:rsidR="007B7448" w:rsidRPr="00C76102">
        <w:rPr>
          <w:lang w:val="en-GB"/>
        </w:rPr>
        <w:t>20</w:t>
      </w:r>
      <w:r w:rsidR="00D41107" w:rsidRPr="00C76102">
        <w:rPr>
          <w:lang w:val="en-GB"/>
        </w:rPr>
        <w:t>20, the adjustment of revenues is carried out</w:t>
      </w:r>
      <w:r w:rsidR="00B1344D" w:rsidRPr="00C76102">
        <w:rPr>
          <w:lang w:val="en-GB"/>
        </w:rPr>
        <w:t xml:space="preserve">. </w:t>
      </w:r>
    </w:p>
    <w:p w:rsidR="000D4BEB" w:rsidRPr="00C76102" w:rsidRDefault="008817B5" w:rsidP="001E64E6">
      <w:pPr>
        <w:spacing w:before="120"/>
        <w:jc w:val="both"/>
        <w:rPr>
          <w:lang w:val="en-GB"/>
        </w:rPr>
      </w:pPr>
      <w:r w:rsidRPr="00C76102">
        <w:rPr>
          <w:lang w:val="en-GB"/>
        </w:rPr>
        <w:t xml:space="preserve">The difference between the revenues evaluated from ERO for </w:t>
      </w:r>
      <w:r w:rsidR="007B7448" w:rsidRPr="00C76102">
        <w:rPr>
          <w:lang w:val="en-GB"/>
        </w:rPr>
        <w:t>20</w:t>
      </w:r>
      <w:r w:rsidR="00D41107" w:rsidRPr="00C76102">
        <w:rPr>
          <w:lang w:val="en-GB"/>
        </w:rPr>
        <w:t>20</w:t>
      </w:r>
      <w:r w:rsidR="007B7448" w:rsidRPr="00C76102">
        <w:rPr>
          <w:lang w:val="en-GB"/>
        </w:rPr>
        <w:t xml:space="preserve"> </w:t>
      </w:r>
      <w:r w:rsidRPr="00C76102">
        <w:rPr>
          <w:lang w:val="en-GB"/>
        </w:rPr>
        <w:t xml:space="preserve">and the </w:t>
      </w:r>
      <w:r w:rsidR="0029429D" w:rsidRPr="00C76102">
        <w:rPr>
          <w:lang w:val="en-GB"/>
        </w:rPr>
        <w:t>revenues</w:t>
      </w:r>
      <w:r w:rsidRPr="00C76102">
        <w:rPr>
          <w:lang w:val="en-GB"/>
        </w:rPr>
        <w:t xml:space="preserve"> realized from USS during the </w:t>
      </w:r>
      <w:r w:rsidR="00DE465C" w:rsidRPr="00C76102">
        <w:rPr>
          <w:lang w:val="en-GB"/>
        </w:rPr>
        <w:t>same period, is calculated according to the following formula:</w:t>
      </w:r>
    </w:p>
    <w:p w:rsidR="000D4BEB" w:rsidRPr="00C76102" w:rsidRDefault="000D4BEB" w:rsidP="000D4BEB">
      <w:pPr>
        <w:pStyle w:val="Equation"/>
        <w:ind w:left="2835" w:hanging="1701"/>
        <w:jc w:val="both"/>
        <w:rPr>
          <w:lang w:val="en-GB"/>
        </w:rPr>
      </w:pPr>
      <w:proofErr w:type="spellStart"/>
      <w:r w:rsidRPr="00C76102">
        <w:rPr>
          <w:lang w:val="en-GB"/>
        </w:rPr>
        <w:t>ADJ</w:t>
      </w:r>
      <w:r w:rsidRPr="00C76102">
        <w:rPr>
          <w:vertAlign w:val="subscript"/>
          <w:lang w:val="en-GB"/>
        </w:rPr>
        <w:t>t</w:t>
      </w:r>
      <w:proofErr w:type="spellEnd"/>
      <w:r w:rsidRPr="00C76102">
        <w:rPr>
          <w:lang w:val="en-GB"/>
        </w:rPr>
        <w:t xml:space="preserve"> = (AAC</w:t>
      </w:r>
      <w:r w:rsidRPr="00C76102">
        <w:rPr>
          <w:vertAlign w:val="subscript"/>
          <w:lang w:val="en-GB"/>
        </w:rPr>
        <w:t>at</w:t>
      </w:r>
      <w:r w:rsidRPr="00C76102">
        <w:rPr>
          <w:lang w:val="en-GB"/>
        </w:rPr>
        <w:t>-</w:t>
      </w:r>
      <w:r w:rsidRPr="00C76102">
        <w:rPr>
          <w:vertAlign w:val="subscript"/>
          <w:lang w:val="en-GB"/>
        </w:rPr>
        <w:t>1</w:t>
      </w:r>
      <w:r w:rsidRPr="00C76102">
        <w:rPr>
          <w:lang w:val="en-GB"/>
        </w:rPr>
        <w:t xml:space="preserve"> – ARR</w:t>
      </w:r>
      <w:r w:rsidRPr="00C76102">
        <w:rPr>
          <w:vertAlign w:val="subscript"/>
          <w:lang w:val="en-GB"/>
        </w:rPr>
        <w:t xml:space="preserve">t-1) </w:t>
      </w:r>
      <w:r w:rsidRPr="00C76102">
        <w:rPr>
          <w:lang w:val="en-GB"/>
        </w:rPr>
        <w:t>* (1+ I</w:t>
      </w:r>
      <w:r w:rsidRPr="00C76102">
        <w:rPr>
          <w:vertAlign w:val="subscript"/>
          <w:lang w:val="en-GB"/>
        </w:rPr>
        <w:t>t</w:t>
      </w:r>
      <w:r w:rsidRPr="00C76102">
        <w:rPr>
          <w:lang w:val="en-GB"/>
        </w:rPr>
        <w:t xml:space="preserve">) </w:t>
      </w:r>
    </w:p>
    <w:p w:rsidR="000D4BEB" w:rsidRPr="00C76102" w:rsidRDefault="0029429D" w:rsidP="000D4BEB">
      <w:pPr>
        <w:pStyle w:val="Equation"/>
        <w:ind w:left="2835" w:hanging="1701"/>
        <w:jc w:val="both"/>
        <w:rPr>
          <w:lang w:val="en-GB"/>
        </w:rPr>
      </w:pPr>
      <w:r w:rsidRPr="00C76102">
        <w:rPr>
          <w:lang w:val="en-GB"/>
        </w:rPr>
        <w:t>Where</w:t>
      </w:r>
      <w:r w:rsidR="000D4BEB" w:rsidRPr="00C76102">
        <w:rPr>
          <w:lang w:val="en-GB"/>
        </w:rPr>
        <w:t xml:space="preserve">: </w:t>
      </w:r>
    </w:p>
    <w:p w:rsidR="000D4BEB" w:rsidRPr="00C76102" w:rsidRDefault="000D4BEB" w:rsidP="000D4BEB">
      <w:pPr>
        <w:pStyle w:val="Equation"/>
        <w:ind w:left="2835" w:hanging="1701"/>
        <w:jc w:val="both"/>
        <w:rPr>
          <w:rFonts w:eastAsia="Calibri" w:cs="Calibri"/>
          <w:szCs w:val="22"/>
          <w:lang w:val="en-GB"/>
        </w:rPr>
      </w:pPr>
      <w:r w:rsidRPr="00C76102">
        <w:rPr>
          <w:lang w:val="en-GB"/>
        </w:rPr>
        <w:t>AAC</w:t>
      </w:r>
      <w:r w:rsidRPr="00C76102">
        <w:rPr>
          <w:vertAlign w:val="subscript"/>
          <w:lang w:val="en-GB"/>
        </w:rPr>
        <w:t xml:space="preserve">at-1 </w:t>
      </w:r>
      <w:r w:rsidRPr="00C76102">
        <w:rPr>
          <w:lang w:val="en-GB"/>
        </w:rPr>
        <w:tab/>
      </w:r>
      <w:r w:rsidR="004C490B" w:rsidRPr="00C76102">
        <w:rPr>
          <w:rFonts w:eastAsia="Calibri" w:cs="Calibri"/>
          <w:szCs w:val="22"/>
          <w:lang w:val="en-GB"/>
        </w:rPr>
        <w:t xml:space="preserve">USS </w:t>
      </w:r>
      <w:r w:rsidR="0029429D" w:rsidRPr="00C76102">
        <w:rPr>
          <w:rFonts w:eastAsia="Calibri" w:cs="Calibri"/>
          <w:szCs w:val="22"/>
          <w:lang w:val="en-GB"/>
        </w:rPr>
        <w:t xml:space="preserve">Actual </w:t>
      </w:r>
      <w:r w:rsidR="004C490B" w:rsidRPr="00C76102">
        <w:rPr>
          <w:rFonts w:eastAsia="Calibri" w:cs="Calibri"/>
          <w:szCs w:val="22"/>
          <w:lang w:val="en-GB"/>
        </w:rPr>
        <w:t>Allowed Costs in relevant year t</w:t>
      </w:r>
    </w:p>
    <w:p w:rsidR="000D4BEB" w:rsidRPr="00C76102" w:rsidRDefault="000D4BEB" w:rsidP="000D4BEB">
      <w:pPr>
        <w:pStyle w:val="Equation"/>
        <w:ind w:left="2835" w:hanging="1701"/>
        <w:jc w:val="both"/>
        <w:rPr>
          <w:rFonts w:eastAsia="Calibri" w:cs="Calibri"/>
          <w:szCs w:val="22"/>
          <w:lang w:val="en-GB"/>
        </w:rPr>
      </w:pPr>
      <w:r w:rsidRPr="00C76102">
        <w:rPr>
          <w:lang w:val="en-GB"/>
        </w:rPr>
        <w:t>ARR</w:t>
      </w:r>
      <w:r w:rsidRPr="00C76102">
        <w:rPr>
          <w:vertAlign w:val="subscript"/>
          <w:lang w:val="en-GB"/>
        </w:rPr>
        <w:t xml:space="preserve">t-1 </w:t>
      </w:r>
      <w:r w:rsidRPr="00C76102">
        <w:rPr>
          <w:lang w:val="en-GB"/>
        </w:rPr>
        <w:tab/>
      </w:r>
      <w:r w:rsidR="004C490B" w:rsidRPr="00C76102">
        <w:rPr>
          <w:rFonts w:eastAsia="Calibri" w:cs="Calibri"/>
          <w:szCs w:val="22"/>
          <w:lang w:val="en-GB"/>
        </w:rPr>
        <w:t>Actual Regulated Revenues during relevant year t-1</w:t>
      </w:r>
    </w:p>
    <w:p w:rsidR="000D4BEB" w:rsidRPr="00C76102" w:rsidRDefault="000D4BEB" w:rsidP="000D4BEB">
      <w:pPr>
        <w:pStyle w:val="Equation"/>
        <w:ind w:left="2835" w:hanging="1701"/>
        <w:jc w:val="both"/>
        <w:rPr>
          <w:rFonts w:cs="Calibri"/>
          <w:lang w:val="en-GB"/>
        </w:rPr>
      </w:pPr>
      <w:r w:rsidRPr="00C76102">
        <w:rPr>
          <w:rFonts w:cs="Calibri"/>
          <w:lang w:val="en-GB"/>
        </w:rPr>
        <w:t>I</w:t>
      </w:r>
      <w:r w:rsidRPr="00C76102">
        <w:rPr>
          <w:rFonts w:cs="Calibri"/>
          <w:vertAlign w:val="subscript"/>
          <w:lang w:val="en-GB"/>
        </w:rPr>
        <w:t>t</w:t>
      </w:r>
      <w:r w:rsidRPr="00C76102">
        <w:rPr>
          <w:rFonts w:cs="Calibri"/>
          <w:lang w:val="en-GB"/>
        </w:rPr>
        <w:tab/>
      </w:r>
      <w:r w:rsidR="004C490B" w:rsidRPr="00C76102">
        <w:rPr>
          <w:lang w:val="en-GB"/>
        </w:rPr>
        <w:t xml:space="preserve">is the interest rate for the Relevant Year t calculated based on EURIBOR plus S%, where S is a value to be determined by the Regulator at Periodic Reviews and which reflects the premium payable by the licensee for short-term loans </w:t>
      </w:r>
    </w:p>
    <w:p w:rsidR="00A078DB" w:rsidRPr="00C76102" w:rsidRDefault="004C490B" w:rsidP="00AD630F">
      <w:pPr>
        <w:jc w:val="both"/>
        <w:rPr>
          <w:lang w:val="en-GB"/>
        </w:rPr>
      </w:pPr>
      <w:r w:rsidRPr="00C76102">
        <w:rPr>
          <w:lang w:val="en-GB"/>
        </w:rPr>
        <w:lastRenderedPageBreak/>
        <w:t xml:space="preserve">The value of adjustments for </w:t>
      </w:r>
      <w:r w:rsidR="00D41107" w:rsidRPr="00C76102">
        <w:rPr>
          <w:lang w:val="en-GB"/>
        </w:rPr>
        <w:t>2020</w:t>
      </w:r>
      <w:r w:rsidRPr="00C76102">
        <w:rPr>
          <w:lang w:val="en-GB"/>
        </w:rPr>
        <w:t xml:space="preserve">, following the indexing for inflation, results in the amount of </w:t>
      </w:r>
      <w:r w:rsidR="00D41107" w:rsidRPr="00C76102">
        <w:rPr>
          <w:lang w:val="en-GB"/>
        </w:rPr>
        <w:t>6.8</w:t>
      </w:r>
      <w:r w:rsidRPr="00C76102">
        <w:rPr>
          <w:lang w:val="en-GB"/>
        </w:rPr>
        <w:t xml:space="preserve"> million </w:t>
      </w:r>
      <w:r w:rsidR="0029429D" w:rsidRPr="00C76102">
        <w:rPr>
          <w:lang w:val="en-GB"/>
        </w:rPr>
        <w:t>Euros</w:t>
      </w:r>
      <w:r w:rsidRPr="00C76102">
        <w:rPr>
          <w:lang w:val="en-GB"/>
        </w:rPr>
        <w:t>.</w:t>
      </w:r>
    </w:p>
    <w:p w:rsidR="00C76102" w:rsidRPr="00C76102" w:rsidRDefault="00C76102" w:rsidP="00C76102">
      <w:pPr>
        <w:pStyle w:val="Caption"/>
        <w:rPr>
          <w:lang w:val="en-GB"/>
        </w:rPr>
      </w:pPr>
      <w:r w:rsidRPr="00C76102">
        <w:rPr>
          <w:lang w:val="en-GB"/>
        </w:rPr>
        <w:t xml:space="preserve">Table </w:t>
      </w:r>
      <w:r w:rsidRPr="00C76102">
        <w:rPr>
          <w:lang w:val="en-GB"/>
        </w:rPr>
        <w:fldChar w:fldCharType="begin"/>
      </w:r>
      <w:r w:rsidRPr="00C76102">
        <w:rPr>
          <w:lang w:val="en-GB"/>
        </w:rPr>
        <w:instrText xml:space="preserve"> SEQ Table \* ARABIC </w:instrText>
      </w:r>
      <w:r w:rsidRPr="00C76102">
        <w:rPr>
          <w:lang w:val="en-GB"/>
        </w:rPr>
        <w:fldChar w:fldCharType="separate"/>
      </w:r>
      <w:r w:rsidRPr="00C76102">
        <w:rPr>
          <w:noProof/>
          <w:lang w:val="en-GB"/>
        </w:rPr>
        <w:t>3</w:t>
      </w:r>
      <w:r w:rsidRPr="00C76102">
        <w:rPr>
          <w:lang w:val="en-GB"/>
        </w:rPr>
        <w:fldChar w:fldCharType="end"/>
      </w:r>
      <w:r w:rsidRPr="00C76102">
        <w:rPr>
          <w:lang w:val="en-GB"/>
        </w:rPr>
        <w:t xml:space="preserve"> -</w:t>
      </w:r>
      <w:r w:rsidRPr="00C76102">
        <w:rPr>
          <w:color w:val="17365D" w:themeColor="text2" w:themeShade="BF"/>
          <w:lang w:val="en-GB"/>
        </w:rPr>
        <w:t xml:space="preserve"> Adjustments for 2020</w:t>
      </w:r>
    </w:p>
    <w:tbl>
      <w:tblPr>
        <w:tblW w:w="5000" w:type="pct"/>
        <w:tblCellMar>
          <w:left w:w="0" w:type="dxa"/>
          <w:right w:w="0" w:type="dxa"/>
        </w:tblCellMar>
        <w:tblLook w:val="04A0" w:firstRow="1" w:lastRow="0" w:firstColumn="1" w:lastColumn="0" w:noHBand="0" w:noVBand="1"/>
      </w:tblPr>
      <w:tblGrid>
        <w:gridCol w:w="7335"/>
        <w:gridCol w:w="916"/>
        <w:gridCol w:w="778"/>
      </w:tblGrid>
      <w:tr w:rsidR="000A5251" w:rsidRPr="00C76102" w:rsidTr="009C0B70">
        <w:trPr>
          <w:trHeight w:val="510"/>
        </w:trPr>
        <w:tc>
          <w:tcPr>
            <w:tcW w:w="4062" w:type="pct"/>
            <w:tcBorders>
              <w:top w:val="nil"/>
              <w:left w:val="nil"/>
              <w:bottom w:val="nil"/>
              <w:right w:val="nil"/>
            </w:tcBorders>
            <w:shd w:val="clear" w:color="000000" w:fill="002060"/>
            <w:noWrap/>
            <w:tcMar>
              <w:top w:w="15" w:type="dxa"/>
              <w:left w:w="15" w:type="dxa"/>
              <w:bottom w:w="0" w:type="dxa"/>
              <w:right w:w="15" w:type="dxa"/>
            </w:tcMar>
            <w:vAlign w:val="center"/>
            <w:hideMark/>
          </w:tcPr>
          <w:p w:rsidR="000A5251" w:rsidRPr="00C76102" w:rsidRDefault="000A5251" w:rsidP="009C0B70">
            <w:pPr>
              <w:spacing w:after="0" w:line="240" w:lineRule="auto"/>
              <w:rPr>
                <w:rFonts w:cstheme="minorHAnsi"/>
                <w:b/>
                <w:bCs/>
                <w:color w:val="FFFFFF"/>
                <w:lang w:val="en-GB"/>
              </w:rPr>
            </w:pPr>
            <w:r w:rsidRPr="00C76102">
              <w:rPr>
                <w:rFonts w:cstheme="minorHAnsi"/>
                <w:b/>
                <w:bCs/>
                <w:color w:val="FFFFFF"/>
                <w:lang w:val="en-GB"/>
              </w:rPr>
              <w:t>MAR of Universal Service Supplier</w:t>
            </w:r>
          </w:p>
        </w:tc>
        <w:tc>
          <w:tcPr>
            <w:tcW w:w="507" w:type="pct"/>
            <w:tcBorders>
              <w:top w:val="nil"/>
              <w:left w:val="nil"/>
              <w:bottom w:val="nil"/>
              <w:right w:val="nil"/>
            </w:tcBorders>
            <w:shd w:val="clear" w:color="000000" w:fill="002060"/>
            <w:tcMar>
              <w:top w:w="15" w:type="dxa"/>
              <w:left w:w="15" w:type="dxa"/>
              <w:bottom w:w="0" w:type="dxa"/>
              <w:right w:w="15" w:type="dxa"/>
            </w:tcMar>
            <w:vAlign w:val="center"/>
            <w:hideMark/>
          </w:tcPr>
          <w:p w:rsidR="000A5251" w:rsidRPr="00C76102" w:rsidRDefault="000A5251" w:rsidP="009C0B70">
            <w:pPr>
              <w:spacing w:after="0" w:line="240" w:lineRule="auto"/>
              <w:jc w:val="center"/>
              <w:rPr>
                <w:rFonts w:cstheme="minorHAnsi"/>
                <w:b/>
                <w:bCs/>
                <w:color w:val="FFFFFF"/>
                <w:lang w:val="en-GB"/>
              </w:rPr>
            </w:pPr>
            <w:r w:rsidRPr="00C76102">
              <w:rPr>
                <w:rFonts w:cstheme="minorHAnsi"/>
                <w:b/>
                <w:bCs/>
                <w:color w:val="FFFFFF"/>
                <w:lang w:val="en-GB"/>
              </w:rPr>
              <w:t>Unit</w:t>
            </w:r>
          </w:p>
        </w:tc>
        <w:tc>
          <w:tcPr>
            <w:tcW w:w="431" w:type="pct"/>
            <w:tcBorders>
              <w:top w:val="nil"/>
              <w:left w:val="nil"/>
              <w:bottom w:val="nil"/>
              <w:right w:val="nil"/>
            </w:tcBorders>
            <w:shd w:val="clear" w:color="000000" w:fill="002060"/>
            <w:tcMar>
              <w:top w:w="15" w:type="dxa"/>
              <w:left w:w="15" w:type="dxa"/>
              <w:bottom w:w="0" w:type="dxa"/>
              <w:right w:w="15" w:type="dxa"/>
            </w:tcMar>
            <w:vAlign w:val="center"/>
            <w:hideMark/>
          </w:tcPr>
          <w:p w:rsidR="000A5251" w:rsidRPr="00C76102" w:rsidRDefault="000A5251" w:rsidP="009C0B70">
            <w:pPr>
              <w:spacing w:after="0" w:line="240" w:lineRule="auto"/>
              <w:jc w:val="center"/>
              <w:rPr>
                <w:rFonts w:cstheme="minorHAnsi"/>
                <w:b/>
                <w:bCs/>
                <w:color w:val="FFFFFF"/>
                <w:lang w:val="en-GB"/>
              </w:rPr>
            </w:pPr>
            <w:r w:rsidRPr="00C76102">
              <w:rPr>
                <w:rFonts w:cstheme="minorHAnsi"/>
                <w:b/>
                <w:bCs/>
                <w:color w:val="FFFFFF"/>
                <w:lang w:val="en-GB"/>
              </w:rPr>
              <w:t>2020</w:t>
            </w:r>
          </w:p>
        </w:tc>
      </w:tr>
      <w:tr w:rsidR="000A5251" w:rsidRPr="00C76102" w:rsidTr="009C0B70">
        <w:trPr>
          <w:trHeight w:val="255"/>
        </w:trPr>
        <w:tc>
          <w:tcPr>
            <w:tcW w:w="4062" w:type="pct"/>
            <w:tcBorders>
              <w:top w:val="nil"/>
              <w:left w:val="nil"/>
              <w:bottom w:val="nil"/>
              <w:right w:val="nil"/>
            </w:tcBorders>
            <w:shd w:val="clear" w:color="000000" w:fill="DBE5F1"/>
            <w:noWrap/>
            <w:tcMar>
              <w:top w:w="15" w:type="dxa"/>
              <w:left w:w="15" w:type="dxa"/>
              <w:bottom w:w="0" w:type="dxa"/>
              <w:right w:w="15" w:type="dxa"/>
            </w:tcMar>
            <w:vAlign w:val="bottom"/>
            <w:hideMark/>
          </w:tcPr>
          <w:p w:rsidR="000A5251" w:rsidRPr="00C76102" w:rsidRDefault="000A5251" w:rsidP="009C0B70">
            <w:pPr>
              <w:spacing w:after="0"/>
              <w:rPr>
                <w:rFonts w:cstheme="minorHAnsi"/>
                <w:bCs/>
                <w:lang w:val="en-GB"/>
              </w:rPr>
            </w:pPr>
            <w:r w:rsidRPr="00C76102">
              <w:rPr>
                <w:rFonts w:cstheme="minorHAnsi"/>
                <w:bCs/>
                <w:lang w:val="en-GB"/>
              </w:rPr>
              <w:t>Indexation Parameters</w:t>
            </w:r>
          </w:p>
        </w:tc>
        <w:tc>
          <w:tcPr>
            <w:tcW w:w="507" w:type="pct"/>
            <w:tcBorders>
              <w:top w:val="nil"/>
              <w:left w:val="nil"/>
              <w:bottom w:val="nil"/>
              <w:right w:val="nil"/>
            </w:tcBorders>
            <w:shd w:val="clear" w:color="000000" w:fill="DBE5F1"/>
            <w:noWrap/>
            <w:tcMar>
              <w:top w:w="15" w:type="dxa"/>
              <w:left w:w="15" w:type="dxa"/>
              <w:bottom w:w="0" w:type="dxa"/>
              <w:right w:w="15" w:type="dxa"/>
            </w:tcMar>
            <w:vAlign w:val="bottom"/>
            <w:hideMark/>
          </w:tcPr>
          <w:p w:rsidR="000A5251" w:rsidRPr="00C76102" w:rsidRDefault="000A5251" w:rsidP="009C0B70">
            <w:pPr>
              <w:spacing w:after="0"/>
              <w:rPr>
                <w:rFonts w:cstheme="minorHAnsi"/>
                <w:lang w:val="en-GB"/>
              </w:rPr>
            </w:pPr>
            <w:r w:rsidRPr="00C76102">
              <w:rPr>
                <w:rFonts w:cstheme="minorHAnsi"/>
                <w:lang w:val="en-GB"/>
              </w:rPr>
              <w:t> </w:t>
            </w:r>
          </w:p>
        </w:tc>
        <w:tc>
          <w:tcPr>
            <w:tcW w:w="431" w:type="pct"/>
            <w:tcBorders>
              <w:top w:val="nil"/>
              <w:left w:val="nil"/>
              <w:bottom w:val="nil"/>
              <w:right w:val="nil"/>
            </w:tcBorders>
            <w:shd w:val="clear" w:color="000000" w:fill="DBE5F1"/>
            <w:noWrap/>
            <w:tcMar>
              <w:top w:w="15" w:type="dxa"/>
              <w:left w:w="15" w:type="dxa"/>
              <w:bottom w:w="0" w:type="dxa"/>
              <w:right w:w="15" w:type="dxa"/>
            </w:tcMar>
            <w:vAlign w:val="bottom"/>
            <w:hideMark/>
          </w:tcPr>
          <w:p w:rsidR="000A5251" w:rsidRPr="00C76102" w:rsidRDefault="000A5251" w:rsidP="009C0B70">
            <w:pPr>
              <w:spacing w:after="0"/>
              <w:rPr>
                <w:rFonts w:cstheme="minorHAnsi"/>
                <w:bCs/>
                <w:lang w:val="en-GB"/>
              </w:rPr>
            </w:pPr>
            <w:r w:rsidRPr="00C76102">
              <w:rPr>
                <w:rFonts w:cstheme="minorHAnsi"/>
                <w:bCs/>
                <w:lang w:val="en-GB"/>
              </w:rPr>
              <w:t> </w:t>
            </w:r>
          </w:p>
        </w:tc>
      </w:tr>
      <w:tr w:rsidR="000A5251" w:rsidRPr="00C76102" w:rsidTr="009C0B70">
        <w:trPr>
          <w:trHeight w:val="255"/>
        </w:trPr>
        <w:tc>
          <w:tcPr>
            <w:tcW w:w="4062" w:type="pct"/>
            <w:tcBorders>
              <w:top w:val="nil"/>
              <w:left w:val="nil"/>
              <w:bottom w:val="nil"/>
              <w:right w:val="nil"/>
            </w:tcBorders>
            <w:shd w:val="clear" w:color="000000" w:fill="FFFFFF"/>
            <w:noWrap/>
            <w:tcMar>
              <w:top w:w="15" w:type="dxa"/>
              <w:left w:w="15" w:type="dxa"/>
              <w:bottom w:w="0" w:type="dxa"/>
              <w:right w:w="15" w:type="dxa"/>
            </w:tcMar>
            <w:vAlign w:val="bottom"/>
            <w:hideMark/>
          </w:tcPr>
          <w:p w:rsidR="000A5251" w:rsidRPr="00C76102" w:rsidRDefault="000A5251" w:rsidP="009C0B70">
            <w:pPr>
              <w:spacing w:after="0"/>
              <w:rPr>
                <w:rFonts w:cstheme="minorHAnsi"/>
                <w:lang w:val="en-GB"/>
              </w:rPr>
            </w:pPr>
            <w:r w:rsidRPr="00C76102">
              <w:rPr>
                <w:rFonts w:cstheme="minorHAnsi"/>
                <w:lang w:val="en-GB"/>
              </w:rPr>
              <w:t>It Interest rate</w:t>
            </w:r>
          </w:p>
        </w:tc>
        <w:tc>
          <w:tcPr>
            <w:tcW w:w="507" w:type="pct"/>
            <w:tcBorders>
              <w:top w:val="nil"/>
              <w:left w:val="nil"/>
              <w:bottom w:val="nil"/>
              <w:right w:val="nil"/>
            </w:tcBorders>
            <w:shd w:val="clear" w:color="000000" w:fill="FFFFFF"/>
            <w:noWrap/>
            <w:tcMar>
              <w:top w:w="15" w:type="dxa"/>
              <w:left w:w="15" w:type="dxa"/>
              <w:bottom w:w="0" w:type="dxa"/>
              <w:right w:w="15" w:type="dxa"/>
            </w:tcMar>
            <w:vAlign w:val="bottom"/>
            <w:hideMark/>
          </w:tcPr>
          <w:p w:rsidR="000A5251" w:rsidRPr="00C76102" w:rsidRDefault="000A5251" w:rsidP="009C0B70">
            <w:pPr>
              <w:spacing w:after="0"/>
              <w:jc w:val="center"/>
              <w:rPr>
                <w:rFonts w:cstheme="minorHAnsi"/>
                <w:lang w:val="en-GB"/>
              </w:rPr>
            </w:pPr>
            <w:r w:rsidRPr="00C76102">
              <w:rPr>
                <w:rFonts w:cstheme="minorHAnsi"/>
                <w:lang w:val="en-GB"/>
              </w:rPr>
              <w:t>%</w:t>
            </w:r>
          </w:p>
        </w:tc>
        <w:tc>
          <w:tcPr>
            <w:tcW w:w="431" w:type="pct"/>
            <w:tcBorders>
              <w:top w:val="nil"/>
              <w:left w:val="nil"/>
              <w:bottom w:val="nil"/>
              <w:right w:val="nil"/>
            </w:tcBorders>
            <w:shd w:val="clear" w:color="000000" w:fill="FFFFFF"/>
            <w:tcMar>
              <w:top w:w="15" w:type="dxa"/>
              <w:left w:w="15" w:type="dxa"/>
              <w:bottom w:w="0" w:type="dxa"/>
              <w:right w:w="15" w:type="dxa"/>
            </w:tcMar>
            <w:vAlign w:val="bottom"/>
            <w:hideMark/>
          </w:tcPr>
          <w:p w:rsidR="000A5251" w:rsidRPr="00C76102" w:rsidRDefault="000A5251" w:rsidP="009C0B70">
            <w:pPr>
              <w:spacing w:after="0"/>
              <w:jc w:val="right"/>
              <w:rPr>
                <w:rFonts w:cstheme="minorHAnsi"/>
                <w:lang w:val="en-GB"/>
              </w:rPr>
            </w:pPr>
            <w:r w:rsidRPr="00C76102">
              <w:rPr>
                <w:rFonts w:cstheme="minorHAnsi"/>
                <w:lang w:val="en-GB"/>
              </w:rPr>
              <w:t>5.74.%</w:t>
            </w:r>
          </w:p>
        </w:tc>
      </w:tr>
      <w:tr w:rsidR="000A5251" w:rsidRPr="00C76102" w:rsidTr="009C0B70">
        <w:trPr>
          <w:trHeight w:val="255"/>
        </w:trPr>
        <w:tc>
          <w:tcPr>
            <w:tcW w:w="4062" w:type="pct"/>
            <w:tcBorders>
              <w:top w:val="nil"/>
              <w:left w:val="nil"/>
              <w:bottom w:val="nil"/>
              <w:right w:val="nil"/>
            </w:tcBorders>
            <w:shd w:val="clear" w:color="000000" w:fill="DBE5F1"/>
            <w:noWrap/>
            <w:tcMar>
              <w:top w:w="15" w:type="dxa"/>
              <w:left w:w="15" w:type="dxa"/>
              <w:bottom w:w="0" w:type="dxa"/>
              <w:right w:w="15" w:type="dxa"/>
            </w:tcMar>
            <w:vAlign w:val="bottom"/>
            <w:hideMark/>
          </w:tcPr>
          <w:p w:rsidR="000A5251" w:rsidRPr="00C76102" w:rsidRDefault="000A5251" w:rsidP="009C0B70">
            <w:pPr>
              <w:spacing w:after="0"/>
              <w:rPr>
                <w:rFonts w:cstheme="minorHAnsi"/>
                <w:bCs/>
                <w:lang w:val="en-GB"/>
              </w:rPr>
            </w:pPr>
            <w:r w:rsidRPr="00C76102">
              <w:rPr>
                <w:rFonts w:cstheme="minorHAnsi"/>
                <w:bCs/>
                <w:lang w:val="en-GB"/>
              </w:rPr>
              <w:t>Retail Costs of the Supplier</w:t>
            </w:r>
          </w:p>
        </w:tc>
        <w:tc>
          <w:tcPr>
            <w:tcW w:w="507" w:type="pct"/>
            <w:tcBorders>
              <w:top w:val="nil"/>
              <w:left w:val="nil"/>
              <w:bottom w:val="nil"/>
              <w:right w:val="nil"/>
            </w:tcBorders>
            <w:shd w:val="clear" w:color="000000" w:fill="DBE5F1"/>
            <w:noWrap/>
            <w:tcMar>
              <w:top w:w="15" w:type="dxa"/>
              <w:left w:w="15" w:type="dxa"/>
              <w:bottom w:w="0" w:type="dxa"/>
              <w:right w:w="15" w:type="dxa"/>
            </w:tcMar>
            <w:vAlign w:val="bottom"/>
            <w:hideMark/>
          </w:tcPr>
          <w:p w:rsidR="000A5251" w:rsidRPr="00C76102" w:rsidRDefault="000A5251" w:rsidP="009C0B70">
            <w:pPr>
              <w:spacing w:after="0"/>
              <w:rPr>
                <w:rFonts w:cstheme="minorHAnsi"/>
                <w:lang w:val="en-GB"/>
              </w:rPr>
            </w:pPr>
            <w:r w:rsidRPr="00C76102">
              <w:rPr>
                <w:rFonts w:cstheme="minorHAnsi"/>
                <w:lang w:val="en-GB"/>
              </w:rPr>
              <w:t> </w:t>
            </w:r>
          </w:p>
        </w:tc>
        <w:tc>
          <w:tcPr>
            <w:tcW w:w="431" w:type="pct"/>
            <w:tcBorders>
              <w:top w:val="nil"/>
              <w:left w:val="nil"/>
              <w:bottom w:val="nil"/>
              <w:right w:val="nil"/>
            </w:tcBorders>
            <w:shd w:val="clear" w:color="000000" w:fill="DBE5F1"/>
            <w:noWrap/>
            <w:tcMar>
              <w:top w:w="15" w:type="dxa"/>
              <w:left w:w="15" w:type="dxa"/>
              <w:bottom w:w="0" w:type="dxa"/>
              <w:right w:w="15" w:type="dxa"/>
            </w:tcMar>
            <w:vAlign w:val="bottom"/>
            <w:hideMark/>
          </w:tcPr>
          <w:p w:rsidR="000A5251" w:rsidRPr="00C76102" w:rsidRDefault="000A5251" w:rsidP="009C0B70">
            <w:pPr>
              <w:spacing w:after="0"/>
              <w:rPr>
                <w:rFonts w:cstheme="minorHAnsi"/>
                <w:bCs/>
                <w:lang w:val="en-GB"/>
              </w:rPr>
            </w:pPr>
            <w:r w:rsidRPr="00C76102">
              <w:rPr>
                <w:rFonts w:cstheme="minorHAnsi"/>
                <w:bCs/>
                <w:lang w:val="en-GB"/>
              </w:rPr>
              <w:t> </w:t>
            </w:r>
          </w:p>
        </w:tc>
      </w:tr>
      <w:tr w:rsidR="000A5251" w:rsidRPr="00C76102" w:rsidTr="009C0B70">
        <w:trPr>
          <w:trHeight w:val="285"/>
        </w:trPr>
        <w:tc>
          <w:tcPr>
            <w:tcW w:w="4062" w:type="pct"/>
            <w:tcBorders>
              <w:top w:val="nil"/>
              <w:left w:val="nil"/>
              <w:bottom w:val="nil"/>
              <w:right w:val="nil"/>
            </w:tcBorders>
            <w:shd w:val="clear" w:color="000000" w:fill="FFFFFF"/>
            <w:noWrap/>
            <w:tcMar>
              <w:top w:w="15" w:type="dxa"/>
              <w:left w:w="15" w:type="dxa"/>
              <w:bottom w:w="0" w:type="dxa"/>
              <w:right w:w="15" w:type="dxa"/>
            </w:tcMar>
            <w:vAlign w:val="bottom"/>
            <w:hideMark/>
          </w:tcPr>
          <w:p w:rsidR="000A5251" w:rsidRPr="00C76102" w:rsidRDefault="000A5251" w:rsidP="009C0B70">
            <w:pPr>
              <w:spacing w:after="0"/>
              <w:rPr>
                <w:rFonts w:cstheme="minorHAnsi"/>
                <w:lang w:val="en-GB"/>
              </w:rPr>
            </w:pPr>
            <w:r w:rsidRPr="00C76102">
              <w:rPr>
                <w:rFonts w:cstheme="minorHAnsi"/>
                <w:lang w:val="en-GB"/>
              </w:rPr>
              <w:t xml:space="preserve">OPEX - </w:t>
            </w:r>
            <w:proofErr w:type="spellStart"/>
            <w:r w:rsidRPr="00C76102">
              <w:rPr>
                <w:rFonts w:cstheme="minorHAnsi"/>
                <w:lang w:val="en-GB"/>
              </w:rPr>
              <w:t>OPMC</w:t>
            </w:r>
            <w:r w:rsidRPr="00C76102">
              <w:rPr>
                <w:rFonts w:cstheme="minorHAnsi"/>
                <w:color w:val="000000"/>
                <w:vertAlign w:val="subscript"/>
                <w:lang w:val="en-GB"/>
              </w:rPr>
              <w:t>t</w:t>
            </w:r>
            <w:proofErr w:type="spellEnd"/>
            <w:r w:rsidRPr="00C76102">
              <w:rPr>
                <w:rFonts w:cstheme="minorHAnsi"/>
                <w:color w:val="000000"/>
                <w:lang w:val="en-GB"/>
              </w:rPr>
              <w:t xml:space="preserve"> = OPMC</w:t>
            </w:r>
            <w:r w:rsidRPr="00C76102">
              <w:rPr>
                <w:rFonts w:cstheme="minorHAnsi"/>
                <w:color w:val="000000"/>
                <w:vertAlign w:val="subscript"/>
                <w:lang w:val="en-GB"/>
              </w:rPr>
              <w:t>t-1</w:t>
            </w:r>
            <w:r w:rsidRPr="00C76102">
              <w:rPr>
                <w:rFonts w:cstheme="minorHAnsi"/>
                <w:color w:val="000000"/>
                <w:lang w:val="en-GB"/>
              </w:rPr>
              <w:t xml:space="preserve"> * (1 + CPI</w:t>
            </w:r>
            <w:r w:rsidRPr="00C76102">
              <w:rPr>
                <w:rFonts w:cstheme="minorHAnsi"/>
                <w:color w:val="000000"/>
                <w:vertAlign w:val="subscript"/>
                <w:lang w:val="en-GB"/>
              </w:rPr>
              <w:t>t-1</w:t>
            </w:r>
            <w:r w:rsidRPr="00C76102">
              <w:rPr>
                <w:rFonts w:cstheme="minorHAnsi"/>
                <w:color w:val="000000"/>
                <w:lang w:val="en-GB"/>
              </w:rPr>
              <w:t>) * (1 – E</w:t>
            </w:r>
            <w:r w:rsidRPr="00C76102">
              <w:rPr>
                <w:rFonts w:cstheme="minorHAnsi"/>
                <w:color w:val="000000"/>
                <w:vertAlign w:val="subscript"/>
                <w:lang w:val="en-GB"/>
              </w:rPr>
              <w:t>t</w:t>
            </w:r>
            <w:r w:rsidRPr="00C76102">
              <w:rPr>
                <w:rFonts w:cstheme="minorHAnsi"/>
                <w:color w:val="000000"/>
                <w:lang w:val="en-GB"/>
              </w:rPr>
              <w:t>)* (1 – P</w:t>
            </w:r>
            <w:r w:rsidRPr="00C76102">
              <w:rPr>
                <w:rFonts w:cstheme="minorHAnsi"/>
                <w:color w:val="000000"/>
                <w:vertAlign w:val="subscript"/>
                <w:lang w:val="en-GB"/>
              </w:rPr>
              <w:t>t</w:t>
            </w:r>
            <w:r w:rsidRPr="00C76102">
              <w:rPr>
                <w:rFonts w:cstheme="minorHAnsi"/>
                <w:color w:val="000000"/>
                <w:lang w:val="en-GB"/>
              </w:rPr>
              <w:t>)</w:t>
            </w:r>
          </w:p>
        </w:tc>
        <w:tc>
          <w:tcPr>
            <w:tcW w:w="507" w:type="pct"/>
            <w:tcBorders>
              <w:top w:val="nil"/>
              <w:left w:val="nil"/>
              <w:bottom w:val="nil"/>
              <w:right w:val="nil"/>
            </w:tcBorders>
            <w:shd w:val="clear" w:color="000000" w:fill="FFFFFF"/>
            <w:noWrap/>
            <w:tcMar>
              <w:top w:w="15" w:type="dxa"/>
              <w:left w:w="15" w:type="dxa"/>
              <w:bottom w:w="0" w:type="dxa"/>
              <w:right w:w="15" w:type="dxa"/>
            </w:tcMar>
            <w:vAlign w:val="bottom"/>
            <w:hideMark/>
          </w:tcPr>
          <w:p w:rsidR="000A5251" w:rsidRPr="00C76102" w:rsidRDefault="000A5251" w:rsidP="009C0B70">
            <w:pPr>
              <w:spacing w:after="0"/>
              <w:jc w:val="center"/>
              <w:rPr>
                <w:rFonts w:cstheme="minorHAnsi"/>
                <w:lang w:val="en-GB"/>
              </w:rPr>
            </w:pPr>
            <w:r w:rsidRPr="00C76102">
              <w:rPr>
                <w:rFonts w:cstheme="minorHAnsi"/>
                <w:lang w:val="en-GB"/>
              </w:rPr>
              <w:t>€m</w:t>
            </w:r>
          </w:p>
        </w:tc>
        <w:tc>
          <w:tcPr>
            <w:tcW w:w="431" w:type="pct"/>
            <w:tcBorders>
              <w:top w:val="nil"/>
              <w:left w:val="nil"/>
              <w:bottom w:val="nil"/>
              <w:right w:val="nil"/>
            </w:tcBorders>
            <w:shd w:val="clear" w:color="000000" w:fill="FFFFFF"/>
            <w:noWrap/>
            <w:tcMar>
              <w:top w:w="15" w:type="dxa"/>
              <w:left w:w="15" w:type="dxa"/>
              <w:bottom w:w="0" w:type="dxa"/>
              <w:right w:w="15" w:type="dxa"/>
            </w:tcMar>
            <w:vAlign w:val="bottom"/>
            <w:hideMark/>
          </w:tcPr>
          <w:p w:rsidR="000A5251" w:rsidRPr="00C76102" w:rsidRDefault="000A5251" w:rsidP="009C0B70">
            <w:pPr>
              <w:spacing w:after="0"/>
              <w:jc w:val="right"/>
              <w:rPr>
                <w:rFonts w:cstheme="minorHAnsi"/>
                <w:lang w:val="en-GB"/>
              </w:rPr>
            </w:pPr>
            <w:r w:rsidRPr="00C76102">
              <w:rPr>
                <w:rFonts w:cstheme="minorHAnsi"/>
                <w:lang w:val="en-GB"/>
              </w:rPr>
              <w:t>4.59</w:t>
            </w:r>
          </w:p>
        </w:tc>
      </w:tr>
      <w:tr w:rsidR="000A5251" w:rsidRPr="00C76102" w:rsidTr="009C0B70">
        <w:trPr>
          <w:trHeight w:val="255"/>
        </w:trPr>
        <w:tc>
          <w:tcPr>
            <w:tcW w:w="4062" w:type="pct"/>
            <w:tcBorders>
              <w:top w:val="nil"/>
              <w:left w:val="nil"/>
              <w:bottom w:val="nil"/>
              <w:right w:val="nil"/>
            </w:tcBorders>
            <w:shd w:val="clear" w:color="000000" w:fill="FFFFFF"/>
            <w:noWrap/>
            <w:tcMar>
              <w:top w:w="15" w:type="dxa"/>
              <w:left w:w="15" w:type="dxa"/>
              <w:bottom w:w="0" w:type="dxa"/>
              <w:right w:w="15" w:type="dxa"/>
            </w:tcMar>
            <w:vAlign w:val="bottom"/>
            <w:hideMark/>
          </w:tcPr>
          <w:p w:rsidR="000A5251" w:rsidRPr="00C76102" w:rsidRDefault="000A5251" w:rsidP="009C0B70">
            <w:pPr>
              <w:spacing w:after="0"/>
              <w:rPr>
                <w:rFonts w:cstheme="minorHAnsi"/>
                <w:lang w:val="en-GB"/>
              </w:rPr>
            </w:pPr>
            <w:r w:rsidRPr="00C76102">
              <w:rPr>
                <w:rFonts w:cstheme="minorHAnsi"/>
                <w:lang w:val="en-GB"/>
              </w:rPr>
              <w:t xml:space="preserve">Depreciation- </w:t>
            </w:r>
            <w:proofErr w:type="spellStart"/>
            <w:r w:rsidRPr="00C76102">
              <w:rPr>
                <w:rFonts w:cstheme="minorHAnsi"/>
                <w:lang w:val="en-GB"/>
              </w:rPr>
              <w:t>DEPCt</w:t>
            </w:r>
            <w:proofErr w:type="spellEnd"/>
            <w:r w:rsidRPr="00C76102">
              <w:rPr>
                <w:rFonts w:cstheme="minorHAnsi"/>
                <w:lang w:val="en-GB"/>
              </w:rPr>
              <w:t xml:space="preserve"> = DEPCt-1 * (1 + CPIt-1) * (1 – Pt)</w:t>
            </w:r>
          </w:p>
        </w:tc>
        <w:tc>
          <w:tcPr>
            <w:tcW w:w="507" w:type="pct"/>
            <w:tcBorders>
              <w:top w:val="nil"/>
              <w:left w:val="nil"/>
              <w:bottom w:val="nil"/>
              <w:right w:val="nil"/>
            </w:tcBorders>
            <w:shd w:val="clear" w:color="000000" w:fill="FFFFFF"/>
            <w:noWrap/>
            <w:tcMar>
              <w:top w:w="15" w:type="dxa"/>
              <w:left w:w="15" w:type="dxa"/>
              <w:bottom w:w="0" w:type="dxa"/>
              <w:right w:w="15" w:type="dxa"/>
            </w:tcMar>
            <w:vAlign w:val="bottom"/>
            <w:hideMark/>
          </w:tcPr>
          <w:p w:rsidR="000A5251" w:rsidRPr="00C76102" w:rsidRDefault="000A5251" w:rsidP="009C0B70">
            <w:pPr>
              <w:spacing w:after="0"/>
              <w:jc w:val="center"/>
              <w:rPr>
                <w:rFonts w:cstheme="minorHAnsi"/>
                <w:lang w:val="en-GB"/>
              </w:rPr>
            </w:pPr>
            <w:r w:rsidRPr="00C76102">
              <w:rPr>
                <w:rFonts w:cstheme="minorHAnsi"/>
                <w:lang w:val="en-GB"/>
              </w:rPr>
              <w:t>€m</w:t>
            </w:r>
          </w:p>
        </w:tc>
        <w:tc>
          <w:tcPr>
            <w:tcW w:w="431" w:type="pct"/>
            <w:tcBorders>
              <w:top w:val="nil"/>
              <w:left w:val="nil"/>
              <w:bottom w:val="nil"/>
              <w:right w:val="nil"/>
            </w:tcBorders>
            <w:shd w:val="clear" w:color="000000" w:fill="FFFFFF"/>
            <w:noWrap/>
            <w:tcMar>
              <w:top w:w="15" w:type="dxa"/>
              <w:left w:w="15" w:type="dxa"/>
              <w:bottom w:w="0" w:type="dxa"/>
              <w:right w:w="15" w:type="dxa"/>
            </w:tcMar>
            <w:vAlign w:val="bottom"/>
            <w:hideMark/>
          </w:tcPr>
          <w:p w:rsidR="000A5251" w:rsidRPr="00C76102" w:rsidRDefault="000A5251" w:rsidP="009C0B70">
            <w:pPr>
              <w:spacing w:after="0"/>
              <w:jc w:val="right"/>
              <w:rPr>
                <w:rFonts w:cstheme="minorHAnsi"/>
                <w:lang w:val="en-GB"/>
              </w:rPr>
            </w:pPr>
            <w:r w:rsidRPr="00C76102">
              <w:rPr>
                <w:rFonts w:cstheme="minorHAnsi"/>
                <w:lang w:val="en-GB"/>
              </w:rPr>
              <w:t>0.1</w:t>
            </w:r>
          </w:p>
        </w:tc>
      </w:tr>
      <w:tr w:rsidR="000A5251" w:rsidRPr="00C76102" w:rsidTr="009C0B70">
        <w:trPr>
          <w:trHeight w:val="255"/>
        </w:trPr>
        <w:tc>
          <w:tcPr>
            <w:tcW w:w="4062" w:type="pct"/>
            <w:tcBorders>
              <w:top w:val="nil"/>
              <w:left w:val="nil"/>
              <w:bottom w:val="nil"/>
              <w:right w:val="nil"/>
            </w:tcBorders>
            <w:shd w:val="clear" w:color="000000" w:fill="DBE5F1"/>
            <w:noWrap/>
            <w:tcMar>
              <w:top w:w="15" w:type="dxa"/>
              <w:left w:w="15" w:type="dxa"/>
              <w:bottom w:w="0" w:type="dxa"/>
              <w:right w:w="15" w:type="dxa"/>
            </w:tcMar>
            <w:vAlign w:val="bottom"/>
            <w:hideMark/>
          </w:tcPr>
          <w:p w:rsidR="000A5251" w:rsidRPr="00C76102" w:rsidRDefault="000A5251" w:rsidP="009C0B70">
            <w:pPr>
              <w:spacing w:after="0"/>
              <w:rPr>
                <w:rFonts w:cstheme="minorHAnsi"/>
                <w:bCs/>
                <w:lang w:val="en-GB"/>
              </w:rPr>
            </w:pPr>
            <w:r w:rsidRPr="00C76102">
              <w:rPr>
                <w:rFonts w:cstheme="minorHAnsi"/>
                <w:bCs/>
                <w:lang w:val="en-GB"/>
              </w:rPr>
              <w:t>Pass-through Costs</w:t>
            </w:r>
          </w:p>
        </w:tc>
        <w:tc>
          <w:tcPr>
            <w:tcW w:w="507" w:type="pct"/>
            <w:tcBorders>
              <w:top w:val="nil"/>
              <w:left w:val="nil"/>
              <w:bottom w:val="nil"/>
              <w:right w:val="nil"/>
            </w:tcBorders>
            <w:shd w:val="clear" w:color="000000" w:fill="DBE5F1"/>
            <w:noWrap/>
            <w:tcMar>
              <w:top w:w="15" w:type="dxa"/>
              <w:left w:w="15" w:type="dxa"/>
              <w:bottom w:w="0" w:type="dxa"/>
              <w:right w:w="15" w:type="dxa"/>
            </w:tcMar>
            <w:vAlign w:val="bottom"/>
            <w:hideMark/>
          </w:tcPr>
          <w:p w:rsidR="000A5251" w:rsidRPr="00C76102" w:rsidRDefault="000A5251" w:rsidP="009C0B70">
            <w:pPr>
              <w:spacing w:after="0"/>
              <w:rPr>
                <w:rFonts w:cstheme="minorHAnsi"/>
                <w:lang w:val="en-GB"/>
              </w:rPr>
            </w:pPr>
            <w:r w:rsidRPr="00C76102">
              <w:rPr>
                <w:rFonts w:cstheme="minorHAnsi"/>
                <w:lang w:val="en-GB"/>
              </w:rPr>
              <w:t> </w:t>
            </w:r>
          </w:p>
        </w:tc>
        <w:tc>
          <w:tcPr>
            <w:tcW w:w="431" w:type="pct"/>
            <w:tcBorders>
              <w:top w:val="nil"/>
              <w:left w:val="nil"/>
              <w:bottom w:val="nil"/>
              <w:right w:val="nil"/>
            </w:tcBorders>
            <w:shd w:val="clear" w:color="000000" w:fill="DBE5F1"/>
            <w:noWrap/>
            <w:tcMar>
              <w:top w:w="15" w:type="dxa"/>
              <w:left w:w="15" w:type="dxa"/>
              <w:bottom w:w="0" w:type="dxa"/>
              <w:right w:w="15" w:type="dxa"/>
            </w:tcMar>
            <w:vAlign w:val="bottom"/>
            <w:hideMark/>
          </w:tcPr>
          <w:p w:rsidR="000A5251" w:rsidRPr="00C76102" w:rsidRDefault="000A5251" w:rsidP="009C0B70">
            <w:pPr>
              <w:spacing w:after="0"/>
              <w:rPr>
                <w:rFonts w:cstheme="minorHAnsi"/>
                <w:bCs/>
                <w:lang w:val="en-GB"/>
              </w:rPr>
            </w:pPr>
            <w:r w:rsidRPr="00C76102">
              <w:rPr>
                <w:rFonts w:cstheme="minorHAnsi"/>
                <w:bCs/>
                <w:lang w:val="en-GB"/>
              </w:rPr>
              <w:t> </w:t>
            </w:r>
          </w:p>
        </w:tc>
      </w:tr>
      <w:tr w:rsidR="000A5251" w:rsidRPr="00C76102" w:rsidTr="009C0B70">
        <w:trPr>
          <w:trHeight w:val="255"/>
        </w:trPr>
        <w:tc>
          <w:tcPr>
            <w:tcW w:w="4062" w:type="pct"/>
            <w:tcBorders>
              <w:top w:val="nil"/>
              <w:left w:val="nil"/>
              <w:bottom w:val="nil"/>
              <w:right w:val="nil"/>
            </w:tcBorders>
            <w:shd w:val="clear" w:color="000000" w:fill="FFFFFF"/>
            <w:noWrap/>
            <w:tcMar>
              <w:top w:w="15" w:type="dxa"/>
              <w:left w:w="15" w:type="dxa"/>
              <w:bottom w:w="0" w:type="dxa"/>
              <w:right w:w="15" w:type="dxa"/>
            </w:tcMar>
            <w:vAlign w:val="bottom"/>
            <w:hideMark/>
          </w:tcPr>
          <w:p w:rsidR="000A5251" w:rsidRPr="00C76102" w:rsidRDefault="000A5251" w:rsidP="009C0B70">
            <w:pPr>
              <w:spacing w:after="0"/>
              <w:rPr>
                <w:rFonts w:cstheme="minorHAnsi"/>
                <w:lang w:val="en-GB"/>
              </w:rPr>
            </w:pPr>
            <w:r w:rsidRPr="00C76102">
              <w:rPr>
                <w:rFonts w:cstheme="minorHAnsi"/>
                <w:lang w:val="en-GB"/>
              </w:rPr>
              <w:t>TSO Costs</w:t>
            </w:r>
          </w:p>
        </w:tc>
        <w:tc>
          <w:tcPr>
            <w:tcW w:w="507" w:type="pct"/>
            <w:tcBorders>
              <w:top w:val="nil"/>
              <w:left w:val="nil"/>
              <w:bottom w:val="nil"/>
              <w:right w:val="nil"/>
            </w:tcBorders>
            <w:shd w:val="clear" w:color="000000" w:fill="FFFFFF"/>
            <w:noWrap/>
            <w:tcMar>
              <w:top w:w="15" w:type="dxa"/>
              <w:left w:w="15" w:type="dxa"/>
              <w:bottom w:w="0" w:type="dxa"/>
              <w:right w:w="15" w:type="dxa"/>
            </w:tcMar>
            <w:vAlign w:val="bottom"/>
            <w:hideMark/>
          </w:tcPr>
          <w:p w:rsidR="000A5251" w:rsidRPr="00C76102" w:rsidRDefault="000A5251" w:rsidP="009C0B70">
            <w:pPr>
              <w:spacing w:after="0"/>
              <w:jc w:val="center"/>
              <w:rPr>
                <w:rFonts w:cstheme="minorHAnsi"/>
                <w:lang w:val="en-GB"/>
              </w:rPr>
            </w:pPr>
            <w:r w:rsidRPr="00C76102">
              <w:rPr>
                <w:rFonts w:cstheme="minorHAnsi"/>
                <w:lang w:val="en-GB"/>
              </w:rPr>
              <w:t>€m</w:t>
            </w:r>
          </w:p>
        </w:tc>
        <w:tc>
          <w:tcPr>
            <w:tcW w:w="431" w:type="pct"/>
            <w:tcBorders>
              <w:top w:val="nil"/>
              <w:left w:val="nil"/>
              <w:bottom w:val="nil"/>
              <w:right w:val="nil"/>
            </w:tcBorders>
            <w:shd w:val="clear" w:color="000000" w:fill="FFFFFF"/>
            <w:noWrap/>
            <w:tcMar>
              <w:top w:w="15" w:type="dxa"/>
              <w:left w:w="15" w:type="dxa"/>
              <w:bottom w:w="0" w:type="dxa"/>
              <w:right w:w="15" w:type="dxa"/>
            </w:tcMar>
            <w:vAlign w:val="bottom"/>
            <w:hideMark/>
          </w:tcPr>
          <w:p w:rsidR="000A5251" w:rsidRPr="00C76102" w:rsidRDefault="000A5251" w:rsidP="009C0B70">
            <w:pPr>
              <w:spacing w:after="0"/>
              <w:jc w:val="right"/>
              <w:rPr>
                <w:rFonts w:cstheme="minorHAnsi"/>
                <w:lang w:val="en-GB"/>
              </w:rPr>
            </w:pPr>
            <w:r w:rsidRPr="00C76102">
              <w:rPr>
                <w:rFonts w:cstheme="minorHAnsi"/>
                <w:lang w:val="en-GB"/>
              </w:rPr>
              <w:t>23.6</w:t>
            </w:r>
          </w:p>
        </w:tc>
      </w:tr>
      <w:tr w:rsidR="000A5251" w:rsidRPr="00C76102" w:rsidTr="009C0B70">
        <w:trPr>
          <w:trHeight w:val="255"/>
        </w:trPr>
        <w:tc>
          <w:tcPr>
            <w:tcW w:w="4062" w:type="pct"/>
            <w:tcBorders>
              <w:top w:val="nil"/>
              <w:left w:val="nil"/>
              <w:bottom w:val="nil"/>
              <w:right w:val="nil"/>
            </w:tcBorders>
            <w:shd w:val="clear" w:color="000000" w:fill="FFFFFF"/>
            <w:noWrap/>
            <w:tcMar>
              <w:top w:w="15" w:type="dxa"/>
              <w:left w:w="15" w:type="dxa"/>
              <w:bottom w:w="0" w:type="dxa"/>
              <w:right w:w="15" w:type="dxa"/>
            </w:tcMar>
            <w:vAlign w:val="bottom"/>
            <w:hideMark/>
          </w:tcPr>
          <w:p w:rsidR="000A5251" w:rsidRPr="00C76102" w:rsidRDefault="000A5251" w:rsidP="009C0B70">
            <w:pPr>
              <w:spacing w:after="0"/>
              <w:rPr>
                <w:rFonts w:cstheme="minorHAnsi"/>
                <w:lang w:val="en-GB"/>
              </w:rPr>
            </w:pPr>
            <w:r w:rsidRPr="00C76102">
              <w:rPr>
                <w:rFonts w:cstheme="minorHAnsi"/>
                <w:lang w:val="en-GB"/>
              </w:rPr>
              <w:t>DSO Costs*</w:t>
            </w:r>
          </w:p>
        </w:tc>
        <w:tc>
          <w:tcPr>
            <w:tcW w:w="507" w:type="pct"/>
            <w:tcBorders>
              <w:top w:val="nil"/>
              <w:left w:val="nil"/>
              <w:bottom w:val="nil"/>
              <w:right w:val="nil"/>
            </w:tcBorders>
            <w:shd w:val="clear" w:color="000000" w:fill="FFFFFF"/>
            <w:noWrap/>
            <w:tcMar>
              <w:top w:w="15" w:type="dxa"/>
              <w:left w:w="15" w:type="dxa"/>
              <w:bottom w:w="0" w:type="dxa"/>
              <w:right w:w="15" w:type="dxa"/>
            </w:tcMar>
            <w:vAlign w:val="bottom"/>
            <w:hideMark/>
          </w:tcPr>
          <w:p w:rsidR="000A5251" w:rsidRPr="00C76102" w:rsidRDefault="000A5251" w:rsidP="009C0B70">
            <w:pPr>
              <w:spacing w:after="0"/>
              <w:jc w:val="center"/>
              <w:rPr>
                <w:rFonts w:cstheme="minorHAnsi"/>
                <w:lang w:val="en-GB"/>
              </w:rPr>
            </w:pPr>
            <w:r w:rsidRPr="00C76102">
              <w:rPr>
                <w:rFonts w:cstheme="minorHAnsi"/>
                <w:lang w:val="en-GB"/>
              </w:rPr>
              <w:t>€m</w:t>
            </w:r>
          </w:p>
        </w:tc>
        <w:tc>
          <w:tcPr>
            <w:tcW w:w="431" w:type="pct"/>
            <w:tcBorders>
              <w:top w:val="nil"/>
              <w:left w:val="nil"/>
              <w:bottom w:val="nil"/>
              <w:right w:val="nil"/>
            </w:tcBorders>
            <w:shd w:val="clear" w:color="000000" w:fill="FFFFFF"/>
            <w:noWrap/>
            <w:tcMar>
              <w:top w:w="15" w:type="dxa"/>
              <w:left w:w="15" w:type="dxa"/>
              <w:bottom w:w="0" w:type="dxa"/>
              <w:right w:w="15" w:type="dxa"/>
            </w:tcMar>
            <w:vAlign w:val="bottom"/>
            <w:hideMark/>
          </w:tcPr>
          <w:p w:rsidR="000A5251" w:rsidRPr="00C76102" w:rsidRDefault="000A5251" w:rsidP="009C0B70">
            <w:pPr>
              <w:spacing w:after="0"/>
              <w:jc w:val="right"/>
              <w:rPr>
                <w:rFonts w:cstheme="minorHAnsi"/>
                <w:lang w:val="en-GB"/>
              </w:rPr>
            </w:pPr>
            <w:r w:rsidRPr="00C76102">
              <w:rPr>
                <w:rFonts w:cstheme="minorHAnsi"/>
                <w:lang w:val="en-GB"/>
              </w:rPr>
              <w:t>100.5</w:t>
            </w:r>
          </w:p>
        </w:tc>
      </w:tr>
      <w:tr w:rsidR="000A5251" w:rsidRPr="00C76102" w:rsidTr="009C0B70">
        <w:trPr>
          <w:trHeight w:val="255"/>
        </w:trPr>
        <w:tc>
          <w:tcPr>
            <w:tcW w:w="4062" w:type="pct"/>
            <w:tcBorders>
              <w:top w:val="nil"/>
              <w:left w:val="nil"/>
              <w:bottom w:val="nil"/>
              <w:right w:val="nil"/>
            </w:tcBorders>
            <w:shd w:val="clear" w:color="000000" w:fill="FFFFFF"/>
            <w:noWrap/>
            <w:tcMar>
              <w:top w:w="15" w:type="dxa"/>
              <w:left w:w="15" w:type="dxa"/>
              <w:bottom w:w="0" w:type="dxa"/>
              <w:right w:w="15" w:type="dxa"/>
            </w:tcMar>
            <w:vAlign w:val="bottom"/>
            <w:hideMark/>
          </w:tcPr>
          <w:p w:rsidR="000A5251" w:rsidRPr="00C76102" w:rsidRDefault="000A5251" w:rsidP="009C0B70">
            <w:pPr>
              <w:spacing w:after="0"/>
              <w:rPr>
                <w:rFonts w:cstheme="minorHAnsi"/>
                <w:lang w:val="en-GB"/>
              </w:rPr>
            </w:pPr>
            <w:r w:rsidRPr="00C76102">
              <w:rPr>
                <w:rFonts w:cstheme="minorHAnsi"/>
                <w:lang w:val="en-GB"/>
              </w:rPr>
              <w:t>RES Fund**</w:t>
            </w:r>
          </w:p>
        </w:tc>
        <w:tc>
          <w:tcPr>
            <w:tcW w:w="507" w:type="pct"/>
            <w:tcBorders>
              <w:top w:val="nil"/>
              <w:left w:val="nil"/>
              <w:bottom w:val="nil"/>
              <w:right w:val="nil"/>
            </w:tcBorders>
            <w:shd w:val="clear" w:color="000000" w:fill="FFFFFF"/>
            <w:noWrap/>
            <w:tcMar>
              <w:top w:w="15" w:type="dxa"/>
              <w:left w:w="15" w:type="dxa"/>
              <w:bottom w:w="0" w:type="dxa"/>
              <w:right w:w="15" w:type="dxa"/>
            </w:tcMar>
            <w:vAlign w:val="bottom"/>
            <w:hideMark/>
          </w:tcPr>
          <w:p w:rsidR="000A5251" w:rsidRPr="00C76102" w:rsidRDefault="000A5251" w:rsidP="009C0B70">
            <w:pPr>
              <w:spacing w:after="0"/>
              <w:jc w:val="center"/>
              <w:rPr>
                <w:rFonts w:cstheme="minorHAnsi"/>
                <w:lang w:val="en-GB"/>
              </w:rPr>
            </w:pPr>
            <w:r w:rsidRPr="00C76102">
              <w:rPr>
                <w:rFonts w:cstheme="minorHAnsi"/>
                <w:lang w:val="en-GB"/>
              </w:rPr>
              <w:t>€m</w:t>
            </w:r>
          </w:p>
        </w:tc>
        <w:tc>
          <w:tcPr>
            <w:tcW w:w="431" w:type="pct"/>
            <w:tcBorders>
              <w:top w:val="nil"/>
              <w:left w:val="nil"/>
              <w:bottom w:val="nil"/>
              <w:right w:val="nil"/>
            </w:tcBorders>
            <w:shd w:val="clear" w:color="000000" w:fill="FFFFFF"/>
            <w:noWrap/>
            <w:tcMar>
              <w:top w:w="15" w:type="dxa"/>
              <w:left w:w="15" w:type="dxa"/>
              <w:bottom w:w="0" w:type="dxa"/>
              <w:right w:w="15" w:type="dxa"/>
            </w:tcMar>
            <w:vAlign w:val="bottom"/>
            <w:hideMark/>
          </w:tcPr>
          <w:p w:rsidR="000A5251" w:rsidRPr="00C76102" w:rsidRDefault="000A5251" w:rsidP="009C0B70">
            <w:pPr>
              <w:spacing w:after="0"/>
              <w:jc w:val="right"/>
              <w:rPr>
                <w:rFonts w:cstheme="minorHAnsi"/>
                <w:lang w:val="en-GB"/>
              </w:rPr>
            </w:pPr>
            <w:r w:rsidRPr="00C76102">
              <w:rPr>
                <w:rFonts w:cstheme="minorHAnsi"/>
                <w:lang w:val="en-GB"/>
              </w:rPr>
              <w:t>15.0</w:t>
            </w:r>
          </w:p>
        </w:tc>
      </w:tr>
      <w:tr w:rsidR="000A5251" w:rsidRPr="00C76102" w:rsidTr="009C0B70">
        <w:trPr>
          <w:trHeight w:val="255"/>
        </w:trPr>
        <w:tc>
          <w:tcPr>
            <w:tcW w:w="4062" w:type="pct"/>
            <w:tcBorders>
              <w:top w:val="nil"/>
              <w:left w:val="nil"/>
              <w:bottom w:val="nil"/>
              <w:right w:val="nil"/>
            </w:tcBorders>
            <w:shd w:val="clear" w:color="000000" w:fill="DBE5F1"/>
            <w:noWrap/>
            <w:tcMar>
              <w:top w:w="15" w:type="dxa"/>
              <w:left w:w="15" w:type="dxa"/>
              <w:bottom w:w="0" w:type="dxa"/>
              <w:right w:w="15" w:type="dxa"/>
            </w:tcMar>
            <w:vAlign w:val="bottom"/>
            <w:hideMark/>
          </w:tcPr>
          <w:p w:rsidR="000A5251" w:rsidRPr="00C76102" w:rsidRDefault="000A5251" w:rsidP="009C0B70">
            <w:pPr>
              <w:spacing w:after="0"/>
              <w:rPr>
                <w:rFonts w:cstheme="minorHAnsi"/>
                <w:bCs/>
                <w:lang w:val="en-GB"/>
              </w:rPr>
            </w:pPr>
            <w:r w:rsidRPr="00C76102">
              <w:rPr>
                <w:rFonts w:cstheme="minorHAnsi"/>
                <w:bCs/>
                <w:lang w:val="en-GB"/>
              </w:rPr>
              <w:t>Working Capital (</w:t>
            </w:r>
            <w:proofErr w:type="spellStart"/>
            <w:r w:rsidRPr="00C76102">
              <w:rPr>
                <w:rFonts w:cstheme="minorHAnsi"/>
                <w:bCs/>
                <w:lang w:val="en-GB"/>
              </w:rPr>
              <w:t>WCLCt</w:t>
            </w:r>
            <w:proofErr w:type="spellEnd"/>
            <w:r w:rsidRPr="00C76102">
              <w:rPr>
                <w:rFonts w:cstheme="minorHAnsi"/>
                <w:bCs/>
                <w:lang w:val="en-GB"/>
              </w:rPr>
              <w:t>)</w:t>
            </w:r>
          </w:p>
        </w:tc>
        <w:tc>
          <w:tcPr>
            <w:tcW w:w="507" w:type="pct"/>
            <w:tcBorders>
              <w:top w:val="nil"/>
              <w:left w:val="nil"/>
              <w:bottom w:val="nil"/>
              <w:right w:val="nil"/>
            </w:tcBorders>
            <w:shd w:val="clear" w:color="000000" w:fill="DBE5F1"/>
            <w:noWrap/>
            <w:tcMar>
              <w:top w:w="15" w:type="dxa"/>
              <w:left w:w="15" w:type="dxa"/>
              <w:bottom w:w="0" w:type="dxa"/>
              <w:right w:w="15" w:type="dxa"/>
            </w:tcMar>
            <w:vAlign w:val="bottom"/>
            <w:hideMark/>
          </w:tcPr>
          <w:p w:rsidR="000A5251" w:rsidRPr="00C76102" w:rsidRDefault="000A5251" w:rsidP="009C0B70">
            <w:pPr>
              <w:spacing w:after="0"/>
              <w:rPr>
                <w:rFonts w:cstheme="minorHAnsi"/>
                <w:lang w:val="en-GB"/>
              </w:rPr>
            </w:pPr>
            <w:r w:rsidRPr="00C76102">
              <w:rPr>
                <w:rFonts w:cstheme="minorHAnsi"/>
                <w:lang w:val="en-GB"/>
              </w:rPr>
              <w:t> </w:t>
            </w:r>
          </w:p>
        </w:tc>
        <w:tc>
          <w:tcPr>
            <w:tcW w:w="431" w:type="pct"/>
            <w:tcBorders>
              <w:top w:val="nil"/>
              <w:left w:val="nil"/>
              <w:bottom w:val="nil"/>
              <w:right w:val="nil"/>
            </w:tcBorders>
            <w:shd w:val="clear" w:color="000000" w:fill="DBE5F1"/>
            <w:noWrap/>
            <w:tcMar>
              <w:top w:w="15" w:type="dxa"/>
              <w:left w:w="15" w:type="dxa"/>
              <w:bottom w:w="0" w:type="dxa"/>
              <w:right w:w="15" w:type="dxa"/>
            </w:tcMar>
            <w:vAlign w:val="bottom"/>
            <w:hideMark/>
          </w:tcPr>
          <w:p w:rsidR="000A5251" w:rsidRPr="00C76102" w:rsidRDefault="000A5251" w:rsidP="009C0B70">
            <w:pPr>
              <w:spacing w:after="0"/>
              <w:rPr>
                <w:rFonts w:cstheme="minorHAnsi"/>
                <w:bCs/>
                <w:lang w:val="en-GB"/>
              </w:rPr>
            </w:pPr>
            <w:r w:rsidRPr="00C76102">
              <w:rPr>
                <w:rFonts w:cstheme="minorHAnsi"/>
                <w:bCs/>
                <w:lang w:val="en-GB"/>
              </w:rPr>
              <w:t> </w:t>
            </w:r>
          </w:p>
        </w:tc>
      </w:tr>
      <w:tr w:rsidR="000A5251" w:rsidRPr="00C76102" w:rsidTr="009C0B70">
        <w:trPr>
          <w:trHeight w:val="255"/>
        </w:trPr>
        <w:tc>
          <w:tcPr>
            <w:tcW w:w="4062" w:type="pct"/>
            <w:tcBorders>
              <w:top w:val="nil"/>
              <w:left w:val="nil"/>
              <w:bottom w:val="nil"/>
              <w:right w:val="nil"/>
            </w:tcBorders>
            <w:shd w:val="clear" w:color="auto" w:fill="auto"/>
            <w:noWrap/>
            <w:tcMar>
              <w:top w:w="15" w:type="dxa"/>
              <w:left w:w="15" w:type="dxa"/>
              <w:bottom w:w="0" w:type="dxa"/>
              <w:right w:w="15" w:type="dxa"/>
            </w:tcMar>
            <w:vAlign w:val="bottom"/>
            <w:hideMark/>
          </w:tcPr>
          <w:p w:rsidR="000A5251" w:rsidRPr="00C76102" w:rsidRDefault="000A5251" w:rsidP="009C0B70">
            <w:pPr>
              <w:spacing w:after="0"/>
              <w:rPr>
                <w:rFonts w:cstheme="minorHAnsi"/>
                <w:color w:val="000000"/>
                <w:lang w:val="en-GB"/>
              </w:rPr>
            </w:pPr>
            <w:r w:rsidRPr="00C76102">
              <w:rPr>
                <w:rFonts w:cstheme="minorHAnsi"/>
                <w:color w:val="000000"/>
                <w:lang w:val="en-GB"/>
              </w:rPr>
              <w:t>WCLC= (1 / 12) * It * (</w:t>
            </w:r>
            <w:proofErr w:type="spellStart"/>
            <w:r w:rsidRPr="00C76102">
              <w:rPr>
                <w:rFonts w:cstheme="minorHAnsi"/>
                <w:color w:val="000000"/>
                <w:lang w:val="en-GB"/>
              </w:rPr>
              <w:t>RETRt</w:t>
            </w:r>
            <w:proofErr w:type="spellEnd"/>
            <w:r w:rsidRPr="00C76102">
              <w:rPr>
                <w:rFonts w:cstheme="minorHAnsi"/>
                <w:color w:val="000000"/>
                <w:lang w:val="en-GB"/>
              </w:rPr>
              <w:t xml:space="preserve"> + </w:t>
            </w:r>
            <w:proofErr w:type="spellStart"/>
            <w:r w:rsidRPr="00C76102">
              <w:rPr>
                <w:rFonts w:cstheme="minorHAnsi"/>
                <w:color w:val="000000"/>
                <w:lang w:val="en-GB"/>
              </w:rPr>
              <w:t>WHPCt</w:t>
            </w:r>
            <w:proofErr w:type="spellEnd"/>
            <w:r w:rsidRPr="00C76102">
              <w:rPr>
                <w:rFonts w:cstheme="minorHAnsi"/>
                <w:color w:val="000000"/>
                <w:lang w:val="en-GB"/>
              </w:rPr>
              <w:t xml:space="preserve"> + </w:t>
            </w:r>
            <w:proofErr w:type="spellStart"/>
            <w:r w:rsidRPr="00C76102">
              <w:rPr>
                <w:rFonts w:cstheme="minorHAnsi"/>
                <w:color w:val="000000"/>
                <w:lang w:val="en-GB"/>
              </w:rPr>
              <w:t>PSTCt</w:t>
            </w:r>
            <w:proofErr w:type="spellEnd"/>
            <w:r w:rsidRPr="00C76102">
              <w:rPr>
                <w:rFonts w:cstheme="minorHAnsi"/>
                <w:color w:val="000000"/>
                <w:lang w:val="en-GB"/>
              </w:rPr>
              <w:t xml:space="preserve"> - </w:t>
            </w:r>
            <w:proofErr w:type="spellStart"/>
            <w:r w:rsidRPr="00C76102">
              <w:rPr>
                <w:rFonts w:cstheme="minorHAnsi"/>
                <w:color w:val="000000"/>
                <w:lang w:val="en-GB"/>
              </w:rPr>
              <w:t>NTFRt</w:t>
            </w:r>
            <w:proofErr w:type="spellEnd"/>
            <w:r w:rsidRPr="00C76102">
              <w:rPr>
                <w:rFonts w:cstheme="minorHAnsi"/>
                <w:color w:val="000000"/>
                <w:lang w:val="en-GB"/>
              </w:rPr>
              <w:t>)</w:t>
            </w:r>
          </w:p>
        </w:tc>
        <w:tc>
          <w:tcPr>
            <w:tcW w:w="507" w:type="pct"/>
            <w:tcBorders>
              <w:top w:val="nil"/>
              <w:left w:val="nil"/>
              <w:bottom w:val="nil"/>
              <w:right w:val="nil"/>
            </w:tcBorders>
            <w:shd w:val="clear" w:color="000000" w:fill="FFFFFF"/>
            <w:noWrap/>
            <w:tcMar>
              <w:top w:w="15" w:type="dxa"/>
              <w:left w:w="15" w:type="dxa"/>
              <w:bottom w:w="0" w:type="dxa"/>
              <w:right w:w="15" w:type="dxa"/>
            </w:tcMar>
            <w:vAlign w:val="bottom"/>
            <w:hideMark/>
          </w:tcPr>
          <w:p w:rsidR="000A5251" w:rsidRPr="00C76102" w:rsidRDefault="000A5251" w:rsidP="009C0B70">
            <w:pPr>
              <w:spacing w:after="0"/>
              <w:jc w:val="center"/>
              <w:rPr>
                <w:rFonts w:cstheme="minorHAnsi"/>
                <w:lang w:val="en-GB"/>
              </w:rPr>
            </w:pPr>
            <w:r w:rsidRPr="00C76102">
              <w:rPr>
                <w:rFonts w:cstheme="minorHAnsi"/>
                <w:lang w:val="en-GB"/>
              </w:rPr>
              <w:t>€m</w:t>
            </w:r>
          </w:p>
        </w:tc>
        <w:tc>
          <w:tcPr>
            <w:tcW w:w="431" w:type="pct"/>
            <w:tcBorders>
              <w:top w:val="nil"/>
              <w:left w:val="nil"/>
              <w:bottom w:val="nil"/>
              <w:right w:val="nil"/>
            </w:tcBorders>
            <w:shd w:val="clear" w:color="000000" w:fill="FFFFFF"/>
            <w:noWrap/>
            <w:tcMar>
              <w:top w:w="15" w:type="dxa"/>
              <w:left w:w="15" w:type="dxa"/>
              <w:bottom w:w="0" w:type="dxa"/>
              <w:right w:w="15" w:type="dxa"/>
            </w:tcMar>
            <w:vAlign w:val="bottom"/>
            <w:hideMark/>
          </w:tcPr>
          <w:p w:rsidR="000A5251" w:rsidRPr="00C76102" w:rsidRDefault="000A5251" w:rsidP="009C0B70">
            <w:pPr>
              <w:spacing w:after="0"/>
              <w:jc w:val="right"/>
              <w:rPr>
                <w:rFonts w:cstheme="minorHAnsi"/>
                <w:lang w:val="en-GB"/>
              </w:rPr>
            </w:pPr>
            <w:r w:rsidRPr="00C76102">
              <w:rPr>
                <w:rFonts w:cstheme="minorHAnsi"/>
                <w:lang w:val="en-GB"/>
              </w:rPr>
              <w:t>1.6</w:t>
            </w:r>
          </w:p>
        </w:tc>
      </w:tr>
      <w:tr w:rsidR="000A5251" w:rsidRPr="00C76102" w:rsidTr="009C0B70">
        <w:trPr>
          <w:trHeight w:val="255"/>
        </w:trPr>
        <w:tc>
          <w:tcPr>
            <w:tcW w:w="4062" w:type="pct"/>
            <w:tcBorders>
              <w:top w:val="nil"/>
              <w:left w:val="nil"/>
              <w:bottom w:val="nil"/>
              <w:right w:val="nil"/>
            </w:tcBorders>
            <w:shd w:val="clear" w:color="000000" w:fill="DBE5F1"/>
            <w:noWrap/>
            <w:tcMar>
              <w:top w:w="15" w:type="dxa"/>
              <w:left w:w="15" w:type="dxa"/>
              <w:bottom w:w="0" w:type="dxa"/>
              <w:right w:w="15" w:type="dxa"/>
            </w:tcMar>
            <w:vAlign w:val="bottom"/>
            <w:hideMark/>
          </w:tcPr>
          <w:p w:rsidR="000A5251" w:rsidRPr="00C76102" w:rsidRDefault="000A5251" w:rsidP="009C0B70">
            <w:pPr>
              <w:spacing w:after="0"/>
              <w:rPr>
                <w:rFonts w:cstheme="minorHAnsi"/>
                <w:bCs/>
                <w:lang w:val="en-GB"/>
              </w:rPr>
            </w:pPr>
            <w:r w:rsidRPr="00C76102">
              <w:rPr>
                <w:rFonts w:cstheme="minorHAnsi"/>
                <w:bCs/>
                <w:lang w:val="en-GB"/>
              </w:rPr>
              <w:t>Energy Purchase Costs</w:t>
            </w:r>
          </w:p>
        </w:tc>
        <w:tc>
          <w:tcPr>
            <w:tcW w:w="507" w:type="pct"/>
            <w:tcBorders>
              <w:top w:val="nil"/>
              <w:left w:val="nil"/>
              <w:bottom w:val="nil"/>
              <w:right w:val="nil"/>
            </w:tcBorders>
            <w:shd w:val="clear" w:color="000000" w:fill="DBE5F1"/>
            <w:noWrap/>
            <w:tcMar>
              <w:top w:w="15" w:type="dxa"/>
              <w:left w:w="15" w:type="dxa"/>
              <w:bottom w:w="0" w:type="dxa"/>
              <w:right w:w="15" w:type="dxa"/>
            </w:tcMar>
            <w:vAlign w:val="bottom"/>
            <w:hideMark/>
          </w:tcPr>
          <w:p w:rsidR="000A5251" w:rsidRPr="00C76102" w:rsidRDefault="000A5251" w:rsidP="009C0B70">
            <w:pPr>
              <w:spacing w:after="0"/>
              <w:rPr>
                <w:rFonts w:cstheme="minorHAnsi"/>
                <w:lang w:val="en-GB"/>
              </w:rPr>
            </w:pPr>
            <w:r w:rsidRPr="00C76102">
              <w:rPr>
                <w:rFonts w:cstheme="minorHAnsi"/>
                <w:lang w:val="en-GB"/>
              </w:rPr>
              <w:t> </w:t>
            </w:r>
          </w:p>
        </w:tc>
        <w:tc>
          <w:tcPr>
            <w:tcW w:w="431" w:type="pct"/>
            <w:tcBorders>
              <w:top w:val="nil"/>
              <w:left w:val="nil"/>
              <w:bottom w:val="nil"/>
              <w:right w:val="nil"/>
            </w:tcBorders>
            <w:shd w:val="clear" w:color="000000" w:fill="DBE5F1"/>
            <w:noWrap/>
            <w:tcMar>
              <w:top w:w="15" w:type="dxa"/>
              <w:left w:w="15" w:type="dxa"/>
              <w:bottom w:w="0" w:type="dxa"/>
              <w:right w:w="15" w:type="dxa"/>
            </w:tcMar>
            <w:vAlign w:val="bottom"/>
            <w:hideMark/>
          </w:tcPr>
          <w:p w:rsidR="000A5251" w:rsidRPr="00C76102" w:rsidRDefault="000A5251" w:rsidP="009C0B70">
            <w:pPr>
              <w:spacing w:after="0"/>
              <w:rPr>
                <w:rFonts w:cstheme="minorHAnsi"/>
                <w:bCs/>
                <w:lang w:val="en-GB"/>
              </w:rPr>
            </w:pPr>
            <w:r w:rsidRPr="00C76102">
              <w:rPr>
                <w:rFonts w:cstheme="minorHAnsi"/>
                <w:bCs/>
                <w:lang w:val="en-GB"/>
              </w:rPr>
              <w:t> </w:t>
            </w:r>
          </w:p>
        </w:tc>
      </w:tr>
      <w:tr w:rsidR="000A5251" w:rsidRPr="00C76102" w:rsidTr="009C0B70">
        <w:trPr>
          <w:trHeight w:val="255"/>
        </w:trPr>
        <w:tc>
          <w:tcPr>
            <w:tcW w:w="4062" w:type="pct"/>
            <w:tcBorders>
              <w:top w:val="nil"/>
              <w:left w:val="nil"/>
              <w:bottom w:val="nil"/>
              <w:right w:val="nil"/>
            </w:tcBorders>
            <w:shd w:val="clear" w:color="000000" w:fill="FFFFFF"/>
            <w:noWrap/>
            <w:tcMar>
              <w:top w:w="15" w:type="dxa"/>
              <w:left w:w="15" w:type="dxa"/>
              <w:bottom w:w="0" w:type="dxa"/>
              <w:right w:w="15" w:type="dxa"/>
            </w:tcMar>
            <w:vAlign w:val="bottom"/>
            <w:hideMark/>
          </w:tcPr>
          <w:p w:rsidR="000A5251" w:rsidRPr="00C76102" w:rsidRDefault="000A5251" w:rsidP="009C0B70">
            <w:pPr>
              <w:spacing w:after="0"/>
              <w:rPr>
                <w:rFonts w:cstheme="minorHAnsi"/>
                <w:lang w:val="en-GB"/>
              </w:rPr>
            </w:pPr>
            <w:r w:rsidRPr="00C76102">
              <w:rPr>
                <w:rFonts w:cstheme="minorHAnsi"/>
                <w:lang w:val="en-GB"/>
              </w:rPr>
              <w:t>Wholesale Energy Purchase Costs</w:t>
            </w:r>
          </w:p>
        </w:tc>
        <w:tc>
          <w:tcPr>
            <w:tcW w:w="507" w:type="pct"/>
            <w:tcBorders>
              <w:top w:val="nil"/>
              <w:left w:val="nil"/>
              <w:bottom w:val="nil"/>
              <w:right w:val="nil"/>
            </w:tcBorders>
            <w:shd w:val="clear" w:color="000000" w:fill="FFFFFF"/>
            <w:noWrap/>
            <w:tcMar>
              <w:top w:w="15" w:type="dxa"/>
              <w:left w:w="15" w:type="dxa"/>
              <w:bottom w:w="0" w:type="dxa"/>
              <w:right w:w="15" w:type="dxa"/>
            </w:tcMar>
            <w:vAlign w:val="bottom"/>
            <w:hideMark/>
          </w:tcPr>
          <w:p w:rsidR="000A5251" w:rsidRPr="00C76102" w:rsidRDefault="000A5251" w:rsidP="009C0B70">
            <w:pPr>
              <w:spacing w:after="0"/>
              <w:jc w:val="center"/>
              <w:rPr>
                <w:rFonts w:cstheme="minorHAnsi"/>
                <w:lang w:val="en-GB"/>
              </w:rPr>
            </w:pPr>
            <w:r w:rsidRPr="00C76102">
              <w:rPr>
                <w:rFonts w:cstheme="minorHAnsi"/>
                <w:lang w:val="en-GB"/>
              </w:rPr>
              <w:t>€m</w:t>
            </w:r>
          </w:p>
        </w:tc>
        <w:tc>
          <w:tcPr>
            <w:tcW w:w="431" w:type="pct"/>
            <w:tcBorders>
              <w:top w:val="nil"/>
              <w:left w:val="nil"/>
              <w:bottom w:val="nil"/>
              <w:right w:val="nil"/>
            </w:tcBorders>
            <w:shd w:val="clear" w:color="auto" w:fill="auto"/>
            <w:noWrap/>
            <w:tcMar>
              <w:top w:w="15" w:type="dxa"/>
              <w:left w:w="15" w:type="dxa"/>
              <w:bottom w:w="0" w:type="dxa"/>
              <w:right w:w="15" w:type="dxa"/>
            </w:tcMar>
            <w:vAlign w:val="bottom"/>
            <w:hideMark/>
          </w:tcPr>
          <w:p w:rsidR="000A5251" w:rsidRPr="00C76102" w:rsidRDefault="000A5251" w:rsidP="009C0B70">
            <w:pPr>
              <w:spacing w:after="0"/>
              <w:jc w:val="right"/>
              <w:rPr>
                <w:rFonts w:cstheme="minorHAnsi"/>
                <w:lang w:val="en-GB"/>
              </w:rPr>
            </w:pPr>
            <w:r w:rsidRPr="00C76102">
              <w:rPr>
                <w:rFonts w:cstheme="minorHAnsi"/>
                <w:lang w:val="en-GB"/>
              </w:rPr>
              <w:t>130.3</w:t>
            </w:r>
          </w:p>
        </w:tc>
      </w:tr>
      <w:tr w:rsidR="000A5251" w:rsidRPr="00C76102" w:rsidTr="009C0B70">
        <w:trPr>
          <w:trHeight w:val="255"/>
        </w:trPr>
        <w:tc>
          <w:tcPr>
            <w:tcW w:w="4062" w:type="pct"/>
            <w:tcBorders>
              <w:top w:val="nil"/>
              <w:left w:val="nil"/>
              <w:bottom w:val="nil"/>
              <w:right w:val="nil"/>
            </w:tcBorders>
            <w:shd w:val="clear" w:color="000000" w:fill="DBE5F1"/>
            <w:noWrap/>
            <w:tcMar>
              <w:top w:w="15" w:type="dxa"/>
              <w:left w:w="15" w:type="dxa"/>
              <w:bottom w:w="0" w:type="dxa"/>
              <w:right w:w="15" w:type="dxa"/>
            </w:tcMar>
            <w:vAlign w:val="bottom"/>
            <w:hideMark/>
          </w:tcPr>
          <w:p w:rsidR="000A5251" w:rsidRPr="00C76102" w:rsidRDefault="000A5251" w:rsidP="009C0B70">
            <w:pPr>
              <w:spacing w:after="0"/>
              <w:rPr>
                <w:rFonts w:cstheme="minorHAnsi"/>
                <w:bCs/>
                <w:lang w:val="en-GB"/>
              </w:rPr>
            </w:pPr>
            <w:r w:rsidRPr="00C76102">
              <w:rPr>
                <w:rFonts w:cstheme="minorHAnsi"/>
                <w:bCs/>
                <w:lang w:val="en-GB"/>
              </w:rPr>
              <w:t>License Tax</w:t>
            </w:r>
          </w:p>
        </w:tc>
        <w:tc>
          <w:tcPr>
            <w:tcW w:w="507" w:type="pct"/>
            <w:tcBorders>
              <w:top w:val="nil"/>
              <w:left w:val="nil"/>
              <w:bottom w:val="nil"/>
              <w:right w:val="nil"/>
            </w:tcBorders>
            <w:shd w:val="clear" w:color="000000" w:fill="DBE5F1"/>
            <w:noWrap/>
            <w:tcMar>
              <w:top w:w="15" w:type="dxa"/>
              <w:left w:w="15" w:type="dxa"/>
              <w:bottom w:w="0" w:type="dxa"/>
              <w:right w:w="15" w:type="dxa"/>
            </w:tcMar>
            <w:vAlign w:val="bottom"/>
            <w:hideMark/>
          </w:tcPr>
          <w:p w:rsidR="000A5251" w:rsidRPr="00C76102" w:rsidRDefault="000A5251" w:rsidP="009C0B70">
            <w:pPr>
              <w:spacing w:after="0"/>
              <w:rPr>
                <w:rFonts w:cstheme="minorHAnsi"/>
                <w:lang w:val="en-GB"/>
              </w:rPr>
            </w:pPr>
            <w:r w:rsidRPr="00C76102">
              <w:rPr>
                <w:rFonts w:cstheme="minorHAnsi"/>
                <w:lang w:val="en-GB"/>
              </w:rPr>
              <w:t> </w:t>
            </w:r>
          </w:p>
        </w:tc>
        <w:tc>
          <w:tcPr>
            <w:tcW w:w="431" w:type="pct"/>
            <w:tcBorders>
              <w:top w:val="nil"/>
              <w:left w:val="nil"/>
              <w:bottom w:val="nil"/>
              <w:right w:val="nil"/>
            </w:tcBorders>
            <w:shd w:val="clear" w:color="000000" w:fill="DBE5F1"/>
            <w:noWrap/>
            <w:tcMar>
              <w:top w:w="15" w:type="dxa"/>
              <w:left w:w="15" w:type="dxa"/>
              <w:bottom w:w="0" w:type="dxa"/>
              <w:right w:w="15" w:type="dxa"/>
            </w:tcMar>
            <w:vAlign w:val="bottom"/>
            <w:hideMark/>
          </w:tcPr>
          <w:p w:rsidR="000A5251" w:rsidRPr="00C76102" w:rsidRDefault="000A5251" w:rsidP="009C0B70">
            <w:pPr>
              <w:spacing w:after="0"/>
              <w:rPr>
                <w:rFonts w:cstheme="minorHAnsi"/>
                <w:bCs/>
                <w:lang w:val="en-GB"/>
              </w:rPr>
            </w:pPr>
            <w:r w:rsidRPr="00C76102">
              <w:rPr>
                <w:rFonts w:cstheme="minorHAnsi"/>
                <w:bCs/>
                <w:lang w:val="en-GB"/>
              </w:rPr>
              <w:t> </w:t>
            </w:r>
          </w:p>
        </w:tc>
      </w:tr>
      <w:tr w:rsidR="000A5251" w:rsidRPr="00C76102" w:rsidTr="009C0B70">
        <w:trPr>
          <w:trHeight w:val="255"/>
        </w:trPr>
        <w:tc>
          <w:tcPr>
            <w:tcW w:w="4062" w:type="pct"/>
            <w:tcBorders>
              <w:top w:val="nil"/>
              <w:left w:val="nil"/>
              <w:bottom w:val="nil"/>
              <w:right w:val="nil"/>
            </w:tcBorders>
            <w:shd w:val="clear" w:color="000000" w:fill="FFFFFF"/>
            <w:noWrap/>
            <w:tcMar>
              <w:top w:w="15" w:type="dxa"/>
              <w:left w:w="15" w:type="dxa"/>
              <w:bottom w:w="0" w:type="dxa"/>
              <w:right w:w="15" w:type="dxa"/>
            </w:tcMar>
            <w:vAlign w:val="bottom"/>
            <w:hideMark/>
          </w:tcPr>
          <w:p w:rsidR="000A5251" w:rsidRPr="00C76102" w:rsidRDefault="000A5251" w:rsidP="009C0B70">
            <w:pPr>
              <w:spacing w:after="0"/>
              <w:rPr>
                <w:rFonts w:cstheme="minorHAnsi"/>
                <w:color w:val="000000"/>
                <w:lang w:val="en-GB"/>
              </w:rPr>
            </w:pPr>
            <w:r w:rsidRPr="00C76102">
              <w:rPr>
                <w:rFonts w:cstheme="minorHAnsi"/>
                <w:color w:val="000000"/>
                <w:lang w:val="en-GB"/>
              </w:rPr>
              <w:t>License Tax</w:t>
            </w:r>
          </w:p>
        </w:tc>
        <w:tc>
          <w:tcPr>
            <w:tcW w:w="507" w:type="pct"/>
            <w:tcBorders>
              <w:top w:val="nil"/>
              <w:left w:val="nil"/>
              <w:bottom w:val="nil"/>
              <w:right w:val="nil"/>
            </w:tcBorders>
            <w:shd w:val="clear" w:color="000000" w:fill="FFFFFF"/>
            <w:noWrap/>
            <w:tcMar>
              <w:top w:w="15" w:type="dxa"/>
              <w:left w:w="15" w:type="dxa"/>
              <w:bottom w:w="0" w:type="dxa"/>
              <w:right w:w="15" w:type="dxa"/>
            </w:tcMar>
            <w:vAlign w:val="bottom"/>
            <w:hideMark/>
          </w:tcPr>
          <w:p w:rsidR="000A5251" w:rsidRPr="00C76102" w:rsidRDefault="000A5251" w:rsidP="009C0B70">
            <w:pPr>
              <w:spacing w:after="0"/>
              <w:jc w:val="center"/>
              <w:rPr>
                <w:rFonts w:cstheme="minorHAnsi"/>
                <w:lang w:val="en-GB"/>
              </w:rPr>
            </w:pPr>
            <w:r w:rsidRPr="00C76102">
              <w:rPr>
                <w:rFonts w:cstheme="minorHAnsi"/>
                <w:lang w:val="en-GB"/>
              </w:rPr>
              <w:t>€m</w:t>
            </w:r>
          </w:p>
        </w:tc>
        <w:tc>
          <w:tcPr>
            <w:tcW w:w="431" w:type="pct"/>
            <w:tcBorders>
              <w:top w:val="nil"/>
              <w:left w:val="nil"/>
              <w:bottom w:val="nil"/>
              <w:right w:val="nil"/>
            </w:tcBorders>
            <w:shd w:val="clear" w:color="000000" w:fill="FFFFFF"/>
            <w:noWrap/>
            <w:tcMar>
              <w:top w:w="15" w:type="dxa"/>
              <w:left w:w="15" w:type="dxa"/>
              <w:bottom w:w="0" w:type="dxa"/>
              <w:right w:w="15" w:type="dxa"/>
            </w:tcMar>
            <w:vAlign w:val="bottom"/>
            <w:hideMark/>
          </w:tcPr>
          <w:p w:rsidR="000A5251" w:rsidRPr="00C76102" w:rsidRDefault="000A5251" w:rsidP="009C0B70">
            <w:pPr>
              <w:spacing w:after="0"/>
              <w:jc w:val="right"/>
              <w:rPr>
                <w:rFonts w:cstheme="minorHAnsi"/>
                <w:lang w:val="en-GB"/>
              </w:rPr>
            </w:pPr>
            <w:r w:rsidRPr="00C76102">
              <w:rPr>
                <w:rFonts w:cstheme="minorHAnsi"/>
                <w:lang w:val="en-GB"/>
              </w:rPr>
              <w:t>0.01</w:t>
            </w:r>
          </w:p>
        </w:tc>
      </w:tr>
      <w:tr w:rsidR="000A5251" w:rsidRPr="00C76102" w:rsidTr="009C0B70">
        <w:trPr>
          <w:trHeight w:val="255"/>
        </w:trPr>
        <w:tc>
          <w:tcPr>
            <w:tcW w:w="4062" w:type="pct"/>
            <w:tcBorders>
              <w:top w:val="nil"/>
              <w:left w:val="nil"/>
              <w:bottom w:val="nil"/>
              <w:right w:val="nil"/>
            </w:tcBorders>
            <w:shd w:val="clear" w:color="000000" w:fill="DBE5F1"/>
            <w:noWrap/>
            <w:tcMar>
              <w:top w:w="15" w:type="dxa"/>
              <w:left w:w="15" w:type="dxa"/>
              <w:bottom w:w="0" w:type="dxa"/>
              <w:right w:w="15" w:type="dxa"/>
            </w:tcMar>
            <w:vAlign w:val="bottom"/>
            <w:hideMark/>
          </w:tcPr>
          <w:p w:rsidR="000A5251" w:rsidRPr="00C76102" w:rsidRDefault="000A5251" w:rsidP="009C0B70">
            <w:pPr>
              <w:spacing w:after="0"/>
              <w:rPr>
                <w:rFonts w:cstheme="minorHAnsi"/>
                <w:bCs/>
                <w:lang w:val="en-GB"/>
              </w:rPr>
            </w:pPr>
            <w:r w:rsidRPr="00C76102">
              <w:rPr>
                <w:rFonts w:cstheme="minorHAnsi"/>
                <w:bCs/>
                <w:lang w:val="en-GB"/>
              </w:rPr>
              <w:t>Bad Debt (BDTA)</w:t>
            </w:r>
          </w:p>
        </w:tc>
        <w:tc>
          <w:tcPr>
            <w:tcW w:w="507" w:type="pct"/>
            <w:tcBorders>
              <w:top w:val="nil"/>
              <w:left w:val="nil"/>
              <w:bottom w:val="nil"/>
              <w:right w:val="nil"/>
            </w:tcBorders>
            <w:shd w:val="clear" w:color="000000" w:fill="DBE5F1"/>
            <w:noWrap/>
            <w:tcMar>
              <w:top w:w="15" w:type="dxa"/>
              <w:left w:w="15" w:type="dxa"/>
              <w:bottom w:w="0" w:type="dxa"/>
              <w:right w:w="15" w:type="dxa"/>
            </w:tcMar>
            <w:vAlign w:val="bottom"/>
            <w:hideMark/>
          </w:tcPr>
          <w:p w:rsidR="000A5251" w:rsidRPr="00C76102" w:rsidRDefault="000A5251" w:rsidP="009C0B70">
            <w:pPr>
              <w:spacing w:after="0"/>
              <w:rPr>
                <w:rFonts w:cstheme="minorHAnsi"/>
                <w:lang w:val="en-GB"/>
              </w:rPr>
            </w:pPr>
            <w:r w:rsidRPr="00C76102">
              <w:rPr>
                <w:rFonts w:cstheme="minorHAnsi"/>
                <w:lang w:val="en-GB"/>
              </w:rPr>
              <w:t> </w:t>
            </w:r>
          </w:p>
        </w:tc>
        <w:tc>
          <w:tcPr>
            <w:tcW w:w="431" w:type="pct"/>
            <w:tcBorders>
              <w:top w:val="nil"/>
              <w:left w:val="nil"/>
              <w:bottom w:val="nil"/>
              <w:right w:val="nil"/>
            </w:tcBorders>
            <w:shd w:val="clear" w:color="000000" w:fill="DBE5F1"/>
            <w:noWrap/>
            <w:tcMar>
              <w:top w:w="15" w:type="dxa"/>
              <w:left w:w="15" w:type="dxa"/>
              <w:bottom w:w="0" w:type="dxa"/>
              <w:right w:w="15" w:type="dxa"/>
            </w:tcMar>
            <w:vAlign w:val="bottom"/>
            <w:hideMark/>
          </w:tcPr>
          <w:p w:rsidR="000A5251" w:rsidRPr="00C76102" w:rsidRDefault="000A5251" w:rsidP="009C0B70">
            <w:pPr>
              <w:spacing w:after="0"/>
              <w:rPr>
                <w:rFonts w:cstheme="minorHAnsi"/>
                <w:bCs/>
                <w:lang w:val="en-GB"/>
              </w:rPr>
            </w:pPr>
            <w:r w:rsidRPr="00C76102">
              <w:rPr>
                <w:rFonts w:cstheme="minorHAnsi"/>
                <w:bCs/>
                <w:lang w:val="en-GB"/>
              </w:rPr>
              <w:t> </w:t>
            </w:r>
          </w:p>
        </w:tc>
      </w:tr>
      <w:tr w:rsidR="000A5251" w:rsidRPr="00C76102" w:rsidTr="009C0B70">
        <w:trPr>
          <w:trHeight w:val="255"/>
        </w:trPr>
        <w:tc>
          <w:tcPr>
            <w:tcW w:w="4062" w:type="pct"/>
            <w:tcBorders>
              <w:top w:val="nil"/>
              <w:left w:val="nil"/>
              <w:bottom w:val="nil"/>
              <w:right w:val="nil"/>
            </w:tcBorders>
            <w:shd w:val="clear" w:color="auto" w:fill="auto"/>
            <w:noWrap/>
            <w:tcMar>
              <w:top w:w="15" w:type="dxa"/>
              <w:left w:w="15" w:type="dxa"/>
              <w:bottom w:w="0" w:type="dxa"/>
              <w:right w:w="15" w:type="dxa"/>
            </w:tcMar>
            <w:vAlign w:val="bottom"/>
            <w:hideMark/>
          </w:tcPr>
          <w:p w:rsidR="000A5251" w:rsidRPr="00C76102" w:rsidRDefault="000A5251" w:rsidP="009C0B70">
            <w:pPr>
              <w:spacing w:after="0"/>
              <w:rPr>
                <w:rFonts w:cstheme="minorHAnsi"/>
                <w:color w:val="000000"/>
                <w:lang w:val="en-GB"/>
              </w:rPr>
            </w:pPr>
            <w:r w:rsidRPr="00C76102">
              <w:rPr>
                <w:rFonts w:cstheme="minorHAnsi"/>
                <w:color w:val="000000"/>
                <w:lang w:val="en-GB"/>
              </w:rPr>
              <w:t>BDTA</w:t>
            </w:r>
          </w:p>
        </w:tc>
        <w:tc>
          <w:tcPr>
            <w:tcW w:w="507" w:type="pct"/>
            <w:tcBorders>
              <w:top w:val="nil"/>
              <w:left w:val="nil"/>
              <w:bottom w:val="nil"/>
              <w:right w:val="nil"/>
            </w:tcBorders>
            <w:shd w:val="clear" w:color="000000" w:fill="FFFFFF"/>
            <w:noWrap/>
            <w:tcMar>
              <w:top w:w="15" w:type="dxa"/>
              <w:left w:w="15" w:type="dxa"/>
              <w:bottom w:w="0" w:type="dxa"/>
              <w:right w:w="15" w:type="dxa"/>
            </w:tcMar>
            <w:vAlign w:val="bottom"/>
            <w:hideMark/>
          </w:tcPr>
          <w:p w:rsidR="000A5251" w:rsidRPr="00C76102" w:rsidRDefault="000A5251" w:rsidP="009C0B70">
            <w:pPr>
              <w:spacing w:after="0"/>
              <w:jc w:val="center"/>
              <w:rPr>
                <w:rFonts w:cstheme="minorHAnsi"/>
                <w:lang w:val="en-GB"/>
              </w:rPr>
            </w:pPr>
            <w:r w:rsidRPr="00C76102">
              <w:rPr>
                <w:rFonts w:cstheme="minorHAnsi"/>
                <w:lang w:val="en-GB"/>
              </w:rPr>
              <w:t>%</w:t>
            </w:r>
          </w:p>
        </w:tc>
        <w:tc>
          <w:tcPr>
            <w:tcW w:w="431" w:type="pct"/>
            <w:tcBorders>
              <w:top w:val="nil"/>
              <w:left w:val="nil"/>
              <w:bottom w:val="nil"/>
              <w:right w:val="nil"/>
            </w:tcBorders>
            <w:shd w:val="clear" w:color="000000" w:fill="FFFFFF"/>
            <w:noWrap/>
            <w:tcMar>
              <w:top w:w="15" w:type="dxa"/>
              <w:left w:w="15" w:type="dxa"/>
              <w:bottom w:w="0" w:type="dxa"/>
              <w:right w:w="15" w:type="dxa"/>
            </w:tcMar>
            <w:vAlign w:val="bottom"/>
            <w:hideMark/>
          </w:tcPr>
          <w:p w:rsidR="000A5251" w:rsidRPr="00C76102" w:rsidRDefault="000A5251" w:rsidP="009C0B70">
            <w:pPr>
              <w:spacing w:after="0"/>
              <w:jc w:val="right"/>
              <w:rPr>
                <w:rFonts w:cstheme="minorHAnsi"/>
                <w:lang w:val="en-GB"/>
              </w:rPr>
            </w:pPr>
            <w:r w:rsidRPr="00C76102">
              <w:rPr>
                <w:rFonts w:cstheme="minorHAnsi"/>
                <w:lang w:val="en-GB"/>
              </w:rPr>
              <w:t>4%</w:t>
            </w:r>
          </w:p>
        </w:tc>
      </w:tr>
      <w:tr w:rsidR="000A5251" w:rsidRPr="00C76102" w:rsidTr="009C0B70">
        <w:trPr>
          <w:trHeight w:val="255"/>
        </w:trPr>
        <w:tc>
          <w:tcPr>
            <w:tcW w:w="4062" w:type="pct"/>
            <w:tcBorders>
              <w:top w:val="nil"/>
              <w:left w:val="nil"/>
              <w:bottom w:val="nil"/>
              <w:right w:val="nil"/>
            </w:tcBorders>
            <w:shd w:val="clear" w:color="000000" w:fill="FFFFFF"/>
            <w:noWrap/>
            <w:tcMar>
              <w:top w:w="15" w:type="dxa"/>
              <w:left w:w="15" w:type="dxa"/>
              <w:bottom w:w="0" w:type="dxa"/>
              <w:right w:w="15" w:type="dxa"/>
            </w:tcMar>
            <w:vAlign w:val="bottom"/>
            <w:hideMark/>
          </w:tcPr>
          <w:p w:rsidR="000A5251" w:rsidRPr="00C76102" w:rsidRDefault="000A5251" w:rsidP="009C0B70">
            <w:pPr>
              <w:spacing w:after="0"/>
              <w:rPr>
                <w:rFonts w:cstheme="minorHAnsi"/>
                <w:color w:val="000000"/>
                <w:lang w:val="en-GB"/>
              </w:rPr>
            </w:pPr>
            <w:r w:rsidRPr="00C76102">
              <w:rPr>
                <w:rFonts w:cstheme="minorHAnsi"/>
                <w:color w:val="000000"/>
                <w:lang w:val="en-GB"/>
              </w:rPr>
              <w:t>BDTA</w:t>
            </w:r>
          </w:p>
        </w:tc>
        <w:tc>
          <w:tcPr>
            <w:tcW w:w="507" w:type="pct"/>
            <w:tcBorders>
              <w:top w:val="nil"/>
              <w:left w:val="nil"/>
              <w:bottom w:val="nil"/>
              <w:right w:val="nil"/>
            </w:tcBorders>
            <w:shd w:val="clear" w:color="000000" w:fill="FFFFFF"/>
            <w:noWrap/>
            <w:tcMar>
              <w:top w:w="15" w:type="dxa"/>
              <w:left w:w="15" w:type="dxa"/>
              <w:bottom w:w="0" w:type="dxa"/>
              <w:right w:w="15" w:type="dxa"/>
            </w:tcMar>
            <w:vAlign w:val="bottom"/>
            <w:hideMark/>
          </w:tcPr>
          <w:p w:rsidR="000A5251" w:rsidRPr="00C76102" w:rsidRDefault="000A5251" w:rsidP="009C0B70">
            <w:pPr>
              <w:spacing w:after="0"/>
              <w:jc w:val="center"/>
              <w:rPr>
                <w:rFonts w:cstheme="minorHAnsi"/>
                <w:lang w:val="en-GB"/>
              </w:rPr>
            </w:pPr>
            <w:r w:rsidRPr="00C76102">
              <w:rPr>
                <w:rFonts w:cstheme="minorHAnsi"/>
                <w:lang w:val="en-GB"/>
              </w:rPr>
              <w:t>€m</w:t>
            </w:r>
          </w:p>
        </w:tc>
        <w:tc>
          <w:tcPr>
            <w:tcW w:w="431" w:type="pct"/>
            <w:tcBorders>
              <w:top w:val="nil"/>
              <w:left w:val="nil"/>
              <w:bottom w:val="nil"/>
              <w:right w:val="nil"/>
            </w:tcBorders>
            <w:shd w:val="clear" w:color="000000" w:fill="FFFFFF"/>
            <w:noWrap/>
            <w:tcMar>
              <w:top w:w="15" w:type="dxa"/>
              <w:left w:w="15" w:type="dxa"/>
              <w:bottom w:w="0" w:type="dxa"/>
              <w:right w:w="15" w:type="dxa"/>
            </w:tcMar>
            <w:vAlign w:val="bottom"/>
            <w:hideMark/>
          </w:tcPr>
          <w:p w:rsidR="000A5251" w:rsidRPr="00C76102" w:rsidRDefault="000A5251" w:rsidP="009C0B70">
            <w:pPr>
              <w:spacing w:after="0"/>
              <w:jc w:val="right"/>
              <w:rPr>
                <w:rFonts w:cstheme="minorHAnsi"/>
                <w:lang w:val="en-GB"/>
              </w:rPr>
            </w:pPr>
            <w:r w:rsidRPr="00C76102">
              <w:rPr>
                <w:rFonts w:cstheme="minorHAnsi"/>
                <w:lang w:val="en-GB"/>
              </w:rPr>
              <w:t>11.0</w:t>
            </w:r>
          </w:p>
        </w:tc>
      </w:tr>
      <w:tr w:rsidR="000A5251" w:rsidRPr="00C76102" w:rsidTr="009C0B70">
        <w:trPr>
          <w:trHeight w:val="255"/>
        </w:trPr>
        <w:tc>
          <w:tcPr>
            <w:tcW w:w="4062" w:type="pct"/>
            <w:tcBorders>
              <w:top w:val="nil"/>
              <w:left w:val="nil"/>
              <w:bottom w:val="nil"/>
              <w:right w:val="nil"/>
            </w:tcBorders>
            <w:shd w:val="clear" w:color="000000" w:fill="DBE5F1"/>
            <w:noWrap/>
            <w:tcMar>
              <w:top w:w="15" w:type="dxa"/>
              <w:left w:w="15" w:type="dxa"/>
              <w:bottom w:w="0" w:type="dxa"/>
              <w:right w:w="15" w:type="dxa"/>
            </w:tcMar>
            <w:vAlign w:val="bottom"/>
            <w:hideMark/>
          </w:tcPr>
          <w:p w:rsidR="000A5251" w:rsidRPr="00C76102" w:rsidRDefault="000A5251" w:rsidP="009C0B70">
            <w:pPr>
              <w:spacing w:after="0"/>
              <w:rPr>
                <w:rFonts w:cstheme="minorHAnsi"/>
                <w:bCs/>
                <w:lang w:val="en-GB"/>
              </w:rPr>
            </w:pPr>
            <w:r w:rsidRPr="00C76102">
              <w:rPr>
                <w:rFonts w:cstheme="minorHAnsi"/>
                <w:bCs/>
                <w:lang w:val="en-GB"/>
              </w:rPr>
              <w:t>Adjustments</w:t>
            </w:r>
          </w:p>
        </w:tc>
        <w:tc>
          <w:tcPr>
            <w:tcW w:w="507" w:type="pct"/>
            <w:tcBorders>
              <w:top w:val="nil"/>
              <w:left w:val="nil"/>
              <w:bottom w:val="nil"/>
              <w:right w:val="nil"/>
            </w:tcBorders>
            <w:shd w:val="clear" w:color="000000" w:fill="DBE5F1"/>
            <w:noWrap/>
            <w:tcMar>
              <w:top w:w="15" w:type="dxa"/>
              <w:left w:w="15" w:type="dxa"/>
              <w:bottom w:w="0" w:type="dxa"/>
              <w:right w:w="15" w:type="dxa"/>
            </w:tcMar>
            <w:vAlign w:val="bottom"/>
            <w:hideMark/>
          </w:tcPr>
          <w:p w:rsidR="000A5251" w:rsidRPr="00C76102" w:rsidRDefault="000A5251" w:rsidP="009C0B70">
            <w:pPr>
              <w:spacing w:after="0"/>
              <w:rPr>
                <w:rFonts w:cstheme="minorHAnsi"/>
                <w:lang w:val="en-GB"/>
              </w:rPr>
            </w:pPr>
          </w:p>
        </w:tc>
        <w:tc>
          <w:tcPr>
            <w:tcW w:w="431" w:type="pct"/>
            <w:tcBorders>
              <w:top w:val="nil"/>
              <w:left w:val="nil"/>
              <w:bottom w:val="nil"/>
              <w:right w:val="nil"/>
            </w:tcBorders>
            <w:shd w:val="clear" w:color="000000" w:fill="DBE5F1"/>
            <w:noWrap/>
            <w:tcMar>
              <w:top w:w="15" w:type="dxa"/>
              <w:left w:w="15" w:type="dxa"/>
              <w:bottom w:w="0" w:type="dxa"/>
              <w:right w:w="15" w:type="dxa"/>
            </w:tcMar>
            <w:vAlign w:val="bottom"/>
            <w:hideMark/>
          </w:tcPr>
          <w:p w:rsidR="000A5251" w:rsidRPr="00C76102" w:rsidRDefault="000A5251" w:rsidP="009C0B70">
            <w:pPr>
              <w:spacing w:after="0"/>
              <w:rPr>
                <w:rFonts w:cstheme="minorHAnsi"/>
                <w:bCs/>
                <w:lang w:val="en-GB"/>
              </w:rPr>
            </w:pPr>
          </w:p>
        </w:tc>
      </w:tr>
      <w:tr w:rsidR="000A5251" w:rsidRPr="00C76102" w:rsidTr="009C0B70">
        <w:trPr>
          <w:trHeight w:val="255"/>
        </w:trPr>
        <w:tc>
          <w:tcPr>
            <w:tcW w:w="4062" w:type="pct"/>
            <w:tcBorders>
              <w:top w:val="nil"/>
              <w:left w:val="nil"/>
              <w:bottom w:val="nil"/>
              <w:right w:val="nil"/>
            </w:tcBorders>
            <w:shd w:val="clear" w:color="auto" w:fill="FFFFFF" w:themeFill="background1"/>
            <w:noWrap/>
            <w:tcMar>
              <w:top w:w="15" w:type="dxa"/>
              <w:left w:w="15" w:type="dxa"/>
              <w:bottom w:w="0" w:type="dxa"/>
              <w:right w:w="15" w:type="dxa"/>
            </w:tcMar>
            <w:vAlign w:val="bottom"/>
            <w:hideMark/>
          </w:tcPr>
          <w:p w:rsidR="000A5251" w:rsidRPr="00C76102" w:rsidRDefault="000A5251" w:rsidP="009C0B70">
            <w:pPr>
              <w:spacing w:after="0"/>
              <w:rPr>
                <w:rFonts w:cstheme="minorHAnsi"/>
                <w:bCs/>
                <w:lang w:val="en-GB"/>
              </w:rPr>
            </w:pPr>
            <w:r w:rsidRPr="00C76102">
              <w:rPr>
                <w:rFonts w:cstheme="minorHAnsi"/>
                <w:bCs/>
                <w:lang w:val="en-GB"/>
              </w:rPr>
              <w:t>Adjustments 2019</w:t>
            </w:r>
          </w:p>
        </w:tc>
        <w:tc>
          <w:tcPr>
            <w:tcW w:w="507" w:type="pct"/>
            <w:tcBorders>
              <w:top w:val="nil"/>
              <w:left w:val="nil"/>
              <w:bottom w:val="nil"/>
              <w:right w:val="nil"/>
            </w:tcBorders>
            <w:shd w:val="clear" w:color="auto" w:fill="FFFFFF" w:themeFill="background1"/>
            <w:noWrap/>
            <w:tcMar>
              <w:top w:w="15" w:type="dxa"/>
              <w:left w:w="15" w:type="dxa"/>
              <w:bottom w:w="0" w:type="dxa"/>
              <w:right w:w="15" w:type="dxa"/>
            </w:tcMar>
            <w:vAlign w:val="bottom"/>
            <w:hideMark/>
          </w:tcPr>
          <w:p w:rsidR="000A5251" w:rsidRPr="00C76102" w:rsidRDefault="000A5251" w:rsidP="009C0B70">
            <w:pPr>
              <w:spacing w:after="0"/>
              <w:jc w:val="center"/>
              <w:rPr>
                <w:rFonts w:cstheme="minorHAnsi"/>
                <w:lang w:val="en-GB"/>
              </w:rPr>
            </w:pPr>
            <w:r w:rsidRPr="00C76102">
              <w:rPr>
                <w:rFonts w:cstheme="minorHAnsi"/>
                <w:lang w:val="en-GB"/>
              </w:rPr>
              <w:t>€m</w:t>
            </w:r>
          </w:p>
        </w:tc>
        <w:tc>
          <w:tcPr>
            <w:tcW w:w="431" w:type="pct"/>
            <w:tcBorders>
              <w:top w:val="nil"/>
              <w:left w:val="nil"/>
              <w:bottom w:val="nil"/>
              <w:right w:val="nil"/>
            </w:tcBorders>
            <w:shd w:val="clear" w:color="auto" w:fill="FFFFFF" w:themeFill="background1"/>
            <w:noWrap/>
            <w:tcMar>
              <w:top w:w="15" w:type="dxa"/>
              <w:left w:w="15" w:type="dxa"/>
              <w:bottom w:w="0" w:type="dxa"/>
              <w:right w:w="15" w:type="dxa"/>
            </w:tcMar>
            <w:vAlign w:val="bottom"/>
            <w:hideMark/>
          </w:tcPr>
          <w:p w:rsidR="000A5251" w:rsidRPr="00C76102" w:rsidRDefault="000A5251" w:rsidP="009C0B70">
            <w:pPr>
              <w:spacing w:after="0"/>
              <w:jc w:val="right"/>
              <w:rPr>
                <w:rFonts w:cstheme="minorHAnsi"/>
                <w:bCs/>
                <w:lang w:val="en-GB"/>
              </w:rPr>
            </w:pPr>
            <w:r w:rsidRPr="00C76102">
              <w:rPr>
                <w:rFonts w:cstheme="minorHAnsi"/>
                <w:bCs/>
                <w:lang w:val="en-GB"/>
              </w:rPr>
              <w:t>-12.2</w:t>
            </w:r>
          </w:p>
        </w:tc>
      </w:tr>
      <w:tr w:rsidR="000A5251" w:rsidRPr="00C76102" w:rsidTr="009C0B70">
        <w:trPr>
          <w:trHeight w:val="255"/>
        </w:trPr>
        <w:tc>
          <w:tcPr>
            <w:tcW w:w="4062" w:type="pct"/>
            <w:tcBorders>
              <w:top w:val="nil"/>
              <w:left w:val="nil"/>
              <w:bottom w:val="nil"/>
              <w:right w:val="nil"/>
            </w:tcBorders>
            <w:shd w:val="clear" w:color="000000" w:fill="DBE5F1"/>
            <w:noWrap/>
            <w:tcMar>
              <w:top w:w="15" w:type="dxa"/>
              <w:left w:w="15" w:type="dxa"/>
              <w:bottom w:w="0" w:type="dxa"/>
              <w:right w:w="15" w:type="dxa"/>
            </w:tcMar>
            <w:vAlign w:val="bottom"/>
            <w:hideMark/>
          </w:tcPr>
          <w:p w:rsidR="000A5251" w:rsidRPr="00C76102" w:rsidRDefault="000A5251" w:rsidP="009C0B70">
            <w:pPr>
              <w:spacing w:after="0"/>
              <w:rPr>
                <w:rFonts w:cstheme="minorHAnsi"/>
                <w:bCs/>
                <w:lang w:val="en-GB"/>
              </w:rPr>
            </w:pPr>
            <w:r w:rsidRPr="00C76102">
              <w:rPr>
                <w:rFonts w:cstheme="minorHAnsi"/>
                <w:bCs/>
                <w:lang w:val="en-GB"/>
              </w:rPr>
              <w:t xml:space="preserve">Adjustments of USS Revenues </w:t>
            </w:r>
          </w:p>
        </w:tc>
        <w:tc>
          <w:tcPr>
            <w:tcW w:w="507" w:type="pct"/>
            <w:tcBorders>
              <w:top w:val="nil"/>
              <w:left w:val="nil"/>
              <w:bottom w:val="nil"/>
              <w:right w:val="nil"/>
            </w:tcBorders>
            <w:shd w:val="clear" w:color="000000" w:fill="DBE5F1"/>
            <w:noWrap/>
            <w:tcMar>
              <w:top w:w="15" w:type="dxa"/>
              <w:left w:w="15" w:type="dxa"/>
              <w:bottom w:w="0" w:type="dxa"/>
              <w:right w:w="15" w:type="dxa"/>
            </w:tcMar>
            <w:vAlign w:val="bottom"/>
            <w:hideMark/>
          </w:tcPr>
          <w:p w:rsidR="000A5251" w:rsidRPr="00C76102" w:rsidRDefault="000A5251" w:rsidP="009C0B70">
            <w:pPr>
              <w:spacing w:after="0"/>
              <w:rPr>
                <w:rFonts w:cstheme="minorHAnsi"/>
                <w:lang w:val="en-GB"/>
              </w:rPr>
            </w:pPr>
            <w:r w:rsidRPr="00C76102">
              <w:rPr>
                <w:rFonts w:cstheme="minorHAnsi"/>
                <w:lang w:val="en-GB"/>
              </w:rPr>
              <w:t> </w:t>
            </w:r>
          </w:p>
        </w:tc>
        <w:tc>
          <w:tcPr>
            <w:tcW w:w="431" w:type="pct"/>
            <w:tcBorders>
              <w:top w:val="nil"/>
              <w:left w:val="nil"/>
              <w:bottom w:val="nil"/>
              <w:right w:val="nil"/>
            </w:tcBorders>
            <w:shd w:val="clear" w:color="000000" w:fill="DBE5F1"/>
            <w:noWrap/>
            <w:tcMar>
              <w:top w:w="15" w:type="dxa"/>
              <w:left w:w="15" w:type="dxa"/>
              <w:bottom w:w="0" w:type="dxa"/>
              <w:right w:w="15" w:type="dxa"/>
            </w:tcMar>
            <w:vAlign w:val="bottom"/>
            <w:hideMark/>
          </w:tcPr>
          <w:p w:rsidR="000A5251" w:rsidRPr="00C76102" w:rsidRDefault="000A5251" w:rsidP="009C0B70">
            <w:pPr>
              <w:spacing w:after="0"/>
              <w:rPr>
                <w:rFonts w:cstheme="minorHAnsi"/>
                <w:bCs/>
                <w:lang w:val="en-GB"/>
              </w:rPr>
            </w:pPr>
            <w:r w:rsidRPr="00C76102">
              <w:rPr>
                <w:rFonts w:cstheme="minorHAnsi"/>
                <w:bCs/>
                <w:lang w:val="en-GB"/>
              </w:rPr>
              <w:t> </w:t>
            </w:r>
          </w:p>
        </w:tc>
      </w:tr>
      <w:tr w:rsidR="000A5251" w:rsidRPr="00C76102" w:rsidTr="009C0B70">
        <w:trPr>
          <w:trHeight w:val="300"/>
        </w:trPr>
        <w:tc>
          <w:tcPr>
            <w:tcW w:w="4062" w:type="pct"/>
            <w:tcBorders>
              <w:top w:val="nil"/>
              <w:left w:val="nil"/>
              <w:bottom w:val="nil"/>
              <w:right w:val="nil"/>
            </w:tcBorders>
            <w:shd w:val="clear" w:color="auto" w:fill="auto"/>
            <w:noWrap/>
            <w:tcMar>
              <w:top w:w="15" w:type="dxa"/>
              <w:left w:w="15" w:type="dxa"/>
              <w:bottom w:w="0" w:type="dxa"/>
              <w:right w:w="15" w:type="dxa"/>
            </w:tcMar>
            <w:vAlign w:val="bottom"/>
            <w:hideMark/>
          </w:tcPr>
          <w:p w:rsidR="000A5251" w:rsidRPr="00C76102" w:rsidRDefault="000A5251" w:rsidP="009C0B70">
            <w:pPr>
              <w:spacing w:after="0"/>
              <w:rPr>
                <w:rFonts w:cstheme="minorHAnsi"/>
                <w:color w:val="000000"/>
                <w:lang w:val="en-GB"/>
              </w:rPr>
            </w:pPr>
            <w:r w:rsidRPr="00C76102">
              <w:rPr>
                <w:rFonts w:cstheme="minorHAnsi"/>
                <w:color w:val="000000"/>
                <w:lang w:val="en-GB"/>
              </w:rPr>
              <w:t>MAR of the Supplier AAC</w:t>
            </w:r>
            <w:r w:rsidRPr="00C76102">
              <w:rPr>
                <w:rFonts w:cstheme="minorHAnsi"/>
                <w:color w:val="000000"/>
                <w:vertAlign w:val="subscript"/>
                <w:lang w:val="en-GB"/>
              </w:rPr>
              <w:t xml:space="preserve">at-1 </w:t>
            </w:r>
          </w:p>
        </w:tc>
        <w:tc>
          <w:tcPr>
            <w:tcW w:w="507" w:type="pct"/>
            <w:tcBorders>
              <w:top w:val="nil"/>
              <w:left w:val="nil"/>
              <w:bottom w:val="nil"/>
              <w:right w:val="nil"/>
            </w:tcBorders>
            <w:shd w:val="clear" w:color="000000" w:fill="FFFFFF"/>
            <w:noWrap/>
            <w:tcMar>
              <w:top w:w="15" w:type="dxa"/>
              <w:left w:w="15" w:type="dxa"/>
              <w:bottom w:w="0" w:type="dxa"/>
              <w:right w:w="15" w:type="dxa"/>
            </w:tcMar>
            <w:vAlign w:val="bottom"/>
            <w:hideMark/>
          </w:tcPr>
          <w:p w:rsidR="000A5251" w:rsidRPr="00C76102" w:rsidRDefault="000A5251" w:rsidP="009C0B70">
            <w:pPr>
              <w:spacing w:after="0"/>
              <w:jc w:val="center"/>
              <w:rPr>
                <w:rFonts w:cstheme="minorHAnsi"/>
                <w:lang w:val="en-GB"/>
              </w:rPr>
            </w:pPr>
            <w:r w:rsidRPr="00C76102">
              <w:rPr>
                <w:rFonts w:cstheme="minorHAnsi"/>
                <w:lang w:val="en-GB"/>
              </w:rPr>
              <w:t>€m</w:t>
            </w:r>
          </w:p>
        </w:tc>
        <w:tc>
          <w:tcPr>
            <w:tcW w:w="431" w:type="pct"/>
            <w:tcBorders>
              <w:top w:val="nil"/>
              <w:left w:val="nil"/>
              <w:bottom w:val="nil"/>
              <w:right w:val="nil"/>
            </w:tcBorders>
            <w:shd w:val="clear" w:color="000000" w:fill="FFFFFF"/>
            <w:noWrap/>
            <w:tcMar>
              <w:top w:w="15" w:type="dxa"/>
              <w:left w:w="15" w:type="dxa"/>
              <w:bottom w:w="0" w:type="dxa"/>
              <w:right w:w="15" w:type="dxa"/>
            </w:tcMar>
            <w:vAlign w:val="bottom"/>
            <w:hideMark/>
          </w:tcPr>
          <w:p w:rsidR="000A5251" w:rsidRPr="00C76102" w:rsidRDefault="000A5251" w:rsidP="009C0B70">
            <w:pPr>
              <w:spacing w:after="0"/>
              <w:jc w:val="right"/>
              <w:rPr>
                <w:rFonts w:cstheme="minorHAnsi"/>
                <w:lang w:val="en-GB"/>
              </w:rPr>
            </w:pPr>
            <w:r w:rsidRPr="00C76102">
              <w:rPr>
                <w:rFonts w:cstheme="minorHAnsi"/>
                <w:lang w:val="en-GB"/>
              </w:rPr>
              <w:t>274.5</w:t>
            </w:r>
          </w:p>
        </w:tc>
      </w:tr>
      <w:tr w:rsidR="000A5251" w:rsidRPr="00C76102" w:rsidTr="009C0B70">
        <w:trPr>
          <w:trHeight w:val="285"/>
        </w:trPr>
        <w:tc>
          <w:tcPr>
            <w:tcW w:w="4062" w:type="pct"/>
            <w:tcBorders>
              <w:top w:val="nil"/>
              <w:left w:val="nil"/>
              <w:bottom w:val="nil"/>
              <w:right w:val="nil"/>
            </w:tcBorders>
            <w:shd w:val="clear" w:color="000000" w:fill="FFFFFF"/>
            <w:noWrap/>
            <w:tcMar>
              <w:top w:w="15" w:type="dxa"/>
              <w:left w:w="15" w:type="dxa"/>
              <w:bottom w:w="0" w:type="dxa"/>
              <w:right w:w="15" w:type="dxa"/>
            </w:tcMar>
            <w:vAlign w:val="bottom"/>
            <w:hideMark/>
          </w:tcPr>
          <w:p w:rsidR="000A5251" w:rsidRPr="00C76102" w:rsidRDefault="000A5251" w:rsidP="009C0B70">
            <w:pPr>
              <w:spacing w:after="0"/>
              <w:rPr>
                <w:rFonts w:cstheme="minorHAnsi"/>
                <w:color w:val="000000"/>
                <w:lang w:val="en-GB"/>
              </w:rPr>
            </w:pPr>
            <w:r w:rsidRPr="00C76102">
              <w:rPr>
                <w:rFonts w:cstheme="minorHAnsi"/>
                <w:color w:val="000000"/>
                <w:lang w:val="en-GB"/>
              </w:rPr>
              <w:t>Actual Revenues from Billing ARR</w:t>
            </w:r>
            <w:r w:rsidRPr="00C76102">
              <w:rPr>
                <w:rFonts w:cstheme="minorHAnsi"/>
                <w:color w:val="000000"/>
                <w:vertAlign w:val="subscript"/>
                <w:lang w:val="en-GB"/>
              </w:rPr>
              <w:t>t-1</w:t>
            </w:r>
            <w:r w:rsidRPr="00C76102">
              <w:rPr>
                <w:rFonts w:cstheme="minorHAnsi"/>
                <w:color w:val="000000"/>
                <w:lang w:val="en-GB"/>
              </w:rPr>
              <w:t>***</w:t>
            </w:r>
          </w:p>
        </w:tc>
        <w:tc>
          <w:tcPr>
            <w:tcW w:w="507" w:type="pct"/>
            <w:tcBorders>
              <w:top w:val="nil"/>
              <w:left w:val="nil"/>
              <w:bottom w:val="nil"/>
              <w:right w:val="nil"/>
            </w:tcBorders>
            <w:shd w:val="clear" w:color="000000" w:fill="FFFFFF"/>
            <w:noWrap/>
            <w:tcMar>
              <w:top w:w="15" w:type="dxa"/>
              <w:left w:w="15" w:type="dxa"/>
              <w:bottom w:w="0" w:type="dxa"/>
              <w:right w:w="15" w:type="dxa"/>
            </w:tcMar>
            <w:vAlign w:val="bottom"/>
            <w:hideMark/>
          </w:tcPr>
          <w:p w:rsidR="000A5251" w:rsidRPr="00C76102" w:rsidRDefault="000A5251" w:rsidP="009C0B70">
            <w:pPr>
              <w:spacing w:after="0"/>
              <w:jc w:val="center"/>
              <w:rPr>
                <w:rFonts w:cstheme="minorHAnsi"/>
                <w:lang w:val="en-GB"/>
              </w:rPr>
            </w:pPr>
            <w:r w:rsidRPr="00C76102">
              <w:rPr>
                <w:rFonts w:cstheme="minorHAnsi"/>
                <w:lang w:val="en-GB"/>
              </w:rPr>
              <w:t>€m</w:t>
            </w:r>
          </w:p>
        </w:tc>
        <w:tc>
          <w:tcPr>
            <w:tcW w:w="431" w:type="pct"/>
            <w:tcBorders>
              <w:top w:val="nil"/>
              <w:left w:val="nil"/>
              <w:bottom w:val="nil"/>
              <w:right w:val="nil"/>
            </w:tcBorders>
            <w:shd w:val="clear" w:color="000000" w:fill="FFFFFF"/>
            <w:noWrap/>
            <w:tcMar>
              <w:top w:w="15" w:type="dxa"/>
              <w:left w:w="15" w:type="dxa"/>
              <w:bottom w:w="0" w:type="dxa"/>
              <w:right w:w="15" w:type="dxa"/>
            </w:tcMar>
            <w:vAlign w:val="bottom"/>
            <w:hideMark/>
          </w:tcPr>
          <w:p w:rsidR="000A5251" w:rsidRPr="00C76102" w:rsidRDefault="000A5251" w:rsidP="009C0B70">
            <w:pPr>
              <w:spacing w:after="0"/>
              <w:jc w:val="right"/>
              <w:rPr>
                <w:rFonts w:cstheme="minorHAnsi"/>
                <w:color w:val="000000"/>
                <w:lang w:val="en-GB"/>
              </w:rPr>
            </w:pPr>
            <w:r w:rsidRPr="00C76102">
              <w:rPr>
                <w:rFonts w:cstheme="minorHAnsi"/>
                <w:color w:val="000000"/>
                <w:lang w:val="en-GB"/>
              </w:rPr>
              <w:t>268.7</w:t>
            </w:r>
          </w:p>
        </w:tc>
      </w:tr>
      <w:tr w:rsidR="000A5251" w:rsidRPr="00C76102" w:rsidTr="009C0B70">
        <w:trPr>
          <w:trHeight w:val="285"/>
        </w:trPr>
        <w:tc>
          <w:tcPr>
            <w:tcW w:w="4062" w:type="pct"/>
            <w:tcBorders>
              <w:top w:val="nil"/>
              <w:left w:val="nil"/>
              <w:bottom w:val="nil"/>
              <w:right w:val="nil"/>
            </w:tcBorders>
            <w:shd w:val="clear" w:color="000000" w:fill="FFFFFF"/>
            <w:noWrap/>
            <w:tcMar>
              <w:top w:w="15" w:type="dxa"/>
              <w:left w:w="15" w:type="dxa"/>
              <w:bottom w:w="0" w:type="dxa"/>
              <w:right w:w="15" w:type="dxa"/>
            </w:tcMar>
            <w:vAlign w:val="bottom"/>
          </w:tcPr>
          <w:p w:rsidR="000A5251" w:rsidRPr="00C76102" w:rsidRDefault="000A5251" w:rsidP="009C0B70">
            <w:pPr>
              <w:spacing w:after="0"/>
              <w:rPr>
                <w:rFonts w:cstheme="minorHAnsi"/>
                <w:b/>
                <w:bCs/>
                <w:color w:val="000000"/>
                <w:lang w:val="en-GB"/>
              </w:rPr>
            </w:pPr>
            <w:r w:rsidRPr="00C76102">
              <w:rPr>
                <w:rFonts w:cstheme="minorHAnsi"/>
                <w:b/>
                <w:bCs/>
                <w:color w:val="000000"/>
                <w:lang w:val="en-GB"/>
              </w:rPr>
              <w:t>Adjustment (AAC</w:t>
            </w:r>
            <w:r w:rsidRPr="00C76102">
              <w:rPr>
                <w:rFonts w:cstheme="minorHAnsi"/>
                <w:b/>
                <w:bCs/>
                <w:color w:val="000000"/>
                <w:vertAlign w:val="subscript"/>
                <w:lang w:val="en-GB"/>
              </w:rPr>
              <w:t xml:space="preserve">at-1 </w:t>
            </w:r>
            <w:r w:rsidRPr="00C76102">
              <w:rPr>
                <w:rFonts w:cstheme="minorHAnsi"/>
                <w:b/>
                <w:bCs/>
                <w:color w:val="000000"/>
                <w:lang w:val="en-GB"/>
              </w:rPr>
              <w:t>- ARR</w:t>
            </w:r>
            <w:r w:rsidRPr="00C76102">
              <w:rPr>
                <w:rFonts w:cstheme="minorHAnsi"/>
                <w:b/>
                <w:bCs/>
                <w:color w:val="000000"/>
                <w:vertAlign w:val="subscript"/>
                <w:lang w:val="en-GB"/>
              </w:rPr>
              <w:t>t-1</w:t>
            </w:r>
            <w:r w:rsidRPr="00C76102">
              <w:rPr>
                <w:rFonts w:cstheme="minorHAnsi"/>
                <w:b/>
                <w:bCs/>
                <w:color w:val="000000"/>
                <w:lang w:val="en-GB"/>
              </w:rPr>
              <w:t>)*(1+It)</w:t>
            </w:r>
          </w:p>
        </w:tc>
        <w:tc>
          <w:tcPr>
            <w:tcW w:w="507" w:type="pct"/>
            <w:tcBorders>
              <w:top w:val="nil"/>
              <w:left w:val="nil"/>
              <w:bottom w:val="nil"/>
              <w:right w:val="nil"/>
            </w:tcBorders>
            <w:shd w:val="clear" w:color="000000" w:fill="FFFFFF"/>
            <w:noWrap/>
            <w:tcMar>
              <w:top w:w="15" w:type="dxa"/>
              <w:left w:w="15" w:type="dxa"/>
              <w:bottom w:w="0" w:type="dxa"/>
              <w:right w:w="15" w:type="dxa"/>
            </w:tcMar>
            <w:vAlign w:val="bottom"/>
          </w:tcPr>
          <w:p w:rsidR="000A5251" w:rsidRPr="00C76102" w:rsidRDefault="000A5251" w:rsidP="009C0B70">
            <w:pPr>
              <w:spacing w:after="0"/>
              <w:jc w:val="center"/>
              <w:rPr>
                <w:rFonts w:cstheme="minorHAnsi"/>
                <w:lang w:val="en-GB"/>
              </w:rPr>
            </w:pPr>
            <w:r w:rsidRPr="00C76102">
              <w:rPr>
                <w:rFonts w:cstheme="minorHAnsi"/>
                <w:lang w:val="en-GB"/>
              </w:rPr>
              <w:t>€m</w:t>
            </w:r>
          </w:p>
        </w:tc>
        <w:tc>
          <w:tcPr>
            <w:tcW w:w="431" w:type="pct"/>
            <w:tcBorders>
              <w:top w:val="nil"/>
              <w:left w:val="nil"/>
              <w:bottom w:val="nil"/>
              <w:right w:val="nil"/>
            </w:tcBorders>
            <w:shd w:val="clear" w:color="000000" w:fill="FFFFFF"/>
            <w:noWrap/>
            <w:tcMar>
              <w:top w:w="15" w:type="dxa"/>
              <w:left w:w="15" w:type="dxa"/>
              <w:bottom w:w="0" w:type="dxa"/>
              <w:right w:w="15" w:type="dxa"/>
            </w:tcMar>
            <w:vAlign w:val="bottom"/>
          </w:tcPr>
          <w:p w:rsidR="000A5251" w:rsidRPr="00C76102" w:rsidRDefault="000A5251" w:rsidP="009C0B70">
            <w:pPr>
              <w:spacing w:after="0"/>
              <w:jc w:val="right"/>
              <w:rPr>
                <w:rFonts w:cstheme="minorHAnsi"/>
                <w:color w:val="000000"/>
                <w:lang w:val="en-GB"/>
              </w:rPr>
            </w:pPr>
            <w:r w:rsidRPr="00C76102">
              <w:rPr>
                <w:rFonts w:cstheme="minorHAnsi"/>
                <w:color w:val="000000"/>
                <w:lang w:val="en-GB"/>
              </w:rPr>
              <w:t>6.9</w:t>
            </w:r>
          </w:p>
        </w:tc>
      </w:tr>
      <w:tr w:rsidR="000A5251" w:rsidRPr="00C76102" w:rsidTr="009C0B70">
        <w:trPr>
          <w:trHeight w:val="255"/>
        </w:trPr>
        <w:tc>
          <w:tcPr>
            <w:tcW w:w="4062" w:type="pct"/>
            <w:tcBorders>
              <w:top w:val="nil"/>
              <w:left w:val="nil"/>
              <w:bottom w:val="nil"/>
              <w:right w:val="nil"/>
            </w:tcBorders>
            <w:shd w:val="clear" w:color="auto" w:fill="FFFFFF" w:themeFill="background1"/>
            <w:noWrap/>
            <w:tcMar>
              <w:top w:w="15" w:type="dxa"/>
              <w:left w:w="15" w:type="dxa"/>
              <w:bottom w:w="0" w:type="dxa"/>
              <w:right w:w="15" w:type="dxa"/>
            </w:tcMar>
            <w:vAlign w:val="bottom"/>
          </w:tcPr>
          <w:p w:rsidR="000A5251" w:rsidRPr="00C76102" w:rsidRDefault="000A5251" w:rsidP="009C0B70">
            <w:pPr>
              <w:spacing w:after="0"/>
              <w:rPr>
                <w:rFonts w:cstheme="minorHAnsi"/>
                <w:bCs/>
                <w:lang w:val="en-GB"/>
              </w:rPr>
            </w:pPr>
            <w:r w:rsidRPr="00C76102">
              <w:rPr>
                <w:rFonts w:cstheme="minorHAnsi"/>
                <w:bCs/>
                <w:lang w:val="en-GB"/>
              </w:rPr>
              <w:t>Adjustments for LBT interest for 2020</w:t>
            </w:r>
          </w:p>
        </w:tc>
        <w:tc>
          <w:tcPr>
            <w:tcW w:w="507" w:type="pct"/>
            <w:tcBorders>
              <w:top w:val="nil"/>
              <w:left w:val="nil"/>
              <w:bottom w:val="nil"/>
              <w:right w:val="nil"/>
            </w:tcBorders>
            <w:shd w:val="clear" w:color="auto" w:fill="FFFFFF" w:themeFill="background1"/>
            <w:noWrap/>
            <w:tcMar>
              <w:top w:w="15" w:type="dxa"/>
              <w:left w:w="15" w:type="dxa"/>
              <w:bottom w:w="0" w:type="dxa"/>
              <w:right w:w="15" w:type="dxa"/>
            </w:tcMar>
            <w:vAlign w:val="bottom"/>
          </w:tcPr>
          <w:p w:rsidR="000A5251" w:rsidRPr="00C76102" w:rsidRDefault="000A5251" w:rsidP="009C0B70">
            <w:pPr>
              <w:spacing w:after="0"/>
              <w:jc w:val="center"/>
              <w:rPr>
                <w:rFonts w:cstheme="minorHAnsi"/>
                <w:lang w:val="en-GB"/>
              </w:rPr>
            </w:pPr>
            <w:r w:rsidRPr="00C76102">
              <w:rPr>
                <w:rFonts w:cstheme="minorHAnsi"/>
                <w:lang w:val="en-GB"/>
              </w:rPr>
              <w:t>€m</w:t>
            </w:r>
          </w:p>
        </w:tc>
        <w:tc>
          <w:tcPr>
            <w:tcW w:w="431" w:type="pct"/>
            <w:tcBorders>
              <w:top w:val="nil"/>
              <w:left w:val="nil"/>
              <w:bottom w:val="nil"/>
              <w:right w:val="nil"/>
            </w:tcBorders>
            <w:shd w:val="clear" w:color="auto" w:fill="FFFFFF" w:themeFill="background1"/>
            <w:noWrap/>
            <w:tcMar>
              <w:top w:w="15" w:type="dxa"/>
              <w:left w:w="15" w:type="dxa"/>
              <w:bottom w:w="0" w:type="dxa"/>
              <w:right w:w="15" w:type="dxa"/>
            </w:tcMar>
            <w:vAlign w:val="bottom"/>
          </w:tcPr>
          <w:p w:rsidR="000A5251" w:rsidRPr="00C76102" w:rsidRDefault="000A5251" w:rsidP="009C0B70">
            <w:pPr>
              <w:spacing w:after="0"/>
              <w:jc w:val="right"/>
              <w:rPr>
                <w:rFonts w:cstheme="minorHAnsi"/>
                <w:bCs/>
                <w:lang w:val="en-GB"/>
              </w:rPr>
            </w:pPr>
            <w:r w:rsidRPr="00C76102">
              <w:rPr>
                <w:rFonts w:cstheme="minorHAnsi"/>
                <w:bCs/>
                <w:lang w:val="en-GB"/>
              </w:rPr>
              <w:t>0.4</w:t>
            </w:r>
          </w:p>
        </w:tc>
      </w:tr>
      <w:tr w:rsidR="000A5251" w:rsidRPr="00C76102" w:rsidTr="009C0B70">
        <w:trPr>
          <w:trHeight w:val="285"/>
        </w:trPr>
        <w:tc>
          <w:tcPr>
            <w:tcW w:w="4062" w:type="pct"/>
            <w:tcBorders>
              <w:top w:val="nil"/>
              <w:left w:val="nil"/>
              <w:bottom w:val="nil"/>
              <w:right w:val="nil"/>
            </w:tcBorders>
            <w:shd w:val="clear" w:color="auto" w:fill="244061" w:themeFill="accent1" w:themeFillShade="80"/>
            <w:noWrap/>
            <w:tcMar>
              <w:top w:w="15" w:type="dxa"/>
              <w:left w:w="15" w:type="dxa"/>
              <w:bottom w:w="0" w:type="dxa"/>
              <w:right w:w="15" w:type="dxa"/>
            </w:tcMar>
            <w:vAlign w:val="bottom"/>
            <w:hideMark/>
          </w:tcPr>
          <w:p w:rsidR="000A5251" w:rsidRPr="00C76102" w:rsidRDefault="000A5251" w:rsidP="009C0B70">
            <w:pPr>
              <w:spacing w:after="0"/>
              <w:rPr>
                <w:rFonts w:cstheme="minorHAnsi"/>
                <w:b/>
                <w:color w:val="FFFFFF" w:themeColor="background1"/>
                <w:lang w:val="en-GB"/>
              </w:rPr>
            </w:pPr>
            <w:r w:rsidRPr="00C76102">
              <w:rPr>
                <w:rFonts w:cstheme="minorHAnsi"/>
                <w:b/>
                <w:color w:val="FFFFFF" w:themeColor="background1"/>
                <w:lang w:val="en-GB"/>
              </w:rPr>
              <w:t xml:space="preserve">Adjustment of Revenues </w:t>
            </w:r>
            <w:proofErr w:type="spellStart"/>
            <w:r w:rsidRPr="00C76102">
              <w:rPr>
                <w:rFonts w:cstheme="minorHAnsi"/>
                <w:b/>
                <w:color w:val="FFFFFF" w:themeColor="background1"/>
                <w:lang w:val="en-GB"/>
              </w:rPr>
              <w:t>ADJ</w:t>
            </w:r>
            <w:r w:rsidRPr="00C76102">
              <w:rPr>
                <w:rFonts w:cstheme="minorHAnsi"/>
                <w:b/>
                <w:color w:val="FFFFFF" w:themeColor="background1"/>
                <w:vertAlign w:val="subscript"/>
                <w:lang w:val="en-GB"/>
              </w:rPr>
              <w:t>t</w:t>
            </w:r>
            <w:proofErr w:type="spellEnd"/>
          </w:p>
        </w:tc>
        <w:tc>
          <w:tcPr>
            <w:tcW w:w="507" w:type="pct"/>
            <w:tcBorders>
              <w:top w:val="nil"/>
              <w:left w:val="nil"/>
              <w:bottom w:val="nil"/>
              <w:right w:val="nil"/>
            </w:tcBorders>
            <w:shd w:val="clear" w:color="auto" w:fill="244061" w:themeFill="accent1" w:themeFillShade="80"/>
            <w:noWrap/>
            <w:tcMar>
              <w:top w:w="15" w:type="dxa"/>
              <w:left w:w="15" w:type="dxa"/>
              <w:bottom w:w="0" w:type="dxa"/>
              <w:right w:w="15" w:type="dxa"/>
            </w:tcMar>
            <w:vAlign w:val="bottom"/>
            <w:hideMark/>
          </w:tcPr>
          <w:p w:rsidR="000A5251" w:rsidRPr="00C76102" w:rsidRDefault="000A5251" w:rsidP="009C0B70">
            <w:pPr>
              <w:spacing w:after="0"/>
              <w:jc w:val="center"/>
              <w:rPr>
                <w:rFonts w:cstheme="minorHAnsi"/>
                <w:b/>
                <w:color w:val="FFFFFF" w:themeColor="background1"/>
                <w:lang w:val="en-GB"/>
              </w:rPr>
            </w:pPr>
            <w:r w:rsidRPr="00C76102">
              <w:rPr>
                <w:rFonts w:cstheme="minorHAnsi"/>
                <w:b/>
                <w:color w:val="FFFFFF" w:themeColor="background1"/>
                <w:lang w:val="en-GB"/>
              </w:rPr>
              <w:t>€m</w:t>
            </w:r>
          </w:p>
        </w:tc>
        <w:tc>
          <w:tcPr>
            <w:tcW w:w="431" w:type="pct"/>
            <w:tcBorders>
              <w:top w:val="nil"/>
              <w:left w:val="nil"/>
              <w:bottom w:val="nil"/>
              <w:right w:val="nil"/>
            </w:tcBorders>
            <w:shd w:val="clear" w:color="auto" w:fill="244061" w:themeFill="accent1" w:themeFillShade="80"/>
            <w:noWrap/>
            <w:tcMar>
              <w:top w:w="15" w:type="dxa"/>
              <w:left w:w="15" w:type="dxa"/>
              <w:bottom w:w="0" w:type="dxa"/>
              <w:right w:w="15" w:type="dxa"/>
            </w:tcMar>
            <w:vAlign w:val="bottom"/>
            <w:hideMark/>
          </w:tcPr>
          <w:p w:rsidR="000A5251" w:rsidRPr="00C76102" w:rsidRDefault="000A5251" w:rsidP="009C0B70">
            <w:pPr>
              <w:spacing w:after="0"/>
              <w:jc w:val="right"/>
              <w:rPr>
                <w:rFonts w:cstheme="minorHAnsi"/>
                <w:b/>
                <w:color w:val="FFFFFF" w:themeColor="background1"/>
                <w:lang w:val="en-GB"/>
              </w:rPr>
            </w:pPr>
            <w:r w:rsidRPr="00C76102">
              <w:rPr>
                <w:rFonts w:cstheme="minorHAnsi"/>
                <w:b/>
                <w:color w:val="FFFFFF" w:themeColor="background1"/>
                <w:lang w:val="en-GB"/>
              </w:rPr>
              <w:t>-6.5</w:t>
            </w:r>
          </w:p>
        </w:tc>
      </w:tr>
    </w:tbl>
    <w:p w:rsidR="000A5251" w:rsidRPr="00C76102" w:rsidRDefault="000A5251" w:rsidP="000A5251">
      <w:pPr>
        <w:spacing w:after="0"/>
        <w:rPr>
          <w:lang w:val="en-GB"/>
        </w:rPr>
      </w:pPr>
      <w:r w:rsidRPr="00C76102">
        <w:rPr>
          <w:lang w:val="en-GB"/>
        </w:rPr>
        <w:t xml:space="preserve"> </w:t>
      </w:r>
    </w:p>
    <w:p w:rsidR="00971739" w:rsidRPr="00C76102" w:rsidRDefault="00971739" w:rsidP="00960892">
      <w:pPr>
        <w:spacing w:after="0"/>
        <w:rPr>
          <w:lang w:val="en-GB"/>
        </w:rPr>
      </w:pPr>
      <w:r w:rsidRPr="00C76102">
        <w:rPr>
          <w:lang w:val="en-GB"/>
        </w:rPr>
        <w:t xml:space="preserve">This value of adjustments of </w:t>
      </w:r>
      <w:r w:rsidR="000A5251" w:rsidRPr="00C76102">
        <w:rPr>
          <w:lang w:val="en-GB"/>
        </w:rPr>
        <w:t>-6.5 mil</w:t>
      </w:r>
      <w:r w:rsidR="005E31ED" w:rsidRPr="00C76102">
        <w:rPr>
          <w:lang w:val="en-GB"/>
        </w:rPr>
        <w:t>€ will</w:t>
      </w:r>
      <w:r w:rsidRPr="00C76102">
        <w:rPr>
          <w:lang w:val="en-GB"/>
        </w:rPr>
        <w:t xml:space="preserve"> be carried forward when determining the Maximum Allowed Revenues for 202</w:t>
      </w:r>
      <w:r w:rsidR="000A5251" w:rsidRPr="00C76102">
        <w:rPr>
          <w:lang w:val="en-GB"/>
        </w:rPr>
        <w:t>1</w:t>
      </w:r>
      <w:r w:rsidRPr="00C76102">
        <w:rPr>
          <w:lang w:val="en-GB"/>
        </w:rPr>
        <w:t>.</w:t>
      </w:r>
    </w:p>
    <w:p w:rsidR="000A5251" w:rsidRPr="00C76102" w:rsidRDefault="000A5251" w:rsidP="00960892">
      <w:pPr>
        <w:spacing w:after="0"/>
        <w:rPr>
          <w:lang w:val="en-GB"/>
        </w:rPr>
      </w:pPr>
    </w:p>
    <w:p w:rsidR="000A5251" w:rsidRPr="00C76102" w:rsidRDefault="000A5251" w:rsidP="001E64E6">
      <w:pPr>
        <w:spacing w:after="0"/>
        <w:ind w:left="720"/>
        <w:rPr>
          <w:lang w:val="en-GB"/>
        </w:rPr>
      </w:pPr>
      <w:r w:rsidRPr="00C76102">
        <w:rPr>
          <w:lang w:val="en-GB"/>
        </w:rPr>
        <w:t>* Costs for DSO are estimated based on preliminary reports and do not include corrections for billing and losses of DSO, according to the letter dated on 7 July 2021.</w:t>
      </w:r>
    </w:p>
    <w:p w:rsidR="00971739" w:rsidRPr="00C76102" w:rsidRDefault="00971739" w:rsidP="001E64E6">
      <w:pPr>
        <w:spacing w:after="0"/>
        <w:ind w:left="720"/>
        <w:rPr>
          <w:lang w:val="en-GB"/>
        </w:rPr>
      </w:pPr>
    </w:p>
    <w:p w:rsidR="000A5251" w:rsidRPr="00C76102" w:rsidRDefault="000A5251" w:rsidP="001E64E6">
      <w:pPr>
        <w:spacing w:after="0"/>
        <w:ind w:left="720"/>
        <w:rPr>
          <w:lang w:val="en-GB"/>
        </w:rPr>
      </w:pPr>
      <w:r w:rsidRPr="00C76102">
        <w:rPr>
          <w:lang w:val="en-GB"/>
        </w:rPr>
        <w:t>** The costs of the RES fund in the monthly data turn out to be € 14.98mil, while in the financial statements they are € 15.22mil. Although the differences are minimal, the necessary clarifications should be given in the final calculation.</w:t>
      </w:r>
    </w:p>
    <w:p w:rsidR="000A5251" w:rsidRPr="00C76102" w:rsidRDefault="000A5251" w:rsidP="001E64E6">
      <w:pPr>
        <w:spacing w:after="0"/>
        <w:ind w:left="720"/>
        <w:rPr>
          <w:lang w:val="en-GB"/>
        </w:rPr>
      </w:pPr>
    </w:p>
    <w:p w:rsidR="000A5251" w:rsidRPr="00C76102" w:rsidRDefault="000A5251" w:rsidP="001E64E6">
      <w:pPr>
        <w:spacing w:after="0"/>
        <w:ind w:left="720"/>
        <w:rPr>
          <w:lang w:val="en-GB"/>
        </w:rPr>
      </w:pPr>
      <w:r w:rsidRPr="00C76102">
        <w:rPr>
          <w:lang w:val="en-GB"/>
        </w:rPr>
        <w:lastRenderedPageBreak/>
        <w:t>*** including other revenues in the amount of € 0.26mil according to the financial statements</w:t>
      </w:r>
    </w:p>
    <w:p w:rsidR="000A5251" w:rsidRPr="00C76102" w:rsidRDefault="000A5251" w:rsidP="00960892">
      <w:pPr>
        <w:spacing w:after="0"/>
        <w:rPr>
          <w:lang w:val="en-GB"/>
        </w:rPr>
      </w:pPr>
    </w:p>
    <w:p w:rsidR="000A5251" w:rsidRPr="00C76102" w:rsidRDefault="00971739" w:rsidP="00C76102">
      <w:pPr>
        <w:spacing w:after="0"/>
        <w:jc w:val="both"/>
        <w:rPr>
          <w:lang w:val="en-GB"/>
        </w:rPr>
      </w:pPr>
      <w:r w:rsidRPr="00C76102">
        <w:rPr>
          <w:lang w:val="en-GB"/>
        </w:rPr>
        <w:t xml:space="preserve">In </w:t>
      </w:r>
      <w:r w:rsidR="000A5251" w:rsidRPr="00C76102">
        <w:rPr>
          <w:lang w:val="en-GB"/>
        </w:rPr>
        <w:t>analysing</w:t>
      </w:r>
      <w:r w:rsidRPr="00C76102">
        <w:rPr>
          <w:lang w:val="en-GB"/>
        </w:rPr>
        <w:t xml:space="preserve"> wholesale power purchases and energy billing for universal service customers by KESCO, ERO has noticed a difference in the amount of purchased wholesale energy and the amount of energy billed to universal service customers. </w:t>
      </w:r>
      <w:r w:rsidR="000A5251" w:rsidRPr="00C76102">
        <w:rPr>
          <w:lang w:val="en-GB"/>
        </w:rPr>
        <w:t xml:space="preserve">Based on the analysis made by ERO regarding wholesale energy purchases and energy billing for customers with Universal Service, it is seen that KESCO-USS has purchased energy in the amount of 4,245GWh (4,044 from the contract and 201GWh from the Compensation Program). As sale (invoicing) KESCO-FSHU has reported the value of 4,140GWh. This difference of 105GWh, means that KESCO-FSHU has purchased more energy than the demand to meet the needs of USS. When forecasting consumption/nominations there may be differences between the nominated values and those realized as energy </w:t>
      </w:r>
      <w:r w:rsidR="003C28E0" w:rsidRPr="00C76102">
        <w:rPr>
          <w:lang w:val="en-GB"/>
        </w:rPr>
        <w:t>injections</w:t>
      </w:r>
      <w:r w:rsidR="000A5251" w:rsidRPr="00C76102">
        <w:rPr>
          <w:lang w:val="en-GB"/>
        </w:rPr>
        <w:t xml:space="preserve"> and withdrawals. However, given the current circumstances of the purchase of energy from KESCO-USS and KEDS, it is meaningless for one party during the 12 months of the year to have </w:t>
      </w:r>
      <w:r w:rsidR="003C28E0" w:rsidRPr="00C76102">
        <w:rPr>
          <w:lang w:val="en-GB"/>
        </w:rPr>
        <w:t>injections</w:t>
      </w:r>
      <w:r w:rsidR="000A5251" w:rsidRPr="00C76102">
        <w:rPr>
          <w:lang w:val="en-GB"/>
        </w:rPr>
        <w:t>, while for the other party to have energy withdrawals.</w:t>
      </w:r>
    </w:p>
    <w:p w:rsidR="000A5251" w:rsidRPr="00C76102" w:rsidRDefault="000A5251" w:rsidP="00960892">
      <w:pPr>
        <w:spacing w:after="0"/>
        <w:rPr>
          <w:lang w:val="en-GB"/>
        </w:rPr>
      </w:pPr>
    </w:p>
    <w:p w:rsidR="000A5251" w:rsidRPr="00C76102" w:rsidRDefault="000A5251" w:rsidP="00C76102">
      <w:pPr>
        <w:spacing w:after="0"/>
        <w:jc w:val="both"/>
        <w:rPr>
          <w:lang w:val="en-GB"/>
        </w:rPr>
      </w:pPr>
      <w:r w:rsidRPr="00C76102">
        <w:rPr>
          <w:lang w:val="en-GB"/>
        </w:rPr>
        <w:t xml:space="preserve">Considering that the nominations for both parties are made by KESCO, and the KEDS nominations depend on KESCO-USS, then the eventual deviations should be uniform, and not </w:t>
      </w:r>
      <w:r w:rsidR="00380C28" w:rsidRPr="00C76102">
        <w:rPr>
          <w:lang w:val="en-GB"/>
        </w:rPr>
        <w:t>withdrawal from one party and injection from another.</w:t>
      </w:r>
    </w:p>
    <w:p w:rsidR="000A5251" w:rsidRPr="00C76102" w:rsidRDefault="000A5251" w:rsidP="00960892">
      <w:pPr>
        <w:spacing w:after="0"/>
        <w:rPr>
          <w:lang w:val="en-GB"/>
        </w:rPr>
      </w:pPr>
    </w:p>
    <w:p w:rsidR="000A5251" w:rsidRPr="00C76102" w:rsidRDefault="000A5251" w:rsidP="00960892">
      <w:pPr>
        <w:spacing w:after="0"/>
        <w:rPr>
          <w:lang w:val="en-GB"/>
        </w:rPr>
      </w:pPr>
      <w:r w:rsidRPr="00C76102">
        <w:rPr>
          <w:lang w:val="en-GB"/>
        </w:rPr>
        <w:t>Based on what was said above, ERO asks KESCO to provide the necessary clarifications.</w:t>
      </w:r>
    </w:p>
    <w:p w:rsidR="00971739" w:rsidRPr="00C76102" w:rsidRDefault="00971739" w:rsidP="00960892">
      <w:pPr>
        <w:spacing w:after="0"/>
        <w:rPr>
          <w:lang w:val="en-GB"/>
        </w:rPr>
      </w:pPr>
    </w:p>
    <w:p w:rsidR="00960892" w:rsidRPr="00C76102" w:rsidRDefault="000A5251" w:rsidP="00C76102">
      <w:pPr>
        <w:spacing w:after="0"/>
        <w:jc w:val="both"/>
        <w:rPr>
          <w:lang w:val="en-GB"/>
        </w:rPr>
      </w:pPr>
      <w:r w:rsidRPr="00C76102">
        <w:rPr>
          <w:lang w:val="en-GB"/>
        </w:rPr>
        <w:t>ERO, seeing this phenomenon and the processes developed in the energy sector in Kosovo, with special emphasis on the independence of KOSTT, emphasizes that it is the responsibility of KOSTT to balance the system and that such balancing should not continue in this form through USS.</w:t>
      </w:r>
      <w:r w:rsidR="00B72675" w:rsidRPr="00C76102">
        <w:rPr>
          <w:lang w:val="en-GB"/>
        </w:rPr>
        <w:br/>
      </w:r>
      <w:r w:rsidR="00B72675" w:rsidRPr="00C76102">
        <w:rPr>
          <w:lang w:val="en-GB"/>
        </w:rPr>
        <w:br/>
      </w:r>
    </w:p>
    <w:p w:rsidR="008773FD" w:rsidRPr="00C76102" w:rsidRDefault="00F1437A" w:rsidP="008773FD">
      <w:pPr>
        <w:pStyle w:val="Heading1"/>
        <w:spacing w:before="0"/>
        <w:rPr>
          <w:rFonts w:asciiTheme="minorHAnsi" w:hAnsiTheme="minorHAnsi" w:cstheme="minorHAnsi"/>
          <w:lang w:val="en-GB"/>
        </w:rPr>
      </w:pPr>
      <w:bookmarkStart w:id="5" w:name="_Toc81818658"/>
      <w:r w:rsidRPr="00C76102">
        <w:rPr>
          <w:rFonts w:asciiTheme="minorHAnsi" w:hAnsiTheme="minorHAnsi" w:cstheme="minorHAnsi"/>
          <w:lang w:val="en-GB"/>
        </w:rPr>
        <w:t>Pass-</w:t>
      </w:r>
      <w:r w:rsidR="00771406" w:rsidRPr="00C76102">
        <w:rPr>
          <w:rFonts w:asciiTheme="minorHAnsi" w:hAnsiTheme="minorHAnsi" w:cstheme="minorHAnsi"/>
          <w:lang w:val="en-GB"/>
        </w:rPr>
        <w:t>through</w:t>
      </w:r>
      <w:r w:rsidRPr="00C76102">
        <w:rPr>
          <w:rFonts w:asciiTheme="minorHAnsi" w:hAnsiTheme="minorHAnsi" w:cstheme="minorHAnsi"/>
          <w:lang w:val="en-GB"/>
        </w:rPr>
        <w:t xml:space="preserve"> Costs</w:t>
      </w:r>
      <w:bookmarkEnd w:id="5"/>
    </w:p>
    <w:p w:rsidR="008773FD" w:rsidRPr="00C76102" w:rsidRDefault="00DD201A" w:rsidP="0001374E">
      <w:pPr>
        <w:jc w:val="both"/>
        <w:rPr>
          <w:lang w:val="en-GB"/>
        </w:rPr>
      </w:pPr>
      <w:r w:rsidRPr="00C76102">
        <w:rPr>
          <w:lang w:val="en-GB"/>
        </w:rPr>
        <w:t>USS Pass-</w:t>
      </w:r>
      <w:r w:rsidR="0028268B" w:rsidRPr="00C76102">
        <w:rPr>
          <w:lang w:val="en-GB"/>
        </w:rPr>
        <w:t>through</w:t>
      </w:r>
      <w:r w:rsidRPr="00C76102">
        <w:rPr>
          <w:lang w:val="en-GB"/>
        </w:rPr>
        <w:t xml:space="preserve"> Costs are </w:t>
      </w:r>
      <w:r w:rsidR="00F25322" w:rsidRPr="00C76102">
        <w:rPr>
          <w:lang w:val="en-GB"/>
        </w:rPr>
        <w:t xml:space="preserve">the ones that depend on the evaluations for MAR for other regulated companies. These are the pass-through </w:t>
      </w:r>
      <w:r w:rsidR="00075CAD" w:rsidRPr="00C76102">
        <w:rPr>
          <w:lang w:val="en-GB"/>
        </w:rPr>
        <w:t>costs for</w:t>
      </w:r>
      <w:r w:rsidR="00B72675" w:rsidRPr="00C76102">
        <w:rPr>
          <w:lang w:val="en-GB"/>
        </w:rPr>
        <w:t xml:space="preserve"> the transmission use of system (TSO/MO- KOSTT</w:t>
      </w:r>
      <w:r w:rsidR="00075CAD" w:rsidRPr="00C76102">
        <w:rPr>
          <w:lang w:val="en-GB"/>
        </w:rPr>
        <w:t>), distribution</w:t>
      </w:r>
      <w:r w:rsidR="00B72675" w:rsidRPr="00C76102">
        <w:rPr>
          <w:lang w:val="en-GB"/>
        </w:rPr>
        <w:t xml:space="preserve"> use of system (DSO-KEDS)</w:t>
      </w:r>
      <w:r w:rsidR="00F25322" w:rsidRPr="00C76102">
        <w:rPr>
          <w:lang w:val="en-GB"/>
        </w:rPr>
        <w:t xml:space="preserve"> and any other cost that is out of USS control. The Pass-through costs for KOSTT, also including the renewable sources fund, </w:t>
      </w:r>
      <w:r w:rsidR="00B72675" w:rsidRPr="00C76102">
        <w:rPr>
          <w:lang w:val="en-GB"/>
        </w:rPr>
        <w:t>are foreseen to be 29</w:t>
      </w:r>
      <w:r w:rsidR="00F25322" w:rsidRPr="00C76102">
        <w:rPr>
          <w:lang w:val="en-GB"/>
        </w:rPr>
        <w:t xml:space="preserve"> </w:t>
      </w:r>
      <w:proofErr w:type="gramStart"/>
      <w:r w:rsidR="00F25322" w:rsidRPr="00C76102">
        <w:rPr>
          <w:lang w:val="en-GB"/>
        </w:rPr>
        <w:t>mil</w:t>
      </w:r>
      <w:proofErr w:type="gramEnd"/>
      <w:r w:rsidR="00F25322" w:rsidRPr="00C76102">
        <w:rPr>
          <w:lang w:val="en-GB"/>
        </w:rPr>
        <w:t>€</w:t>
      </w:r>
      <w:r w:rsidR="00B03237" w:rsidRPr="00C76102">
        <w:rPr>
          <w:lang w:val="en-GB"/>
        </w:rPr>
        <w:t xml:space="preserve"> whereas</w:t>
      </w:r>
      <w:r w:rsidR="00F25322" w:rsidRPr="00C76102">
        <w:rPr>
          <w:lang w:val="en-GB"/>
        </w:rPr>
        <w:t xml:space="preserve"> KEDS pass-</w:t>
      </w:r>
      <w:r w:rsidR="00724FFA" w:rsidRPr="00C76102">
        <w:rPr>
          <w:lang w:val="en-GB"/>
        </w:rPr>
        <w:t>through</w:t>
      </w:r>
      <w:r w:rsidR="00F25322" w:rsidRPr="00C76102">
        <w:rPr>
          <w:lang w:val="en-GB"/>
        </w:rPr>
        <w:t xml:space="preserve"> costs are</w:t>
      </w:r>
      <w:r w:rsidR="00B72675" w:rsidRPr="00C76102">
        <w:rPr>
          <w:lang w:val="en-GB"/>
        </w:rPr>
        <w:t xml:space="preserve"> foreseen in an amount </w:t>
      </w:r>
      <w:r w:rsidR="00075CAD" w:rsidRPr="00C76102">
        <w:rPr>
          <w:lang w:val="en-GB"/>
        </w:rPr>
        <w:t>of 81</w:t>
      </w:r>
      <w:r w:rsidR="00F25322" w:rsidRPr="00C76102">
        <w:rPr>
          <w:lang w:val="en-GB"/>
        </w:rPr>
        <w:t xml:space="preserve"> mil€.</w:t>
      </w:r>
    </w:p>
    <w:p w:rsidR="008773FD" w:rsidRPr="00C76102" w:rsidRDefault="00654EF9" w:rsidP="008773FD">
      <w:pPr>
        <w:pStyle w:val="Heading1"/>
        <w:spacing w:line="240" w:lineRule="auto"/>
        <w:rPr>
          <w:rFonts w:asciiTheme="minorHAnsi" w:hAnsiTheme="minorHAnsi" w:cstheme="minorHAnsi"/>
          <w:lang w:val="en-GB"/>
        </w:rPr>
      </w:pPr>
      <w:bookmarkStart w:id="6" w:name="_Toc81818659"/>
      <w:r w:rsidRPr="00C76102">
        <w:rPr>
          <w:rFonts w:asciiTheme="minorHAnsi" w:hAnsiTheme="minorHAnsi" w:cstheme="minorHAnsi"/>
          <w:lang w:val="en-GB"/>
        </w:rPr>
        <w:t>Retail</w:t>
      </w:r>
      <w:r w:rsidR="00D049AD" w:rsidRPr="00C76102">
        <w:rPr>
          <w:rFonts w:asciiTheme="minorHAnsi" w:hAnsiTheme="minorHAnsi" w:cstheme="minorHAnsi"/>
          <w:lang w:val="en-GB"/>
        </w:rPr>
        <w:t xml:space="preserve"> Costs of the Supplier</w:t>
      </w:r>
      <w:bookmarkEnd w:id="6"/>
    </w:p>
    <w:p w:rsidR="00FD6318" w:rsidRPr="00C76102" w:rsidRDefault="008B385B" w:rsidP="00FD6318">
      <w:pPr>
        <w:spacing w:before="120"/>
        <w:jc w:val="both"/>
        <w:rPr>
          <w:lang w:val="en-GB"/>
        </w:rPr>
      </w:pPr>
      <w:r w:rsidRPr="00C76102">
        <w:rPr>
          <w:lang w:val="en-GB"/>
        </w:rPr>
        <w:t xml:space="preserve">The allowed retail costs are calculated as the amount of allowed </w:t>
      </w:r>
      <w:r w:rsidR="0028268B" w:rsidRPr="00C76102">
        <w:rPr>
          <w:lang w:val="en-GB"/>
        </w:rPr>
        <w:t>operating</w:t>
      </w:r>
      <w:r w:rsidRPr="00C76102">
        <w:rPr>
          <w:lang w:val="en-GB"/>
        </w:rPr>
        <w:t xml:space="preserve"> and maintenance costs (</w:t>
      </w:r>
      <w:proofErr w:type="spellStart"/>
      <w:r w:rsidRPr="00C76102">
        <w:rPr>
          <w:lang w:val="en-GB"/>
        </w:rPr>
        <w:t>OPMCt</w:t>
      </w:r>
      <w:proofErr w:type="spellEnd"/>
      <w:r w:rsidRPr="00C76102">
        <w:rPr>
          <w:lang w:val="en-GB"/>
        </w:rPr>
        <w:t>), depreciation costs (</w:t>
      </w:r>
      <w:proofErr w:type="spellStart"/>
      <w:r w:rsidRPr="00C76102">
        <w:rPr>
          <w:lang w:val="en-GB"/>
        </w:rPr>
        <w:t>DEPCt</w:t>
      </w:r>
      <w:proofErr w:type="spellEnd"/>
      <w:r w:rsidRPr="00C76102">
        <w:rPr>
          <w:lang w:val="en-GB"/>
        </w:rPr>
        <w:t>) and license costs (</w:t>
      </w:r>
      <w:proofErr w:type="spellStart"/>
      <w:r w:rsidRPr="00C76102">
        <w:rPr>
          <w:lang w:val="en-GB"/>
        </w:rPr>
        <w:t>LCICt</w:t>
      </w:r>
      <w:proofErr w:type="spellEnd"/>
      <w:r w:rsidRPr="00C76102">
        <w:rPr>
          <w:lang w:val="en-GB"/>
        </w:rPr>
        <w:t xml:space="preserve">). The proposed retail costs for USS for </w:t>
      </w:r>
      <w:r w:rsidR="000052C4" w:rsidRPr="00C76102">
        <w:rPr>
          <w:lang w:val="en-GB"/>
        </w:rPr>
        <w:t xml:space="preserve">2020 </w:t>
      </w:r>
      <w:r w:rsidR="00A633E2" w:rsidRPr="00C76102">
        <w:rPr>
          <w:lang w:val="en-GB"/>
        </w:rPr>
        <w:t xml:space="preserve">have used as a </w:t>
      </w:r>
      <w:r w:rsidR="000052C4" w:rsidRPr="00C76102">
        <w:rPr>
          <w:lang w:val="en-GB"/>
        </w:rPr>
        <w:t xml:space="preserve">basis </w:t>
      </w:r>
      <w:r w:rsidR="00A633E2" w:rsidRPr="00C76102">
        <w:rPr>
          <w:lang w:val="en-GB"/>
        </w:rPr>
        <w:t xml:space="preserve">the costs allowed in </w:t>
      </w:r>
      <w:r w:rsidR="00CF7560" w:rsidRPr="00C76102">
        <w:rPr>
          <w:lang w:val="en-GB"/>
        </w:rPr>
        <w:t xml:space="preserve">2020 </w:t>
      </w:r>
      <w:r w:rsidR="00A633E2" w:rsidRPr="00C76102">
        <w:rPr>
          <w:lang w:val="en-GB"/>
        </w:rPr>
        <w:t xml:space="preserve">and indexed for the inflation rate with a value of </w:t>
      </w:r>
      <w:r w:rsidR="00CF7560" w:rsidRPr="00C76102">
        <w:rPr>
          <w:lang w:val="en-GB"/>
        </w:rPr>
        <w:t>0.26</w:t>
      </w:r>
      <w:r w:rsidR="00A633E2" w:rsidRPr="00C76102">
        <w:rPr>
          <w:lang w:val="en-GB"/>
        </w:rPr>
        <w:t>%</w:t>
      </w:r>
      <w:r w:rsidR="008B40D9" w:rsidRPr="00C76102">
        <w:rPr>
          <w:rStyle w:val="FootnoteReference"/>
          <w:lang w:val="en-GB"/>
        </w:rPr>
        <w:footnoteReference w:id="1"/>
      </w:r>
      <w:r w:rsidR="00A633E2" w:rsidRPr="00C76102">
        <w:rPr>
          <w:lang w:val="en-GB"/>
        </w:rPr>
        <w:t xml:space="preserve">. The value of retail costs for USS for </w:t>
      </w:r>
      <w:r w:rsidR="000052C4" w:rsidRPr="00C76102">
        <w:rPr>
          <w:lang w:val="en-GB"/>
        </w:rPr>
        <w:t>202</w:t>
      </w:r>
      <w:r w:rsidR="00CF7560" w:rsidRPr="00C76102">
        <w:rPr>
          <w:lang w:val="en-GB"/>
        </w:rPr>
        <w:t>1</w:t>
      </w:r>
      <w:r w:rsidR="000052C4" w:rsidRPr="00C76102">
        <w:rPr>
          <w:lang w:val="en-GB"/>
        </w:rPr>
        <w:t xml:space="preserve"> </w:t>
      </w:r>
      <w:r w:rsidR="00A633E2" w:rsidRPr="00C76102">
        <w:rPr>
          <w:lang w:val="en-GB"/>
        </w:rPr>
        <w:t xml:space="preserve">is foreseen to be </w:t>
      </w:r>
      <w:r w:rsidR="00CF7560" w:rsidRPr="00C76102">
        <w:rPr>
          <w:lang w:val="en-GB"/>
        </w:rPr>
        <w:t>4</w:t>
      </w:r>
      <w:r w:rsidR="00A633E2" w:rsidRPr="00C76102">
        <w:rPr>
          <w:lang w:val="en-GB"/>
        </w:rPr>
        <w:t>.</w:t>
      </w:r>
      <w:r w:rsidR="00CF7560" w:rsidRPr="00C76102">
        <w:rPr>
          <w:lang w:val="en-GB"/>
        </w:rPr>
        <w:t>7</w:t>
      </w:r>
      <w:r w:rsidR="00A633E2" w:rsidRPr="00C76102">
        <w:rPr>
          <w:lang w:val="en-GB"/>
        </w:rPr>
        <w:t xml:space="preserve"> mil€. Other components of retail </w:t>
      </w:r>
      <w:r w:rsidR="00A633E2" w:rsidRPr="00C76102">
        <w:rPr>
          <w:lang w:val="en-GB"/>
        </w:rPr>
        <w:lastRenderedPageBreak/>
        <w:t xml:space="preserve">costs such as the retail margin, the bad debt and working capital are calculated based on the formula set in the Rule on USS Revenues. </w:t>
      </w:r>
    </w:p>
    <w:p w:rsidR="00D969E4" w:rsidRPr="00C76102" w:rsidRDefault="005A4D2E" w:rsidP="00BD3D95">
      <w:pPr>
        <w:spacing w:before="120"/>
        <w:jc w:val="both"/>
        <w:rPr>
          <w:rFonts w:eastAsia="Times New Roman" w:cstheme="minorHAnsi"/>
          <w:b/>
          <w:bCs/>
          <w:color w:val="003366"/>
          <w:sz w:val="28"/>
          <w:szCs w:val="24"/>
          <w:lang w:val="en-GB"/>
        </w:rPr>
      </w:pPr>
      <w:r w:rsidRPr="00C76102">
        <w:rPr>
          <w:lang w:val="en-GB"/>
        </w:rPr>
        <w:t>In assessing retail costs, KESCO did not disclose the costs associated with providing services to unregulated customers. ERO requests from KESCO to make an assessment during the public consultation process regarding these costs and to deduct them during th</w:t>
      </w:r>
      <w:r w:rsidR="00337B45" w:rsidRPr="00C76102">
        <w:rPr>
          <w:lang w:val="en-GB"/>
        </w:rPr>
        <w:t>e determination of the OPEX of USS</w:t>
      </w:r>
      <w:r w:rsidRPr="00C76102">
        <w:rPr>
          <w:lang w:val="en-GB"/>
        </w:rPr>
        <w:t>.</w:t>
      </w:r>
      <w:bookmarkStart w:id="7" w:name="_Toc508629899"/>
    </w:p>
    <w:p w:rsidR="008773FD" w:rsidRPr="00C76102" w:rsidRDefault="008B40D9" w:rsidP="006A334F">
      <w:pPr>
        <w:pStyle w:val="Heading1"/>
        <w:spacing w:line="240" w:lineRule="auto"/>
        <w:rPr>
          <w:rFonts w:asciiTheme="minorHAnsi" w:hAnsiTheme="minorHAnsi" w:cstheme="minorHAnsi"/>
          <w:lang w:val="en-GB"/>
        </w:rPr>
      </w:pPr>
      <w:bookmarkStart w:id="8" w:name="_Toc81818660"/>
      <w:bookmarkEnd w:id="7"/>
      <w:r w:rsidRPr="00C76102">
        <w:rPr>
          <w:rFonts w:asciiTheme="minorHAnsi" w:hAnsiTheme="minorHAnsi" w:cstheme="minorHAnsi"/>
          <w:lang w:val="en-GB"/>
        </w:rPr>
        <w:t>Maximum Allowed Revenues</w:t>
      </w:r>
      <w:bookmarkEnd w:id="8"/>
    </w:p>
    <w:p w:rsidR="00340FFE" w:rsidRPr="00C76102" w:rsidRDefault="008B40D9" w:rsidP="00340FFE">
      <w:pPr>
        <w:spacing w:before="120"/>
        <w:jc w:val="both"/>
        <w:rPr>
          <w:lang w:val="en-GB"/>
        </w:rPr>
      </w:pPr>
      <w:r w:rsidRPr="00C76102">
        <w:rPr>
          <w:lang w:val="en-GB"/>
        </w:rPr>
        <w:t>The</w:t>
      </w:r>
      <w:r w:rsidR="00522D90" w:rsidRPr="00C76102">
        <w:rPr>
          <w:lang w:val="en-GB"/>
        </w:rPr>
        <w:t xml:space="preserve"> MAR, proposed for USS for </w:t>
      </w:r>
      <w:r w:rsidR="003F1A9B" w:rsidRPr="00C76102">
        <w:rPr>
          <w:lang w:val="en-GB"/>
        </w:rPr>
        <w:t>2021</w:t>
      </w:r>
      <w:r w:rsidR="00522D90" w:rsidRPr="00C76102">
        <w:rPr>
          <w:lang w:val="en-GB"/>
        </w:rPr>
        <w:t>, is €</w:t>
      </w:r>
      <w:r w:rsidR="000052C4" w:rsidRPr="00C76102">
        <w:rPr>
          <w:lang w:val="en-GB"/>
        </w:rPr>
        <w:t>27</w:t>
      </w:r>
      <w:r w:rsidR="003F1A9B" w:rsidRPr="00C76102">
        <w:rPr>
          <w:lang w:val="en-GB"/>
        </w:rPr>
        <w:t>1</w:t>
      </w:r>
      <w:r w:rsidR="00522D90" w:rsidRPr="00C76102">
        <w:rPr>
          <w:lang w:val="en-GB"/>
        </w:rPr>
        <w:t>.</w:t>
      </w:r>
      <w:r w:rsidR="003F1A9B" w:rsidRPr="00C76102">
        <w:rPr>
          <w:lang w:val="en-GB"/>
        </w:rPr>
        <w:t>2</w:t>
      </w:r>
      <w:r w:rsidR="00522D90" w:rsidRPr="00C76102">
        <w:rPr>
          <w:lang w:val="en-GB"/>
        </w:rPr>
        <w:t xml:space="preserve"> million, which represents an amount that shall be covered by the </w:t>
      </w:r>
      <w:r w:rsidR="000052C4" w:rsidRPr="00C76102">
        <w:rPr>
          <w:lang w:val="en-GB"/>
        </w:rPr>
        <w:t xml:space="preserve">regulated tariffs of </w:t>
      </w:r>
      <w:r w:rsidR="00522D90" w:rsidRPr="00C76102">
        <w:rPr>
          <w:lang w:val="en-GB"/>
        </w:rPr>
        <w:t xml:space="preserve">retail sale. The details on calculations for the proposed MAR, are given in the following table: </w:t>
      </w:r>
    </w:p>
    <w:p w:rsidR="00C76102" w:rsidRPr="00C76102" w:rsidRDefault="00C76102" w:rsidP="00C76102">
      <w:pPr>
        <w:pStyle w:val="Caption"/>
        <w:rPr>
          <w:lang w:val="en-GB"/>
        </w:rPr>
      </w:pPr>
      <w:r w:rsidRPr="00C76102">
        <w:rPr>
          <w:lang w:val="en-GB"/>
        </w:rPr>
        <w:t xml:space="preserve">Table </w:t>
      </w:r>
      <w:r w:rsidRPr="00C76102">
        <w:rPr>
          <w:lang w:val="en-GB"/>
        </w:rPr>
        <w:fldChar w:fldCharType="begin"/>
      </w:r>
      <w:r w:rsidRPr="00C76102">
        <w:rPr>
          <w:lang w:val="en-GB"/>
        </w:rPr>
        <w:instrText xml:space="preserve"> SEQ Table \* ARABIC </w:instrText>
      </w:r>
      <w:r w:rsidRPr="00C76102">
        <w:rPr>
          <w:lang w:val="en-GB"/>
        </w:rPr>
        <w:fldChar w:fldCharType="separate"/>
      </w:r>
      <w:r w:rsidRPr="00C76102">
        <w:rPr>
          <w:noProof/>
          <w:lang w:val="en-GB"/>
        </w:rPr>
        <w:t>4</w:t>
      </w:r>
      <w:r w:rsidRPr="00C76102">
        <w:rPr>
          <w:lang w:val="en-GB"/>
        </w:rPr>
        <w:fldChar w:fldCharType="end"/>
      </w:r>
      <w:r w:rsidRPr="00C76102">
        <w:rPr>
          <w:lang w:val="en-GB"/>
        </w:rPr>
        <w:t xml:space="preserve"> - Proposed MAR for 2020</w:t>
      </w:r>
    </w:p>
    <w:tbl>
      <w:tblPr>
        <w:tblW w:w="5000" w:type="pct"/>
        <w:tblCellMar>
          <w:left w:w="0" w:type="dxa"/>
          <w:right w:w="0" w:type="dxa"/>
        </w:tblCellMar>
        <w:tblLook w:val="04A0" w:firstRow="1" w:lastRow="0" w:firstColumn="1" w:lastColumn="0" w:noHBand="0" w:noVBand="1"/>
      </w:tblPr>
      <w:tblGrid>
        <w:gridCol w:w="7335"/>
        <w:gridCol w:w="916"/>
        <w:gridCol w:w="778"/>
      </w:tblGrid>
      <w:tr w:rsidR="00D969E4" w:rsidRPr="00C76102" w:rsidTr="00FB0610">
        <w:trPr>
          <w:trHeight w:val="510"/>
        </w:trPr>
        <w:tc>
          <w:tcPr>
            <w:tcW w:w="4062" w:type="pct"/>
            <w:tcBorders>
              <w:top w:val="nil"/>
              <w:left w:val="nil"/>
              <w:bottom w:val="nil"/>
              <w:right w:val="nil"/>
            </w:tcBorders>
            <w:shd w:val="clear" w:color="000000" w:fill="002060"/>
            <w:noWrap/>
            <w:tcMar>
              <w:top w:w="15" w:type="dxa"/>
              <w:left w:w="15" w:type="dxa"/>
              <w:bottom w:w="0" w:type="dxa"/>
              <w:right w:w="15" w:type="dxa"/>
            </w:tcMar>
            <w:vAlign w:val="center"/>
            <w:hideMark/>
          </w:tcPr>
          <w:p w:rsidR="00D969E4" w:rsidRPr="00C76102" w:rsidRDefault="00A31C4A" w:rsidP="00FB0610">
            <w:pPr>
              <w:spacing w:after="0" w:line="240" w:lineRule="auto"/>
              <w:rPr>
                <w:rFonts w:cstheme="minorHAnsi"/>
                <w:b/>
                <w:bCs/>
                <w:color w:val="FFFFFF"/>
                <w:lang w:val="en-GB"/>
              </w:rPr>
            </w:pPr>
            <w:r w:rsidRPr="00C76102">
              <w:rPr>
                <w:rFonts w:cstheme="minorHAnsi"/>
                <w:b/>
                <w:bCs/>
                <w:color w:val="FFFFFF"/>
                <w:lang w:val="en-GB"/>
              </w:rPr>
              <w:t>MAR of Universal Service Supplier</w:t>
            </w:r>
          </w:p>
        </w:tc>
        <w:tc>
          <w:tcPr>
            <w:tcW w:w="507" w:type="pct"/>
            <w:tcBorders>
              <w:top w:val="nil"/>
              <w:left w:val="nil"/>
              <w:bottom w:val="nil"/>
              <w:right w:val="nil"/>
            </w:tcBorders>
            <w:shd w:val="clear" w:color="000000" w:fill="002060"/>
            <w:tcMar>
              <w:top w:w="15" w:type="dxa"/>
              <w:left w:w="15" w:type="dxa"/>
              <w:bottom w:w="0" w:type="dxa"/>
              <w:right w:w="15" w:type="dxa"/>
            </w:tcMar>
            <w:vAlign w:val="center"/>
            <w:hideMark/>
          </w:tcPr>
          <w:p w:rsidR="00D969E4" w:rsidRPr="00C76102" w:rsidRDefault="00A31C4A" w:rsidP="00FB0610">
            <w:pPr>
              <w:spacing w:after="0" w:line="240" w:lineRule="auto"/>
              <w:jc w:val="center"/>
              <w:rPr>
                <w:rFonts w:cstheme="minorHAnsi"/>
                <w:b/>
                <w:bCs/>
                <w:color w:val="FFFFFF"/>
                <w:lang w:val="en-GB"/>
              </w:rPr>
            </w:pPr>
            <w:r w:rsidRPr="00C76102">
              <w:rPr>
                <w:rFonts w:cstheme="minorHAnsi"/>
                <w:b/>
                <w:bCs/>
                <w:color w:val="FFFFFF"/>
                <w:lang w:val="en-GB"/>
              </w:rPr>
              <w:t>Unit</w:t>
            </w:r>
          </w:p>
        </w:tc>
        <w:tc>
          <w:tcPr>
            <w:tcW w:w="431" w:type="pct"/>
            <w:tcBorders>
              <w:top w:val="nil"/>
              <w:left w:val="nil"/>
              <w:bottom w:val="nil"/>
              <w:right w:val="nil"/>
            </w:tcBorders>
            <w:shd w:val="clear" w:color="000000" w:fill="002060"/>
            <w:tcMar>
              <w:top w:w="15" w:type="dxa"/>
              <w:left w:w="15" w:type="dxa"/>
              <w:bottom w:w="0" w:type="dxa"/>
              <w:right w:w="15" w:type="dxa"/>
            </w:tcMar>
            <w:vAlign w:val="center"/>
            <w:hideMark/>
          </w:tcPr>
          <w:p w:rsidR="00D969E4" w:rsidRPr="00C76102" w:rsidRDefault="000052C4" w:rsidP="000052C4">
            <w:pPr>
              <w:spacing w:after="0" w:line="240" w:lineRule="auto"/>
              <w:jc w:val="center"/>
              <w:rPr>
                <w:rFonts w:cstheme="minorHAnsi"/>
                <w:b/>
                <w:bCs/>
                <w:color w:val="FFFFFF"/>
                <w:lang w:val="en-GB"/>
              </w:rPr>
            </w:pPr>
            <w:r w:rsidRPr="00C76102">
              <w:rPr>
                <w:rFonts w:cstheme="minorHAnsi"/>
                <w:b/>
                <w:bCs/>
                <w:color w:val="FFFFFF"/>
                <w:lang w:val="en-GB"/>
              </w:rPr>
              <w:t>2020</w:t>
            </w:r>
          </w:p>
        </w:tc>
      </w:tr>
      <w:tr w:rsidR="00D969E4" w:rsidRPr="00C76102" w:rsidTr="00FB0610">
        <w:trPr>
          <w:trHeight w:val="255"/>
        </w:trPr>
        <w:tc>
          <w:tcPr>
            <w:tcW w:w="4062" w:type="pct"/>
            <w:tcBorders>
              <w:top w:val="nil"/>
              <w:left w:val="nil"/>
              <w:bottom w:val="nil"/>
              <w:right w:val="nil"/>
            </w:tcBorders>
            <w:shd w:val="clear" w:color="000000" w:fill="DBE5F1"/>
            <w:noWrap/>
            <w:tcMar>
              <w:top w:w="15" w:type="dxa"/>
              <w:left w:w="15" w:type="dxa"/>
              <w:bottom w:w="0" w:type="dxa"/>
              <w:right w:w="15" w:type="dxa"/>
            </w:tcMar>
            <w:vAlign w:val="bottom"/>
            <w:hideMark/>
          </w:tcPr>
          <w:p w:rsidR="00D969E4" w:rsidRPr="00C76102" w:rsidRDefault="000052C4" w:rsidP="000052C4">
            <w:pPr>
              <w:spacing w:after="0"/>
              <w:rPr>
                <w:rFonts w:cstheme="minorHAnsi"/>
                <w:bCs/>
                <w:lang w:val="en-GB"/>
              </w:rPr>
            </w:pPr>
            <w:r w:rsidRPr="00C76102">
              <w:rPr>
                <w:rFonts w:cstheme="minorHAnsi"/>
                <w:bCs/>
                <w:lang w:val="en-GB"/>
              </w:rPr>
              <w:t xml:space="preserve">Indexation </w:t>
            </w:r>
            <w:r w:rsidR="00A31C4A" w:rsidRPr="00C76102">
              <w:rPr>
                <w:rFonts w:cstheme="minorHAnsi"/>
                <w:bCs/>
                <w:lang w:val="en-GB"/>
              </w:rPr>
              <w:t>parameters</w:t>
            </w:r>
          </w:p>
        </w:tc>
        <w:tc>
          <w:tcPr>
            <w:tcW w:w="507" w:type="pct"/>
            <w:tcBorders>
              <w:top w:val="nil"/>
              <w:left w:val="nil"/>
              <w:bottom w:val="nil"/>
              <w:right w:val="nil"/>
            </w:tcBorders>
            <w:shd w:val="clear" w:color="000000" w:fill="DBE5F1"/>
            <w:noWrap/>
            <w:tcMar>
              <w:top w:w="15" w:type="dxa"/>
              <w:left w:w="15" w:type="dxa"/>
              <w:bottom w:w="0" w:type="dxa"/>
              <w:right w:w="15" w:type="dxa"/>
            </w:tcMar>
            <w:vAlign w:val="bottom"/>
            <w:hideMark/>
          </w:tcPr>
          <w:p w:rsidR="00D969E4" w:rsidRPr="00C76102" w:rsidRDefault="00D969E4" w:rsidP="00FB0610">
            <w:pPr>
              <w:spacing w:after="0"/>
              <w:rPr>
                <w:rFonts w:cstheme="minorHAnsi"/>
                <w:lang w:val="en-GB"/>
              </w:rPr>
            </w:pPr>
            <w:r w:rsidRPr="00C76102">
              <w:rPr>
                <w:rFonts w:cstheme="minorHAnsi"/>
                <w:lang w:val="en-GB"/>
              </w:rPr>
              <w:t> </w:t>
            </w:r>
          </w:p>
        </w:tc>
        <w:tc>
          <w:tcPr>
            <w:tcW w:w="431" w:type="pct"/>
            <w:tcBorders>
              <w:top w:val="nil"/>
              <w:left w:val="nil"/>
              <w:bottom w:val="nil"/>
              <w:right w:val="nil"/>
            </w:tcBorders>
            <w:shd w:val="clear" w:color="000000" w:fill="DBE5F1"/>
            <w:noWrap/>
            <w:tcMar>
              <w:top w:w="15" w:type="dxa"/>
              <w:left w:w="15" w:type="dxa"/>
              <w:bottom w:w="0" w:type="dxa"/>
              <w:right w:w="15" w:type="dxa"/>
            </w:tcMar>
            <w:vAlign w:val="bottom"/>
            <w:hideMark/>
          </w:tcPr>
          <w:p w:rsidR="00D969E4" w:rsidRPr="00C76102" w:rsidRDefault="00D969E4" w:rsidP="00FB0610">
            <w:pPr>
              <w:spacing w:after="0"/>
              <w:rPr>
                <w:rFonts w:cstheme="minorHAnsi"/>
                <w:bCs/>
                <w:lang w:val="en-GB"/>
              </w:rPr>
            </w:pPr>
            <w:r w:rsidRPr="00C76102">
              <w:rPr>
                <w:rFonts w:cstheme="minorHAnsi"/>
                <w:bCs/>
                <w:lang w:val="en-GB"/>
              </w:rPr>
              <w:t> </w:t>
            </w:r>
          </w:p>
        </w:tc>
      </w:tr>
      <w:tr w:rsidR="00D969E4" w:rsidRPr="00C76102" w:rsidTr="00FB0610">
        <w:trPr>
          <w:trHeight w:val="255"/>
        </w:trPr>
        <w:tc>
          <w:tcPr>
            <w:tcW w:w="4062" w:type="pct"/>
            <w:tcBorders>
              <w:top w:val="nil"/>
              <w:left w:val="nil"/>
              <w:bottom w:val="nil"/>
              <w:right w:val="nil"/>
            </w:tcBorders>
            <w:shd w:val="clear" w:color="000000" w:fill="FFFFFF"/>
            <w:noWrap/>
            <w:tcMar>
              <w:top w:w="15" w:type="dxa"/>
              <w:left w:w="15" w:type="dxa"/>
              <w:bottom w:w="0" w:type="dxa"/>
              <w:right w:w="15" w:type="dxa"/>
            </w:tcMar>
            <w:vAlign w:val="bottom"/>
            <w:hideMark/>
          </w:tcPr>
          <w:p w:rsidR="00D969E4" w:rsidRPr="00C76102" w:rsidRDefault="00A31C4A" w:rsidP="00FB0610">
            <w:pPr>
              <w:spacing w:after="0"/>
              <w:rPr>
                <w:rFonts w:cstheme="minorHAnsi"/>
                <w:lang w:val="en-GB"/>
              </w:rPr>
            </w:pPr>
            <w:r w:rsidRPr="00C76102">
              <w:rPr>
                <w:rFonts w:cstheme="minorHAnsi"/>
                <w:lang w:val="en-GB"/>
              </w:rPr>
              <w:t>Interest Rate</w:t>
            </w:r>
            <w:r w:rsidR="00D969E4" w:rsidRPr="00C76102">
              <w:rPr>
                <w:rFonts w:cstheme="minorHAnsi"/>
                <w:lang w:val="en-GB"/>
              </w:rPr>
              <w:t xml:space="preserve"> It</w:t>
            </w:r>
          </w:p>
        </w:tc>
        <w:tc>
          <w:tcPr>
            <w:tcW w:w="507" w:type="pct"/>
            <w:tcBorders>
              <w:top w:val="nil"/>
              <w:left w:val="nil"/>
              <w:bottom w:val="nil"/>
              <w:right w:val="nil"/>
            </w:tcBorders>
            <w:shd w:val="clear" w:color="000000" w:fill="FFFFFF"/>
            <w:noWrap/>
            <w:tcMar>
              <w:top w:w="15" w:type="dxa"/>
              <w:left w:w="15" w:type="dxa"/>
              <w:bottom w:w="0" w:type="dxa"/>
              <w:right w:w="15" w:type="dxa"/>
            </w:tcMar>
            <w:vAlign w:val="bottom"/>
            <w:hideMark/>
          </w:tcPr>
          <w:p w:rsidR="00D969E4" w:rsidRPr="00C76102" w:rsidRDefault="00D969E4" w:rsidP="00FB0610">
            <w:pPr>
              <w:spacing w:after="0"/>
              <w:jc w:val="center"/>
              <w:rPr>
                <w:rFonts w:cstheme="minorHAnsi"/>
                <w:lang w:val="en-GB"/>
              </w:rPr>
            </w:pPr>
            <w:r w:rsidRPr="00C76102">
              <w:rPr>
                <w:rFonts w:cstheme="minorHAnsi"/>
                <w:lang w:val="en-GB"/>
              </w:rPr>
              <w:t>%</w:t>
            </w:r>
          </w:p>
        </w:tc>
        <w:tc>
          <w:tcPr>
            <w:tcW w:w="431" w:type="pct"/>
            <w:tcBorders>
              <w:top w:val="nil"/>
              <w:left w:val="nil"/>
              <w:bottom w:val="nil"/>
              <w:right w:val="nil"/>
            </w:tcBorders>
            <w:shd w:val="clear" w:color="000000" w:fill="FFFFFF"/>
            <w:tcMar>
              <w:top w:w="15" w:type="dxa"/>
              <w:left w:w="15" w:type="dxa"/>
              <w:bottom w:w="0" w:type="dxa"/>
              <w:right w:w="15" w:type="dxa"/>
            </w:tcMar>
            <w:vAlign w:val="bottom"/>
            <w:hideMark/>
          </w:tcPr>
          <w:p w:rsidR="00D969E4" w:rsidRPr="00C76102" w:rsidRDefault="000052C4" w:rsidP="00FB0610">
            <w:pPr>
              <w:spacing w:after="0"/>
              <w:jc w:val="right"/>
              <w:rPr>
                <w:rFonts w:cstheme="minorHAnsi"/>
                <w:lang w:val="en-GB"/>
              </w:rPr>
            </w:pPr>
            <w:r w:rsidRPr="00C76102">
              <w:rPr>
                <w:rFonts w:cstheme="minorHAnsi"/>
                <w:lang w:val="en-GB"/>
              </w:rPr>
              <w:t>6.85</w:t>
            </w:r>
            <w:r w:rsidR="00D969E4" w:rsidRPr="00C76102">
              <w:rPr>
                <w:rFonts w:cstheme="minorHAnsi"/>
                <w:lang w:val="en-GB"/>
              </w:rPr>
              <w:t>%</w:t>
            </w:r>
          </w:p>
        </w:tc>
      </w:tr>
      <w:tr w:rsidR="00D969E4" w:rsidRPr="00C76102" w:rsidTr="00FB0610">
        <w:trPr>
          <w:trHeight w:val="255"/>
        </w:trPr>
        <w:tc>
          <w:tcPr>
            <w:tcW w:w="4062" w:type="pct"/>
            <w:tcBorders>
              <w:top w:val="nil"/>
              <w:left w:val="nil"/>
              <w:bottom w:val="nil"/>
              <w:right w:val="nil"/>
            </w:tcBorders>
            <w:shd w:val="clear" w:color="000000" w:fill="DBE5F1"/>
            <w:noWrap/>
            <w:tcMar>
              <w:top w:w="15" w:type="dxa"/>
              <w:left w:w="15" w:type="dxa"/>
              <w:bottom w:w="0" w:type="dxa"/>
              <w:right w:w="15" w:type="dxa"/>
            </w:tcMar>
            <w:vAlign w:val="bottom"/>
            <w:hideMark/>
          </w:tcPr>
          <w:p w:rsidR="00D969E4" w:rsidRPr="00C76102" w:rsidRDefault="00A31C4A" w:rsidP="00FB0610">
            <w:pPr>
              <w:spacing w:after="0"/>
              <w:rPr>
                <w:rFonts w:cstheme="minorHAnsi"/>
                <w:bCs/>
                <w:lang w:val="en-GB"/>
              </w:rPr>
            </w:pPr>
            <w:r w:rsidRPr="00C76102">
              <w:rPr>
                <w:rFonts w:cstheme="minorHAnsi"/>
                <w:bCs/>
                <w:lang w:val="en-GB"/>
              </w:rPr>
              <w:t>Retail costs of the Supplier</w:t>
            </w:r>
          </w:p>
        </w:tc>
        <w:tc>
          <w:tcPr>
            <w:tcW w:w="507" w:type="pct"/>
            <w:tcBorders>
              <w:top w:val="nil"/>
              <w:left w:val="nil"/>
              <w:bottom w:val="nil"/>
              <w:right w:val="nil"/>
            </w:tcBorders>
            <w:shd w:val="clear" w:color="000000" w:fill="DBE5F1"/>
            <w:noWrap/>
            <w:tcMar>
              <w:top w:w="15" w:type="dxa"/>
              <w:left w:w="15" w:type="dxa"/>
              <w:bottom w:w="0" w:type="dxa"/>
              <w:right w:w="15" w:type="dxa"/>
            </w:tcMar>
            <w:vAlign w:val="bottom"/>
            <w:hideMark/>
          </w:tcPr>
          <w:p w:rsidR="00D969E4" w:rsidRPr="00C76102" w:rsidRDefault="00D969E4" w:rsidP="00FB0610">
            <w:pPr>
              <w:spacing w:after="0"/>
              <w:rPr>
                <w:rFonts w:cstheme="minorHAnsi"/>
                <w:lang w:val="en-GB"/>
              </w:rPr>
            </w:pPr>
            <w:r w:rsidRPr="00C76102">
              <w:rPr>
                <w:rFonts w:cstheme="minorHAnsi"/>
                <w:lang w:val="en-GB"/>
              </w:rPr>
              <w:t> </w:t>
            </w:r>
          </w:p>
        </w:tc>
        <w:tc>
          <w:tcPr>
            <w:tcW w:w="431" w:type="pct"/>
            <w:tcBorders>
              <w:top w:val="nil"/>
              <w:left w:val="nil"/>
              <w:bottom w:val="nil"/>
              <w:right w:val="nil"/>
            </w:tcBorders>
            <w:shd w:val="clear" w:color="000000" w:fill="DBE5F1"/>
            <w:noWrap/>
            <w:tcMar>
              <w:top w:w="15" w:type="dxa"/>
              <w:left w:w="15" w:type="dxa"/>
              <w:bottom w:w="0" w:type="dxa"/>
              <w:right w:w="15" w:type="dxa"/>
            </w:tcMar>
            <w:vAlign w:val="bottom"/>
            <w:hideMark/>
          </w:tcPr>
          <w:p w:rsidR="00D969E4" w:rsidRPr="00C76102" w:rsidRDefault="00D969E4" w:rsidP="00FB0610">
            <w:pPr>
              <w:spacing w:after="0"/>
              <w:rPr>
                <w:rFonts w:cstheme="minorHAnsi"/>
                <w:bCs/>
                <w:lang w:val="en-GB"/>
              </w:rPr>
            </w:pPr>
            <w:r w:rsidRPr="00C76102">
              <w:rPr>
                <w:rFonts w:cstheme="minorHAnsi"/>
                <w:bCs/>
                <w:lang w:val="en-GB"/>
              </w:rPr>
              <w:t> </w:t>
            </w:r>
          </w:p>
        </w:tc>
      </w:tr>
      <w:tr w:rsidR="00D969E4" w:rsidRPr="00C76102" w:rsidTr="00FB0610">
        <w:trPr>
          <w:trHeight w:val="285"/>
        </w:trPr>
        <w:tc>
          <w:tcPr>
            <w:tcW w:w="4062" w:type="pct"/>
            <w:tcBorders>
              <w:top w:val="nil"/>
              <w:left w:val="nil"/>
              <w:bottom w:val="nil"/>
              <w:right w:val="nil"/>
            </w:tcBorders>
            <w:shd w:val="clear" w:color="000000" w:fill="FFFFFF"/>
            <w:noWrap/>
            <w:tcMar>
              <w:top w:w="15" w:type="dxa"/>
              <w:left w:w="15" w:type="dxa"/>
              <w:bottom w:w="0" w:type="dxa"/>
              <w:right w:w="15" w:type="dxa"/>
            </w:tcMar>
            <w:vAlign w:val="bottom"/>
            <w:hideMark/>
          </w:tcPr>
          <w:p w:rsidR="00D969E4" w:rsidRPr="00C76102" w:rsidRDefault="00D969E4" w:rsidP="00FB0610">
            <w:pPr>
              <w:spacing w:after="0"/>
              <w:rPr>
                <w:rFonts w:cstheme="minorHAnsi"/>
                <w:lang w:val="en-GB"/>
              </w:rPr>
            </w:pPr>
            <w:r w:rsidRPr="00C76102">
              <w:rPr>
                <w:rFonts w:cstheme="minorHAnsi"/>
                <w:lang w:val="en-GB"/>
              </w:rPr>
              <w:t xml:space="preserve">OPEX - </w:t>
            </w:r>
            <w:proofErr w:type="spellStart"/>
            <w:r w:rsidRPr="00C76102">
              <w:rPr>
                <w:rFonts w:cstheme="minorHAnsi"/>
                <w:lang w:val="en-GB"/>
              </w:rPr>
              <w:t>OPMC</w:t>
            </w:r>
            <w:r w:rsidRPr="00C76102">
              <w:rPr>
                <w:rFonts w:cstheme="minorHAnsi"/>
                <w:color w:val="000000"/>
                <w:vertAlign w:val="subscript"/>
                <w:lang w:val="en-GB"/>
              </w:rPr>
              <w:t>t</w:t>
            </w:r>
            <w:proofErr w:type="spellEnd"/>
            <w:r w:rsidRPr="00C76102">
              <w:rPr>
                <w:rFonts w:cstheme="minorHAnsi"/>
                <w:color w:val="000000"/>
                <w:lang w:val="en-GB"/>
              </w:rPr>
              <w:t xml:space="preserve"> = OPMC</w:t>
            </w:r>
            <w:r w:rsidRPr="00C76102">
              <w:rPr>
                <w:rFonts w:cstheme="minorHAnsi"/>
                <w:color w:val="000000"/>
                <w:vertAlign w:val="subscript"/>
                <w:lang w:val="en-GB"/>
              </w:rPr>
              <w:t>t-1</w:t>
            </w:r>
            <w:r w:rsidRPr="00C76102">
              <w:rPr>
                <w:rFonts w:cstheme="minorHAnsi"/>
                <w:color w:val="000000"/>
                <w:lang w:val="en-GB"/>
              </w:rPr>
              <w:t xml:space="preserve"> * (1 + CPI</w:t>
            </w:r>
            <w:r w:rsidRPr="00C76102">
              <w:rPr>
                <w:rFonts w:cstheme="minorHAnsi"/>
                <w:color w:val="000000"/>
                <w:vertAlign w:val="subscript"/>
                <w:lang w:val="en-GB"/>
              </w:rPr>
              <w:t>t-1</w:t>
            </w:r>
            <w:r w:rsidRPr="00C76102">
              <w:rPr>
                <w:rFonts w:cstheme="minorHAnsi"/>
                <w:color w:val="000000"/>
                <w:lang w:val="en-GB"/>
              </w:rPr>
              <w:t>) * (1 – E</w:t>
            </w:r>
            <w:r w:rsidRPr="00C76102">
              <w:rPr>
                <w:rFonts w:cstheme="minorHAnsi"/>
                <w:color w:val="000000"/>
                <w:vertAlign w:val="subscript"/>
                <w:lang w:val="en-GB"/>
              </w:rPr>
              <w:t>t</w:t>
            </w:r>
            <w:r w:rsidRPr="00C76102">
              <w:rPr>
                <w:rFonts w:cstheme="minorHAnsi"/>
                <w:color w:val="000000"/>
                <w:lang w:val="en-GB"/>
              </w:rPr>
              <w:t>)* (1 – P</w:t>
            </w:r>
            <w:r w:rsidRPr="00C76102">
              <w:rPr>
                <w:rFonts w:cstheme="minorHAnsi"/>
                <w:color w:val="000000"/>
                <w:vertAlign w:val="subscript"/>
                <w:lang w:val="en-GB"/>
              </w:rPr>
              <w:t>t</w:t>
            </w:r>
            <w:r w:rsidRPr="00C76102">
              <w:rPr>
                <w:rFonts w:cstheme="minorHAnsi"/>
                <w:color w:val="000000"/>
                <w:lang w:val="en-GB"/>
              </w:rPr>
              <w:t>)</w:t>
            </w:r>
          </w:p>
        </w:tc>
        <w:tc>
          <w:tcPr>
            <w:tcW w:w="507" w:type="pct"/>
            <w:tcBorders>
              <w:top w:val="nil"/>
              <w:left w:val="nil"/>
              <w:bottom w:val="nil"/>
              <w:right w:val="nil"/>
            </w:tcBorders>
            <w:shd w:val="clear" w:color="000000" w:fill="FFFFFF"/>
            <w:noWrap/>
            <w:tcMar>
              <w:top w:w="15" w:type="dxa"/>
              <w:left w:w="15" w:type="dxa"/>
              <w:bottom w:w="0" w:type="dxa"/>
              <w:right w:w="15" w:type="dxa"/>
            </w:tcMar>
            <w:vAlign w:val="bottom"/>
            <w:hideMark/>
          </w:tcPr>
          <w:p w:rsidR="00D969E4" w:rsidRPr="00C76102" w:rsidRDefault="00D969E4" w:rsidP="00FB0610">
            <w:pPr>
              <w:spacing w:after="0"/>
              <w:jc w:val="center"/>
              <w:rPr>
                <w:rFonts w:cstheme="minorHAnsi"/>
                <w:lang w:val="en-GB"/>
              </w:rPr>
            </w:pPr>
            <w:r w:rsidRPr="00C76102">
              <w:rPr>
                <w:rFonts w:cstheme="minorHAnsi"/>
                <w:lang w:val="en-GB"/>
              </w:rPr>
              <w:t>€m</w:t>
            </w:r>
          </w:p>
        </w:tc>
        <w:tc>
          <w:tcPr>
            <w:tcW w:w="431" w:type="pct"/>
            <w:tcBorders>
              <w:top w:val="nil"/>
              <w:left w:val="nil"/>
              <w:bottom w:val="nil"/>
              <w:right w:val="nil"/>
            </w:tcBorders>
            <w:shd w:val="clear" w:color="000000" w:fill="FFFFFF"/>
            <w:noWrap/>
            <w:tcMar>
              <w:top w:w="15" w:type="dxa"/>
              <w:left w:w="15" w:type="dxa"/>
              <w:bottom w:w="0" w:type="dxa"/>
              <w:right w:w="15" w:type="dxa"/>
            </w:tcMar>
            <w:vAlign w:val="bottom"/>
            <w:hideMark/>
          </w:tcPr>
          <w:p w:rsidR="00D969E4" w:rsidRPr="00C76102" w:rsidRDefault="003F1A9B" w:rsidP="000052C4">
            <w:pPr>
              <w:spacing w:after="0"/>
              <w:jc w:val="right"/>
              <w:rPr>
                <w:rFonts w:cstheme="minorHAnsi"/>
                <w:lang w:val="en-GB"/>
              </w:rPr>
            </w:pPr>
            <w:r w:rsidRPr="00C76102">
              <w:rPr>
                <w:rFonts w:cstheme="minorHAnsi"/>
                <w:lang w:val="en-GB"/>
              </w:rPr>
              <w:t>4.6</w:t>
            </w:r>
          </w:p>
        </w:tc>
      </w:tr>
      <w:tr w:rsidR="00D969E4" w:rsidRPr="00C76102" w:rsidTr="00FB0610">
        <w:trPr>
          <w:trHeight w:val="255"/>
        </w:trPr>
        <w:tc>
          <w:tcPr>
            <w:tcW w:w="4062" w:type="pct"/>
            <w:tcBorders>
              <w:top w:val="nil"/>
              <w:left w:val="nil"/>
              <w:bottom w:val="nil"/>
              <w:right w:val="nil"/>
            </w:tcBorders>
            <w:shd w:val="clear" w:color="000000" w:fill="FFFFFF"/>
            <w:noWrap/>
            <w:tcMar>
              <w:top w:w="15" w:type="dxa"/>
              <w:left w:w="15" w:type="dxa"/>
              <w:bottom w:w="0" w:type="dxa"/>
              <w:right w:w="15" w:type="dxa"/>
            </w:tcMar>
            <w:vAlign w:val="bottom"/>
            <w:hideMark/>
          </w:tcPr>
          <w:p w:rsidR="00D969E4" w:rsidRPr="00C76102" w:rsidRDefault="00A31C4A" w:rsidP="00FB0610">
            <w:pPr>
              <w:spacing w:after="0"/>
              <w:rPr>
                <w:rFonts w:cstheme="minorHAnsi"/>
                <w:lang w:val="en-GB"/>
              </w:rPr>
            </w:pPr>
            <w:r w:rsidRPr="00C76102">
              <w:rPr>
                <w:rFonts w:cstheme="minorHAnsi"/>
                <w:lang w:val="en-GB"/>
              </w:rPr>
              <w:t xml:space="preserve">Depreciation </w:t>
            </w:r>
            <w:r w:rsidR="00D969E4" w:rsidRPr="00C76102">
              <w:rPr>
                <w:rFonts w:cstheme="minorHAnsi"/>
                <w:lang w:val="en-GB"/>
              </w:rPr>
              <w:t xml:space="preserve">- </w:t>
            </w:r>
            <w:proofErr w:type="spellStart"/>
            <w:r w:rsidR="00D969E4" w:rsidRPr="00C76102">
              <w:rPr>
                <w:rFonts w:cstheme="minorHAnsi"/>
                <w:lang w:val="en-GB"/>
              </w:rPr>
              <w:t>DEPCt</w:t>
            </w:r>
            <w:proofErr w:type="spellEnd"/>
            <w:r w:rsidR="00D969E4" w:rsidRPr="00C76102">
              <w:rPr>
                <w:rFonts w:cstheme="minorHAnsi"/>
                <w:lang w:val="en-GB"/>
              </w:rPr>
              <w:t xml:space="preserve"> = DEPCt-1 * (1 + CPIt-1) * (1 – Pt)</w:t>
            </w:r>
          </w:p>
        </w:tc>
        <w:tc>
          <w:tcPr>
            <w:tcW w:w="507" w:type="pct"/>
            <w:tcBorders>
              <w:top w:val="nil"/>
              <w:left w:val="nil"/>
              <w:bottom w:val="nil"/>
              <w:right w:val="nil"/>
            </w:tcBorders>
            <w:shd w:val="clear" w:color="000000" w:fill="FFFFFF"/>
            <w:noWrap/>
            <w:tcMar>
              <w:top w:w="15" w:type="dxa"/>
              <w:left w:w="15" w:type="dxa"/>
              <w:bottom w:w="0" w:type="dxa"/>
              <w:right w:w="15" w:type="dxa"/>
            </w:tcMar>
            <w:vAlign w:val="bottom"/>
            <w:hideMark/>
          </w:tcPr>
          <w:p w:rsidR="00D969E4" w:rsidRPr="00C76102" w:rsidRDefault="00D969E4" w:rsidP="00FB0610">
            <w:pPr>
              <w:spacing w:after="0"/>
              <w:jc w:val="center"/>
              <w:rPr>
                <w:rFonts w:cstheme="minorHAnsi"/>
                <w:lang w:val="en-GB"/>
              </w:rPr>
            </w:pPr>
            <w:r w:rsidRPr="00C76102">
              <w:rPr>
                <w:rFonts w:cstheme="minorHAnsi"/>
                <w:lang w:val="en-GB"/>
              </w:rPr>
              <w:t>€m</w:t>
            </w:r>
          </w:p>
        </w:tc>
        <w:tc>
          <w:tcPr>
            <w:tcW w:w="431" w:type="pct"/>
            <w:tcBorders>
              <w:top w:val="nil"/>
              <w:left w:val="nil"/>
              <w:bottom w:val="nil"/>
              <w:right w:val="nil"/>
            </w:tcBorders>
            <w:shd w:val="clear" w:color="000000" w:fill="FFFFFF"/>
            <w:noWrap/>
            <w:tcMar>
              <w:top w:w="15" w:type="dxa"/>
              <w:left w:w="15" w:type="dxa"/>
              <w:bottom w:w="0" w:type="dxa"/>
              <w:right w:w="15" w:type="dxa"/>
            </w:tcMar>
            <w:vAlign w:val="bottom"/>
            <w:hideMark/>
          </w:tcPr>
          <w:p w:rsidR="00D969E4" w:rsidRPr="00C76102" w:rsidRDefault="00724223" w:rsidP="00FB0610">
            <w:pPr>
              <w:spacing w:after="0"/>
              <w:jc w:val="right"/>
              <w:rPr>
                <w:rFonts w:cstheme="minorHAnsi"/>
                <w:lang w:val="en-GB"/>
              </w:rPr>
            </w:pPr>
            <w:r w:rsidRPr="00C76102">
              <w:rPr>
                <w:rFonts w:cstheme="minorHAnsi"/>
                <w:lang w:val="en-GB"/>
              </w:rPr>
              <w:t>0.1</w:t>
            </w:r>
          </w:p>
        </w:tc>
      </w:tr>
      <w:tr w:rsidR="00D969E4" w:rsidRPr="00C76102" w:rsidTr="00FB0610">
        <w:trPr>
          <w:trHeight w:val="255"/>
        </w:trPr>
        <w:tc>
          <w:tcPr>
            <w:tcW w:w="4062" w:type="pct"/>
            <w:tcBorders>
              <w:top w:val="nil"/>
              <w:left w:val="nil"/>
              <w:bottom w:val="nil"/>
              <w:right w:val="nil"/>
            </w:tcBorders>
            <w:shd w:val="clear" w:color="000000" w:fill="DBE5F1"/>
            <w:noWrap/>
            <w:tcMar>
              <w:top w:w="15" w:type="dxa"/>
              <w:left w:w="15" w:type="dxa"/>
              <w:bottom w:w="0" w:type="dxa"/>
              <w:right w:w="15" w:type="dxa"/>
            </w:tcMar>
            <w:vAlign w:val="bottom"/>
            <w:hideMark/>
          </w:tcPr>
          <w:p w:rsidR="00D969E4" w:rsidRPr="00C76102" w:rsidRDefault="00137AB8" w:rsidP="00FB0610">
            <w:pPr>
              <w:spacing w:after="0"/>
              <w:rPr>
                <w:rFonts w:cstheme="minorHAnsi"/>
                <w:bCs/>
                <w:lang w:val="en-GB"/>
              </w:rPr>
            </w:pPr>
            <w:r w:rsidRPr="00C76102">
              <w:rPr>
                <w:rFonts w:cstheme="minorHAnsi"/>
                <w:bCs/>
                <w:lang w:val="en-GB"/>
              </w:rPr>
              <w:t>Pass</w:t>
            </w:r>
            <w:r w:rsidR="00135B42" w:rsidRPr="00C76102">
              <w:rPr>
                <w:rFonts w:cstheme="minorHAnsi"/>
                <w:bCs/>
                <w:lang w:val="en-GB"/>
              </w:rPr>
              <w:t>-through costs</w:t>
            </w:r>
          </w:p>
        </w:tc>
        <w:tc>
          <w:tcPr>
            <w:tcW w:w="507" w:type="pct"/>
            <w:tcBorders>
              <w:top w:val="nil"/>
              <w:left w:val="nil"/>
              <w:bottom w:val="nil"/>
              <w:right w:val="nil"/>
            </w:tcBorders>
            <w:shd w:val="clear" w:color="000000" w:fill="DBE5F1"/>
            <w:noWrap/>
            <w:tcMar>
              <w:top w:w="15" w:type="dxa"/>
              <w:left w:w="15" w:type="dxa"/>
              <w:bottom w:w="0" w:type="dxa"/>
              <w:right w:w="15" w:type="dxa"/>
            </w:tcMar>
            <w:vAlign w:val="bottom"/>
            <w:hideMark/>
          </w:tcPr>
          <w:p w:rsidR="00D969E4" w:rsidRPr="00C76102" w:rsidRDefault="00D969E4" w:rsidP="00FB0610">
            <w:pPr>
              <w:spacing w:after="0"/>
              <w:rPr>
                <w:rFonts w:cstheme="minorHAnsi"/>
                <w:lang w:val="en-GB"/>
              </w:rPr>
            </w:pPr>
            <w:r w:rsidRPr="00C76102">
              <w:rPr>
                <w:rFonts w:cstheme="minorHAnsi"/>
                <w:lang w:val="en-GB"/>
              </w:rPr>
              <w:t> </w:t>
            </w:r>
          </w:p>
        </w:tc>
        <w:tc>
          <w:tcPr>
            <w:tcW w:w="431" w:type="pct"/>
            <w:tcBorders>
              <w:top w:val="nil"/>
              <w:left w:val="nil"/>
              <w:bottom w:val="nil"/>
              <w:right w:val="nil"/>
            </w:tcBorders>
            <w:shd w:val="clear" w:color="000000" w:fill="DBE5F1"/>
            <w:noWrap/>
            <w:tcMar>
              <w:top w:w="15" w:type="dxa"/>
              <w:left w:w="15" w:type="dxa"/>
              <w:bottom w:w="0" w:type="dxa"/>
              <w:right w:w="15" w:type="dxa"/>
            </w:tcMar>
            <w:vAlign w:val="bottom"/>
            <w:hideMark/>
          </w:tcPr>
          <w:p w:rsidR="00D969E4" w:rsidRPr="00C76102" w:rsidRDefault="00D969E4" w:rsidP="00FB0610">
            <w:pPr>
              <w:spacing w:after="0"/>
              <w:rPr>
                <w:rFonts w:cstheme="minorHAnsi"/>
                <w:bCs/>
                <w:lang w:val="en-GB"/>
              </w:rPr>
            </w:pPr>
            <w:r w:rsidRPr="00C76102">
              <w:rPr>
                <w:rFonts w:cstheme="minorHAnsi"/>
                <w:bCs/>
                <w:lang w:val="en-GB"/>
              </w:rPr>
              <w:t> </w:t>
            </w:r>
          </w:p>
        </w:tc>
      </w:tr>
      <w:tr w:rsidR="00D969E4" w:rsidRPr="00C76102" w:rsidTr="00FB0610">
        <w:trPr>
          <w:trHeight w:val="255"/>
        </w:trPr>
        <w:tc>
          <w:tcPr>
            <w:tcW w:w="4062" w:type="pct"/>
            <w:tcBorders>
              <w:top w:val="nil"/>
              <w:left w:val="nil"/>
              <w:bottom w:val="nil"/>
              <w:right w:val="nil"/>
            </w:tcBorders>
            <w:shd w:val="clear" w:color="000000" w:fill="FFFFFF"/>
            <w:noWrap/>
            <w:tcMar>
              <w:top w:w="15" w:type="dxa"/>
              <w:left w:w="15" w:type="dxa"/>
              <w:bottom w:w="0" w:type="dxa"/>
              <w:right w:w="15" w:type="dxa"/>
            </w:tcMar>
            <w:vAlign w:val="bottom"/>
            <w:hideMark/>
          </w:tcPr>
          <w:p w:rsidR="00D969E4" w:rsidRPr="00C76102" w:rsidRDefault="00135B42" w:rsidP="00FB0610">
            <w:pPr>
              <w:spacing w:after="0"/>
              <w:rPr>
                <w:rFonts w:cstheme="minorHAnsi"/>
                <w:lang w:val="en-GB"/>
              </w:rPr>
            </w:pPr>
            <w:r w:rsidRPr="00C76102">
              <w:rPr>
                <w:rFonts w:cstheme="minorHAnsi"/>
                <w:lang w:val="en-GB"/>
              </w:rPr>
              <w:t>TSO Costs</w:t>
            </w:r>
          </w:p>
        </w:tc>
        <w:tc>
          <w:tcPr>
            <w:tcW w:w="507" w:type="pct"/>
            <w:tcBorders>
              <w:top w:val="nil"/>
              <w:left w:val="nil"/>
              <w:bottom w:val="nil"/>
              <w:right w:val="nil"/>
            </w:tcBorders>
            <w:shd w:val="clear" w:color="000000" w:fill="FFFFFF"/>
            <w:noWrap/>
            <w:tcMar>
              <w:top w:w="15" w:type="dxa"/>
              <w:left w:w="15" w:type="dxa"/>
              <w:bottom w:w="0" w:type="dxa"/>
              <w:right w:w="15" w:type="dxa"/>
            </w:tcMar>
            <w:vAlign w:val="bottom"/>
            <w:hideMark/>
          </w:tcPr>
          <w:p w:rsidR="00D969E4" w:rsidRPr="00C76102" w:rsidRDefault="00D969E4" w:rsidP="00FB0610">
            <w:pPr>
              <w:spacing w:after="0"/>
              <w:jc w:val="center"/>
              <w:rPr>
                <w:rFonts w:cstheme="minorHAnsi"/>
                <w:lang w:val="en-GB"/>
              </w:rPr>
            </w:pPr>
            <w:r w:rsidRPr="00C76102">
              <w:rPr>
                <w:rFonts w:cstheme="minorHAnsi"/>
                <w:lang w:val="en-GB"/>
              </w:rPr>
              <w:t>€m</w:t>
            </w:r>
          </w:p>
        </w:tc>
        <w:tc>
          <w:tcPr>
            <w:tcW w:w="431" w:type="pct"/>
            <w:tcBorders>
              <w:top w:val="nil"/>
              <w:left w:val="nil"/>
              <w:bottom w:val="nil"/>
              <w:right w:val="nil"/>
            </w:tcBorders>
            <w:shd w:val="clear" w:color="000000" w:fill="FFFFFF"/>
            <w:noWrap/>
            <w:tcMar>
              <w:top w:w="15" w:type="dxa"/>
              <w:left w:w="15" w:type="dxa"/>
              <w:bottom w:w="0" w:type="dxa"/>
              <w:right w:w="15" w:type="dxa"/>
            </w:tcMar>
            <w:vAlign w:val="bottom"/>
            <w:hideMark/>
          </w:tcPr>
          <w:p w:rsidR="00D969E4" w:rsidRPr="00C76102" w:rsidRDefault="003F1A9B" w:rsidP="00FB0610">
            <w:pPr>
              <w:spacing w:after="0"/>
              <w:jc w:val="right"/>
              <w:rPr>
                <w:rFonts w:cstheme="minorHAnsi"/>
                <w:lang w:val="en-GB"/>
              </w:rPr>
            </w:pPr>
            <w:r w:rsidRPr="00C76102">
              <w:rPr>
                <w:rFonts w:cstheme="minorHAnsi"/>
                <w:lang w:val="en-GB"/>
              </w:rPr>
              <w:t>14.3</w:t>
            </w:r>
          </w:p>
        </w:tc>
      </w:tr>
      <w:tr w:rsidR="00D969E4" w:rsidRPr="00C76102" w:rsidTr="00FB0610">
        <w:trPr>
          <w:trHeight w:val="255"/>
        </w:trPr>
        <w:tc>
          <w:tcPr>
            <w:tcW w:w="4062" w:type="pct"/>
            <w:tcBorders>
              <w:top w:val="nil"/>
              <w:left w:val="nil"/>
              <w:bottom w:val="nil"/>
              <w:right w:val="nil"/>
            </w:tcBorders>
            <w:shd w:val="clear" w:color="000000" w:fill="FFFFFF"/>
            <w:noWrap/>
            <w:tcMar>
              <w:top w:w="15" w:type="dxa"/>
              <w:left w:w="15" w:type="dxa"/>
              <w:bottom w:w="0" w:type="dxa"/>
              <w:right w:w="15" w:type="dxa"/>
            </w:tcMar>
            <w:vAlign w:val="bottom"/>
            <w:hideMark/>
          </w:tcPr>
          <w:p w:rsidR="00D969E4" w:rsidRPr="00C76102" w:rsidRDefault="00135B42" w:rsidP="00FB0610">
            <w:pPr>
              <w:spacing w:after="0"/>
              <w:rPr>
                <w:rFonts w:cstheme="minorHAnsi"/>
                <w:lang w:val="en-GB"/>
              </w:rPr>
            </w:pPr>
            <w:r w:rsidRPr="00C76102">
              <w:rPr>
                <w:rFonts w:cstheme="minorHAnsi"/>
                <w:lang w:val="en-GB"/>
              </w:rPr>
              <w:t>DSO costs</w:t>
            </w:r>
          </w:p>
        </w:tc>
        <w:tc>
          <w:tcPr>
            <w:tcW w:w="507" w:type="pct"/>
            <w:tcBorders>
              <w:top w:val="nil"/>
              <w:left w:val="nil"/>
              <w:bottom w:val="nil"/>
              <w:right w:val="nil"/>
            </w:tcBorders>
            <w:shd w:val="clear" w:color="000000" w:fill="FFFFFF"/>
            <w:noWrap/>
            <w:tcMar>
              <w:top w:w="15" w:type="dxa"/>
              <w:left w:w="15" w:type="dxa"/>
              <w:bottom w:w="0" w:type="dxa"/>
              <w:right w:w="15" w:type="dxa"/>
            </w:tcMar>
            <w:vAlign w:val="bottom"/>
            <w:hideMark/>
          </w:tcPr>
          <w:p w:rsidR="00D969E4" w:rsidRPr="00C76102" w:rsidRDefault="00D969E4" w:rsidP="00FB0610">
            <w:pPr>
              <w:spacing w:after="0"/>
              <w:jc w:val="center"/>
              <w:rPr>
                <w:rFonts w:cstheme="minorHAnsi"/>
                <w:lang w:val="en-GB"/>
              </w:rPr>
            </w:pPr>
            <w:r w:rsidRPr="00C76102">
              <w:rPr>
                <w:rFonts w:cstheme="minorHAnsi"/>
                <w:lang w:val="en-GB"/>
              </w:rPr>
              <w:t>€m</w:t>
            </w:r>
          </w:p>
        </w:tc>
        <w:tc>
          <w:tcPr>
            <w:tcW w:w="431" w:type="pct"/>
            <w:tcBorders>
              <w:top w:val="nil"/>
              <w:left w:val="nil"/>
              <w:bottom w:val="nil"/>
              <w:right w:val="nil"/>
            </w:tcBorders>
            <w:shd w:val="clear" w:color="000000" w:fill="FFFFFF"/>
            <w:noWrap/>
            <w:tcMar>
              <w:top w:w="15" w:type="dxa"/>
              <w:left w:w="15" w:type="dxa"/>
              <w:bottom w:w="0" w:type="dxa"/>
              <w:right w:w="15" w:type="dxa"/>
            </w:tcMar>
            <w:vAlign w:val="bottom"/>
            <w:hideMark/>
          </w:tcPr>
          <w:p w:rsidR="00D969E4" w:rsidRPr="00C76102" w:rsidRDefault="003F1A9B" w:rsidP="000052C4">
            <w:pPr>
              <w:spacing w:after="0"/>
              <w:jc w:val="right"/>
              <w:rPr>
                <w:rFonts w:cstheme="minorHAnsi"/>
                <w:lang w:val="en-GB"/>
              </w:rPr>
            </w:pPr>
            <w:r w:rsidRPr="00C76102">
              <w:rPr>
                <w:rFonts w:cstheme="minorHAnsi"/>
                <w:lang w:val="en-GB"/>
              </w:rPr>
              <w:t>81.4</w:t>
            </w:r>
          </w:p>
        </w:tc>
      </w:tr>
      <w:tr w:rsidR="00D969E4" w:rsidRPr="00C76102" w:rsidTr="00D969E4">
        <w:trPr>
          <w:trHeight w:val="255"/>
        </w:trPr>
        <w:tc>
          <w:tcPr>
            <w:tcW w:w="4062" w:type="pct"/>
            <w:tcBorders>
              <w:top w:val="nil"/>
              <w:left w:val="nil"/>
              <w:bottom w:val="nil"/>
              <w:right w:val="nil"/>
            </w:tcBorders>
            <w:shd w:val="clear" w:color="auto" w:fill="FFFFFF" w:themeFill="background1"/>
            <w:noWrap/>
            <w:tcMar>
              <w:top w:w="15" w:type="dxa"/>
              <w:left w:w="15" w:type="dxa"/>
              <w:bottom w:w="0" w:type="dxa"/>
              <w:right w:w="15" w:type="dxa"/>
            </w:tcMar>
            <w:vAlign w:val="bottom"/>
            <w:hideMark/>
          </w:tcPr>
          <w:p w:rsidR="00D969E4" w:rsidRPr="00C76102" w:rsidRDefault="00135B42" w:rsidP="00FB0610">
            <w:pPr>
              <w:spacing w:after="0"/>
              <w:rPr>
                <w:rFonts w:cstheme="minorHAnsi"/>
                <w:bCs/>
                <w:lang w:val="en-GB"/>
              </w:rPr>
            </w:pPr>
            <w:r w:rsidRPr="00C76102">
              <w:rPr>
                <w:rFonts w:cstheme="minorHAnsi"/>
                <w:bCs/>
                <w:lang w:val="en-GB"/>
              </w:rPr>
              <w:t>RES Fund costs</w:t>
            </w:r>
          </w:p>
        </w:tc>
        <w:tc>
          <w:tcPr>
            <w:tcW w:w="507" w:type="pct"/>
            <w:tcBorders>
              <w:top w:val="nil"/>
              <w:left w:val="nil"/>
              <w:bottom w:val="nil"/>
              <w:right w:val="nil"/>
            </w:tcBorders>
            <w:shd w:val="clear" w:color="auto" w:fill="FFFFFF" w:themeFill="background1"/>
            <w:noWrap/>
            <w:tcMar>
              <w:top w:w="15" w:type="dxa"/>
              <w:left w:w="15" w:type="dxa"/>
              <w:bottom w:w="0" w:type="dxa"/>
              <w:right w:w="15" w:type="dxa"/>
            </w:tcMar>
            <w:vAlign w:val="bottom"/>
            <w:hideMark/>
          </w:tcPr>
          <w:p w:rsidR="00D969E4" w:rsidRPr="00C76102" w:rsidRDefault="00D969E4" w:rsidP="00D969E4">
            <w:pPr>
              <w:spacing w:after="0"/>
              <w:jc w:val="center"/>
              <w:rPr>
                <w:rFonts w:cstheme="minorHAnsi"/>
                <w:lang w:val="en-GB"/>
              </w:rPr>
            </w:pPr>
            <w:r w:rsidRPr="00C76102">
              <w:rPr>
                <w:rFonts w:cstheme="minorHAnsi"/>
                <w:lang w:val="en-GB"/>
              </w:rPr>
              <w:t>€m</w:t>
            </w:r>
          </w:p>
        </w:tc>
        <w:tc>
          <w:tcPr>
            <w:tcW w:w="431" w:type="pct"/>
            <w:tcBorders>
              <w:top w:val="nil"/>
              <w:left w:val="nil"/>
              <w:bottom w:val="nil"/>
              <w:right w:val="nil"/>
            </w:tcBorders>
            <w:shd w:val="clear" w:color="auto" w:fill="FFFFFF" w:themeFill="background1"/>
            <w:noWrap/>
            <w:tcMar>
              <w:top w:w="15" w:type="dxa"/>
              <w:left w:w="15" w:type="dxa"/>
              <w:bottom w:w="0" w:type="dxa"/>
              <w:right w:w="15" w:type="dxa"/>
            </w:tcMar>
            <w:vAlign w:val="bottom"/>
            <w:hideMark/>
          </w:tcPr>
          <w:p w:rsidR="00D969E4" w:rsidRPr="00C76102" w:rsidRDefault="003F1A9B" w:rsidP="003F1A9B">
            <w:pPr>
              <w:spacing w:after="0"/>
              <w:jc w:val="right"/>
              <w:rPr>
                <w:rFonts w:cstheme="minorHAnsi"/>
                <w:bCs/>
                <w:lang w:val="en-GB"/>
              </w:rPr>
            </w:pPr>
            <w:r w:rsidRPr="00C76102">
              <w:rPr>
                <w:rFonts w:cstheme="minorHAnsi"/>
                <w:bCs/>
                <w:lang w:val="en-GB"/>
              </w:rPr>
              <w:t>14</w:t>
            </w:r>
            <w:r w:rsidR="00724223" w:rsidRPr="00C76102">
              <w:rPr>
                <w:rFonts w:cstheme="minorHAnsi"/>
                <w:bCs/>
                <w:lang w:val="en-GB"/>
              </w:rPr>
              <w:t>.8</w:t>
            </w:r>
          </w:p>
        </w:tc>
      </w:tr>
      <w:tr w:rsidR="00D969E4" w:rsidRPr="00C76102" w:rsidTr="00FB0610">
        <w:trPr>
          <w:trHeight w:val="255"/>
        </w:trPr>
        <w:tc>
          <w:tcPr>
            <w:tcW w:w="4062" w:type="pct"/>
            <w:tcBorders>
              <w:top w:val="nil"/>
              <w:left w:val="nil"/>
              <w:bottom w:val="nil"/>
              <w:right w:val="nil"/>
            </w:tcBorders>
            <w:shd w:val="clear" w:color="000000" w:fill="DBE5F1"/>
            <w:noWrap/>
            <w:tcMar>
              <w:top w:w="15" w:type="dxa"/>
              <w:left w:w="15" w:type="dxa"/>
              <w:bottom w:w="0" w:type="dxa"/>
              <w:right w:w="15" w:type="dxa"/>
            </w:tcMar>
            <w:vAlign w:val="bottom"/>
            <w:hideMark/>
          </w:tcPr>
          <w:p w:rsidR="00D969E4" w:rsidRPr="00C76102" w:rsidRDefault="00135B42" w:rsidP="00FB0610">
            <w:pPr>
              <w:spacing w:after="0"/>
              <w:rPr>
                <w:rFonts w:cstheme="minorHAnsi"/>
                <w:bCs/>
                <w:lang w:val="en-GB"/>
              </w:rPr>
            </w:pPr>
            <w:r w:rsidRPr="00C76102">
              <w:rPr>
                <w:rFonts w:cstheme="minorHAnsi"/>
                <w:bCs/>
                <w:lang w:val="en-GB"/>
              </w:rPr>
              <w:t>Working Capital</w:t>
            </w:r>
            <w:r w:rsidR="00D969E4" w:rsidRPr="00C76102">
              <w:rPr>
                <w:rFonts w:cstheme="minorHAnsi"/>
                <w:bCs/>
                <w:lang w:val="en-GB"/>
              </w:rPr>
              <w:t xml:space="preserve"> (</w:t>
            </w:r>
            <w:proofErr w:type="spellStart"/>
            <w:r w:rsidRPr="00C76102">
              <w:rPr>
                <w:rFonts w:cstheme="minorHAnsi"/>
                <w:bCs/>
                <w:lang w:val="en-GB"/>
              </w:rPr>
              <w:t>W</w:t>
            </w:r>
            <w:r w:rsidR="00D969E4" w:rsidRPr="00C76102">
              <w:rPr>
                <w:rFonts w:cstheme="minorHAnsi"/>
                <w:bCs/>
                <w:lang w:val="en-GB"/>
              </w:rPr>
              <w:t>CLCt</w:t>
            </w:r>
            <w:proofErr w:type="spellEnd"/>
            <w:r w:rsidR="00D969E4" w:rsidRPr="00C76102">
              <w:rPr>
                <w:rFonts w:cstheme="minorHAnsi"/>
                <w:bCs/>
                <w:lang w:val="en-GB"/>
              </w:rPr>
              <w:t>)</w:t>
            </w:r>
          </w:p>
        </w:tc>
        <w:tc>
          <w:tcPr>
            <w:tcW w:w="507" w:type="pct"/>
            <w:tcBorders>
              <w:top w:val="nil"/>
              <w:left w:val="nil"/>
              <w:bottom w:val="nil"/>
              <w:right w:val="nil"/>
            </w:tcBorders>
            <w:shd w:val="clear" w:color="000000" w:fill="DBE5F1"/>
            <w:noWrap/>
            <w:tcMar>
              <w:top w:w="15" w:type="dxa"/>
              <w:left w:w="15" w:type="dxa"/>
              <w:bottom w:w="0" w:type="dxa"/>
              <w:right w:w="15" w:type="dxa"/>
            </w:tcMar>
            <w:vAlign w:val="bottom"/>
            <w:hideMark/>
          </w:tcPr>
          <w:p w:rsidR="00D969E4" w:rsidRPr="00C76102" w:rsidRDefault="00D969E4" w:rsidP="00FB0610">
            <w:pPr>
              <w:spacing w:after="0"/>
              <w:rPr>
                <w:rFonts w:cstheme="minorHAnsi"/>
                <w:lang w:val="en-GB"/>
              </w:rPr>
            </w:pPr>
            <w:r w:rsidRPr="00C76102">
              <w:rPr>
                <w:rFonts w:cstheme="minorHAnsi"/>
                <w:lang w:val="en-GB"/>
              </w:rPr>
              <w:t> </w:t>
            </w:r>
          </w:p>
        </w:tc>
        <w:tc>
          <w:tcPr>
            <w:tcW w:w="431" w:type="pct"/>
            <w:tcBorders>
              <w:top w:val="nil"/>
              <w:left w:val="nil"/>
              <w:bottom w:val="nil"/>
              <w:right w:val="nil"/>
            </w:tcBorders>
            <w:shd w:val="clear" w:color="000000" w:fill="DBE5F1"/>
            <w:noWrap/>
            <w:tcMar>
              <w:top w:w="15" w:type="dxa"/>
              <w:left w:w="15" w:type="dxa"/>
              <w:bottom w:w="0" w:type="dxa"/>
              <w:right w:w="15" w:type="dxa"/>
            </w:tcMar>
            <w:vAlign w:val="bottom"/>
            <w:hideMark/>
          </w:tcPr>
          <w:p w:rsidR="00D969E4" w:rsidRPr="00C76102" w:rsidRDefault="00D969E4" w:rsidP="00FB0610">
            <w:pPr>
              <w:spacing w:after="0"/>
              <w:rPr>
                <w:rFonts w:cstheme="minorHAnsi"/>
                <w:bCs/>
                <w:lang w:val="en-GB"/>
              </w:rPr>
            </w:pPr>
            <w:r w:rsidRPr="00C76102">
              <w:rPr>
                <w:rFonts w:cstheme="minorHAnsi"/>
                <w:bCs/>
                <w:lang w:val="en-GB"/>
              </w:rPr>
              <w:t> </w:t>
            </w:r>
          </w:p>
        </w:tc>
      </w:tr>
      <w:tr w:rsidR="00D969E4" w:rsidRPr="00C76102" w:rsidTr="00FB0610">
        <w:trPr>
          <w:trHeight w:val="255"/>
        </w:trPr>
        <w:tc>
          <w:tcPr>
            <w:tcW w:w="4062" w:type="pct"/>
            <w:tcBorders>
              <w:top w:val="nil"/>
              <w:left w:val="nil"/>
              <w:bottom w:val="nil"/>
              <w:right w:val="nil"/>
            </w:tcBorders>
            <w:shd w:val="clear" w:color="auto" w:fill="auto"/>
            <w:noWrap/>
            <w:tcMar>
              <w:top w:w="15" w:type="dxa"/>
              <w:left w:w="15" w:type="dxa"/>
              <w:bottom w:w="0" w:type="dxa"/>
              <w:right w:w="15" w:type="dxa"/>
            </w:tcMar>
            <w:vAlign w:val="bottom"/>
            <w:hideMark/>
          </w:tcPr>
          <w:p w:rsidR="00D969E4" w:rsidRPr="00C76102" w:rsidRDefault="00135B42" w:rsidP="00FB0610">
            <w:pPr>
              <w:spacing w:after="0"/>
              <w:rPr>
                <w:rFonts w:cstheme="minorHAnsi"/>
                <w:color w:val="000000"/>
                <w:lang w:val="en-GB"/>
              </w:rPr>
            </w:pPr>
            <w:r w:rsidRPr="00C76102">
              <w:rPr>
                <w:rFonts w:cstheme="minorHAnsi"/>
                <w:color w:val="000000"/>
                <w:lang w:val="en-GB"/>
              </w:rPr>
              <w:t>W</w:t>
            </w:r>
            <w:r w:rsidR="00D969E4" w:rsidRPr="00C76102">
              <w:rPr>
                <w:rFonts w:cstheme="minorHAnsi"/>
                <w:color w:val="000000"/>
                <w:lang w:val="en-GB"/>
              </w:rPr>
              <w:t>CLC= (1 / 12) * It * (</w:t>
            </w:r>
            <w:proofErr w:type="spellStart"/>
            <w:r w:rsidR="00D969E4" w:rsidRPr="00C76102">
              <w:rPr>
                <w:rFonts w:cstheme="minorHAnsi"/>
                <w:color w:val="000000"/>
                <w:lang w:val="en-GB"/>
              </w:rPr>
              <w:t>RETRt</w:t>
            </w:r>
            <w:proofErr w:type="spellEnd"/>
            <w:r w:rsidR="00D969E4" w:rsidRPr="00C76102">
              <w:rPr>
                <w:rFonts w:cstheme="minorHAnsi"/>
                <w:color w:val="000000"/>
                <w:lang w:val="en-GB"/>
              </w:rPr>
              <w:t xml:space="preserve"> + </w:t>
            </w:r>
            <w:proofErr w:type="spellStart"/>
            <w:r w:rsidRPr="00C76102">
              <w:rPr>
                <w:rFonts w:cstheme="minorHAnsi"/>
                <w:color w:val="000000"/>
                <w:lang w:val="en-GB"/>
              </w:rPr>
              <w:t>W</w:t>
            </w:r>
            <w:r w:rsidR="00D969E4" w:rsidRPr="00C76102">
              <w:rPr>
                <w:rFonts w:cstheme="minorHAnsi"/>
                <w:color w:val="000000"/>
                <w:lang w:val="en-GB"/>
              </w:rPr>
              <w:t>HPCt</w:t>
            </w:r>
            <w:proofErr w:type="spellEnd"/>
            <w:r w:rsidR="00D969E4" w:rsidRPr="00C76102">
              <w:rPr>
                <w:rFonts w:cstheme="minorHAnsi"/>
                <w:color w:val="000000"/>
                <w:lang w:val="en-GB"/>
              </w:rPr>
              <w:t xml:space="preserve"> + </w:t>
            </w:r>
            <w:proofErr w:type="spellStart"/>
            <w:r w:rsidR="00D969E4" w:rsidRPr="00C76102">
              <w:rPr>
                <w:rFonts w:cstheme="minorHAnsi"/>
                <w:color w:val="000000"/>
                <w:lang w:val="en-GB"/>
              </w:rPr>
              <w:t>PSTCt</w:t>
            </w:r>
            <w:proofErr w:type="spellEnd"/>
            <w:r w:rsidR="00D969E4" w:rsidRPr="00C76102">
              <w:rPr>
                <w:rFonts w:cstheme="minorHAnsi"/>
                <w:color w:val="000000"/>
                <w:lang w:val="en-GB"/>
              </w:rPr>
              <w:t xml:space="preserve"> - </w:t>
            </w:r>
            <w:proofErr w:type="spellStart"/>
            <w:r w:rsidR="00D969E4" w:rsidRPr="00C76102">
              <w:rPr>
                <w:rFonts w:cstheme="minorHAnsi"/>
                <w:color w:val="000000"/>
                <w:lang w:val="en-GB"/>
              </w:rPr>
              <w:t>NTFRt</w:t>
            </w:r>
            <w:proofErr w:type="spellEnd"/>
            <w:r w:rsidR="00D969E4" w:rsidRPr="00C76102">
              <w:rPr>
                <w:rFonts w:cstheme="minorHAnsi"/>
                <w:color w:val="000000"/>
                <w:lang w:val="en-GB"/>
              </w:rPr>
              <w:t>)</w:t>
            </w:r>
          </w:p>
        </w:tc>
        <w:tc>
          <w:tcPr>
            <w:tcW w:w="507" w:type="pct"/>
            <w:tcBorders>
              <w:top w:val="nil"/>
              <w:left w:val="nil"/>
              <w:bottom w:val="nil"/>
              <w:right w:val="nil"/>
            </w:tcBorders>
            <w:shd w:val="clear" w:color="000000" w:fill="FFFFFF"/>
            <w:noWrap/>
            <w:tcMar>
              <w:top w:w="15" w:type="dxa"/>
              <w:left w:w="15" w:type="dxa"/>
              <w:bottom w:w="0" w:type="dxa"/>
              <w:right w:w="15" w:type="dxa"/>
            </w:tcMar>
            <w:vAlign w:val="bottom"/>
            <w:hideMark/>
          </w:tcPr>
          <w:p w:rsidR="00D969E4" w:rsidRPr="00C76102" w:rsidRDefault="00D969E4" w:rsidP="00FB0610">
            <w:pPr>
              <w:spacing w:after="0"/>
              <w:jc w:val="center"/>
              <w:rPr>
                <w:rFonts w:cstheme="minorHAnsi"/>
                <w:lang w:val="en-GB"/>
              </w:rPr>
            </w:pPr>
            <w:r w:rsidRPr="00C76102">
              <w:rPr>
                <w:rFonts w:cstheme="minorHAnsi"/>
                <w:lang w:val="en-GB"/>
              </w:rPr>
              <w:t>€m</w:t>
            </w:r>
          </w:p>
        </w:tc>
        <w:tc>
          <w:tcPr>
            <w:tcW w:w="431" w:type="pct"/>
            <w:tcBorders>
              <w:top w:val="nil"/>
              <w:left w:val="nil"/>
              <w:bottom w:val="nil"/>
              <w:right w:val="nil"/>
            </w:tcBorders>
            <w:shd w:val="clear" w:color="000000" w:fill="FFFFFF"/>
            <w:noWrap/>
            <w:tcMar>
              <w:top w:w="15" w:type="dxa"/>
              <w:left w:w="15" w:type="dxa"/>
              <w:bottom w:w="0" w:type="dxa"/>
              <w:right w:w="15" w:type="dxa"/>
            </w:tcMar>
            <w:vAlign w:val="bottom"/>
            <w:hideMark/>
          </w:tcPr>
          <w:p w:rsidR="00D969E4" w:rsidRPr="00C76102" w:rsidRDefault="00724223" w:rsidP="003F1A9B">
            <w:pPr>
              <w:spacing w:after="0"/>
              <w:jc w:val="right"/>
              <w:rPr>
                <w:rFonts w:cstheme="minorHAnsi"/>
                <w:lang w:val="en-GB"/>
              </w:rPr>
            </w:pPr>
            <w:r w:rsidRPr="00C76102">
              <w:rPr>
                <w:rFonts w:cstheme="minorHAnsi"/>
                <w:lang w:val="en-GB"/>
              </w:rPr>
              <w:t>1.</w:t>
            </w:r>
            <w:r w:rsidR="003F1A9B" w:rsidRPr="00C76102">
              <w:rPr>
                <w:rFonts w:cstheme="minorHAnsi"/>
                <w:lang w:val="en-GB"/>
              </w:rPr>
              <w:t>4</w:t>
            </w:r>
          </w:p>
        </w:tc>
      </w:tr>
      <w:tr w:rsidR="00D969E4" w:rsidRPr="00C76102" w:rsidTr="00FB0610">
        <w:trPr>
          <w:trHeight w:val="255"/>
        </w:trPr>
        <w:tc>
          <w:tcPr>
            <w:tcW w:w="4062" w:type="pct"/>
            <w:tcBorders>
              <w:top w:val="nil"/>
              <w:left w:val="nil"/>
              <w:bottom w:val="nil"/>
              <w:right w:val="nil"/>
            </w:tcBorders>
            <w:shd w:val="clear" w:color="000000" w:fill="DBE5F1"/>
            <w:noWrap/>
            <w:tcMar>
              <w:top w:w="15" w:type="dxa"/>
              <w:left w:w="15" w:type="dxa"/>
              <w:bottom w:w="0" w:type="dxa"/>
              <w:right w:w="15" w:type="dxa"/>
            </w:tcMar>
            <w:vAlign w:val="bottom"/>
            <w:hideMark/>
          </w:tcPr>
          <w:p w:rsidR="00D969E4" w:rsidRPr="00C76102" w:rsidRDefault="00135B42" w:rsidP="00FB0610">
            <w:pPr>
              <w:spacing w:after="0"/>
              <w:rPr>
                <w:rFonts w:cstheme="minorHAnsi"/>
                <w:bCs/>
                <w:lang w:val="en-GB"/>
              </w:rPr>
            </w:pPr>
            <w:r w:rsidRPr="00C76102">
              <w:rPr>
                <w:rFonts w:cstheme="minorHAnsi"/>
                <w:bCs/>
                <w:lang w:val="en-GB"/>
              </w:rPr>
              <w:t>Energy Purchase Costs</w:t>
            </w:r>
          </w:p>
        </w:tc>
        <w:tc>
          <w:tcPr>
            <w:tcW w:w="507" w:type="pct"/>
            <w:tcBorders>
              <w:top w:val="nil"/>
              <w:left w:val="nil"/>
              <w:bottom w:val="nil"/>
              <w:right w:val="nil"/>
            </w:tcBorders>
            <w:shd w:val="clear" w:color="000000" w:fill="DBE5F1"/>
            <w:noWrap/>
            <w:tcMar>
              <w:top w:w="15" w:type="dxa"/>
              <w:left w:w="15" w:type="dxa"/>
              <w:bottom w:w="0" w:type="dxa"/>
              <w:right w:w="15" w:type="dxa"/>
            </w:tcMar>
            <w:vAlign w:val="bottom"/>
            <w:hideMark/>
          </w:tcPr>
          <w:p w:rsidR="00D969E4" w:rsidRPr="00C76102" w:rsidRDefault="00D969E4" w:rsidP="00FB0610">
            <w:pPr>
              <w:spacing w:after="0"/>
              <w:rPr>
                <w:rFonts w:cstheme="minorHAnsi"/>
                <w:lang w:val="en-GB"/>
              </w:rPr>
            </w:pPr>
            <w:r w:rsidRPr="00C76102">
              <w:rPr>
                <w:rFonts w:cstheme="minorHAnsi"/>
                <w:lang w:val="en-GB"/>
              </w:rPr>
              <w:t> </w:t>
            </w:r>
          </w:p>
        </w:tc>
        <w:tc>
          <w:tcPr>
            <w:tcW w:w="431" w:type="pct"/>
            <w:tcBorders>
              <w:top w:val="nil"/>
              <w:left w:val="nil"/>
              <w:bottom w:val="nil"/>
              <w:right w:val="nil"/>
            </w:tcBorders>
            <w:shd w:val="clear" w:color="000000" w:fill="DBE5F1"/>
            <w:noWrap/>
            <w:tcMar>
              <w:top w:w="15" w:type="dxa"/>
              <w:left w:w="15" w:type="dxa"/>
              <w:bottom w:w="0" w:type="dxa"/>
              <w:right w:w="15" w:type="dxa"/>
            </w:tcMar>
            <w:vAlign w:val="bottom"/>
            <w:hideMark/>
          </w:tcPr>
          <w:p w:rsidR="00D969E4" w:rsidRPr="00C76102" w:rsidRDefault="00D969E4" w:rsidP="00FB0610">
            <w:pPr>
              <w:spacing w:after="0"/>
              <w:rPr>
                <w:rFonts w:cstheme="minorHAnsi"/>
                <w:bCs/>
                <w:lang w:val="en-GB"/>
              </w:rPr>
            </w:pPr>
            <w:r w:rsidRPr="00C76102">
              <w:rPr>
                <w:rFonts w:cstheme="minorHAnsi"/>
                <w:bCs/>
                <w:lang w:val="en-GB"/>
              </w:rPr>
              <w:t> </w:t>
            </w:r>
          </w:p>
        </w:tc>
      </w:tr>
      <w:tr w:rsidR="00D969E4" w:rsidRPr="00C76102" w:rsidTr="00FB0610">
        <w:trPr>
          <w:trHeight w:val="255"/>
        </w:trPr>
        <w:tc>
          <w:tcPr>
            <w:tcW w:w="4062" w:type="pct"/>
            <w:tcBorders>
              <w:top w:val="nil"/>
              <w:left w:val="nil"/>
              <w:bottom w:val="nil"/>
              <w:right w:val="nil"/>
            </w:tcBorders>
            <w:shd w:val="clear" w:color="000000" w:fill="FFFFFF"/>
            <w:noWrap/>
            <w:tcMar>
              <w:top w:w="15" w:type="dxa"/>
              <w:left w:w="15" w:type="dxa"/>
              <w:bottom w:w="0" w:type="dxa"/>
              <w:right w:w="15" w:type="dxa"/>
            </w:tcMar>
            <w:vAlign w:val="bottom"/>
            <w:hideMark/>
          </w:tcPr>
          <w:p w:rsidR="00D969E4" w:rsidRPr="00C76102" w:rsidRDefault="00135B42" w:rsidP="00FB0610">
            <w:pPr>
              <w:spacing w:after="0"/>
              <w:rPr>
                <w:rFonts w:cstheme="minorHAnsi"/>
                <w:lang w:val="en-GB"/>
              </w:rPr>
            </w:pPr>
            <w:r w:rsidRPr="00C76102">
              <w:rPr>
                <w:rFonts w:cstheme="minorHAnsi"/>
                <w:lang w:val="en-GB"/>
              </w:rPr>
              <w:t>Wholesale Energy Purchase Costs</w:t>
            </w:r>
          </w:p>
        </w:tc>
        <w:tc>
          <w:tcPr>
            <w:tcW w:w="507" w:type="pct"/>
            <w:tcBorders>
              <w:top w:val="nil"/>
              <w:left w:val="nil"/>
              <w:bottom w:val="nil"/>
              <w:right w:val="nil"/>
            </w:tcBorders>
            <w:shd w:val="clear" w:color="000000" w:fill="FFFFFF"/>
            <w:noWrap/>
            <w:tcMar>
              <w:top w:w="15" w:type="dxa"/>
              <w:left w:w="15" w:type="dxa"/>
              <w:bottom w:w="0" w:type="dxa"/>
              <w:right w:w="15" w:type="dxa"/>
            </w:tcMar>
            <w:vAlign w:val="bottom"/>
            <w:hideMark/>
          </w:tcPr>
          <w:p w:rsidR="00D969E4" w:rsidRPr="00C76102" w:rsidRDefault="00D969E4" w:rsidP="00FB0610">
            <w:pPr>
              <w:spacing w:after="0"/>
              <w:jc w:val="center"/>
              <w:rPr>
                <w:rFonts w:cstheme="minorHAnsi"/>
                <w:lang w:val="en-GB"/>
              </w:rPr>
            </w:pPr>
            <w:r w:rsidRPr="00C76102">
              <w:rPr>
                <w:rFonts w:cstheme="minorHAnsi"/>
                <w:lang w:val="en-GB"/>
              </w:rPr>
              <w:t>€m</w:t>
            </w:r>
          </w:p>
        </w:tc>
        <w:tc>
          <w:tcPr>
            <w:tcW w:w="431" w:type="pct"/>
            <w:tcBorders>
              <w:top w:val="nil"/>
              <w:left w:val="nil"/>
              <w:bottom w:val="nil"/>
              <w:right w:val="nil"/>
            </w:tcBorders>
            <w:shd w:val="clear" w:color="auto" w:fill="auto"/>
            <w:noWrap/>
            <w:tcMar>
              <w:top w:w="15" w:type="dxa"/>
              <w:left w:w="15" w:type="dxa"/>
              <w:bottom w:w="0" w:type="dxa"/>
              <w:right w:w="15" w:type="dxa"/>
            </w:tcMar>
            <w:vAlign w:val="bottom"/>
            <w:hideMark/>
          </w:tcPr>
          <w:p w:rsidR="00D969E4" w:rsidRPr="00C76102" w:rsidRDefault="003F1A9B" w:rsidP="003F1A9B">
            <w:pPr>
              <w:spacing w:after="0"/>
              <w:jc w:val="right"/>
              <w:rPr>
                <w:rFonts w:cstheme="minorHAnsi"/>
                <w:lang w:val="en-GB"/>
              </w:rPr>
            </w:pPr>
            <w:r w:rsidRPr="00C76102">
              <w:rPr>
                <w:rFonts w:cstheme="minorHAnsi"/>
                <w:lang w:val="en-GB"/>
              </w:rPr>
              <w:t>137</w:t>
            </w:r>
            <w:r w:rsidR="002F329B" w:rsidRPr="00C76102">
              <w:rPr>
                <w:rFonts w:cstheme="minorHAnsi"/>
                <w:lang w:val="en-GB"/>
              </w:rPr>
              <w:t>.</w:t>
            </w:r>
            <w:r w:rsidRPr="00C76102">
              <w:rPr>
                <w:rFonts w:cstheme="minorHAnsi"/>
                <w:lang w:val="en-GB"/>
              </w:rPr>
              <w:t>1</w:t>
            </w:r>
          </w:p>
        </w:tc>
      </w:tr>
      <w:tr w:rsidR="00D969E4" w:rsidRPr="00C76102" w:rsidTr="00FB0610">
        <w:trPr>
          <w:trHeight w:val="255"/>
        </w:trPr>
        <w:tc>
          <w:tcPr>
            <w:tcW w:w="4062" w:type="pct"/>
            <w:tcBorders>
              <w:top w:val="nil"/>
              <w:left w:val="nil"/>
              <w:bottom w:val="nil"/>
              <w:right w:val="nil"/>
            </w:tcBorders>
            <w:shd w:val="clear" w:color="000000" w:fill="DBE5F1"/>
            <w:noWrap/>
            <w:tcMar>
              <w:top w:w="15" w:type="dxa"/>
              <w:left w:w="15" w:type="dxa"/>
              <w:bottom w:w="0" w:type="dxa"/>
              <w:right w:w="15" w:type="dxa"/>
            </w:tcMar>
            <w:vAlign w:val="bottom"/>
            <w:hideMark/>
          </w:tcPr>
          <w:p w:rsidR="00D969E4" w:rsidRPr="00C76102" w:rsidRDefault="00135B42" w:rsidP="00FB0610">
            <w:pPr>
              <w:spacing w:after="0"/>
              <w:rPr>
                <w:rFonts w:cstheme="minorHAnsi"/>
                <w:bCs/>
                <w:lang w:val="en-GB"/>
              </w:rPr>
            </w:pPr>
            <w:r w:rsidRPr="00C76102">
              <w:rPr>
                <w:rFonts w:cstheme="minorHAnsi"/>
                <w:bCs/>
                <w:lang w:val="en-GB"/>
              </w:rPr>
              <w:t>License Tax</w:t>
            </w:r>
          </w:p>
        </w:tc>
        <w:tc>
          <w:tcPr>
            <w:tcW w:w="507" w:type="pct"/>
            <w:tcBorders>
              <w:top w:val="nil"/>
              <w:left w:val="nil"/>
              <w:bottom w:val="nil"/>
              <w:right w:val="nil"/>
            </w:tcBorders>
            <w:shd w:val="clear" w:color="000000" w:fill="DBE5F1"/>
            <w:noWrap/>
            <w:tcMar>
              <w:top w:w="15" w:type="dxa"/>
              <w:left w:w="15" w:type="dxa"/>
              <w:bottom w:w="0" w:type="dxa"/>
              <w:right w:w="15" w:type="dxa"/>
            </w:tcMar>
            <w:vAlign w:val="bottom"/>
            <w:hideMark/>
          </w:tcPr>
          <w:p w:rsidR="00D969E4" w:rsidRPr="00C76102" w:rsidRDefault="00D969E4" w:rsidP="00FB0610">
            <w:pPr>
              <w:spacing w:after="0"/>
              <w:rPr>
                <w:rFonts w:cstheme="minorHAnsi"/>
                <w:lang w:val="en-GB"/>
              </w:rPr>
            </w:pPr>
            <w:r w:rsidRPr="00C76102">
              <w:rPr>
                <w:rFonts w:cstheme="minorHAnsi"/>
                <w:lang w:val="en-GB"/>
              </w:rPr>
              <w:t> </w:t>
            </w:r>
          </w:p>
        </w:tc>
        <w:tc>
          <w:tcPr>
            <w:tcW w:w="431" w:type="pct"/>
            <w:tcBorders>
              <w:top w:val="nil"/>
              <w:left w:val="nil"/>
              <w:bottom w:val="nil"/>
              <w:right w:val="nil"/>
            </w:tcBorders>
            <w:shd w:val="clear" w:color="000000" w:fill="DBE5F1"/>
            <w:noWrap/>
            <w:tcMar>
              <w:top w:w="15" w:type="dxa"/>
              <w:left w:w="15" w:type="dxa"/>
              <w:bottom w:w="0" w:type="dxa"/>
              <w:right w:w="15" w:type="dxa"/>
            </w:tcMar>
            <w:vAlign w:val="bottom"/>
            <w:hideMark/>
          </w:tcPr>
          <w:p w:rsidR="00D969E4" w:rsidRPr="00C76102" w:rsidRDefault="00D969E4" w:rsidP="00FB0610">
            <w:pPr>
              <w:spacing w:after="0"/>
              <w:rPr>
                <w:rFonts w:cstheme="minorHAnsi"/>
                <w:bCs/>
                <w:lang w:val="en-GB"/>
              </w:rPr>
            </w:pPr>
            <w:r w:rsidRPr="00C76102">
              <w:rPr>
                <w:rFonts w:cstheme="minorHAnsi"/>
                <w:bCs/>
                <w:lang w:val="en-GB"/>
              </w:rPr>
              <w:t> </w:t>
            </w:r>
          </w:p>
        </w:tc>
      </w:tr>
      <w:tr w:rsidR="00D969E4" w:rsidRPr="00C76102" w:rsidTr="00FB0610">
        <w:trPr>
          <w:trHeight w:val="255"/>
        </w:trPr>
        <w:tc>
          <w:tcPr>
            <w:tcW w:w="4062" w:type="pct"/>
            <w:tcBorders>
              <w:top w:val="nil"/>
              <w:left w:val="nil"/>
              <w:bottom w:val="nil"/>
              <w:right w:val="nil"/>
            </w:tcBorders>
            <w:shd w:val="clear" w:color="000000" w:fill="FFFFFF"/>
            <w:noWrap/>
            <w:tcMar>
              <w:top w:w="15" w:type="dxa"/>
              <w:left w:w="15" w:type="dxa"/>
              <w:bottom w:w="0" w:type="dxa"/>
              <w:right w:w="15" w:type="dxa"/>
            </w:tcMar>
            <w:vAlign w:val="bottom"/>
            <w:hideMark/>
          </w:tcPr>
          <w:p w:rsidR="00D969E4" w:rsidRPr="00C76102" w:rsidRDefault="00135B42" w:rsidP="00FB0610">
            <w:pPr>
              <w:spacing w:after="0"/>
              <w:rPr>
                <w:rFonts w:cstheme="minorHAnsi"/>
                <w:color w:val="000000"/>
                <w:lang w:val="en-GB"/>
              </w:rPr>
            </w:pPr>
            <w:r w:rsidRPr="00C76102">
              <w:rPr>
                <w:rFonts w:cstheme="minorHAnsi"/>
                <w:color w:val="000000"/>
                <w:lang w:val="en-GB"/>
              </w:rPr>
              <w:t>License Tax</w:t>
            </w:r>
          </w:p>
        </w:tc>
        <w:tc>
          <w:tcPr>
            <w:tcW w:w="507" w:type="pct"/>
            <w:tcBorders>
              <w:top w:val="nil"/>
              <w:left w:val="nil"/>
              <w:bottom w:val="nil"/>
              <w:right w:val="nil"/>
            </w:tcBorders>
            <w:shd w:val="clear" w:color="000000" w:fill="FFFFFF"/>
            <w:noWrap/>
            <w:tcMar>
              <w:top w:w="15" w:type="dxa"/>
              <w:left w:w="15" w:type="dxa"/>
              <w:bottom w:w="0" w:type="dxa"/>
              <w:right w:w="15" w:type="dxa"/>
            </w:tcMar>
            <w:vAlign w:val="bottom"/>
            <w:hideMark/>
          </w:tcPr>
          <w:p w:rsidR="00D969E4" w:rsidRPr="00C76102" w:rsidRDefault="00D969E4" w:rsidP="00FB0610">
            <w:pPr>
              <w:spacing w:after="0"/>
              <w:jc w:val="center"/>
              <w:rPr>
                <w:rFonts w:cstheme="minorHAnsi"/>
                <w:lang w:val="en-GB"/>
              </w:rPr>
            </w:pPr>
            <w:r w:rsidRPr="00C76102">
              <w:rPr>
                <w:rFonts w:cstheme="minorHAnsi"/>
                <w:lang w:val="en-GB"/>
              </w:rPr>
              <w:t>€m</w:t>
            </w:r>
          </w:p>
        </w:tc>
        <w:tc>
          <w:tcPr>
            <w:tcW w:w="431" w:type="pct"/>
            <w:tcBorders>
              <w:top w:val="nil"/>
              <w:left w:val="nil"/>
              <w:bottom w:val="nil"/>
              <w:right w:val="nil"/>
            </w:tcBorders>
            <w:shd w:val="clear" w:color="000000" w:fill="FFFFFF"/>
            <w:noWrap/>
            <w:tcMar>
              <w:top w:w="15" w:type="dxa"/>
              <w:left w:w="15" w:type="dxa"/>
              <w:bottom w:w="0" w:type="dxa"/>
              <w:right w:w="15" w:type="dxa"/>
            </w:tcMar>
            <w:vAlign w:val="bottom"/>
            <w:hideMark/>
          </w:tcPr>
          <w:p w:rsidR="00D969E4" w:rsidRPr="00C76102" w:rsidRDefault="00D969E4" w:rsidP="003F1A9B">
            <w:pPr>
              <w:spacing w:after="0"/>
              <w:jc w:val="right"/>
              <w:rPr>
                <w:rFonts w:cstheme="minorHAnsi"/>
                <w:lang w:val="en-GB"/>
              </w:rPr>
            </w:pPr>
            <w:r w:rsidRPr="00C76102">
              <w:rPr>
                <w:rFonts w:cstheme="minorHAnsi"/>
                <w:lang w:val="en-GB"/>
              </w:rPr>
              <w:t>0.</w:t>
            </w:r>
            <w:r w:rsidR="003F1A9B" w:rsidRPr="00C76102">
              <w:rPr>
                <w:rFonts w:cstheme="minorHAnsi"/>
                <w:lang w:val="en-GB"/>
              </w:rPr>
              <w:t>02</w:t>
            </w:r>
          </w:p>
        </w:tc>
      </w:tr>
      <w:tr w:rsidR="00D969E4" w:rsidRPr="00C76102" w:rsidTr="00FB0610">
        <w:trPr>
          <w:trHeight w:val="255"/>
        </w:trPr>
        <w:tc>
          <w:tcPr>
            <w:tcW w:w="4062" w:type="pct"/>
            <w:tcBorders>
              <w:top w:val="nil"/>
              <w:left w:val="nil"/>
              <w:bottom w:val="nil"/>
              <w:right w:val="nil"/>
            </w:tcBorders>
            <w:shd w:val="clear" w:color="000000" w:fill="DBE5F1"/>
            <w:noWrap/>
            <w:tcMar>
              <w:top w:w="15" w:type="dxa"/>
              <w:left w:w="15" w:type="dxa"/>
              <w:bottom w:w="0" w:type="dxa"/>
              <w:right w:w="15" w:type="dxa"/>
            </w:tcMar>
            <w:vAlign w:val="bottom"/>
            <w:hideMark/>
          </w:tcPr>
          <w:p w:rsidR="00D969E4" w:rsidRPr="00C76102" w:rsidRDefault="00135B42" w:rsidP="00FB0610">
            <w:pPr>
              <w:spacing w:after="0"/>
              <w:rPr>
                <w:rFonts w:cstheme="minorHAnsi"/>
                <w:bCs/>
                <w:lang w:val="en-GB"/>
              </w:rPr>
            </w:pPr>
            <w:r w:rsidRPr="00C76102">
              <w:rPr>
                <w:rFonts w:cstheme="minorHAnsi"/>
                <w:bCs/>
                <w:lang w:val="en-GB"/>
              </w:rPr>
              <w:t>Bad Debt</w:t>
            </w:r>
            <w:r w:rsidR="00D969E4" w:rsidRPr="00C76102">
              <w:rPr>
                <w:rFonts w:cstheme="minorHAnsi"/>
                <w:bCs/>
                <w:lang w:val="en-GB"/>
              </w:rPr>
              <w:t xml:space="preserve"> (BDTA)</w:t>
            </w:r>
          </w:p>
        </w:tc>
        <w:tc>
          <w:tcPr>
            <w:tcW w:w="507" w:type="pct"/>
            <w:tcBorders>
              <w:top w:val="nil"/>
              <w:left w:val="nil"/>
              <w:bottom w:val="nil"/>
              <w:right w:val="nil"/>
            </w:tcBorders>
            <w:shd w:val="clear" w:color="000000" w:fill="DBE5F1"/>
            <w:noWrap/>
            <w:tcMar>
              <w:top w:w="15" w:type="dxa"/>
              <w:left w:w="15" w:type="dxa"/>
              <w:bottom w:w="0" w:type="dxa"/>
              <w:right w:w="15" w:type="dxa"/>
            </w:tcMar>
            <w:vAlign w:val="bottom"/>
            <w:hideMark/>
          </w:tcPr>
          <w:p w:rsidR="00D969E4" w:rsidRPr="00C76102" w:rsidRDefault="00D969E4" w:rsidP="00FB0610">
            <w:pPr>
              <w:spacing w:after="0"/>
              <w:rPr>
                <w:rFonts w:cstheme="minorHAnsi"/>
                <w:lang w:val="en-GB"/>
              </w:rPr>
            </w:pPr>
            <w:r w:rsidRPr="00C76102">
              <w:rPr>
                <w:rFonts w:cstheme="minorHAnsi"/>
                <w:lang w:val="en-GB"/>
              </w:rPr>
              <w:t> </w:t>
            </w:r>
          </w:p>
        </w:tc>
        <w:tc>
          <w:tcPr>
            <w:tcW w:w="431" w:type="pct"/>
            <w:tcBorders>
              <w:top w:val="nil"/>
              <w:left w:val="nil"/>
              <w:bottom w:val="nil"/>
              <w:right w:val="nil"/>
            </w:tcBorders>
            <w:shd w:val="clear" w:color="000000" w:fill="DBE5F1"/>
            <w:noWrap/>
            <w:tcMar>
              <w:top w:w="15" w:type="dxa"/>
              <w:left w:w="15" w:type="dxa"/>
              <w:bottom w:w="0" w:type="dxa"/>
              <w:right w:w="15" w:type="dxa"/>
            </w:tcMar>
            <w:vAlign w:val="bottom"/>
            <w:hideMark/>
          </w:tcPr>
          <w:p w:rsidR="00D969E4" w:rsidRPr="00C76102" w:rsidRDefault="00D969E4" w:rsidP="00FB0610">
            <w:pPr>
              <w:spacing w:after="0"/>
              <w:rPr>
                <w:rFonts w:cstheme="minorHAnsi"/>
                <w:bCs/>
                <w:lang w:val="en-GB"/>
              </w:rPr>
            </w:pPr>
            <w:r w:rsidRPr="00C76102">
              <w:rPr>
                <w:rFonts w:cstheme="minorHAnsi"/>
                <w:bCs/>
                <w:lang w:val="en-GB"/>
              </w:rPr>
              <w:t> </w:t>
            </w:r>
          </w:p>
        </w:tc>
      </w:tr>
      <w:tr w:rsidR="00D969E4" w:rsidRPr="00C76102" w:rsidTr="00FB0610">
        <w:trPr>
          <w:trHeight w:val="255"/>
        </w:trPr>
        <w:tc>
          <w:tcPr>
            <w:tcW w:w="4062" w:type="pct"/>
            <w:tcBorders>
              <w:top w:val="nil"/>
              <w:left w:val="nil"/>
              <w:bottom w:val="nil"/>
              <w:right w:val="nil"/>
            </w:tcBorders>
            <w:shd w:val="clear" w:color="auto" w:fill="auto"/>
            <w:noWrap/>
            <w:tcMar>
              <w:top w:w="15" w:type="dxa"/>
              <w:left w:w="15" w:type="dxa"/>
              <w:bottom w:w="0" w:type="dxa"/>
              <w:right w:w="15" w:type="dxa"/>
            </w:tcMar>
            <w:vAlign w:val="bottom"/>
            <w:hideMark/>
          </w:tcPr>
          <w:p w:rsidR="00D969E4" w:rsidRPr="00C76102" w:rsidRDefault="00D969E4" w:rsidP="00FB0610">
            <w:pPr>
              <w:spacing w:after="0"/>
              <w:rPr>
                <w:rFonts w:cstheme="minorHAnsi"/>
                <w:color w:val="000000"/>
                <w:lang w:val="en-GB"/>
              </w:rPr>
            </w:pPr>
            <w:r w:rsidRPr="00C76102">
              <w:rPr>
                <w:rFonts w:cstheme="minorHAnsi"/>
                <w:color w:val="000000"/>
                <w:lang w:val="en-GB"/>
              </w:rPr>
              <w:t>BDTA</w:t>
            </w:r>
          </w:p>
        </w:tc>
        <w:tc>
          <w:tcPr>
            <w:tcW w:w="507" w:type="pct"/>
            <w:tcBorders>
              <w:top w:val="nil"/>
              <w:left w:val="nil"/>
              <w:bottom w:val="nil"/>
              <w:right w:val="nil"/>
            </w:tcBorders>
            <w:shd w:val="clear" w:color="000000" w:fill="FFFFFF"/>
            <w:noWrap/>
            <w:tcMar>
              <w:top w:w="15" w:type="dxa"/>
              <w:left w:w="15" w:type="dxa"/>
              <w:bottom w:w="0" w:type="dxa"/>
              <w:right w:w="15" w:type="dxa"/>
            </w:tcMar>
            <w:vAlign w:val="bottom"/>
            <w:hideMark/>
          </w:tcPr>
          <w:p w:rsidR="00D969E4" w:rsidRPr="00C76102" w:rsidRDefault="00D969E4" w:rsidP="00FB0610">
            <w:pPr>
              <w:spacing w:after="0"/>
              <w:jc w:val="center"/>
              <w:rPr>
                <w:rFonts w:cstheme="minorHAnsi"/>
                <w:lang w:val="en-GB"/>
              </w:rPr>
            </w:pPr>
            <w:r w:rsidRPr="00C76102">
              <w:rPr>
                <w:rFonts w:cstheme="minorHAnsi"/>
                <w:lang w:val="en-GB"/>
              </w:rPr>
              <w:t>%</w:t>
            </w:r>
          </w:p>
        </w:tc>
        <w:tc>
          <w:tcPr>
            <w:tcW w:w="431" w:type="pct"/>
            <w:tcBorders>
              <w:top w:val="nil"/>
              <w:left w:val="nil"/>
              <w:bottom w:val="nil"/>
              <w:right w:val="nil"/>
            </w:tcBorders>
            <w:shd w:val="clear" w:color="000000" w:fill="FFFFFF"/>
            <w:noWrap/>
            <w:tcMar>
              <w:top w:w="15" w:type="dxa"/>
              <w:left w:w="15" w:type="dxa"/>
              <w:bottom w:w="0" w:type="dxa"/>
              <w:right w:w="15" w:type="dxa"/>
            </w:tcMar>
            <w:vAlign w:val="bottom"/>
            <w:hideMark/>
          </w:tcPr>
          <w:p w:rsidR="00D969E4" w:rsidRPr="00C76102" w:rsidRDefault="00D969E4" w:rsidP="00FB0610">
            <w:pPr>
              <w:spacing w:after="0"/>
              <w:jc w:val="right"/>
              <w:rPr>
                <w:rFonts w:cstheme="minorHAnsi"/>
                <w:lang w:val="en-GB"/>
              </w:rPr>
            </w:pPr>
            <w:r w:rsidRPr="00C76102">
              <w:rPr>
                <w:rFonts w:cstheme="minorHAnsi"/>
                <w:lang w:val="en-GB"/>
              </w:rPr>
              <w:t>4%</w:t>
            </w:r>
          </w:p>
        </w:tc>
      </w:tr>
      <w:tr w:rsidR="00D969E4" w:rsidRPr="00C76102" w:rsidTr="00FB0610">
        <w:trPr>
          <w:trHeight w:val="255"/>
        </w:trPr>
        <w:tc>
          <w:tcPr>
            <w:tcW w:w="4062" w:type="pct"/>
            <w:tcBorders>
              <w:top w:val="nil"/>
              <w:left w:val="nil"/>
              <w:bottom w:val="nil"/>
              <w:right w:val="nil"/>
            </w:tcBorders>
            <w:shd w:val="clear" w:color="000000" w:fill="FFFFFF"/>
            <w:noWrap/>
            <w:tcMar>
              <w:top w:w="15" w:type="dxa"/>
              <w:left w:w="15" w:type="dxa"/>
              <w:bottom w:w="0" w:type="dxa"/>
              <w:right w:w="15" w:type="dxa"/>
            </w:tcMar>
            <w:vAlign w:val="bottom"/>
            <w:hideMark/>
          </w:tcPr>
          <w:p w:rsidR="00D969E4" w:rsidRPr="00C76102" w:rsidRDefault="00D969E4" w:rsidP="00FB0610">
            <w:pPr>
              <w:spacing w:after="0"/>
              <w:rPr>
                <w:rFonts w:cstheme="minorHAnsi"/>
                <w:color w:val="000000"/>
                <w:lang w:val="en-GB"/>
              </w:rPr>
            </w:pPr>
            <w:r w:rsidRPr="00C76102">
              <w:rPr>
                <w:rFonts w:cstheme="minorHAnsi"/>
                <w:color w:val="000000"/>
                <w:lang w:val="en-GB"/>
              </w:rPr>
              <w:t>BDTA</w:t>
            </w:r>
          </w:p>
        </w:tc>
        <w:tc>
          <w:tcPr>
            <w:tcW w:w="507" w:type="pct"/>
            <w:tcBorders>
              <w:top w:val="nil"/>
              <w:left w:val="nil"/>
              <w:bottom w:val="nil"/>
              <w:right w:val="nil"/>
            </w:tcBorders>
            <w:shd w:val="clear" w:color="000000" w:fill="FFFFFF"/>
            <w:noWrap/>
            <w:tcMar>
              <w:top w:w="15" w:type="dxa"/>
              <w:left w:w="15" w:type="dxa"/>
              <w:bottom w:w="0" w:type="dxa"/>
              <w:right w:w="15" w:type="dxa"/>
            </w:tcMar>
            <w:vAlign w:val="bottom"/>
            <w:hideMark/>
          </w:tcPr>
          <w:p w:rsidR="00D969E4" w:rsidRPr="00C76102" w:rsidRDefault="00D969E4" w:rsidP="00FB0610">
            <w:pPr>
              <w:spacing w:after="0"/>
              <w:jc w:val="center"/>
              <w:rPr>
                <w:rFonts w:cstheme="minorHAnsi"/>
                <w:lang w:val="en-GB"/>
              </w:rPr>
            </w:pPr>
            <w:r w:rsidRPr="00C76102">
              <w:rPr>
                <w:rFonts w:cstheme="minorHAnsi"/>
                <w:lang w:val="en-GB"/>
              </w:rPr>
              <w:t>€m</w:t>
            </w:r>
          </w:p>
        </w:tc>
        <w:tc>
          <w:tcPr>
            <w:tcW w:w="431" w:type="pct"/>
            <w:tcBorders>
              <w:top w:val="nil"/>
              <w:left w:val="nil"/>
              <w:bottom w:val="nil"/>
              <w:right w:val="nil"/>
            </w:tcBorders>
            <w:shd w:val="clear" w:color="000000" w:fill="FFFFFF"/>
            <w:noWrap/>
            <w:tcMar>
              <w:top w:w="15" w:type="dxa"/>
              <w:left w:w="15" w:type="dxa"/>
              <w:bottom w:w="0" w:type="dxa"/>
              <w:right w:w="15" w:type="dxa"/>
            </w:tcMar>
            <w:vAlign w:val="bottom"/>
            <w:hideMark/>
          </w:tcPr>
          <w:p w:rsidR="00D969E4" w:rsidRPr="00C76102" w:rsidRDefault="000052C4" w:rsidP="00FB0610">
            <w:pPr>
              <w:spacing w:after="0"/>
              <w:jc w:val="right"/>
              <w:rPr>
                <w:rFonts w:cstheme="minorHAnsi"/>
                <w:lang w:val="en-GB"/>
              </w:rPr>
            </w:pPr>
            <w:r w:rsidRPr="00C76102">
              <w:rPr>
                <w:rFonts w:cstheme="minorHAnsi"/>
                <w:lang w:val="en-GB"/>
              </w:rPr>
              <w:t>1</w:t>
            </w:r>
            <w:r w:rsidR="003F1A9B" w:rsidRPr="00C76102">
              <w:rPr>
                <w:rFonts w:cstheme="minorHAnsi"/>
                <w:lang w:val="en-GB"/>
              </w:rPr>
              <w:t>0</w:t>
            </w:r>
            <w:r w:rsidR="002F329B" w:rsidRPr="00C76102">
              <w:rPr>
                <w:rFonts w:cstheme="minorHAnsi"/>
                <w:lang w:val="en-GB"/>
              </w:rPr>
              <w:t>.</w:t>
            </w:r>
            <w:r w:rsidR="003F1A9B" w:rsidRPr="00C76102">
              <w:rPr>
                <w:rFonts w:cstheme="minorHAnsi"/>
                <w:lang w:val="en-GB"/>
              </w:rPr>
              <w:t>8</w:t>
            </w:r>
          </w:p>
        </w:tc>
      </w:tr>
      <w:tr w:rsidR="00D969E4" w:rsidRPr="00C76102" w:rsidTr="00FB0610">
        <w:trPr>
          <w:trHeight w:val="255"/>
        </w:trPr>
        <w:tc>
          <w:tcPr>
            <w:tcW w:w="4062" w:type="pct"/>
            <w:tcBorders>
              <w:top w:val="nil"/>
              <w:left w:val="nil"/>
              <w:bottom w:val="nil"/>
              <w:right w:val="nil"/>
            </w:tcBorders>
            <w:shd w:val="clear" w:color="000000" w:fill="DBE5F1"/>
            <w:noWrap/>
            <w:tcMar>
              <w:top w:w="15" w:type="dxa"/>
              <w:left w:w="15" w:type="dxa"/>
              <w:bottom w:w="0" w:type="dxa"/>
              <w:right w:w="15" w:type="dxa"/>
            </w:tcMar>
            <w:vAlign w:val="bottom"/>
            <w:hideMark/>
          </w:tcPr>
          <w:p w:rsidR="00D969E4" w:rsidRPr="00C76102" w:rsidRDefault="00135B42" w:rsidP="00FB0610">
            <w:pPr>
              <w:spacing w:after="0"/>
              <w:rPr>
                <w:rFonts w:cstheme="minorHAnsi"/>
                <w:bCs/>
                <w:lang w:val="en-GB"/>
              </w:rPr>
            </w:pPr>
            <w:r w:rsidRPr="00C76102">
              <w:rPr>
                <w:rFonts w:cstheme="minorHAnsi"/>
                <w:bCs/>
                <w:lang w:val="en-GB"/>
              </w:rPr>
              <w:t xml:space="preserve">Adjustment of </w:t>
            </w:r>
            <w:r w:rsidR="00292BB1" w:rsidRPr="00C76102">
              <w:rPr>
                <w:rFonts w:cstheme="minorHAnsi"/>
                <w:bCs/>
                <w:lang w:val="en-GB"/>
              </w:rPr>
              <w:t>Revenues for USS</w:t>
            </w:r>
          </w:p>
        </w:tc>
        <w:tc>
          <w:tcPr>
            <w:tcW w:w="507" w:type="pct"/>
            <w:tcBorders>
              <w:top w:val="nil"/>
              <w:left w:val="nil"/>
              <w:bottom w:val="nil"/>
              <w:right w:val="nil"/>
            </w:tcBorders>
            <w:shd w:val="clear" w:color="000000" w:fill="DBE5F1"/>
            <w:noWrap/>
            <w:tcMar>
              <w:top w:w="15" w:type="dxa"/>
              <w:left w:w="15" w:type="dxa"/>
              <w:bottom w:w="0" w:type="dxa"/>
              <w:right w:w="15" w:type="dxa"/>
            </w:tcMar>
            <w:vAlign w:val="bottom"/>
            <w:hideMark/>
          </w:tcPr>
          <w:p w:rsidR="00D969E4" w:rsidRPr="00C76102" w:rsidRDefault="00D969E4" w:rsidP="00FB0610">
            <w:pPr>
              <w:spacing w:after="0"/>
              <w:rPr>
                <w:rFonts w:cstheme="minorHAnsi"/>
                <w:lang w:val="en-GB"/>
              </w:rPr>
            </w:pPr>
            <w:r w:rsidRPr="00C76102">
              <w:rPr>
                <w:rFonts w:cstheme="minorHAnsi"/>
                <w:lang w:val="en-GB"/>
              </w:rPr>
              <w:t> </w:t>
            </w:r>
          </w:p>
        </w:tc>
        <w:tc>
          <w:tcPr>
            <w:tcW w:w="431" w:type="pct"/>
            <w:tcBorders>
              <w:top w:val="nil"/>
              <w:left w:val="nil"/>
              <w:bottom w:val="nil"/>
              <w:right w:val="nil"/>
            </w:tcBorders>
            <w:shd w:val="clear" w:color="000000" w:fill="DBE5F1"/>
            <w:noWrap/>
            <w:tcMar>
              <w:top w:w="15" w:type="dxa"/>
              <w:left w:w="15" w:type="dxa"/>
              <w:bottom w:w="0" w:type="dxa"/>
              <w:right w:w="15" w:type="dxa"/>
            </w:tcMar>
            <w:vAlign w:val="bottom"/>
            <w:hideMark/>
          </w:tcPr>
          <w:p w:rsidR="00D969E4" w:rsidRPr="00C76102" w:rsidRDefault="00D969E4" w:rsidP="00FB0610">
            <w:pPr>
              <w:spacing w:after="0"/>
              <w:rPr>
                <w:rFonts w:cstheme="minorHAnsi"/>
                <w:bCs/>
                <w:lang w:val="en-GB"/>
              </w:rPr>
            </w:pPr>
            <w:r w:rsidRPr="00C76102">
              <w:rPr>
                <w:rFonts w:cstheme="minorHAnsi"/>
                <w:bCs/>
                <w:lang w:val="en-GB"/>
              </w:rPr>
              <w:t> </w:t>
            </w:r>
          </w:p>
        </w:tc>
      </w:tr>
      <w:tr w:rsidR="00D969E4" w:rsidRPr="00C76102" w:rsidTr="00FB0610">
        <w:trPr>
          <w:trHeight w:val="300"/>
        </w:trPr>
        <w:tc>
          <w:tcPr>
            <w:tcW w:w="4062" w:type="pct"/>
            <w:tcBorders>
              <w:top w:val="nil"/>
              <w:left w:val="nil"/>
              <w:bottom w:val="nil"/>
              <w:right w:val="nil"/>
            </w:tcBorders>
            <w:shd w:val="clear" w:color="auto" w:fill="auto"/>
            <w:noWrap/>
            <w:tcMar>
              <w:top w:w="15" w:type="dxa"/>
              <w:left w:w="15" w:type="dxa"/>
              <w:bottom w:w="0" w:type="dxa"/>
              <w:right w:w="15" w:type="dxa"/>
            </w:tcMar>
            <w:vAlign w:val="bottom"/>
            <w:hideMark/>
          </w:tcPr>
          <w:p w:rsidR="00D969E4" w:rsidRPr="00C76102" w:rsidRDefault="00292BB1" w:rsidP="00337B45">
            <w:pPr>
              <w:spacing w:after="0"/>
              <w:rPr>
                <w:rFonts w:cstheme="minorHAnsi"/>
                <w:color w:val="000000"/>
                <w:lang w:val="en-GB"/>
              </w:rPr>
            </w:pPr>
            <w:r w:rsidRPr="00C76102">
              <w:rPr>
                <w:rFonts w:cstheme="minorHAnsi"/>
                <w:color w:val="000000"/>
                <w:lang w:val="en-GB"/>
              </w:rPr>
              <w:t>Adjustments of</w:t>
            </w:r>
            <w:r w:rsidR="00D969E4" w:rsidRPr="00C76102">
              <w:rPr>
                <w:rFonts w:cstheme="minorHAnsi"/>
                <w:color w:val="000000"/>
                <w:lang w:val="en-GB"/>
              </w:rPr>
              <w:t xml:space="preserve"> </w:t>
            </w:r>
            <w:r w:rsidR="00337B45" w:rsidRPr="00C76102">
              <w:rPr>
                <w:rFonts w:cstheme="minorHAnsi"/>
                <w:color w:val="000000"/>
                <w:lang w:val="en-GB"/>
              </w:rPr>
              <w:t>2020</w:t>
            </w:r>
          </w:p>
        </w:tc>
        <w:tc>
          <w:tcPr>
            <w:tcW w:w="507" w:type="pct"/>
            <w:tcBorders>
              <w:top w:val="nil"/>
              <w:left w:val="nil"/>
              <w:bottom w:val="nil"/>
              <w:right w:val="nil"/>
            </w:tcBorders>
            <w:shd w:val="clear" w:color="000000" w:fill="FFFFFF"/>
            <w:noWrap/>
            <w:tcMar>
              <w:top w:w="15" w:type="dxa"/>
              <w:left w:w="15" w:type="dxa"/>
              <w:bottom w:w="0" w:type="dxa"/>
              <w:right w:w="15" w:type="dxa"/>
            </w:tcMar>
            <w:vAlign w:val="bottom"/>
            <w:hideMark/>
          </w:tcPr>
          <w:p w:rsidR="00D969E4" w:rsidRPr="00C76102" w:rsidRDefault="00D969E4" w:rsidP="00FB0610">
            <w:pPr>
              <w:spacing w:after="0"/>
              <w:jc w:val="center"/>
              <w:rPr>
                <w:rFonts w:cstheme="minorHAnsi"/>
                <w:lang w:val="en-GB"/>
              </w:rPr>
            </w:pPr>
            <w:r w:rsidRPr="00C76102">
              <w:rPr>
                <w:rFonts w:cstheme="minorHAnsi"/>
                <w:lang w:val="en-GB"/>
              </w:rPr>
              <w:t>€m</w:t>
            </w:r>
          </w:p>
        </w:tc>
        <w:tc>
          <w:tcPr>
            <w:tcW w:w="431" w:type="pct"/>
            <w:tcBorders>
              <w:top w:val="nil"/>
              <w:left w:val="nil"/>
              <w:bottom w:val="nil"/>
              <w:right w:val="nil"/>
            </w:tcBorders>
            <w:shd w:val="clear" w:color="000000" w:fill="FFFFFF"/>
            <w:noWrap/>
            <w:tcMar>
              <w:top w:w="15" w:type="dxa"/>
              <w:left w:w="15" w:type="dxa"/>
              <w:bottom w:w="0" w:type="dxa"/>
              <w:right w:w="15" w:type="dxa"/>
            </w:tcMar>
            <w:vAlign w:val="bottom"/>
            <w:hideMark/>
          </w:tcPr>
          <w:p w:rsidR="00D969E4" w:rsidRPr="00C76102" w:rsidRDefault="003F1A9B" w:rsidP="000052C4">
            <w:pPr>
              <w:spacing w:after="0"/>
              <w:jc w:val="right"/>
              <w:rPr>
                <w:rFonts w:cstheme="minorHAnsi"/>
                <w:lang w:val="en-GB"/>
              </w:rPr>
            </w:pPr>
            <w:r w:rsidRPr="00C76102">
              <w:rPr>
                <w:rFonts w:cstheme="minorHAnsi"/>
                <w:lang w:val="en-GB"/>
              </w:rPr>
              <w:t>6.5</w:t>
            </w:r>
          </w:p>
        </w:tc>
      </w:tr>
      <w:tr w:rsidR="00D969E4" w:rsidRPr="00C76102" w:rsidTr="00FB0610">
        <w:trPr>
          <w:trHeight w:val="285"/>
        </w:trPr>
        <w:tc>
          <w:tcPr>
            <w:tcW w:w="4062" w:type="pct"/>
            <w:tcBorders>
              <w:top w:val="nil"/>
              <w:left w:val="nil"/>
              <w:bottom w:val="nil"/>
              <w:right w:val="nil"/>
            </w:tcBorders>
            <w:shd w:val="clear" w:color="auto" w:fill="244061" w:themeFill="accent1" w:themeFillShade="80"/>
            <w:noWrap/>
            <w:tcMar>
              <w:top w:w="15" w:type="dxa"/>
              <w:left w:w="15" w:type="dxa"/>
              <w:bottom w:w="0" w:type="dxa"/>
              <w:right w:w="15" w:type="dxa"/>
            </w:tcMar>
            <w:vAlign w:val="bottom"/>
            <w:hideMark/>
          </w:tcPr>
          <w:p w:rsidR="00D969E4" w:rsidRPr="00C76102" w:rsidRDefault="00292BB1" w:rsidP="00FB0610">
            <w:pPr>
              <w:spacing w:after="0"/>
              <w:rPr>
                <w:rFonts w:cstheme="minorHAnsi"/>
                <w:b/>
                <w:color w:val="FFFFFF" w:themeColor="background1"/>
                <w:lang w:val="en-GB"/>
              </w:rPr>
            </w:pPr>
            <w:r w:rsidRPr="00C76102">
              <w:rPr>
                <w:rFonts w:cstheme="minorHAnsi"/>
                <w:b/>
                <w:color w:val="FFFFFF" w:themeColor="background1"/>
                <w:lang w:val="en-GB"/>
              </w:rPr>
              <w:t>Maximum Allowed Revenues</w:t>
            </w:r>
          </w:p>
        </w:tc>
        <w:tc>
          <w:tcPr>
            <w:tcW w:w="507" w:type="pct"/>
            <w:tcBorders>
              <w:top w:val="nil"/>
              <w:left w:val="nil"/>
              <w:bottom w:val="nil"/>
              <w:right w:val="nil"/>
            </w:tcBorders>
            <w:shd w:val="clear" w:color="auto" w:fill="244061" w:themeFill="accent1" w:themeFillShade="80"/>
            <w:noWrap/>
            <w:tcMar>
              <w:top w:w="15" w:type="dxa"/>
              <w:left w:w="15" w:type="dxa"/>
              <w:bottom w:w="0" w:type="dxa"/>
              <w:right w:w="15" w:type="dxa"/>
            </w:tcMar>
            <w:vAlign w:val="bottom"/>
            <w:hideMark/>
          </w:tcPr>
          <w:p w:rsidR="00D969E4" w:rsidRPr="00C76102" w:rsidRDefault="00D969E4" w:rsidP="00FB0610">
            <w:pPr>
              <w:spacing w:after="0"/>
              <w:jc w:val="center"/>
              <w:rPr>
                <w:rFonts w:cstheme="minorHAnsi"/>
                <w:b/>
                <w:color w:val="FFFFFF" w:themeColor="background1"/>
                <w:lang w:val="en-GB"/>
              </w:rPr>
            </w:pPr>
            <w:r w:rsidRPr="00C76102">
              <w:rPr>
                <w:rFonts w:cstheme="minorHAnsi"/>
                <w:b/>
                <w:color w:val="FFFFFF" w:themeColor="background1"/>
                <w:lang w:val="en-GB"/>
              </w:rPr>
              <w:t>€m</w:t>
            </w:r>
          </w:p>
        </w:tc>
        <w:tc>
          <w:tcPr>
            <w:tcW w:w="431" w:type="pct"/>
            <w:tcBorders>
              <w:top w:val="nil"/>
              <w:left w:val="nil"/>
              <w:bottom w:val="nil"/>
              <w:right w:val="nil"/>
            </w:tcBorders>
            <w:shd w:val="clear" w:color="auto" w:fill="244061" w:themeFill="accent1" w:themeFillShade="80"/>
            <w:noWrap/>
            <w:tcMar>
              <w:top w:w="15" w:type="dxa"/>
              <w:left w:w="15" w:type="dxa"/>
              <w:bottom w:w="0" w:type="dxa"/>
              <w:right w:w="15" w:type="dxa"/>
            </w:tcMar>
            <w:vAlign w:val="bottom"/>
            <w:hideMark/>
          </w:tcPr>
          <w:p w:rsidR="00D969E4" w:rsidRPr="00C76102" w:rsidRDefault="003F1A9B" w:rsidP="003F1A9B">
            <w:pPr>
              <w:spacing w:after="0"/>
              <w:jc w:val="right"/>
              <w:rPr>
                <w:rFonts w:cstheme="minorHAnsi"/>
                <w:b/>
                <w:color w:val="FFFFFF" w:themeColor="background1"/>
                <w:lang w:val="en-GB"/>
              </w:rPr>
            </w:pPr>
            <w:r w:rsidRPr="00C76102">
              <w:rPr>
                <w:rFonts w:cstheme="minorHAnsi"/>
                <w:b/>
                <w:color w:val="FFFFFF" w:themeColor="background1"/>
                <w:lang w:val="en-GB"/>
              </w:rPr>
              <w:t>271</w:t>
            </w:r>
            <w:r w:rsidR="002F329B" w:rsidRPr="00C76102">
              <w:rPr>
                <w:rFonts w:cstheme="minorHAnsi"/>
                <w:b/>
                <w:color w:val="FFFFFF" w:themeColor="background1"/>
                <w:lang w:val="en-GB"/>
              </w:rPr>
              <w:t>.</w:t>
            </w:r>
            <w:r w:rsidRPr="00C76102">
              <w:rPr>
                <w:rFonts w:cstheme="minorHAnsi"/>
                <w:b/>
                <w:color w:val="FFFFFF" w:themeColor="background1"/>
                <w:lang w:val="en-GB"/>
              </w:rPr>
              <w:t>2</w:t>
            </w:r>
          </w:p>
        </w:tc>
      </w:tr>
    </w:tbl>
    <w:p w:rsidR="008773FD" w:rsidRPr="00C76102" w:rsidRDefault="008773FD" w:rsidP="002F329B">
      <w:pPr>
        <w:spacing w:after="0"/>
        <w:jc w:val="both"/>
        <w:rPr>
          <w:lang w:val="en-GB"/>
        </w:rPr>
      </w:pPr>
    </w:p>
    <w:p w:rsidR="002F329B" w:rsidRPr="00C76102" w:rsidRDefault="002F329B" w:rsidP="002F329B">
      <w:pPr>
        <w:spacing w:after="0"/>
        <w:jc w:val="both"/>
        <w:rPr>
          <w:lang w:val="en-GB"/>
        </w:rPr>
      </w:pPr>
    </w:p>
    <w:sectPr w:rsidR="002F329B" w:rsidRPr="00C76102" w:rsidSect="00343289">
      <w:headerReference w:type="default" r:id="rId11"/>
      <w:footerReference w:type="default" r:id="rId12"/>
      <w:headerReference w:type="first" r:id="rId13"/>
      <w:footerReference w:type="first" r:id="rId14"/>
      <w:pgSz w:w="11909" w:h="16834" w:code="9"/>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C6D" w:rsidRDefault="00EF3C6D" w:rsidP="008773FD">
      <w:pPr>
        <w:spacing w:after="0" w:line="240" w:lineRule="auto"/>
      </w:pPr>
      <w:r>
        <w:separator/>
      </w:r>
    </w:p>
  </w:endnote>
  <w:endnote w:type="continuationSeparator" w:id="0">
    <w:p w:rsidR="00EF3C6D" w:rsidRDefault="00EF3C6D" w:rsidP="00877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20"/>
        <w:szCs w:val="20"/>
        <w:lang w:val="en-GB"/>
      </w:rPr>
      <w:id w:val="-2006797203"/>
      <w:docPartObj>
        <w:docPartGallery w:val="Page Numbers (Bottom of Page)"/>
        <w:docPartUnique/>
      </w:docPartObj>
    </w:sdtPr>
    <w:sdtEndPr/>
    <w:sdtContent>
      <w:sdt>
        <w:sdtPr>
          <w:rPr>
            <w:rFonts w:asciiTheme="minorHAnsi" w:hAnsiTheme="minorHAnsi"/>
            <w:sz w:val="20"/>
            <w:szCs w:val="20"/>
            <w:lang w:val="en-GB"/>
          </w:rPr>
          <w:id w:val="565050523"/>
          <w:docPartObj>
            <w:docPartGallery w:val="Page Numbers (Top of Page)"/>
            <w:docPartUnique/>
          </w:docPartObj>
        </w:sdtPr>
        <w:sdtEndPr/>
        <w:sdtContent>
          <w:p w:rsidR="00B943AB" w:rsidRPr="00C76102" w:rsidRDefault="00C76102">
            <w:pPr>
              <w:pStyle w:val="Footer"/>
              <w:jc w:val="right"/>
              <w:rPr>
                <w:rFonts w:asciiTheme="minorHAnsi" w:hAnsiTheme="minorHAnsi"/>
                <w:sz w:val="20"/>
                <w:szCs w:val="20"/>
                <w:lang w:val="en-GB"/>
              </w:rPr>
            </w:pPr>
            <w:r w:rsidRPr="00C76102">
              <w:rPr>
                <w:rFonts w:asciiTheme="minorHAnsi" w:hAnsiTheme="minorHAnsi"/>
                <w:sz w:val="20"/>
                <w:szCs w:val="20"/>
                <w:lang w:val="en-GB"/>
              </w:rPr>
              <w:t>Page</w:t>
            </w:r>
            <w:r w:rsidR="00B943AB" w:rsidRPr="00C76102">
              <w:rPr>
                <w:rFonts w:asciiTheme="minorHAnsi" w:hAnsiTheme="minorHAnsi"/>
                <w:sz w:val="20"/>
                <w:szCs w:val="20"/>
                <w:lang w:val="en-GB"/>
              </w:rPr>
              <w:t xml:space="preserve"> </w:t>
            </w:r>
            <w:r w:rsidR="00B943AB" w:rsidRPr="00C76102">
              <w:rPr>
                <w:rFonts w:asciiTheme="minorHAnsi" w:hAnsiTheme="minorHAnsi"/>
                <w:sz w:val="20"/>
                <w:szCs w:val="20"/>
                <w:lang w:val="en-GB"/>
              </w:rPr>
              <w:fldChar w:fldCharType="begin"/>
            </w:r>
            <w:r w:rsidR="00B943AB" w:rsidRPr="00C76102">
              <w:rPr>
                <w:rFonts w:asciiTheme="minorHAnsi" w:hAnsiTheme="minorHAnsi"/>
                <w:sz w:val="20"/>
                <w:szCs w:val="20"/>
                <w:lang w:val="en-GB"/>
              </w:rPr>
              <w:instrText xml:space="preserve"> PAGE </w:instrText>
            </w:r>
            <w:r w:rsidR="00B943AB" w:rsidRPr="00C76102">
              <w:rPr>
                <w:rFonts w:asciiTheme="minorHAnsi" w:hAnsiTheme="minorHAnsi"/>
                <w:sz w:val="20"/>
                <w:szCs w:val="20"/>
                <w:lang w:val="en-GB"/>
              </w:rPr>
              <w:fldChar w:fldCharType="separate"/>
            </w:r>
            <w:r w:rsidR="008A42C6">
              <w:rPr>
                <w:rFonts w:asciiTheme="minorHAnsi" w:hAnsiTheme="minorHAnsi"/>
                <w:noProof/>
                <w:sz w:val="20"/>
                <w:szCs w:val="20"/>
                <w:lang w:val="en-GB"/>
              </w:rPr>
              <w:t>2</w:t>
            </w:r>
            <w:r w:rsidR="00B943AB" w:rsidRPr="00C76102">
              <w:rPr>
                <w:rFonts w:asciiTheme="minorHAnsi" w:hAnsiTheme="minorHAnsi"/>
                <w:sz w:val="20"/>
                <w:szCs w:val="20"/>
                <w:lang w:val="en-GB"/>
              </w:rPr>
              <w:fldChar w:fldCharType="end"/>
            </w:r>
            <w:r w:rsidR="00B943AB" w:rsidRPr="00C76102">
              <w:rPr>
                <w:rFonts w:asciiTheme="minorHAnsi" w:hAnsiTheme="minorHAnsi"/>
                <w:sz w:val="20"/>
                <w:szCs w:val="20"/>
                <w:lang w:val="en-GB"/>
              </w:rPr>
              <w:t xml:space="preserve"> </w:t>
            </w:r>
            <w:r w:rsidRPr="00C76102">
              <w:rPr>
                <w:rFonts w:asciiTheme="minorHAnsi" w:hAnsiTheme="minorHAnsi"/>
                <w:sz w:val="20"/>
                <w:szCs w:val="20"/>
                <w:lang w:val="en-GB"/>
              </w:rPr>
              <w:t>from</w:t>
            </w:r>
            <w:r w:rsidR="00B943AB" w:rsidRPr="00C76102">
              <w:rPr>
                <w:rFonts w:asciiTheme="minorHAnsi" w:hAnsiTheme="minorHAnsi"/>
                <w:sz w:val="20"/>
                <w:szCs w:val="20"/>
                <w:lang w:val="en-GB"/>
              </w:rPr>
              <w:t xml:space="preserve"> </w:t>
            </w:r>
            <w:r w:rsidR="00B943AB" w:rsidRPr="00C76102">
              <w:rPr>
                <w:rFonts w:asciiTheme="minorHAnsi" w:hAnsiTheme="minorHAnsi"/>
                <w:sz w:val="20"/>
                <w:szCs w:val="20"/>
                <w:lang w:val="en-GB"/>
              </w:rPr>
              <w:fldChar w:fldCharType="begin"/>
            </w:r>
            <w:r w:rsidR="00B943AB" w:rsidRPr="00C76102">
              <w:rPr>
                <w:rFonts w:asciiTheme="minorHAnsi" w:hAnsiTheme="minorHAnsi"/>
                <w:sz w:val="20"/>
                <w:szCs w:val="20"/>
                <w:lang w:val="en-GB"/>
              </w:rPr>
              <w:instrText xml:space="preserve"> NUMPAGES  </w:instrText>
            </w:r>
            <w:r w:rsidR="00B943AB" w:rsidRPr="00C76102">
              <w:rPr>
                <w:rFonts w:asciiTheme="minorHAnsi" w:hAnsiTheme="minorHAnsi"/>
                <w:sz w:val="20"/>
                <w:szCs w:val="20"/>
                <w:lang w:val="en-GB"/>
              </w:rPr>
              <w:fldChar w:fldCharType="separate"/>
            </w:r>
            <w:r w:rsidR="008A42C6">
              <w:rPr>
                <w:rFonts w:asciiTheme="minorHAnsi" w:hAnsiTheme="minorHAnsi"/>
                <w:noProof/>
                <w:sz w:val="20"/>
                <w:szCs w:val="20"/>
                <w:lang w:val="en-GB"/>
              </w:rPr>
              <w:t>9</w:t>
            </w:r>
            <w:r w:rsidR="00B943AB" w:rsidRPr="00C76102">
              <w:rPr>
                <w:rFonts w:asciiTheme="minorHAnsi" w:hAnsiTheme="minorHAnsi"/>
                <w:sz w:val="20"/>
                <w:szCs w:val="20"/>
                <w:lang w:val="en-GB"/>
              </w:rPr>
              <w:fldChar w:fldCharType="end"/>
            </w:r>
          </w:p>
        </w:sdtContent>
      </w:sdt>
    </w:sdtContent>
  </w:sdt>
  <w:p w:rsidR="00B943AB" w:rsidRPr="00E075FD" w:rsidRDefault="00B943AB" w:rsidP="00343289">
    <w:pPr>
      <w:pStyle w:val="Footer"/>
      <w:spacing w:after="0" w:line="240" w:lineRule="auto"/>
      <w:jc w:val="right"/>
      <w:rPr>
        <w:szCs w:val="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3AB" w:rsidRDefault="00B943AB" w:rsidP="00343289">
    <w:pPr>
      <w:pStyle w:val="Footer"/>
      <w:spacing w:after="0" w:line="240" w:lineRule="auto"/>
      <w:ind w:left="-57"/>
      <w:rPr>
        <w:color w:val="005D97"/>
        <w:sz w:val="18"/>
      </w:rPr>
    </w:pPr>
  </w:p>
  <w:p w:rsidR="00B943AB" w:rsidRDefault="00B943AB" w:rsidP="00343289">
    <w:pPr>
      <w:pStyle w:val="Footer"/>
      <w:spacing w:after="0" w:line="240" w:lineRule="auto"/>
      <w:ind w:left="-57"/>
      <w:rPr>
        <w:color w:val="005D97"/>
        <w:sz w:val="18"/>
      </w:rPr>
    </w:pPr>
  </w:p>
  <w:p w:rsidR="00B943AB" w:rsidRPr="00DA0B5E" w:rsidRDefault="005A4D2E" w:rsidP="00343289">
    <w:pPr>
      <w:pStyle w:val="Footer"/>
      <w:spacing w:after="0" w:line="240" w:lineRule="auto"/>
      <w:ind w:left="-57"/>
      <w:rPr>
        <w:color w:val="005D97"/>
        <w:sz w:val="18"/>
      </w:rPr>
    </w:pPr>
    <w:r>
      <w:rPr>
        <w:noProof/>
        <w:color w:val="005D97"/>
        <w:sz w:val="18"/>
        <w:lang w:val="en-US"/>
      </w:rPr>
      <mc:AlternateContent>
        <mc:Choice Requires="wps">
          <w:drawing>
            <wp:anchor distT="0" distB="0" distL="114300" distR="114300" simplePos="0" relativeHeight="251663360" behindDoc="0" locked="0" layoutInCell="1" allowOverlap="1">
              <wp:simplePos x="0" y="0"/>
              <wp:positionH relativeFrom="column">
                <wp:posOffset>-24765</wp:posOffset>
              </wp:positionH>
              <wp:positionV relativeFrom="paragraph">
                <wp:posOffset>-186690</wp:posOffset>
              </wp:positionV>
              <wp:extent cx="5822315" cy="635"/>
              <wp:effectExtent l="0" t="0" r="6985" b="1841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2315" cy="635"/>
                      </a:xfrm>
                      <a:prstGeom prst="straightConnector1">
                        <a:avLst/>
                      </a:prstGeom>
                      <a:noFill/>
                      <a:ln w="9525">
                        <a:solidFill>
                          <a:srgbClr val="005D9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C3D9DE" id="_x0000_t32" coordsize="21600,21600" o:spt="32" o:oned="t" path="m,l21600,21600e" filled="f">
              <v:path arrowok="t" fillok="f" o:connecttype="none"/>
              <o:lock v:ext="edit" shapetype="t"/>
            </v:shapetype>
            <v:shape id="Straight Arrow Connector 21" o:spid="_x0000_s1026" type="#_x0000_t32" style="position:absolute;margin-left:-1.95pt;margin-top:-14.7pt;width:458.4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" strokecolor="#005d97"/>
          </w:pict>
        </mc:Fallback>
      </mc:AlternateContent>
    </w:r>
    <w:r w:rsidR="00B943AB">
      <w:rPr>
        <w:color w:val="005D97"/>
        <w:sz w:val="18"/>
      </w:rPr>
      <w:t xml:space="preserve">Adresa: Dervish </w:t>
    </w:r>
    <w:proofErr w:type="spellStart"/>
    <w:r w:rsidR="00B943AB">
      <w:rPr>
        <w:color w:val="005D97"/>
        <w:sz w:val="18"/>
      </w:rPr>
      <w:t>Rozhaja</w:t>
    </w:r>
    <w:proofErr w:type="spellEnd"/>
    <w:r w:rsidR="00B943AB">
      <w:rPr>
        <w:color w:val="005D97"/>
        <w:sz w:val="18"/>
      </w:rPr>
      <w:t xml:space="preserve"> nr. 12, 10000 Prishtinë, Kosovë</w:t>
    </w:r>
  </w:p>
  <w:p w:rsidR="00B943AB" w:rsidRDefault="00B943AB" w:rsidP="00343289">
    <w:pPr>
      <w:pStyle w:val="Footer"/>
      <w:spacing w:after="0" w:line="240" w:lineRule="auto"/>
      <w:ind w:left="-57"/>
    </w:pPr>
    <w:r>
      <w:rPr>
        <w:color w:val="005D97"/>
        <w:sz w:val="18"/>
      </w:rPr>
      <w:t xml:space="preserve">Tel: 038 247 615 </w:t>
    </w:r>
    <w:proofErr w:type="spellStart"/>
    <w:r>
      <w:rPr>
        <w:color w:val="005D97"/>
        <w:sz w:val="18"/>
      </w:rPr>
      <w:t>lok</w:t>
    </w:r>
    <w:proofErr w:type="spellEnd"/>
    <w:r>
      <w:rPr>
        <w:color w:val="005D97"/>
        <w:sz w:val="18"/>
      </w:rPr>
      <w:t xml:space="preserve">. 101, </w:t>
    </w:r>
    <w:proofErr w:type="spellStart"/>
    <w:r>
      <w:rPr>
        <w:color w:val="005D97"/>
        <w:sz w:val="18"/>
      </w:rPr>
      <w:t>Fax</w:t>
    </w:r>
    <w:proofErr w:type="spellEnd"/>
    <w:r>
      <w:rPr>
        <w:color w:val="005D97"/>
        <w:sz w:val="18"/>
      </w:rPr>
      <w:t>: 038 247 620, E-</w:t>
    </w:r>
    <w:proofErr w:type="spellStart"/>
    <w:r>
      <w:rPr>
        <w:color w:val="005D97"/>
        <w:sz w:val="18"/>
      </w:rPr>
      <w:t>mail</w:t>
    </w:r>
    <w:proofErr w:type="spellEnd"/>
    <w:r>
      <w:rPr>
        <w:color w:val="005D97"/>
        <w:sz w:val="18"/>
      </w:rPr>
      <w:t xml:space="preserve">: info@ero-ks.org, </w:t>
    </w:r>
    <w:proofErr w:type="spellStart"/>
    <w:r>
      <w:rPr>
        <w:color w:val="005D97"/>
        <w:sz w:val="18"/>
      </w:rPr>
      <w:t>web</w:t>
    </w:r>
    <w:proofErr w:type="spellEnd"/>
    <w:r>
      <w:rPr>
        <w:color w:val="005D97"/>
        <w:sz w:val="18"/>
      </w:rPr>
      <w:t>: www.ero-ks.org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C6D" w:rsidRDefault="00EF3C6D" w:rsidP="008773FD">
      <w:pPr>
        <w:spacing w:after="0" w:line="240" w:lineRule="auto"/>
      </w:pPr>
      <w:r>
        <w:separator/>
      </w:r>
    </w:p>
  </w:footnote>
  <w:footnote w:type="continuationSeparator" w:id="0">
    <w:p w:rsidR="00EF3C6D" w:rsidRDefault="00EF3C6D" w:rsidP="008773FD">
      <w:pPr>
        <w:spacing w:after="0" w:line="240" w:lineRule="auto"/>
      </w:pPr>
      <w:r>
        <w:continuationSeparator/>
      </w:r>
    </w:p>
  </w:footnote>
  <w:footnote w:id="1">
    <w:p w:rsidR="00B943AB" w:rsidRPr="008B40D9" w:rsidRDefault="00B943AB">
      <w:pPr>
        <w:pStyle w:val="FootnoteText"/>
        <w:rPr>
          <w:lang w:val="en-US"/>
        </w:rPr>
      </w:pPr>
      <w:r>
        <w:rPr>
          <w:rStyle w:val="FootnoteReference"/>
        </w:rPr>
        <w:footnoteRef/>
      </w:r>
      <w:r>
        <w:t xml:space="preserve"> </w:t>
      </w:r>
      <w:proofErr w:type="spellStart"/>
      <w:r>
        <w:t>Source</w:t>
      </w:r>
      <w:proofErr w:type="spellEnd"/>
      <w:r>
        <w:t xml:space="preserve">: </w:t>
      </w:r>
      <w:proofErr w:type="spellStart"/>
      <w:r>
        <w:t>Eurostat</w:t>
      </w:r>
      <w:proofErr w:type="spellEnd"/>
      <w:r>
        <w:t xml:space="preserve">, </w:t>
      </w:r>
      <w:hyperlink r:id="rId1" w:history="1">
        <w:r w:rsidRPr="009562B2">
          <w:t>https://appsso.eurostat.ec.europa.eu/nui/submitViewTableAction.do</w:t>
        </w:r>
      </w:hyperlink>
      <w:r>
        <w:t xml:space="preserve"> (vizituar më 27.01.2020)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3AB" w:rsidRPr="000F4DB3" w:rsidRDefault="00B943AB">
    <w:pPr>
      <w:pStyle w:val="Header"/>
      <w:rPr>
        <w:rFonts w:ascii="Arial" w:hAnsi="Arial"/>
        <w:b w:val="0"/>
        <w:bCs/>
        <w:color w:val="auto"/>
        <w:sz w:val="18"/>
      </w:rPr>
    </w:pPr>
    <w:r w:rsidRPr="00F816B8">
      <w:rPr>
        <w:noProof/>
        <w:lang w:val="en-US"/>
      </w:rPr>
      <w:drawing>
        <wp:anchor distT="0" distB="0" distL="114300" distR="114300" simplePos="0" relativeHeight="251662336" behindDoc="0" locked="0" layoutInCell="1" allowOverlap="1">
          <wp:simplePos x="0" y="0"/>
          <wp:positionH relativeFrom="column">
            <wp:posOffset>-273685</wp:posOffset>
          </wp:positionH>
          <wp:positionV relativeFrom="topMargin">
            <wp:posOffset>153035</wp:posOffset>
          </wp:positionV>
          <wp:extent cx="573405" cy="687070"/>
          <wp:effectExtent l="19050" t="0" r="0" b="0"/>
          <wp:wrapSquare wrapText="bothSides"/>
          <wp:docPr id="3" name="Picture 1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pic:cNvPicPr>
                    <a:picLocks noChangeAspect="1" noChangeArrowheads="1"/>
                  </pic:cNvPicPr>
                </pic:nvPicPr>
                <pic:blipFill rotWithShape="1">
                  <a:blip r:embed="rId1">
                    <a:extLst>
                      <a:ext uri="{28A0092B-C50C-407E-A947-70E740481C1C}">
                        <a14:useLocalDpi xmlns:a14="http://schemas.microsoft.com/office/drawing/2010/main" val="0"/>
                      </a:ext>
                    </a:extLst>
                  </a:blip>
                  <a:srcRect r="80466"/>
                  <a:stretch/>
                </pic:blipFill>
                <pic:spPr bwMode="auto">
                  <a:xfrm>
                    <a:off x="0" y="0"/>
                    <a:ext cx="573405" cy="68707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3AB" w:rsidRDefault="00B943AB" w:rsidP="00343289">
    <w:pPr>
      <w:pStyle w:val="Header"/>
      <w:jc w:val="center"/>
    </w:pPr>
    <w:r w:rsidRPr="00DA0941">
      <w:rPr>
        <w:noProof/>
        <w:lang w:val="en-US"/>
      </w:rPr>
      <w:drawing>
        <wp:inline distT="0" distB="0" distL="0" distR="0">
          <wp:extent cx="5109182" cy="1047664"/>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5110811" cy="104799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4D3"/>
      </v:shape>
    </w:pict>
  </w:numPicBullet>
  <w:abstractNum w:abstractNumId="0" w15:restartNumberingAfterBreak="0">
    <w:nsid w:val="0BEE6973"/>
    <w:multiLevelType w:val="hybridMultilevel"/>
    <w:tmpl w:val="6E9491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D28D8"/>
    <w:multiLevelType w:val="hybridMultilevel"/>
    <w:tmpl w:val="1E96A5B2"/>
    <w:lvl w:ilvl="0" w:tplc="0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88505D"/>
    <w:multiLevelType w:val="hybridMultilevel"/>
    <w:tmpl w:val="9402ACA6"/>
    <w:lvl w:ilvl="0" w:tplc="29B801B0">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BB1825"/>
    <w:multiLevelType w:val="multilevel"/>
    <w:tmpl w:val="83F862F2"/>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29D57E23"/>
    <w:multiLevelType w:val="hybridMultilevel"/>
    <w:tmpl w:val="B06224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7012E4"/>
    <w:multiLevelType w:val="hybridMultilevel"/>
    <w:tmpl w:val="AC221C9C"/>
    <w:lvl w:ilvl="0" w:tplc="29B801B0">
      <w:start w:val="1"/>
      <w:numFmt w:val="decimal"/>
      <w:lvlText w:val="%1     "/>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A9D6BD3"/>
    <w:multiLevelType w:val="hybridMultilevel"/>
    <w:tmpl w:val="BA6A0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BD074F"/>
    <w:multiLevelType w:val="multilevel"/>
    <w:tmpl w:val="324CE23A"/>
    <w:lvl w:ilvl="0">
      <w:start w:val="1"/>
      <w:numFmt w:val="decimal"/>
      <w:pStyle w:val="Heading1"/>
      <w:lvlText w:val="%1"/>
      <w:lvlJc w:val="left"/>
      <w:pPr>
        <w:tabs>
          <w:tab w:val="num" w:pos="720"/>
        </w:tabs>
        <w:ind w:left="720" w:hanging="720"/>
      </w:pPr>
      <w:rPr>
        <w:rFonts w:ascii="Calibri" w:hAnsi="Calibri" w:hint="default"/>
        <w:b/>
        <w:i w:val="0"/>
        <w:sz w:val="28"/>
        <w:lang w:val="en-GB"/>
      </w:rPr>
    </w:lvl>
    <w:lvl w:ilvl="1">
      <w:start w:val="1"/>
      <w:numFmt w:val="decimal"/>
      <w:pStyle w:val="Heading2"/>
      <w:lvlText w:val="%1.%2"/>
      <w:lvlJc w:val="left"/>
      <w:pPr>
        <w:tabs>
          <w:tab w:val="num" w:pos="810"/>
        </w:tabs>
        <w:ind w:left="810" w:hanging="720"/>
      </w:pPr>
      <w:rPr>
        <w:rFonts w:ascii="Calibri" w:hAnsi="Calibri" w:hint="default"/>
        <w:b/>
        <w:i w:val="0"/>
        <w:sz w:val="24"/>
      </w:rPr>
    </w:lvl>
    <w:lvl w:ilvl="2">
      <w:start w:val="1"/>
      <w:numFmt w:val="decimal"/>
      <w:pStyle w:val="Heading3"/>
      <w:lvlText w:val="%1.%2.%3"/>
      <w:lvlJc w:val="left"/>
      <w:pPr>
        <w:tabs>
          <w:tab w:val="num" w:pos="1080"/>
        </w:tabs>
        <w:ind w:left="794" w:hanging="794"/>
      </w:pPr>
      <w:rPr>
        <w:rFonts w:hint="default"/>
      </w:rPr>
    </w:lvl>
    <w:lvl w:ilvl="3">
      <w:start w:val="1"/>
      <w:numFmt w:val="decimal"/>
      <w:lvlText w:val="%1.%2.%3.%4"/>
      <w:lvlJc w:val="left"/>
      <w:pPr>
        <w:tabs>
          <w:tab w:val="num" w:pos="1440"/>
        </w:tabs>
        <w:ind w:left="907" w:hanging="90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477213B4"/>
    <w:multiLevelType w:val="hybridMultilevel"/>
    <w:tmpl w:val="E522D98E"/>
    <w:lvl w:ilvl="0" w:tplc="08090001">
      <w:start w:val="1"/>
      <w:numFmt w:val="bullet"/>
      <w:lvlText w:val=""/>
      <w:lvlPicBulletId w:val="0"/>
      <w:lvlJc w:val="left"/>
      <w:pPr>
        <w:ind w:left="720" w:hanging="360"/>
      </w:pPr>
      <w:rPr>
        <w:rFonts w:ascii="Symbol" w:hAnsi="Symbol" w:hint="default"/>
        <w:color w:val="00336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5B3F22"/>
    <w:multiLevelType w:val="multilevel"/>
    <w:tmpl w:val="390E3110"/>
    <w:lvl w:ilvl="0">
      <w:start w:val="1"/>
      <w:numFmt w:val="decimal"/>
      <w:lvlText w:val="%1"/>
      <w:lvlJc w:val="left"/>
      <w:pPr>
        <w:ind w:left="1995" w:hanging="1635"/>
      </w:pPr>
      <w:rPr>
        <w:rFonts w:hint="default"/>
      </w:rPr>
    </w:lvl>
    <w:lvl w:ilvl="1">
      <w:start w:val="1"/>
      <w:numFmt w:val="decimal"/>
      <w:isLgl/>
      <w:lvlText w:val="%1.%2"/>
      <w:lvlJc w:val="left"/>
      <w:pPr>
        <w:ind w:left="1785" w:hanging="1425"/>
      </w:pPr>
      <w:rPr>
        <w:rFonts w:hint="default"/>
        <w:sz w:val="22"/>
        <w:szCs w:val="22"/>
      </w:rPr>
    </w:lvl>
    <w:lvl w:ilvl="2">
      <w:start w:val="1"/>
      <w:numFmt w:val="decimal"/>
      <w:isLgl/>
      <w:lvlText w:val="%1.%2.%3"/>
      <w:lvlJc w:val="left"/>
      <w:pPr>
        <w:ind w:left="1785" w:hanging="1425"/>
      </w:pPr>
      <w:rPr>
        <w:rFonts w:hint="default"/>
      </w:rPr>
    </w:lvl>
    <w:lvl w:ilvl="3">
      <w:start w:val="1"/>
      <w:numFmt w:val="decimal"/>
      <w:isLgl/>
      <w:lvlText w:val="%1.%2.%3.%4"/>
      <w:lvlJc w:val="left"/>
      <w:pPr>
        <w:ind w:left="1785" w:hanging="1425"/>
      </w:pPr>
      <w:rPr>
        <w:rFonts w:hint="default"/>
      </w:rPr>
    </w:lvl>
    <w:lvl w:ilvl="4">
      <w:start w:val="1"/>
      <w:numFmt w:val="decimal"/>
      <w:isLgl/>
      <w:lvlText w:val="%1.%2.%3.%4.%5"/>
      <w:lvlJc w:val="left"/>
      <w:pPr>
        <w:ind w:left="1785" w:hanging="1425"/>
      </w:pPr>
      <w:rPr>
        <w:rFonts w:hint="default"/>
      </w:rPr>
    </w:lvl>
    <w:lvl w:ilvl="5">
      <w:start w:val="1"/>
      <w:numFmt w:val="decimal"/>
      <w:isLgl/>
      <w:lvlText w:val="%1.%2.%3.%4.%5.%6"/>
      <w:lvlJc w:val="left"/>
      <w:pPr>
        <w:ind w:left="1785" w:hanging="1425"/>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77FA03BD"/>
    <w:multiLevelType w:val="hybridMultilevel"/>
    <w:tmpl w:val="D84088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2F4B70"/>
    <w:multiLevelType w:val="hybridMultilevel"/>
    <w:tmpl w:val="795E65A4"/>
    <w:lvl w:ilvl="0" w:tplc="29B801B0">
      <w:start w:val="1"/>
      <w:numFmt w:val="decimal"/>
      <w:lvlText w:val="%1     "/>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F287A3B"/>
    <w:multiLevelType w:val="hybridMultilevel"/>
    <w:tmpl w:val="18EA22EE"/>
    <w:lvl w:ilvl="0" w:tplc="0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11"/>
  </w:num>
  <w:num w:numId="6">
    <w:abstractNumId w:val="7"/>
  </w:num>
  <w:num w:numId="7">
    <w:abstractNumId w:val="7"/>
  </w:num>
  <w:num w:numId="8">
    <w:abstractNumId w:val="0"/>
  </w:num>
  <w:num w:numId="9">
    <w:abstractNumId w:val="6"/>
  </w:num>
  <w:num w:numId="10">
    <w:abstractNumId w:val="8"/>
  </w:num>
  <w:num w:numId="11">
    <w:abstractNumId w:val="12"/>
  </w:num>
  <w:num w:numId="12">
    <w:abstractNumId w:val="9"/>
  </w:num>
  <w:num w:numId="13">
    <w:abstractNumId w:val="3"/>
  </w:num>
  <w:num w:numId="14">
    <w:abstractNumId w:val="7"/>
  </w:num>
  <w:num w:numId="15">
    <w:abstractNumId w:val="10"/>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
  </w:num>
  <w:num w:numId="19">
    <w:abstractNumId w:val="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3FD"/>
    <w:rsid w:val="000025F6"/>
    <w:rsid w:val="000052C4"/>
    <w:rsid w:val="0001374E"/>
    <w:rsid w:val="00013B2C"/>
    <w:rsid w:val="00013C9F"/>
    <w:rsid w:val="00015662"/>
    <w:rsid w:val="000231E6"/>
    <w:rsid w:val="00024C9E"/>
    <w:rsid w:val="00031E79"/>
    <w:rsid w:val="00032A9C"/>
    <w:rsid w:val="000445AE"/>
    <w:rsid w:val="000458E8"/>
    <w:rsid w:val="000668AB"/>
    <w:rsid w:val="00075CAD"/>
    <w:rsid w:val="00086E03"/>
    <w:rsid w:val="000A1980"/>
    <w:rsid w:val="000A5251"/>
    <w:rsid w:val="000A6B77"/>
    <w:rsid w:val="000C3E79"/>
    <w:rsid w:val="000D4BEB"/>
    <w:rsid w:val="000D63B2"/>
    <w:rsid w:val="000E381E"/>
    <w:rsid w:val="00111383"/>
    <w:rsid w:val="001264F5"/>
    <w:rsid w:val="00135B42"/>
    <w:rsid w:val="00137754"/>
    <w:rsid w:val="00137AB8"/>
    <w:rsid w:val="001527E2"/>
    <w:rsid w:val="00153155"/>
    <w:rsid w:val="00172F50"/>
    <w:rsid w:val="00180CE9"/>
    <w:rsid w:val="001B277C"/>
    <w:rsid w:val="001C3094"/>
    <w:rsid w:val="001D1277"/>
    <w:rsid w:val="001E09BE"/>
    <w:rsid w:val="001E16E3"/>
    <w:rsid w:val="001E64E6"/>
    <w:rsid w:val="001F295F"/>
    <w:rsid w:val="002568F8"/>
    <w:rsid w:val="0028268B"/>
    <w:rsid w:val="002841BF"/>
    <w:rsid w:val="00292BB1"/>
    <w:rsid w:val="0029429D"/>
    <w:rsid w:val="00294DC1"/>
    <w:rsid w:val="002A0457"/>
    <w:rsid w:val="002A21C1"/>
    <w:rsid w:val="002C11F5"/>
    <w:rsid w:val="002C77AC"/>
    <w:rsid w:val="002D7E52"/>
    <w:rsid w:val="002F329B"/>
    <w:rsid w:val="0030441B"/>
    <w:rsid w:val="00306BF1"/>
    <w:rsid w:val="003142CD"/>
    <w:rsid w:val="00337B45"/>
    <w:rsid w:val="00340FFE"/>
    <w:rsid w:val="00343289"/>
    <w:rsid w:val="00354A2B"/>
    <w:rsid w:val="00374A67"/>
    <w:rsid w:val="00380C28"/>
    <w:rsid w:val="00385EB1"/>
    <w:rsid w:val="00392AF4"/>
    <w:rsid w:val="003C0145"/>
    <w:rsid w:val="003C0E00"/>
    <w:rsid w:val="003C28E0"/>
    <w:rsid w:val="003C4350"/>
    <w:rsid w:val="003F1A9B"/>
    <w:rsid w:val="00417B5E"/>
    <w:rsid w:val="00426648"/>
    <w:rsid w:val="004336A2"/>
    <w:rsid w:val="004458DC"/>
    <w:rsid w:val="00460D6D"/>
    <w:rsid w:val="00471D12"/>
    <w:rsid w:val="00475BF7"/>
    <w:rsid w:val="004868CB"/>
    <w:rsid w:val="00490EA0"/>
    <w:rsid w:val="004A6866"/>
    <w:rsid w:val="004B0CBA"/>
    <w:rsid w:val="004C490B"/>
    <w:rsid w:val="00501E15"/>
    <w:rsid w:val="005129C7"/>
    <w:rsid w:val="0052258A"/>
    <w:rsid w:val="00522D90"/>
    <w:rsid w:val="00541D5D"/>
    <w:rsid w:val="00543654"/>
    <w:rsid w:val="00564792"/>
    <w:rsid w:val="00586E84"/>
    <w:rsid w:val="005A4D2E"/>
    <w:rsid w:val="005B574D"/>
    <w:rsid w:val="005D35F3"/>
    <w:rsid w:val="005E31ED"/>
    <w:rsid w:val="00606D68"/>
    <w:rsid w:val="006221F4"/>
    <w:rsid w:val="00623D23"/>
    <w:rsid w:val="00627DE1"/>
    <w:rsid w:val="00644D1A"/>
    <w:rsid w:val="00650C28"/>
    <w:rsid w:val="00654EF9"/>
    <w:rsid w:val="00685EAF"/>
    <w:rsid w:val="00686CFE"/>
    <w:rsid w:val="006A334F"/>
    <w:rsid w:val="006A58CA"/>
    <w:rsid w:val="006A590A"/>
    <w:rsid w:val="006D1BE6"/>
    <w:rsid w:val="006D3E4F"/>
    <w:rsid w:val="0072175B"/>
    <w:rsid w:val="00724223"/>
    <w:rsid w:val="007245F0"/>
    <w:rsid w:val="00724FFA"/>
    <w:rsid w:val="00735A1C"/>
    <w:rsid w:val="00771406"/>
    <w:rsid w:val="007821E1"/>
    <w:rsid w:val="00794829"/>
    <w:rsid w:val="0079783A"/>
    <w:rsid w:val="007A155E"/>
    <w:rsid w:val="007A7B60"/>
    <w:rsid w:val="007B1A17"/>
    <w:rsid w:val="007B7448"/>
    <w:rsid w:val="007D16B1"/>
    <w:rsid w:val="007E4CF3"/>
    <w:rsid w:val="007E7695"/>
    <w:rsid w:val="00806B2D"/>
    <w:rsid w:val="00833C45"/>
    <w:rsid w:val="008548E8"/>
    <w:rsid w:val="00864CC8"/>
    <w:rsid w:val="00875438"/>
    <w:rsid w:val="008773FD"/>
    <w:rsid w:val="008817B5"/>
    <w:rsid w:val="00885C06"/>
    <w:rsid w:val="008921E6"/>
    <w:rsid w:val="00894E2E"/>
    <w:rsid w:val="008A030E"/>
    <w:rsid w:val="008A42C6"/>
    <w:rsid w:val="008B385B"/>
    <w:rsid w:val="008B40D9"/>
    <w:rsid w:val="008B4EF3"/>
    <w:rsid w:val="008B5D71"/>
    <w:rsid w:val="008F7466"/>
    <w:rsid w:val="00901FF6"/>
    <w:rsid w:val="00912C2E"/>
    <w:rsid w:val="00942C62"/>
    <w:rsid w:val="00960492"/>
    <w:rsid w:val="00960892"/>
    <w:rsid w:val="00971739"/>
    <w:rsid w:val="009720DC"/>
    <w:rsid w:val="00981459"/>
    <w:rsid w:val="009846A2"/>
    <w:rsid w:val="009B3EC4"/>
    <w:rsid w:val="009C0B70"/>
    <w:rsid w:val="009D5F6F"/>
    <w:rsid w:val="00A078DB"/>
    <w:rsid w:val="00A1639C"/>
    <w:rsid w:val="00A200BD"/>
    <w:rsid w:val="00A31C4A"/>
    <w:rsid w:val="00A47179"/>
    <w:rsid w:val="00A531C3"/>
    <w:rsid w:val="00A53AC9"/>
    <w:rsid w:val="00A633E2"/>
    <w:rsid w:val="00A67A66"/>
    <w:rsid w:val="00A74AEE"/>
    <w:rsid w:val="00AB08DD"/>
    <w:rsid w:val="00AC11D0"/>
    <w:rsid w:val="00AC5803"/>
    <w:rsid w:val="00AD2298"/>
    <w:rsid w:val="00AD287E"/>
    <w:rsid w:val="00AD630F"/>
    <w:rsid w:val="00B03237"/>
    <w:rsid w:val="00B0375E"/>
    <w:rsid w:val="00B1344D"/>
    <w:rsid w:val="00B36E88"/>
    <w:rsid w:val="00B51304"/>
    <w:rsid w:val="00B5228A"/>
    <w:rsid w:val="00B61F6F"/>
    <w:rsid w:val="00B722B2"/>
    <w:rsid w:val="00B72675"/>
    <w:rsid w:val="00B80D8D"/>
    <w:rsid w:val="00B85E63"/>
    <w:rsid w:val="00B943AB"/>
    <w:rsid w:val="00BD043F"/>
    <w:rsid w:val="00BD1B54"/>
    <w:rsid w:val="00BD3D95"/>
    <w:rsid w:val="00BD79C2"/>
    <w:rsid w:val="00BE271D"/>
    <w:rsid w:val="00BE4ECA"/>
    <w:rsid w:val="00BF4F01"/>
    <w:rsid w:val="00BF7B36"/>
    <w:rsid w:val="00C0378D"/>
    <w:rsid w:val="00C07D4F"/>
    <w:rsid w:val="00C35A1B"/>
    <w:rsid w:val="00C36BF1"/>
    <w:rsid w:val="00C601D7"/>
    <w:rsid w:val="00C6478E"/>
    <w:rsid w:val="00C67B2F"/>
    <w:rsid w:val="00C76102"/>
    <w:rsid w:val="00C93CB4"/>
    <w:rsid w:val="00C942A6"/>
    <w:rsid w:val="00CA1B0E"/>
    <w:rsid w:val="00CC15F5"/>
    <w:rsid w:val="00CF0A50"/>
    <w:rsid w:val="00CF7560"/>
    <w:rsid w:val="00D00CB6"/>
    <w:rsid w:val="00D049AD"/>
    <w:rsid w:val="00D41107"/>
    <w:rsid w:val="00D42917"/>
    <w:rsid w:val="00D52EE6"/>
    <w:rsid w:val="00D7747C"/>
    <w:rsid w:val="00D969E4"/>
    <w:rsid w:val="00DD0295"/>
    <w:rsid w:val="00DD201A"/>
    <w:rsid w:val="00DE465C"/>
    <w:rsid w:val="00DF047D"/>
    <w:rsid w:val="00E15756"/>
    <w:rsid w:val="00E322B1"/>
    <w:rsid w:val="00E3541C"/>
    <w:rsid w:val="00E45F55"/>
    <w:rsid w:val="00E60B60"/>
    <w:rsid w:val="00E65FAE"/>
    <w:rsid w:val="00E825FD"/>
    <w:rsid w:val="00E83DBF"/>
    <w:rsid w:val="00E9121D"/>
    <w:rsid w:val="00EB09AD"/>
    <w:rsid w:val="00EC2657"/>
    <w:rsid w:val="00EF1BEC"/>
    <w:rsid w:val="00EF3C6D"/>
    <w:rsid w:val="00F140CC"/>
    <w:rsid w:val="00F1437A"/>
    <w:rsid w:val="00F166A4"/>
    <w:rsid w:val="00F17371"/>
    <w:rsid w:val="00F25322"/>
    <w:rsid w:val="00F36BBD"/>
    <w:rsid w:val="00F379A9"/>
    <w:rsid w:val="00F5404C"/>
    <w:rsid w:val="00F5513F"/>
    <w:rsid w:val="00F722DC"/>
    <w:rsid w:val="00FA40AB"/>
    <w:rsid w:val="00FB0610"/>
    <w:rsid w:val="00FB3B1E"/>
    <w:rsid w:val="00FD6318"/>
    <w:rsid w:val="00FF0140"/>
    <w:rsid w:val="00FF4B9D"/>
    <w:rsid w:val="00FF6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C2E4AB-36D3-426D-8715-21396890C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3FD"/>
    <w:rPr>
      <w:lang w:val="sq-AL"/>
    </w:rPr>
  </w:style>
  <w:style w:type="paragraph" w:styleId="Heading1">
    <w:name w:val="heading 1"/>
    <w:basedOn w:val="Normal"/>
    <w:next w:val="Normal"/>
    <w:link w:val="Heading1Char"/>
    <w:uiPriority w:val="99"/>
    <w:qFormat/>
    <w:rsid w:val="008773FD"/>
    <w:pPr>
      <w:keepNext/>
      <w:numPr>
        <w:numId w:val="1"/>
      </w:numPr>
      <w:spacing w:before="360"/>
      <w:outlineLvl w:val="0"/>
    </w:pPr>
    <w:rPr>
      <w:rFonts w:ascii="Calibri" w:eastAsia="Times New Roman" w:hAnsi="Calibri" w:cs="Arial"/>
      <w:b/>
      <w:bCs/>
      <w:color w:val="003366"/>
      <w:sz w:val="28"/>
      <w:szCs w:val="24"/>
    </w:rPr>
  </w:style>
  <w:style w:type="paragraph" w:styleId="Heading2">
    <w:name w:val="heading 2"/>
    <w:basedOn w:val="Normal"/>
    <w:next w:val="Normal"/>
    <w:link w:val="Heading2Char"/>
    <w:uiPriority w:val="99"/>
    <w:qFormat/>
    <w:rsid w:val="008773FD"/>
    <w:pPr>
      <w:keepNext/>
      <w:numPr>
        <w:ilvl w:val="1"/>
        <w:numId w:val="1"/>
      </w:numPr>
      <w:autoSpaceDE w:val="0"/>
      <w:autoSpaceDN w:val="0"/>
      <w:adjustRightInd w:val="0"/>
      <w:outlineLvl w:val="1"/>
    </w:pPr>
    <w:rPr>
      <w:rFonts w:ascii="Calibri" w:eastAsia="Times New Roman" w:hAnsi="Calibri" w:cs="Arial"/>
      <w:b/>
      <w:bCs/>
      <w:color w:val="003366"/>
      <w:sz w:val="24"/>
    </w:rPr>
  </w:style>
  <w:style w:type="paragraph" w:styleId="Heading3">
    <w:name w:val="heading 3"/>
    <w:basedOn w:val="Heading2"/>
    <w:next w:val="Normal"/>
    <w:link w:val="Heading3Char"/>
    <w:uiPriority w:val="99"/>
    <w:qFormat/>
    <w:rsid w:val="008773FD"/>
    <w:pPr>
      <w:numPr>
        <w:ilvl w:val="2"/>
      </w:numPr>
      <w:tabs>
        <w:tab w:val="left" w:pos="2160"/>
      </w:tabs>
      <w:spacing w:after="120"/>
      <w:outlineLvl w:val="2"/>
    </w:pPr>
    <w:rPr>
      <w:i/>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Shading1-Accent2">
    <w:name w:val="Medium Shading 1 Accent 2"/>
    <w:basedOn w:val="TableNormal"/>
    <w:uiPriority w:val="63"/>
    <w:rsid w:val="002C11F5"/>
    <w:pPr>
      <w:spacing w:after="0" w:line="240" w:lineRule="auto"/>
      <w:jc w:val="center"/>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cPr>
      <w:vAlign w:val="center"/>
    </w:tc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customStyle="1" w:styleId="Heading1Char">
    <w:name w:val="Heading 1 Char"/>
    <w:basedOn w:val="DefaultParagraphFont"/>
    <w:link w:val="Heading1"/>
    <w:uiPriority w:val="99"/>
    <w:rsid w:val="008773FD"/>
    <w:rPr>
      <w:rFonts w:ascii="Calibri" w:eastAsia="Times New Roman" w:hAnsi="Calibri" w:cs="Arial"/>
      <w:b/>
      <w:bCs/>
      <w:color w:val="003366"/>
      <w:sz w:val="28"/>
      <w:szCs w:val="24"/>
      <w:lang w:val="sq-AL"/>
    </w:rPr>
  </w:style>
  <w:style w:type="character" w:customStyle="1" w:styleId="Heading2Char">
    <w:name w:val="Heading 2 Char"/>
    <w:basedOn w:val="DefaultParagraphFont"/>
    <w:link w:val="Heading2"/>
    <w:uiPriority w:val="99"/>
    <w:rsid w:val="008773FD"/>
    <w:rPr>
      <w:rFonts w:ascii="Calibri" w:eastAsia="Times New Roman" w:hAnsi="Calibri" w:cs="Arial"/>
      <w:b/>
      <w:bCs/>
      <w:color w:val="003366"/>
      <w:sz w:val="24"/>
      <w:lang w:val="sq-AL"/>
    </w:rPr>
  </w:style>
  <w:style w:type="character" w:customStyle="1" w:styleId="Heading3Char">
    <w:name w:val="Heading 3 Char"/>
    <w:basedOn w:val="DefaultParagraphFont"/>
    <w:link w:val="Heading3"/>
    <w:uiPriority w:val="99"/>
    <w:rsid w:val="008773FD"/>
    <w:rPr>
      <w:rFonts w:ascii="Calibri" w:eastAsia="Times New Roman" w:hAnsi="Calibri" w:cs="Arial"/>
      <w:b/>
      <w:bCs/>
      <w:i/>
      <w:color w:val="003366"/>
      <w:szCs w:val="20"/>
      <w:lang w:val="sq-AL"/>
    </w:rPr>
  </w:style>
  <w:style w:type="paragraph" w:styleId="Header">
    <w:name w:val="header"/>
    <w:basedOn w:val="Normal"/>
    <w:link w:val="HeaderChar"/>
    <w:uiPriority w:val="99"/>
    <w:rsid w:val="008773FD"/>
    <w:pPr>
      <w:tabs>
        <w:tab w:val="center" w:pos="4320"/>
        <w:tab w:val="right" w:pos="8640"/>
      </w:tabs>
      <w:spacing w:after="0" w:line="240" w:lineRule="auto"/>
      <w:jc w:val="both"/>
    </w:pPr>
    <w:rPr>
      <w:rFonts w:ascii="Calibri" w:eastAsia="Times New Roman" w:hAnsi="Calibri" w:cs="Arial"/>
      <w:b/>
      <w:color w:val="FFCC00"/>
      <w:szCs w:val="24"/>
    </w:rPr>
  </w:style>
  <w:style w:type="character" w:customStyle="1" w:styleId="HeaderChar">
    <w:name w:val="Header Char"/>
    <w:basedOn w:val="DefaultParagraphFont"/>
    <w:link w:val="Header"/>
    <w:uiPriority w:val="99"/>
    <w:rsid w:val="008773FD"/>
    <w:rPr>
      <w:rFonts w:ascii="Calibri" w:eastAsia="Times New Roman" w:hAnsi="Calibri" w:cs="Arial"/>
      <w:b/>
      <w:color w:val="FFCC00"/>
      <w:szCs w:val="24"/>
      <w:lang w:val="sq-AL"/>
    </w:rPr>
  </w:style>
  <w:style w:type="paragraph" w:styleId="Footer">
    <w:name w:val="footer"/>
    <w:basedOn w:val="Normal"/>
    <w:link w:val="FooterChar"/>
    <w:uiPriority w:val="99"/>
    <w:rsid w:val="008773FD"/>
    <w:pPr>
      <w:tabs>
        <w:tab w:val="center" w:pos="4320"/>
        <w:tab w:val="right" w:pos="8640"/>
      </w:tabs>
      <w:jc w:val="both"/>
    </w:pPr>
    <w:rPr>
      <w:rFonts w:ascii="Arial" w:eastAsia="Times New Roman" w:hAnsi="Arial" w:cs="Arial"/>
      <w:szCs w:val="24"/>
    </w:rPr>
  </w:style>
  <w:style w:type="character" w:customStyle="1" w:styleId="FooterChar">
    <w:name w:val="Footer Char"/>
    <w:basedOn w:val="DefaultParagraphFont"/>
    <w:link w:val="Footer"/>
    <w:uiPriority w:val="99"/>
    <w:rsid w:val="008773FD"/>
    <w:rPr>
      <w:rFonts w:ascii="Arial" w:eastAsia="Times New Roman" w:hAnsi="Arial" w:cs="Arial"/>
      <w:szCs w:val="24"/>
      <w:lang w:val="sq-AL"/>
    </w:rPr>
  </w:style>
  <w:style w:type="paragraph" w:styleId="Caption">
    <w:name w:val="caption"/>
    <w:aliases w:val="Tabellen"/>
    <w:basedOn w:val="Normal"/>
    <w:next w:val="Normal"/>
    <w:uiPriority w:val="35"/>
    <w:qFormat/>
    <w:rsid w:val="008773FD"/>
    <w:pPr>
      <w:keepNext/>
      <w:jc w:val="both"/>
    </w:pPr>
    <w:rPr>
      <w:rFonts w:ascii="Calibri" w:eastAsia="Times New Roman" w:hAnsi="Calibri" w:cs="Arial"/>
      <w:b/>
      <w:bCs/>
      <w:i/>
      <w:color w:val="003366"/>
      <w:szCs w:val="24"/>
    </w:rPr>
  </w:style>
  <w:style w:type="paragraph" w:styleId="FootnoteText">
    <w:name w:val="footnote text"/>
    <w:basedOn w:val="Normal"/>
    <w:link w:val="FootnoteTextChar"/>
    <w:uiPriority w:val="99"/>
    <w:rsid w:val="008773FD"/>
    <w:pPr>
      <w:spacing w:after="120" w:line="240" w:lineRule="auto"/>
    </w:pPr>
    <w:rPr>
      <w:rFonts w:ascii="Calibri" w:eastAsia="Times New Roman" w:hAnsi="Calibri" w:cs="Arial"/>
      <w:sz w:val="20"/>
      <w:szCs w:val="24"/>
    </w:rPr>
  </w:style>
  <w:style w:type="character" w:customStyle="1" w:styleId="FootnoteTextChar">
    <w:name w:val="Footnote Text Char"/>
    <w:basedOn w:val="DefaultParagraphFont"/>
    <w:link w:val="FootnoteText"/>
    <w:uiPriority w:val="99"/>
    <w:rsid w:val="008773FD"/>
    <w:rPr>
      <w:rFonts w:ascii="Calibri" w:eastAsia="Times New Roman" w:hAnsi="Calibri" w:cs="Arial"/>
      <w:sz w:val="20"/>
      <w:szCs w:val="24"/>
      <w:lang w:val="sq-AL"/>
    </w:rPr>
  </w:style>
  <w:style w:type="character" w:styleId="FootnoteReference">
    <w:name w:val="footnote reference"/>
    <w:basedOn w:val="DefaultParagraphFont"/>
    <w:uiPriority w:val="99"/>
    <w:rsid w:val="008773FD"/>
    <w:rPr>
      <w:vertAlign w:val="superscript"/>
    </w:rPr>
  </w:style>
  <w:style w:type="character" w:styleId="Hyperlink">
    <w:name w:val="Hyperlink"/>
    <w:basedOn w:val="DefaultParagraphFont"/>
    <w:uiPriority w:val="99"/>
    <w:rsid w:val="008773FD"/>
    <w:rPr>
      <w:color w:val="0000FF"/>
      <w:u w:val="single"/>
    </w:rPr>
  </w:style>
  <w:style w:type="paragraph" w:customStyle="1" w:styleId="Equation">
    <w:name w:val="Equation"/>
    <w:basedOn w:val="Normal"/>
    <w:link w:val="EquationChar"/>
    <w:qFormat/>
    <w:rsid w:val="008773FD"/>
    <w:pPr>
      <w:spacing w:before="240" w:after="240" w:line="240" w:lineRule="auto"/>
      <w:ind w:left="2160" w:hanging="1440"/>
    </w:pPr>
    <w:rPr>
      <w:rFonts w:ascii="Calibri" w:eastAsia="Times New Roman" w:hAnsi="Calibri" w:cs="Times New Roman"/>
      <w:i/>
      <w:szCs w:val="24"/>
      <w:lang w:eastAsia="en-GB"/>
    </w:rPr>
  </w:style>
  <w:style w:type="character" w:customStyle="1" w:styleId="EquationChar">
    <w:name w:val="Equation Char"/>
    <w:basedOn w:val="DefaultParagraphFont"/>
    <w:link w:val="Equation"/>
    <w:rsid w:val="008773FD"/>
    <w:rPr>
      <w:rFonts w:ascii="Calibri" w:eastAsia="Times New Roman" w:hAnsi="Calibri" w:cs="Times New Roman"/>
      <w:i/>
      <w:szCs w:val="24"/>
      <w:lang w:val="sq-AL" w:eastAsia="en-GB"/>
    </w:rPr>
  </w:style>
  <w:style w:type="table" w:styleId="TableGrid">
    <w:name w:val="Table Grid"/>
    <w:basedOn w:val="TableNormal"/>
    <w:uiPriority w:val="59"/>
    <w:rsid w:val="008773FD"/>
    <w:pPr>
      <w:spacing w:after="0" w:line="240" w:lineRule="auto"/>
    </w:pPr>
    <w:rPr>
      <w:rFonts w:ascii="Calibri" w:eastAsia="Times New Roman" w:hAnsi="Calibri" w:cs="Calibri"/>
      <w:sz w:val="20"/>
      <w:szCs w:val="20"/>
      <w:lang w:val="sq-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877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3FD"/>
    <w:rPr>
      <w:rFonts w:ascii="Tahoma" w:eastAsia="MS Mincho" w:hAnsi="Tahoma" w:cs="Tahoma"/>
      <w:sz w:val="16"/>
      <w:szCs w:val="16"/>
      <w:lang w:val="sq-AL"/>
    </w:rPr>
  </w:style>
  <w:style w:type="paragraph" w:styleId="ListParagraph">
    <w:name w:val="List Paragraph"/>
    <w:basedOn w:val="Normal"/>
    <w:uiPriority w:val="34"/>
    <w:qFormat/>
    <w:rsid w:val="008773FD"/>
    <w:pPr>
      <w:ind w:left="720"/>
      <w:contextualSpacing/>
    </w:pPr>
  </w:style>
  <w:style w:type="paragraph" w:styleId="Title">
    <w:name w:val="Title"/>
    <w:basedOn w:val="Normal"/>
    <w:link w:val="TitleChar"/>
    <w:uiPriority w:val="99"/>
    <w:qFormat/>
    <w:rsid w:val="001264F5"/>
    <w:pPr>
      <w:shd w:val="clear" w:color="auto" w:fill="002060"/>
      <w:tabs>
        <w:tab w:val="center" w:pos="4320"/>
      </w:tabs>
      <w:spacing w:before="240"/>
    </w:pPr>
    <w:rPr>
      <w:rFonts w:ascii="Calibri" w:eastAsia="Times New Roman" w:hAnsi="Calibri" w:cs="Arial Bold"/>
      <w:b/>
      <w:bCs/>
      <w:color w:val="FFC000"/>
      <w:sz w:val="48"/>
      <w:szCs w:val="24"/>
    </w:rPr>
  </w:style>
  <w:style w:type="character" w:customStyle="1" w:styleId="TitleChar">
    <w:name w:val="Title Char"/>
    <w:basedOn w:val="DefaultParagraphFont"/>
    <w:link w:val="Title"/>
    <w:uiPriority w:val="99"/>
    <w:rsid w:val="001264F5"/>
    <w:rPr>
      <w:rFonts w:ascii="Calibri" w:eastAsia="Times New Roman" w:hAnsi="Calibri" w:cs="Arial Bold"/>
      <w:b/>
      <w:bCs/>
      <w:color w:val="FFC000"/>
      <w:sz w:val="48"/>
      <w:szCs w:val="24"/>
      <w:shd w:val="clear" w:color="auto" w:fill="002060"/>
      <w:lang w:val="sq-AL"/>
    </w:rPr>
  </w:style>
  <w:style w:type="paragraph" w:customStyle="1" w:styleId="ReportDate">
    <w:name w:val="Report Date"/>
    <w:basedOn w:val="Normal"/>
    <w:link w:val="ReportDateChar"/>
    <w:qFormat/>
    <w:rsid w:val="001264F5"/>
    <w:pPr>
      <w:tabs>
        <w:tab w:val="left" w:pos="2175"/>
      </w:tabs>
      <w:jc w:val="center"/>
    </w:pPr>
    <w:rPr>
      <w:b/>
      <w:bCs/>
      <w:color w:val="005D97"/>
      <w:sz w:val="36"/>
      <w:szCs w:val="36"/>
    </w:rPr>
  </w:style>
  <w:style w:type="character" w:customStyle="1" w:styleId="ReportDateChar">
    <w:name w:val="Report Date Char"/>
    <w:basedOn w:val="DefaultParagraphFont"/>
    <w:link w:val="ReportDate"/>
    <w:rsid w:val="001264F5"/>
    <w:rPr>
      <w:rFonts w:eastAsia="MS Mincho"/>
      <w:b/>
      <w:bCs/>
      <w:color w:val="005D97"/>
      <w:sz w:val="36"/>
      <w:szCs w:val="36"/>
      <w:lang w:val="sq-AL"/>
    </w:rPr>
  </w:style>
  <w:style w:type="paragraph" w:styleId="TOCHeading">
    <w:name w:val="TOC Heading"/>
    <w:basedOn w:val="Heading1"/>
    <w:next w:val="Normal"/>
    <w:uiPriority w:val="39"/>
    <w:unhideWhenUsed/>
    <w:qFormat/>
    <w:rsid w:val="00FB3B1E"/>
    <w:pPr>
      <w:keepLines/>
      <w:numPr>
        <w:numId w:val="0"/>
      </w:numPr>
      <w:spacing w:before="480" w:after="0"/>
      <w:outlineLvl w:val="9"/>
    </w:pPr>
    <w:rPr>
      <w:rFonts w:asciiTheme="majorHAnsi" w:eastAsiaTheme="majorEastAsia" w:hAnsiTheme="majorHAnsi" w:cstheme="majorBidi"/>
      <w:color w:val="365F91" w:themeColor="accent1" w:themeShade="BF"/>
      <w:szCs w:val="28"/>
      <w:lang w:val="en-US"/>
    </w:rPr>
  </w:style>
  <w:style w:type="paragraph" w:styleId="TOC1">
    <w:name w:val="toc 1"/>
    <w:basedOn w:val="Normal"/>
    <w:next w:val="Normal"/>
    <w:autoRedefine/>
    <w:uiPriority w:val="39"/>
    <w:unhideWhenUsed/>
    <w:rsid w:val="00FB3B1E"/>
    <w:pPr>
      <w:spacing w:after="100"/>
    </w:pPr>
  </w:style>
  <w:style w:type="paragraph" w:styleId="TOC2">
    <w:name w:val="toc 2"/>
    <w:basedOn w:val="Normal"/>
    <w:next w:val="Normal"/>
    <w:autoRedefine/>
    <w:uiPriority w:val="39"/>
    <w:unhideWhenUsed/>
    <w:rsid w:val="00FB3B1E"/>
    <w:pPr>
      <w:spacing w:after="100"/>
      <w:ind w:left="220"/>
    </w:pPr>
  </w:style>
  <w:style w:type="character" w:styleId="CommentReference">
    <w:name w:val="annotation reference"/>
    <w:basedOn w:val="DefaultParagraphFont"/>
    <w:uiPriority w:val="99"/>
    <w:semiHidden/>
    <w:unhideWhenUsed/>
    <w:rsid w:val="000C3E79"/>
    <w:rPr>
      <w:sz w:val="16"/>
      <w:szCs w:val="16"/>
    </w:rPr>
  </w:style>
  <w:style w:type="paragraph" w:styleId="CommentText">
    <w:name w:val="annotation text"/>
    <w:basedOn w:val="Normal"/>
    <w:link w:val="CommentTextChar"/>
    <w:uiPriority w:val="99"/>
    <w:semiHidden/>
    <w:unhideWhenUsed/>
    <w:rsid w:val="000C3E79"/>
    <w:pPr>
      <w:spacing w:line="240" w:lineRule="auto"/>
    </w:pPr>
    <w:rPr>
      <w:sz w:val="20"/>
      <w:szCs w:val="20"/>
    </w:rPr>
  </w:style>
  <w:style w:type="character" w:customStyle="1" w:styleId="CommentTextChar">
    <w:name w:val="Comment Text Char"/>
    <w:basedOn w:val="DefaultParagraphFont"/>
    <w:link w:val="CommentText"/>
    <w:uiPriority w:val="99"/>
    <w:semiHidden/>
    <w:rsid w:val="000C3E79"/>
    <w:rPr>
      <w:sz w:val="20"/>
      <w:szCs w:val="20"/>
      <w:lang w:val="sq-AL"/>
    </w:rPr>
  </w:style>
  <w:style w:type="paragraph" w:styleId="CommentSubject">
    <w:name w:val="annotation subject"/>
    <w:basedOn w:val="CommentText"/>
    <w:next w:val="CommentText"/>
    <w:link w:val="CommentSubjectChar"/>
    <w:uiPriority w:val="99"/>
    <w:semiHidden/>
    <w:unhideWhenUsed/>
    <w:rsid w:val="000C3E79"/>
    <w:rPr>
      <w:b/>
      <w:bCs/>
    </w:rPr>
  </w:style>
  <w:style w:type="character" w:customStyle="1" w:styleId="CommentSubjectChar">
    <w:name w:val="Comment Subject Char"/>
    <w:basedOn w:val="CommentTextChar"/>
    <w:link w:val="CommentSubject"/>
    <w:uiPriority w:val="99"/>
    <w:semiHidden/>
    <w:rsid w:val="000C3E79"/>
    <w:rPr>
      <w:b/>
      <w:bCs/>
      <w:sz w:val="20"/>
      <w:szCs w:val="20"/>
      <w:lang w:val="sq-AL"/>
    </w:rPr>
  </w:style>
  <w:style w:type="paragraph" w:styleId="Revision">
    <w:name w:val="Revision"/>
    <w:hidden/>
    <w:uiPriority w:val="99"/>
    <w:semiHidden/>
    <w:rsid w:val="00971739"/>
    <w:pPr>
      <w:spacing w:after="0" w:line="240" w:lineRule="auto"/>
    </w:pPr>
    <w:rPr>
      <w:lang w:val="sq-AL"/>
    </w:rPr>
  </w:style>
  <w:style w:type="character" w:styleId="FollowedHyperlink">
    <w:name w:val="FollowedHyperlink"/>
    <w:basedOn w:val="DefaultParagraphFont"/>
    <w:uiPriority w:val="99"/>
    <w:semiHidden/>
    <w:unhideWhenUsed/>
    <w:rsid w:val="001F29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1791">
      <w:bodyDiv w:val="1"/>
      <w:marLeft w:val="0"/>
      <w:marRight w:val="0"/>
      <w:marTop w:val="0"/>
      <w:marBottom w:val="0"/>
      <w:divBdr>
        <w:top w:val="none" w:sz="0" w:space="0" w:color="auto"/>
        <w:left w:val="none" w:sz="0" w:space="0" w:color="auto"/>
        <w:bottom w:val="none" w:sz="0" w:space="0" w:color="auto"/>
        <w:right w:val="none" w:sz="0" w:space="0" w:color="auto"/>
      </w:divBdr>
    </w:div>
    <w:div w:id="171603455">
      <w:bodyDiv w:val="1"/>
      <w:marLeft w:val="0"/>
      <w:marRight w:val="0"/>
      <w:marTop w:val="0"/>
      <w:marBottom w:val="0"/>
      <w:divBdr>
        <w:top w:val="none" w:sz="0" w:space="0" w:color="auto"/>
        <w:left w:val="none" w:sz="0" w:space="0" w:color="auto"/>
        <w:bottom w:val="none" w:sz="0" w:space="0" w:color="auto"/>
        <w:right w:val="none" w:sz="0" w:space="0" w:color="auto"/>
      </w:divBdr>
    </w:div>
    <w:div w:id="384529029">
      <w:bodyDiv w:val="1"/>
      <w:marLeft w:val="0"/>
      <w:marRight w:val="0"/>
      <w:marTop w:val="0"/>
      <w:marBottom w:val="0"/>
      <w:divBdr>
        <w:top w:val="none" w:sz="0" w:space="0" w:color="auto"/>
        <w:left w:val="none" w:sz="0" w:space="0" w:color="auto"/>
        <w:bottom w:val="none" w:sz="0" w:space="0" w:color="auto"/>
        <w:right w:val="none" w:sz="0" w:space="0" w:color="auto"/>
      </w:divBdr>
    </w:div>
    <w:div w:id="436489789">
      <w:bodyDiv w:val="1"/>
      <w:marLeft w:val="0"/>
      <w:marRight w:val="0"/>
      <w:marTop w:val="0"/>
      <w:marBottom w:val="0"/>
      <w:divBdr>
        <w:top w:val="none" w:sz="0" w:space="0" w:color="auto"/>
        <w:left w:val="none" w:sz="0" w:space="0" w:color="auto"/>
        <w:bottom w:val="none" w:sz="0" w:space="0" w:color="auto"/>
        <w:right w:val="none" w:sz="0" w:space="0" w:color="auto"/>
      </w:divBdr>
    </w:div>
    <w:div w:id="101472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o-ks.org/zrre/sites/default/files/Konsultimet%20Publike/Application%20USS%202021%20-%208%20March%202021.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ro-ks.org/zrre/sites/default/files/Konsultimet%20Publike/Application%20DSO%202021%20-%208%20March%202021.pdf" TargetMode="External"/><Relationship Id="rId4" Type="http://schemas.openxmlformats.org/officeDocument/2006/relationships/settings" Target="settings.xml"/><Relationship Id="rId9" Type="http://schemas.openxmlformats.org/officeDocument/2006/relationships/hyperlink" Target="https://www.ero-ks.org/zrre/sites/default/files/Konsultimet%20Publike/Aplikacioni_%20p%C3%ABrshtetjet%20vjetore%202021_%20KOSTT.pdf"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appsso.eurostat.ec.europa.eu/nui/submitViewTableAction.d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CC23E-A6B8-4765-BEA2-62A9BB257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2447</Words>
  <Characters>13948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ERO</dc:creator>
  <cp:keywords/>
  <dc:description/>
  <cp:lastModifiedBy>Ymer Rudari</cp:lastModifiedBy>
  <cp:revision>3</cp:revision>
  <dcterms:created xsi:type="dcterms:W3CDTF">2021-09-06T09:12:00Z</dcterms:created>
  <dcterms:modified xsi:type="dcterms:W3CDTF">2021-09-06T09:23:00Z</dcterms:modified>
</cp:coreProperties>
</file>