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3C" w:rsidRPr="00CC5249" w:rsidRDefault="0075093C" w:rsidP="0075093C">
      <w:pPr>
        <w:rPr>
          <w:lang w:val="sq-AL"/>
        </w:rPr>
      </w:pPr>
    </w:p>
    <w:p w:rsidR="0075093C" w:rsidRPr="00CC5249" w:rsidRDefault="0075093C" w:rsidP="0075093C">
      <w:pPr>
        <w:rPr>
          <w:lang w:val="sq-AL"/>
        </w:rPr>
      </w:pPr>
    </w:p>
    <w:p w:rsidR="0075093C" w:rsidRPr="00CC5249" w:rsidRDefault="0075093C" w:rsidP="0075093C">
      <w:pPr>
        <w:rPr>
          <w:lang w:val="sq-AL"/>
        </w:rPr>
      </w:pPr>
    </w:p>
    <w:p w:rsidR="0075093C" w:rsidRPr="00CC5249" w:rsidRDefault="0075093C" w:rsidP="0075093C">
      <w:pPr>
        <w:pStyle w:val="Title"/>
        <w:shd w:val="clear" w:color="auto" w:fill="005D97"/>
        <w:jc w:val="center"/>
        <w:rPr>
          <w:color w:val="DF8D1D"/>
          <w:szCs w:val="32"/>
        </w:rPr>
      </w:pPr>
      <w:r w:rsidRPr="00CC5249">
        <w:rPr>
          <w:color w:val="DF8D1D"/>
          <w:szCs w:val="32"/>
        </w:rPr>
        <w:t>Raport Konsultativ</w:t>
      </w:r>
    </w:p>
    <w:p w:rsidR="0075093C" w:rsidRPr="00CC5249" w:rsidRDefault="0075093C" w:rsidP="0075093C">
      <w:pPr>
        <w:pStyle w:val="Title"/>
        <w:shd w:val="clear" w:color="auto" w:fill="005D97"/>
        <w:jc w:val="center"/>
        <w:rPr>
          <w:color w:val="DF8D1D"/>
          <w:szCs w:val="32"/>
        </w:rPr>
      </w:pPr>
      <w:r w:rsidRPr="00CC5249">
        <w:rPr>
          <w:color w:val="DF8D1D"/>
          <w:szCs w:val="32"/>
        </w:rPr>
        <w:t xml:space="preserve">Vlerat Hyrëse </w:t>
      </w:r>
      <w:r>
        <w:rPr>
          <w:color w:val="DF8D1D"/>
          <w:szCs w:val="32"/>
        </w:rPr>
        <w:t xml:space="preserve">dhe Shpenzimet Operative </w:t>
      </w:r>
      <w:r w:rsidRPr="00CC5249">
        <w:rPr>
          <w:color w:val="DF8D1D"/>
          <w:szCs w:val="32"/>
        </w:rPr>
        <w:t xml:space="preserve">të Furnizuesit </w:t>
      </w:r>
      <w:r>
        <w:rPr>
          <w:color w:val="DF8D1D"/>
          <w:szCs w:val="32"/>
        </w:rPr>
        <w:t>me</w:t>
      </w:r>
      <w:r w:rsidRPr="00CC5249">
        <w:rPr>
          <w:color w:val="DF8D1D"/>
          <w:szCs w:val="32"/>
        </w:rPr>
        <w:t xml:space="preserve"> Shërbim Universal</w:t>
      </w:r>
    </w:p>
    <w:p w:rsidR="0075093C" w:rsidRPr="00CC5249" w:rsidRDefault="0075093C" w:rsidP="0075093C">
      <w:pPr>
        <w:pStyle w:val="Title"/>
        <w:shd w:val="clear" w:color="auto" w:fill="005D97"/>
        <w:jc w:val="center"/>
        <w:rPr>
          <w:color w:val="DF8D1D"/>
          <w:sz w:val="36"/>
          <w:szCs w:val="26"/>
        </w:rPr>
      </w:pPr>
      <w:r w:rsidRPr="00CC5249">
        <w:rPr>
          <w:color w:val="DF8D1D"/>
          <w:sz w:val="36"/>
          <w:szCs w:val="26"/>
        </w:rPr>
        <w:t>Rishikimi i Vlerave Hyrëse (2022-2024)</w:t>
      </w:r>
    </w:p>
    <w:p w:rsidR="0075093C" w:rsidRPr="00CC5249" w:rsidRDefault="0075093C" w:rsidP="0075093C">
      <w:pPr>
        <w:rPr>
          <w:lang w:val="sq-AL"/>
        </w:rPr>
      </w:pPr>
    </w:p>
    <w:p w:rsidR="0075093C" w:rsidRPr="00CC5249" w:rsidRDefault="0075093C" w:rsidP="0075093C">
      <w:pPr>
        <w:rPr>
          <w:lang w:val="sq-AL"/>
        </w:rPr>
      </w:pPr>
    </w:p>
    <w:p w:rsidR="0075093C" w:rsidRPr="00CC5249" w:rsidRDefault="0075093C" w:rsidP="0075093C">
      <w:pPr>
        <w:rPr>
          <w:lang w:val="sq-AL"/>
        </w:rPr>
      </w:pPr>
    </w:p>
    <w:p w:rsidR="0075093C" w:rsidRPr="00CC5249" w:rsidRDefault="0075093C" w:rsidP="0075093C">
      <w:pPr>
        <w:rPr>
          <w:lang w:val="sq-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8"/>
      </w:tblGrid>
      <w:tr w:rsidR="0075093C" w:rsidRPr="00450894" w:rsidTr="0075093C">
        <w:tc>
          <w:tcPr>
            <w:tcW w:w="9198" w:type="dxa"/>
            <w:shd w:val="clear" w:color="auto" w:fill="E0E0E0"/>
          </w:tcPr>
          <w:p w:rsidR="0075093C" w:rsidRPr="00CC5249" w:rsidRDefault="0075093C" w:rsidP="0075093C">
            <w:pPr>
              <w:keepNext/>
              <w:jc w:val="center"/>
              <w:rPr>
                <w:b/>
                <w:color w:val="005D97"/>
                <w:lang w:val="sq-AL"/>
              </w:rPr>
            </w:pPr>
            <w:r w:rsidRPr="00CC5249">
              <w:rPr>
                <w:b/>
                <w:color w:val="005D97"/>
                <w:lang w:val="sq-AL"/>
              </w:rPr>
              <w:t>DEKLARATË</w:t>
            </w:r>
          </w:p>
          <w:p w:rsidR="0075093C" w:rsidRPr="00CC5249" w:rsidRDefault="0075093C" w:rsidP="00756146">
            <w:pPr>
              <w:keepNext/>
              <w:jc w:val="both"/>
              <w:rPr>
                <w:b/>
                <w:bCs/>
                <w:lang w:val="sq-AL"/>
              </w:rPr>
            </w:pPr>
            <w:r w:rsidRPr="00CC5249">
              <w:rPr>
                <w:b/>
                <w:color w:val="005D97"/>
                <w:lang w:val="sq-AL"/>
              </w:rPr>
              <w:t>Ky Raport Konsultativ është përgatitur nga ana e ZRRE-së me qëllim t</w:t>
            </w:r>
            <w:r>
              <w:rPr>
                <w:b/>
                <w:color w:val="005D97"/>
                <w:lang w:val="sq-AL"/>
              </w:rPr>
              <w:t>ë informimit të palëve të interesi</w:t>
            </w:r>
            <w:r w:rsidRPr="00CC5249">
              <w:rPr>
                <w:b/>
                <w:color w:val="005D97"/>
                <w:lang w:val="sq-AL"/>
              </w:rPr>
              <w:t xml:space="preserve">t në sektorin e energjisë. </w:t>
            </w:r>
            <w:r w:rsidRPr="00CC5249">
              <w:rPr>
                <w:b/>
                <w:color w:val="005D97"/>
                <w:u w:val="single"/>
                <w:lang w:val="sq-AL"/>
              </w:rPr>
              <w:t>Raporti nuk paraqet ndonjë vendim të ZRRE-së dhe nuk duhet të interpretohet si i tillë.</w:t>
            </w:r>
          </w:p>
        </w:tc>
      </w:tr>
    </w:tbl>
    <w:p w:rsidR="0075093C" w:rsidRPr="00CC5249" w:rsidRDefault="0075093C" w:rsidP="0075093C">
      <w:pPr>
        <w:rPr>
          <w:lang w:val="sq-AL"/>
        </w:rPr>
      </w:pPr>
    </w:p>
    <w:p w:rsidR="0075093C" w:rsidRPr="00B26335" w:rsidRDefault="0075093C" w:rsidP="0075093C">
      <w:pPr>
        <w:rPr>
          <w:lang w:val="sq-AL"/>
        </w:rPr>
      </w:pPr>
    </w:p>
    <w:p w:rsidR="0075093C" w:rsidRPr="00450894" w:rsidRDefault="0075093C" w:rsidP="0075093C">
      <w:pPr>
        <w:rPr>
          <w:lang w:val="sq-AL"/>
        </w:rPr>
      </w:pPr>
    </w:p>
    <w:p w:rsidR="0075093C" w:rsidRPr="00450894" w:rsidRDefault="0075093C" w:rsidP="0075093C">
      <w:pPr>
        <w:rPr>
          <w:lang w:val="sq-AL"/>
        </w:rPr>
      </w:pPr>
    </w:p>
    <w:p w:rsidR="0075093C" w:rsidRPr="00450894" w:rsidRDefault="0075093C" w:rsidP="0075093C">
      <w:pPr>
        <w:pStyle w:val="ReportDate"/>
        <w:rPr>
          <w:lang w:val="sq-AL"/>
        </w:rPr>
      </w:pPr>
    </w:p>
    <w:p w:rsidR="0075093C" w:rsidRPr="00450894" w:rsidRDefault="0075093C" w:rsidP="0075093C">
      <w:pPr>
        <w:pStyle w:val="ReportDate"/>
        <w:rPr>
          <w:sz w:val="28"/>
          <w:szCs w:val="28"/>
          <w:lang w:val="sq-AL"/>
        </w:rPr>
      </w:pPr>
    </w:p>
    <w:p w:rsidR="0075093C" w:rsidRPr="00450894" w:rsidRDefault="0075093C" w:rsidP="0075093C">
      <w:pPr>
        <w:pStyle w:val="ReportDate"/>
        <w:rPr>
          <w:b w:val="0"/>
          <w:bCs w:val="0"/>
          <w:sz w:val="28"/>
          <w:szCs w:val="28"/>
          <w:lang w:val="sq-AL"/>
        </w:rPr>
      </w:pPr>
      <w:r w:rsidRPr="00450894">
        <w:rPr>
          <w:sz w:val="28"/>
          <w:szCs w:val="28"/>
          <w:lang w:val="sq-AL"/>
        </w:rPr>
        <w:t>25 nëntor 2021</w:t>
      </w:r>
      <w:r w:rsidRPr="00450894">
        <w:rPr>
          <w:sz w:val="28"/>
          <w:szCs w:val="28"/>
          <w:lang w:val="sq-AL"/>
        </w:rPr>
        <w:br w:type="page"/>
      </w:r>
    </w:p>
    <w:p w:rsidR="0075093C" w:rsidRPr="00450894" w:rsidRDefault="0075093C" w:rsidP="0075093C">
      <w:pPr>
        <w:rPr>
          <w:b/>
          <w:bCs/>
          <w:sz w:val="28"/>
          <w:szCs w:val="28"/>
          <w:lang w:val="sq-AL"/>
        </w:rPr>
      </w:pPr>
      <w:r w:rsidRPr="00450894">
        <w:rPr>
          <w:b/>
          <w:bCs/>
          <w:sz w:val="28"/>
          <w:szCs w:val="28"/>
          <w:lang w:val="sq-AL"/>
        </w:rPr>
        <w:lastRenderedPageBreak/>
        <w:t>Përmbajtja</w:t>
      </w:r>
    </w:p>
    <w:p w:rsidR="00D80ABE" w:rsidRDefault="0075093C">
      <w:pPr>
        <w:pStyle w:val="TOC1"/>
        <w:tabs>
          <w:tab w:val="left" w:pos="475"/>
          <w:tab w:val="right" w:leader="dot" w:pos="9350"/>
        </w:tabs>
        <w:rPr>
          <w:rFonts w:asciiTheme="minorHAnsi" w:eastAsiaTheme="minorEastAsia" w:hAnsiTheme="minorHAnsi" w:cstheme="minorBidi"/>
          <w:b w:val="0"/>
          <w:noProof/>
          <w:szCs w:val="22"/>
          <w:lang w:val="en-US"/>
        </w:rPr>
      </w:pPr>
      <w:r w:rsidRPr="000D6682">
        <w:rPr>
          <w:b w:val="0"/>
          <w:szCs w:val="22"/>
          <w:lang w:val="sq-AL"/>
        </w:rPr>
        <w:fldChar w:fldCharType="begin"/>
      </w:r>
      <w:r w:rsidRPr="000D6682">
        <w:rPr>
          <w:b w:val="0"/>
          <w:szCs w:val="22"/>
          <w:lang w:val="sq-AL"/>
        </w:rPr>
        <w:instrText xml:space="preserve"> TOC \o "1-5" \h \z \u </w:instrText>
      </w:r>
      <w:r w:rsidRPr="000D6682">
        <w:rPr>
          <w:b w:val="0"/>
          <w:szCs w:val="22"/>
          <w:lang w:val="sq-AL"/>
        </w:rPr>
        <w:fldChar w:fldCharType="separate"/>
      </w:r>
      <w:hyperlink w:anchor="_Toc88226444" w:history="1">
        <w:r w:rsidR="00D80ABE" w:rsidRPr="00590635">
          <w:rPr>
            <w:rStyle w:val="Hyperlink"/>
            <w:noProof/>
            <w:lang w:val="sq-AL"/>
          </w:rPr>
          <w:t>1</w:t>
        </w:r>
        <w:r w:rsidR="00D80ABE">
          <w:rPr>
            <w:rFonts w:asciiTheme="minorHAnsi" w:eastAsiaTheme="minorEastAsia" w:hAnsiTheme="minorHAnsi" w:cstheme="minorBidi"/>
            <w:b w:val="0"/>
            <w:noProof/>
            <w:szCs w:val="22"/>
            <w:lang w:val="en-US"/>
          </w:rPr>
          <w:tab/>
        </w:r>
        <w:r w:rsidR="00D80ABE" w:rsidRPr="00590635">
          <w:rPr>
            <w:rStyle w:val="Hyperlink"/>
            <w:noProof/>
            <w:lang w:val="sq-AL"/>
          </w:rPr>
          <w:t>Hyrje</w:t>
        </w:r>
        <w:r w:rsidR="00D80ABE">
          <w:rPr>
            <w:noProof/>
            <w:webHidden/>
          </w:rPr>
          <w:tab/>
        </w:r>
        <w:r w:rsidR="00D80ABE">
          <w:rPr>
            <w:noProof/>
            <w:webHidden/>
          </w:rPr>
          <w:fldChar w:fldCharType="begin"/>
        </w:r>
        <w:r w:rsidR="00D80ABE">
          <w:rPr>
            <w:noProof/>
            <w:webHidden/>
          </w:rPr>
          <w:instrText xml:space="preserve"> PAGEREF _Toc88226444 \h </w:instrText>
        </w:r>
        <w:r w:rsidR="00D80ABE">
          <w:rPr>
            <w:noProof/>
            <w:webHidden/>
          </w:rPr>
        </w:r>
        <w:r w:rsidR="00D80ABE">
          <w:rPr>
            <w:noProof/>
            <w:webHidden/>
          </w:rPr>
          <w:fldChar w:fldCharType="separate"/>
        </w:r>
        <w:r w:rsidR="00820A8B">
          <w:rPr>
            <w:noProof/>
            <w:webHidden/>
          </w:rPr>
          <w:t>3</w:t>
        </w:r>
        <w:r w:rsidR="00D80ABE">
          <w:rPr>
            <w:noProof/>
            <w:webHidden/>
          </w:rPr>
          <w:fldChar w:fldCharType="end"/>
        </w:r>
      </w:hyperlink>
    </w:p>
    <w:p w:rsidR="00D80ABE" w:rsidRDefault="003F625E">
      <w:pPr>
        <w:pStyle w:val="TOC1"/>
        <w:tabs>
          <w:tab w:val="left" w:pos="475"/>
          <w:tab w:val="right" w:leader="dot" w:pos="9350"/>
        </w:tabs>
        <w:rPr>
          <w:rFonts w:asciiTheme="minorHAnsi" w:eastAsiaTheme="minorEastAsia" w:hAnsiTheme="minorHAnsi" w:cstheme="minorBidi"/>
          <w:b w:val="0"/>
          <w:noProof/>
          <w:szCs w:val="22"/>
          <w:lang w:val="en-US"/>
        </w:rPr>
      </w:pPr>
      <w:hyperlink w:anchor="_Toc88226445" w:history="1">
        <w:r w:rsidR="00D80ABE" w:rsidRPr="00590635">
          <w:rPr>
            <w:rStyle w:val="Hyperlink"/>
            <w:noProof/>
            <w:lang w:val="sq-AL"/>
          </w:rPr>
          <w:t>2</w:t>
        </w:r>
        <w:r w:rsidR="00D80ABE">
          <w:rPr>
            <w:rFonts w:asciiTheme="minorHAnsi" w:eastAsiaTheme="minorEastAsia" w:hAnsiTheme="minorHAnsi" w:cstheme="minorBidi"/>
            <w:b w:val="0"/>
            <w:noProof/>
            <w:szCs w:val="22"/>
            <w:lang w:val="en-US"/>
          </w:rPr>
          <w:tab/>
        </w:r>
        <w:r w:rsidR="00D80ABE" w:rsidRPr="00590635">
          <w:rPr>
            <w:rStyle w:val="Hyperlink"/>
            <w:noProof/>
            <w:lang w:val="sq-AL"/>
          </w:rPr>
          <w:t>Vlerat hyrëse</w:t>
        </w:r>
        <w:r w:rsidR="00D80ABE">
          <w:rPr>
            <w:noProof/>
            <w:webHidden/>
          </w:rPr>
          <w:tab/>
        </w:r>
        <w:r w:rsidR="00D80ABE">
          <w:rPr>
            <w:noProof/>
            <w:webHidden/>
          </w:rPr>
          <w:fldChar w:fldCharType="begin"/>
        </w:r>
        <w:r w:rsidR="00D80ABE">
          <w:rPr>
            <w:noProof/>
            <w:webHidden/>
          </w:rPr>
          <w:instrText xml:space="preserve"> PAGEREF _Toc88226445 \h </w:instrText>
        </w:r>
        <w:r w:rsidR="00D80ABE">
          <w:rPr>
            <w:noProof/>
            <w:webHidden/>
          </w:rPr>
        </w:r>
        <w:r w:rsidR="00D80ABE">
          <w:rPr>
            <w:noProof/>
            <w:webHidden/>
          </w:rPr>
          <w:fldChar w:fldCharType="separate"/>
        </w:r>
        <w:r w:rsidR="00820A8B">
          <w:rPr>
            <w:noProof/>
            <w:webHidden/>
          </w:rPr>
          <w:t>4</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46" w:history="1">
        <w:r w:rsidR="00D80ABE" w:rsidRPr="00590635">
          <w:rPr>
            <w:rStyle w:val="Hyperlink"/>
            <w:noProof/>
            <w:lang w:val="sq-AL"/>
          </w:rPr>
          <w:t>2.1</w:t>
        </w:r>
        <w:r w:rsidR="00D80ABE">
          <w:rPr>
            <w:rFonts w:asciiTheme="minorHAnsi" w:eastAsiaTheme="minorEastAsia" w:hAnsiTheme="minorHAnsi" w:cstheme="minorBidi"/>
            <w:noProof/>
            <w:szCs w:val="22"/>
            <w:lang w:val="en-US"/>
          </w:rPr>
          <w:tab/>
        </w:r>
        <w:r w:rsidR="00D80ABE" w:rsidRPr="00590635">
          <w:rPr>
            <w:rStyle w:val="Hyperlink"/>
            <w:noProof/>
            <w:lang w:val="sq-AL"/>
          </w:rPr>
          <w:t>Marzha me pakicë</w:t>
        </w:r>
        <w:r w:rsidR="00D80ABE">
          <w:rPr>
            <w:noProof/>
            <w:webHidden/>
          </w:rPr>
          <w:tab/>
        </w:r>
        <w:r w:rsidR="00D80ABE">
          <w:rPr>
            <w:noProof/>
            <w:webHidden/>
          </w:rPr>
          <w:fldChar w:fldCharType="begin"/>
        </w:r>
        <w:r w:rsidR="00D80ABE">
          <w:rPr>
            <w:noProof/>
            <w:webHidden/>
          </w:rPr>
          <w:instrText xml:space="preserve"> PAGEREF _Toc88226446 \h </w:instrText>
        </w:r>
        <w:r w:rsidR="00D80ABE">
          <w:rPr>
            <w:noProof/>
            <w:webHidden/>
          </w:rPr>
        </w:r>
        <w:r w:rsidR="00D80ABE">
          <w:rPr>
            <w:noProof/>
            <w:webHidden/>
          </w:rPr>
          <w:fldChar w:fldCharType="separate"/>
        </w:r>
        <w:r w:rsidR="00820A8B">
          <w:rPr>
            <w:noProof/>
            <w:webHidden/>
          </w:rPr>
          <w:t>5</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47" w:history="1">
        <w:r w:rsidR="00D80ABE" w:rsidRPr="00590635">
          <w:rPr>
            <w:rStyle w:val="Hyperlink"/>
            <w:noProof/>
            <w:lang w:val="sq-AL"/>
          </w:rPr>
          <w:t>2.1.1</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Aplikacioni i KESCO</w:t>
        </w:r>
        <w:r w:rsidR="00D80ABE">
          <w:rPr>
            <w:noProof/>
            <w:webHidden/>
          </w:rPr>
          <w:tab/>
        </w:r>
        <w:r w:rsidR="00D80ABE">
          <w:rPr>
            <w:noProof/>
            <w:webHidden/>
          </w:rPr>
          <w:fldChar w:fldCharType="begin"/>
        </w:r>
        <w:r w:rsidR="00D80ABE">
          <w:rPr>
            <w:noProof/>
            <w:webHidden/>
          </w:rPr>
          <w:instrText xml:space="preserve"> PAGEREF _Toc88226447 \h </w:instrText>
        </w:r>
        <w:r w:rsidR="00D80ABE">
          <w:rPr>
            <w:noProof/>
            <w:webHidden/>
          </w:rPr>
        </w:r>
        <w:r w:rsidR="00D80ABE">
          <w:rPr>
            <w:noProof/>
            <w:webHidden/>
          </w:rPr>
          <w:fldChar w:fldCharType="separate"/>
        </w:r>
        <w:r w:rsidR="00820A8B">
          <w:rPr>
            <w:noProof/>
            <w:webHidden/>
          </w:rPr>
          <w:t>5</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48" w:history="1">
        <w:r w:rsidR="00D80ABE" w:rsidRPr="00590635">
          <w:rPr>
            <w:rStyle w:val="Hyperlink"/>
            <w:noProof/>
            <w:lang w:val="sq-AL"/>
          </w:rPr>
          <w:t>2.1.2</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Shqyrtimi dhe propozimi i ZRRE-së për Marzhën me pakicë të FSHU-së</w:t>
        </w:r>
        <w:r w:rsidR="00D80ABE">
          <w:rPr>
            <w:noProof/>
            <w:webHidden/>
          </w:rPr>
          <w:tab/>
        </w:r>
        <w:r w:rsidR="00D80ABE">
          <w:rPr>
            <w:noProof/>
            <w:webHidden/>
          </w:rPr>
          <w:fldChar w:fldCharType="begin"/>
        </w:r>
        <w:r w:rsidR="00D80ABE">
          <w:rPr>
            <w:noProof/>
            <w:webHidden/>
          </w:rPr>
          <w:instrText xml:space="preserve"> PAGEREF _Toc88226448 \h </w:instrText>
        </w:r>
        <w:r w:rsidR="00D80ABE">
          <w:rPr>
            <w:noProof/>
            <w:webHidden/>
          </w:rPr>
        </w:r>
        <w:r w:rsidR="00D80ABE">
          <w:rPr>
            <w:noProof/>
            <w:webHidden/>
          </w:rPr>
          <w:fldChar w:fldCharType="separate"/>
        </w:r>
        <w:r w:rsidR="00820A8B">
          <w:rPr>
            <w:noProof/>
            <w:webHidden/>
          </w:rPr>
          <w:t>5</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49" w:history="1">
        <w:r w:rsidR="00D80ABE" w:rsidRPr="00590635">
          <w:rPr>
            <w:rStyle w:val="Hyperlink"/>
            <w:noProof/>
            <w:lang w:val="sq-AL"/>
          </w:rPr>
          <w:t>2.2</w:t>
        </w:r>
        <w:r w:rsidR="00D80ABE">
          <w:rPr>
            <w:rFonts w:asciiTheme="minorHAnsi" w:eastAsiaTheme="minorEastAsia" w:hAnsiTheme="minorHAnsi" w:cstheme="minorBidi"/>
            <w:noProof/>
            <w:szCs w:val="22"/>
            <w:lang w:val="en-US"/>
          </w:rPr>
          <w:tab/>
        </w:r>
        <w:r w:rsidR="00D80ABE" w:rsidRPr="00590635">
          <w:rPr>
            <w:rStyle w:val="Hyperlink"/>
            <w:noProof/>
            <w:lang w:val="sq-AL"/>
          </w:rPr>
          <w:t>Borxhi i keq</w:t>
        </w:r>
        <w:r w:rsidR="00D80ABE">
          <w:rPr>
            <w:noProof/>
            <w:webHidden/>
          </w:rPr>
          <w:tab/>
        </w:r>
        <w:r w:rsidR="00D80ABE">
          <w:rPr>
            <w:noProof/>
            <w:webHidden/>
          </w:rPr>
          <w:fldChar w:fldCharType="begin"/>
        </w:r>
        <w:r w:rsidR="00D80ABE">
          <w:rPr>
            <w:noProof/>
            <w:webHidden/>
          </w:rPr>
          <w:instrText xml:space="preserve"> PAGEREF _Toc88226449 \h </w:instrText>
        </w:r>
        <w:r w:rsidR="00D80ABE">
          <w:rPr>
            <w:noProof/>
            <w:webHidden/>
          </w:rPr>
        </w:r>
        <w:r w:rsidR="00D80ABE">
          <w:rPr>
            <w:noProof/>
            <w:webHidden/>
          </w:rPr>
          <w:fldChar w:fldCharType="separate"/>
        </w:r>
        <w:r w:rsidR="00820A8B">
          <w:rPr>
            <w:noProof/>
            <w:webHidden/>
          </w:rPr>
          <w:t>7</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50" w:history="1">
        <w:r w:rsidR="00D80ABE" w:rsidRPr="00590635">
          <w:rPr>
            <w:rStyle w:val="Hyperlink"/>
            <w:noProof/>
            <w:lang w:val="sq-AL"/>
          </w:rPr>
          <w:t>2.2.1</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Aplikacioni i KESCO-së</w:t>
        </w:r>
        <w:r w:rsidR="00D80ABE">
          <w:rPr>
            <w:noProof/>
            <w:webHidden/>
          </w:rPr>
          <w:tab/>
        </w:r>
        <w:r w:rsidR="00D80ABE">
          <w:rPr>
            <w:noProof/>
            <w:webHidden/>
          </w:rPr>
          <w:fldChar w:fldCharType="begin"/>
        </w:r>
        <w:r w:rsidR="00D80ABE">
          <w:rPr>
            <w:noProof/>
            <w:webHidden/>
          </w:rPr>
          <w:instrText xml:space="preserve"> PAGEREF _Toc88226450 \h </w:instrText>
        </w:r>
        <w:r w:rsidR="00D80ABE">
          <w:rPr>
            <w:noProof/>
            <w:webHidden/>
          </w:rPr>
        </w:r>
        <w:r w:rsidR="00D80ABE">
          <w:rPr>
            <w:noProof/>
            <w:webHidden/>
          </w:rPr>
          <w:fldChar w:fldCharType="separate"/>
        </w:r>
        <w:r w:rsidR="00820A8B">
          <w:rPr>
            <w:noProof/>
            <w:webHidden/>
          </w:rPr>
          <w:t>7</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51" w:history="1">
        <w:r w:rsidR="00D80ABE" w:rsidRPr="00590635">
          <w:rPr>
            <w:rStyle w:val="Hyperlink"/>
            <w:noProof/>
            <w:lang w:val="sq-AL"/>
          </w:rPr>
          <w:t>2.2.2</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Shqyrtimi dhe propozimi i ZRRE-së në lidhje me lejimin e borxhit të keq</w:t>
        </w:r>
        <w:r w:rsidR="00D80ABE">
          <w:rPr>
            <w:noProof/>
            <w:webHidden/>
          </w:rPr>
          <w:tab/>
        </w:r>
        <w:r w:rsidR="00D80ABE">
          <w:rPr>
            <w:noProof/>
            <w:webHidden/>
          </w:rPr>
          <w:fldChar w:fldCharType="begin"/>
        </w:r>
        <w:r w:rsidR="00D80ABE">
          <w:rPr>
            <w:noProof/>
            <w:webHidden/>
          </w:rPr>
          <w:instrText xml:space="preserve"> PAGEREF _Toc88226451 \h </w:instrText>
        </w:r>
        <w:r w:rsidR="00D80ABE">
          <w:rPr>
            <w:noProof/>
            <w:webHidden/>
          </w:rPr>
        </w:r>
        <w:r w:rsidR="00D80ABE">
          <w:rPr>
            <w:noProof/>
            <w:webHidden/>
          </w:rPr>
          <w:fldChar w:fldCharType="separate"/>
        </w:r>
        <w:r w:rsidR="00820A8B">
          <w:rPr>
            <w:noProof/>
            <w:webHidden/>
          </w:rPr>
          <w:t>8</w:t>
        </w:r>
        <w:r w:rsidR="00D80ABE">
          <w:rPr>
            <w:noProof/>
            <w:webHidden/>
          </w:rPr>
          <w:fldChar w:fldCharType="end"/>
        </w:r>
      </w:hyperlink>
    </w:p>
    <w:p w:rsidR="00D80ABE" w:rsidRDefault="003F625E">
      <w:pPr>
        <w:pStyle w:val="TOC4"/>
        <w:tabs>
          <w:tab w:val="right" w:leader="dot" w:pos="9350"/>
        </w:tabs>
        <w:rPr>
          <w:rFonts w:eastAsiaTheme="minorEastAsia"/>
          <w:noProof/>
        </w:rPr>
      </w:pPr>
      <w:hyperlink w:anchor="_Toc88226452" w:history="1">
        <w:r w:rsidR="00D80ABE" w:rsidRPr="00590635">
          <w:rPr>
            <w:rStyle w:val="Hyperlink"/>
            <w:noProof/>
            <w:lang w:val="sq-AL"/>
          </w:rPr>
          <w:t>Ndikimi i Rënies në Vlerë të Llogarive të Arkëtueshme</w:t>
        </w:r>
        <w:r w:rsidR="00D80ABE">
          <w:rPr>
            <w:noProof/>
            <w:webHidden/>
          </w:rPr>
          <w:tab/>
        </w:r>
        <w:r w:rsidR="00D80ABE">
          <w:rPr>
            <w:noProof/>
            <w:webHidden/>
          </w:rPr>
          <w:fldChar w:fldCharType="begin"/>
        </w:r>
        <w:r w:rsidR="00D80ABE">
          <w:rPr>
            <w:noProof/>
            <w:webHidden/>
          </w:rPr>
          <w:instrText xml:space="preserve"> PAGEREF _Toc88226452 \h </w:instrText>
        </w:r>
        <w:r w:rsidR="00D80ABE">
          <w:rPr>
            <w:noProof/>
            <w:webHidden/>
          </w:rPr>
        </w:r>
        <w:r w:rsidR="00D80ABE">
          <w:rPr>
            <w:noProof/>
            <w:webHidden/>
          </w:rPr>
          <w:fldChar w:fldCharType="separate"/>
        </w:r>
        <w:r w:rsidR="00820A8B">
          <w:rPr>
            <w:noProof/>
            <w:webHidden/>
          </w:rPr>
          <w:t>8</w:t>
        </w:r>
        <w:r w:rsidR="00D80ABE">
          <w:rPr>
            <w:noProof/>
            <w:webHidden/>
          </w:rPr>
          <w:fldChar w:fldCharType="end"/>
        </w:r>
      </w:hyperlink>
    </w:p>
    <w:p w:rsidR="00D80ABE" w:rsidRDefault="003F625E">
      <w:pPr>
        <w:pStyle w:val="TOC4"/>
        <w:tabs>
          <w:tab w:val="right" w:leader="dot" w:pos="9350"/>
        </w:tabs>
        <w:rPr>
          <w:rFonts w:eastAsiaTheme="minorEastAsia"/>
          <w:noProof/>
        </w:rPr>
      </w:pPr>
      <w:hyperlink w:anchor="_Toc88226453" w:history="1">
        <w:r w:rsidR="00D80ABE" w:rsidRPr="00590635">
          <w:rPr>
            <w:rStyle w:val="Hyperlink"/>
            <w:noProof/>
            <w:lang w:val="sq-AL"/>
          </w:rPr>
          <w:t>Ndikimi i derregullimit</w:t>
        </w:r>
        <w:r w:rsidR="00D80ABE">
          <w:rPr>
            <w:noProof/>
            <w:webHidden/>
          </w:rPr>
          <w:tab/>
        </w:r>
        <w:r w:rsidR="00D80ABE">
          <w:rPr>
            <w:noProof/>
            <w:webHidden/>
          </w:rPr>
          <w:fldChar w:fldCharType="begin"/>
        </w:r>
        <w:r w:rsidR="00D80ABE">
          <w:rPr>
            <w:noProof/>
            <w:webHidden/>
          </w:rPr>
          <w:instrText xml:space="preserve"> PAGEREF _Toc88226453 \h </w:instrText>
        </w:r>
        <w:r w:rsidR="00D80ABE">
          <w:rPr>
            <w:noProof/>
            <w:webHidden/>
          </w:rPr>
        </w:r>
        <w:r w:rsidR="00D80ABE">
          <w:rPr>
            <w:noProof/>
            <w:webHidden/>
          </w:rPr>
          <w:fldChar w:fldCharType="separate"/>
        </w:r>
        <w:r w:rsidR="00820A8B">
          <w:rPr>
            <w:noProof/>
            <w:webHidden/>
          </w:rPr>
          <w:t>9</w:t>
        </w:r>
        <w:r w:rsidR="00D80ABE">
          <w:rPr>
            <w:noProof/>
            <w:webHidden/>
          </w:rPr>
          <w:fldChar w:fldCharType="end"/>
        </w:r>
      </w:hyperlink>
    </w:p>
    <w:p w:rsidR="00D80ABE" w:rsidRDefault="003F625E">
      <w:pPr>
        <w:pStyle w:val="TOC5"/>
        <w:tabs>
          <w:tab w:val="right" w:leader="dot" w:pos="9350"/>
        </w:tabs>
        <w:rPr>
          <w:rFonts w:eastAsiaTheme="minorEastAsia"/>
          <w:noProof/>
        </w:rPr>
      </w:pPr>
      <w:hyperlink w:anchor="_Toc88226454" w:history="1">
        <w:r w:rsidR="00D80ABE" w:rsidRPr="00590635">
          <w:rPr>
            <w:rStyle w:val="Hyperlink"/>
            <w:noProof/>
            <w:lang w:val="sq-AL"/>
          </w:rPr>
          <w:t>Analiza e vlerësimit të derregullimit</w:t>
        </w:r>
        <w:r w:rsidR="00D80ABE">
          <w:rPr>
            <w:noProof/>
            <w:webHidden/>
          </w:rPr>
          <w:tab/>
        </w:r>
        <w:r w:rsidR="00D80ABE">
          <w:rPr>
            <w:noProof/>
            <w:webHidden/>
          </w:rPr>
          <w:fldChar w:fldCharType="begin"/>
        </w:r>
        <w:r w:rsidR="00D80ABE">
          <w:rPr>
            <w:noProof/>
            <w:webHidden/>
          </w:rPr>
          <w:instrText xml:space="preserve"> PAGEREF _Toc88226454 \h </w:instrText>
        </w:r>
        <w:r w:rsidR="00D80ABE">
          <w:rPr>
            <w:noProof/>
            <w:webHidden/>
          </w:rPr>
        </w:r>
        <w:r w:rsidR="00D80ABE">
          <w:rPr>
            <w:noProof/>
            <w:webHidden/>
          </w:rPr>
          <w:fldChar w:fldCharType="separate"/>
        </w:r>
        <w:r w:rsidR="00820A8B">
          <w:rPr>
            <w:noProof/>
            <w:webHidden/>
          </w:rPr>
          <w:t>10</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55" w:history="1">
        <w:r w:rsidR="00D80ABE" w:rsidRPr="00590635">
          <w:rPr>
            <w:rStyle w:val="Hyperlink"/>
            <w:noProof/>
            <w:lang w:val="sq-AL"/>
          </w:rPr>
          <w:t>2.3</w:t>
        </w:r>
        <w:r w:rsidR="00D80ABE">
          <w:rPr>
            <w:rFonts w:asciiTheme="minorHAnsi" w:eastAsiaTheme="minorEastAsia" w:hAnsiTheme="minorHAnsi" w:cstheme="minorBidi"/>
            <w:noProof/>
            <w:szCs w:val="22"/>
            <w:lang w:val="en-US"/>
          </w:rPr>
          <w:tab/>
        </w:r>
        <w:r w:rsidR="00D80ABE" w:rsidRPr="00590635">
          <w:rPr>
            <w:rStyle w:val="Hyperlink"/>
            <w:noProof/>
            <w:lang w:val="sq-AL"/>
          </w:rPr>
          <w:t>Faktori ndarës i jobalanceve</w:t>
        </w:r>
        <w:r w:rsidR="00D80ABE">
          <w:rPr>
            <w:noProof/>
            <w:webHidden/>
          </w:rPr>
          <w:tab/>
        </w:r>
        <w:r w:rsidR="00D80ABE">
          <w:rPr>
            <w:noProof/>
            <w:webHidden/>
          </w:rPr>
          <w:fldChar w:fldCharType="begin"/>
        </w:r>
        <w:r w:rsidR="00D80ABE">
          <w:rPr>
            <w:noProof/>
            <w:webHidden/>
          </w:rPr>
          <w:instrText xml:space="preserve"> PAGEREF _Toc88226455 \h </w:instrText>
        </w:r>
        <w:r w:rsidR="00D80ABE">
          <w:rPr>
            <w:noProof/>
            <w:webHidden/>
          </w:rPr>
        </w:r>
        <w:r w:rsidR="00D80ABE">
          <w:rPr>
            <w:noProof/>
            <w:webHidden/>
          </w:rPr>
          <w:fldChar w:fldCharType="separate"/>
        </w:r>
        <w:r w:rsidR="00820A8B">
          <w:rPr>
            <w:noProof/>
            <w:webHidden/>
          </w:rPr>
          <w:t>11</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56" w:history="1">
        <w:r w:rsidR="00D80ABE" w:rsidRPr="00590635">
          <w:rPr>
            <w:rStyle w:val="Hyperlink"/>
            <w:noProof/>
            <w:lang w:val="sq-AL"/>
          </w:rPr>
          <w:t>2.3.1</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Aplikacioni i KESCO-së</w:t>
        </w:r>
        <w:r w:rsidR="00D80ABE">
          <w:rPr>
            <w:noProof/>
            <w:webHidden/>
          </w:rPr>
          <w:tab/>
        </w:r>
        <w:r w:rsidR="00D80ABE">
          <w:rPr>
            <w:noProof/>
            <w:webHidden/>
          </w:rPr>
          <w:fldChar w:fldCharType="begin"/>
        </w:r>
        <w:r w:rsidR="00D80ABE">
          <w:rPr>
            <w:noProof/>
            <w:webHidden/>
          </w:rPr>
          <w:instrText xml:space="preserve"> PAGEREF _Toc88226456 \h </w:instrText>
        </w:r>
        <w:r w:rsidR="00D80ABE">
          <w:rPr>
            <w:noProof/>
            <w:webHidden/>
          </w:rPr>
        </w:r>
        <w:r w:rsidR="00D80ABE">
          <w:rPr>
            <w:noProof/>
            <w:webHidden/>
          </w:rPr>
          <w:fldChar w:fldCharType="separate"/>
        </w:r>
        <w:r w:rsidR="00820A8B">
          <w:rPr>
            <w:noProof/>
            <w:webHidden/>
          </w:rPr>
          <w:t>11</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57" w:history="1">
        <w:r w:rsidR="00D80ABE" w:rsidRPr="00590635">
          <w:rPr>
            <w:rStyle w:val="Hyperlink"/>
            <w:noProof/>
            <w:lang w:val="sq-AL"/>
          </w:rPr>
          <w:t>2.3.2</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Propozimi i ZRRE-së</w:t>
        </w:r>
        <w:r w:rsidR="00D80ABE">
          <w:rPr>
            <w:noProof/>
            <w:webHidden/>
          </w:rPr>
          <w:tab/>
        </w:r>
        <w:r w:rsidR="00D80ABE">
          <w:rPr>
            <w:noProof/>
            <w:webHidden/>
          </w:rPr>
          <w:fldChar w:fldCharType="begin"/>
        </w:r>
        <w:r w:rsidR="00D80ABE">
          <w:rPr>
            <w:noProof/>
            <w:webHidden/>
          </w:rPr>
          <w:instrText xml:space="preserve"> PAGEREF _Toc88226457 \h </w:instrText>
        </w:r>
        <w:r w:rsidR="00D80ABE">
          <w:rPr>
            <w:noProof/>
            <w:webHidden/>
          </w:rPr>
        </w:r>
        <w:r w:rsidR="00D80ABE">
          <w:rPr>
            <w:noProof/>
            <w:webHidden/>
          </w:rPr>
          <w:fldChar w:fldCharType="separate"/>
        </w:r>
        <w:r w:rsidR="00820A8B">
          <w:rPr>
            <w:noProof/>
            <w:webHidden/>
          </w:rPr>
          <w:t>12</w:t>
        </w:r>
        <w:r w:rsidR="00D80ABE">
          <w:rPr>
            <w:noProof/>
            <w:webHidden/>
          </w:rPr>
          <w:fldChar w:fldCharType="end"/>
        </w:r>
      </w:hyperlink>
    </w:p>
    <w:p w:rsidR="00D80ABE" w:rsidRDefault="003F625E">
      <w:pPr>
        <w:pStyle w:val="TOC1"/>
        <w:tabs>
          <w:tab w:val="left" w:pos="475"/>
          <w:tab w:val="right" w:leader="dot" w:pos="9350"/>
        </w:tabs>
        <w:rPr>
          <w:rFonts w:asciiTheme="minorHAnsi" w:eastAsiaTheme="minorEastAsia" w:hAnsiTheme="minorHAnsi" w:cstheme="minorBidi"/>
          <w:b w:val="0"/>
          <w:noProof/>
          <w:szCs w:val="22"/>
          <w:lang w:val="en-US"/>
        </w:rPr>
      </w:pPr>
      <w:hyperlink w:anchor="_Toc88226458" w:history="1">
        <w:r w:rsidR="00D80ABE" w:rsidRPr="00590635">
          <w:rPr>
            <w:rStyle w:val="Hyperlink"/>
            <w:noProof/>
            <w:lang w:val="sq-AL"/>
          </w:rPr>
          <w:t>3</w:t>
        </w:r>
        <w:r w:rsidR="00D80ABE">
          <w:rPr>
            <w:rFonts w:asciiTheme="minorHAnsi" w:eastAsiaTheme="minorEastAsia" w:hAnsiTheme="minorHAnsi" w:cstheme="minorBidi"/>
            <w:b w:val="0"/>
            <w:noProof/>
            <w:szCs w:val="22"/>
            <w:lang w:val="en-US"/>
          </w:rPr>
          <w:tab/>
        </w:r>
        <w:r w:rsidR="00D80ABE" w:rsidRPr="00590635">
          <w:rPr>
            <w:rStyle w:val="Hyperlink"/>
            <w:noProof/>
            <w:lang w:val="sq-AL"/>
          </w:rPr>
          <w:t>Kostot operative dhe të mirëmbajtjes</w:t>
        </w:r>
        <w:r w:rsidR="00D80ABE">
          <w:rPr>
            <w:noProof/>
            <w:webHidden/>
          </w:rPr>
          <w:tab/>
        </w:r>
        <w:r w:rsidR="00D80ABE">
          <w:rPr>
            <w:noProof/>
            <w:webHidden/>
          </w:rPr>
          <w:fldChar w:fldCharType="begin"/>
        </w:r>
        <w:r w:rsidR="00D80ABE">
          <w:rPr>
            <w:noProof/>
            <w:webHidden/>
          </w:rPr>
          <w:instrText xml:space="preserve"> PAGEREF _Toc88226458 \h </w:instrText>
        </w:r>
        <w:r w:rsidR="00D80ABE">
          <w:rPr>
            <w:noProof/>
            <w:webHidden/>
          </w:rPr>
        </w:r>
        <w:r w:rsidR="00D80ABE">
          <w:rPr>
            <w:noProof/>
            <w:webHidden/>
          </w:rPr>
          <w:fldChar w:fldCharType="separate"/>
        </w:r>
        <w:r w:rsidR="00820A8B">
          <w:rPr>
            <w:noProof/>
            <w:webHidden/>
          </w:rPr>
          <w:t>13</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59" w:history="1">
        <w:r w:rsidR="00D80ABE" w:rsidRPr="00590635">
          <w:rPr>
            <w:rStyle w:val="Hyperlink"/>
            <w:noProof/>
            <w:lang w:val="sq-AL"/>
          </w:rPr>
          <w:t>3.1</w:t>
        </w:r>
        <w:r w:rsidR="00D80ABE">
          <w:rPr>
            <w:rFonts w:asciiTheme="minorHAnsi" w:eastAsiaTheme="minorEastAsia" w:hAnsiTheme="minorHAnsi" w:cstheme="minorBidi"/>
            <w:noProof/>
            <w:szCs w:val="22"/>
            <w:lang w:val="en-US"/>
          </w:rPr>
          <w:tab/>
        </w:r>
        <w:r w:rsidR="00D80ABE" w:rsidRPr="00590635">
          <w:rPr>
            <w:rStyle w:val="Hyperlink"/>
            <w:noProof/>
            <w:lang w:val="sq-AL"/>
          </w:rPr>
          <w:t>Aplikacioni i KESCO-së</w:t>
        </w:r>
        <w:r w:rsidR="00D80ABE">
          <w:rPr>
            <w:noProof/>
            <w:webHidden/>
          </w:rPr>
          <w:tab/>
        </w:r>
        <w:r w:rsidR="00D80ABE">
          <w:rPr>
            <w:noProof/>
            <w:webHidden/>
          </w:rPr>
          <w:fldChar w:fldCharType="begin"/>
        </w:r>
        <w:r w:rsidR="00D80ABE">
          <w:rPr>
            <w:noProof/>
            <w:webHidden/>
          </w:rPr>
          <w:instrText xml:space="preserve"> PAGEREF _Toc88226459 \h </w:instrText>
        </w:r>
        <w:r w:rsidR="00D80ABE">
          <w:rPr>
            <w:noProof/>
            <w:webHidden/>
          </w:rPr>
        </w:r>
        <w:r w:rsidR="00D80ABE">
          <w:rPr>
            <w:noProof/>
            <w:webHidden/>
          </w:rPr>
          <w:fldChar w:fldCharType="separate"/>
        </w:r>
        <w:r w:rsidR="00820A8B">
          <w:rPr>
            <w:noProof/>
            <w:webHidden/>
          </w:rPr>
          <w:t>13</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60" w:history="1">
        <w:r w:rsidR="00D80ABE" w:rsidRPr="00590635">
          <w:rPr>
            <w:rStyle w:val="Hyperlink"/>
            <w:noProof/>
            <w:lang w:val="sq-AL"/>
          </w:rPr>
          <w:t>3.2</w:t>
        </w:r>
        <w:r w:rsidR="00D80ABE">
          <w:rPr>
            <w:rFonts w:asciiTheme="minorHAnsi" w:eastAsiaTheme="minorEastAsia" w:hAnsiTheme="minorHAnsi" w:cstheme="minorBidi"/>
            <w:noProof/>
            <w:szCs w:val="22"/>
            <w:lang w:val="en-US"/>
          </w:rPr>
          <w:tab/>
        </w:r>
        <w:r w:rsidR="00D80ABE" w:rsidRPr="00590635">
          <w:rPr>
            <w:rStyle w:val="Hyperlink"/>
            <w:noProof/>
            <w:lang w:val="sq-AL"/>
          </w:rPr>
          <w:t>Shqyrtimi i aplikacionit dhe propozimi i ZRRE-së për Kostot Operative</w:t>
        </w:r>
        <w:r w:rsidR="00D80ABE">
          <w:rPr>
            <w:noProof/>
            <w:webHidden/>
          </w:rPr>
          <w:tab/>
        </w:r>
        <w:r w:rsidR="00D80ABE">
          <w:rPr>
            <w:noProof/>
            <w:webHidden/>
          </w:rPr>
          <w:fldChar w:fldCharType="begin"/>
        </w:r>
        <w:r w:rsidR="00D80ABE">
          <w:rPr>
            <w:noProof/>
            <w:webHidden/>
          </w:rPr>
          <w:instrText xml:space="preserve"> PAGEREF _Toc88226460 \h </w:instrText>
        </w:r>
        <w:r w:rsidR="00D80ABE">
          <w:rPr>
            <w:noProof/>
            <w:webHidden/>
          </w:rPr>
        </w:r>
        <w:r w:rsidR="00D80ABE">
          <w:rPr>
            <w:noProof/>
            <w:webHidden/>
          </w:rPr>
          <w:fldChar w:fldCharType="separate"/>
        </w:r>
        <w:r w:rsidR="00820A8B">
          <w:rPr>
            <w:noProof/>
            <w:webHidden/>
          </w:rPr>
          <w:t>14</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61" w:history="1">
        <w:r w:rsidR="00D80ABE" w:rsidRPr="00590635">
          <w:rPr>
            <w:rStyle w:val="Hyperlink"/>
            <w:noProof/>
            <w:lang w:val="sq-AL"/>
          </w:rPr>
          <w:t>3.2.1</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Faktori i efikasitetit</w:t>
        </w:r>
        <w:r w:rsidR="00D80ABE">
          <w:rPr>
            <w:noProof/>
            <w:webHidden/>
          </w:rPr>
          <w:tab/>
        </w:r>
        <w:r w:rsidR="00D80ABE">
          <w:rPr>
            <w:noProof/>
            <w:webHidden/>
          </w:rPr>
          <w:fldChar w:fldCharType="begin"/>
        </w:r>
        <w:r w:rsidR="00D80ABE">
          <w:rPr>
            <w:noProof/>
            <w:webHidden/>
          </w:rPr>
          <w:instrText xml:space="preserve"> PAGEREF _Toc88226461 \h </w:instrText>
        </w:r>
        <w:r w:rsidR="00D80ABE">
          <w:rPr>
            <w:noProof/>
            <w:webHidden/>
          </w:rPr>
        </w:r>
        <w:r w:rsidR="00D80ABE">
          <w:rPr>
            <w:noProof/>
            <w:webHidden/>
          </w:rPr>
          <w:fldChar w:fldCharType="separate"/>
        </w:r>
        <w:r w:rsidR="00820A8B">
          <w:rPr>
            <w:noProof/>
            <w:webHidden/>
          </w:rPr>
          <w:t>17</w:t>
        </w:r>
        <w:r w:rsidR="00D80ABE">
          <w:rPr>
            <w:noProof/>
            <w:webHidden/>
          </w:rPr>
          <w:fldChar w:fldCharType="end"/>
        </w:r>
      </w:hyperlink>
    </w:p>
    <w:p w:rsidR="00D80ABE" w:rsidRDefault="003F625E">
      <w:pPr>
        <w:pStyle w:val="TOC4"/>
        <w:tabs>
          <w:tab w:val="right" w:leader="dot" w:pos="9350"/>
        </w:tabs>
        <w:rPr>
          <w:rFonts w:eastAsiaTheme="minorEastAsia"/>
          <w:noProof/>
        </w:rPr>
      </w:pPr>
      <w:hyperlink w:anchor="_Toc88226462" w:history="1">
        <w:r w:rsidR="00D80ABE" w:rsidRPr="00590635">
          <w:rPr>
            <w:rStyle w:val="Hyperlink"/>
            <w:noProof/>
            <w:lang w:val="sq-AL"/>
          </w:rPr>
          <w:t>Propozimi i KESCO</w:t>
        </w:r>
        <w:r w:rsidR="00D80ABE">
          <w:rPr>
            <w:noProof/>
            <w:webHidden/>
          </w:rPr>
          <w:tab/>
        </w:r>
        <w:r w:rsidR="00D80ABE">
          <w:rPr>
            <w:noProof/>
            <w:webHidden/>
          </w:rPr>
          <w:fldChar w:fldCharType="begin"/>
        </w:r>
        <w:r w:rsidR="00D80ABE">
          <w:rPr>
            <w:noProof/>
            <w:webHidden/>
          </w:rPr>
          <w:instrText xml:space="preserve"> PAGEREF _Toc88226462 \h </w:instrText>
        </w:r>
        <w:r w:rsidR="00D80ABE">
          <w:rPr>
            <w:noProof/>
            <w:webHidden/>
          </w:rPr>
        </w:r>
        <w:r w:rsidR="00D80ABE">
          <w:rPr>
            <w:noProof/>
            <w:webHidden/>
          </w:rPr>
          <w:fldChar w:fldCharType="separate"/>
        </w:r>
        <w:r w:rsidR="00820A8B">
          <w:rPr>
            <w:noProof/>
            <w:webHidden/>
          </w:rPr>
          <w:t>17</w:t>
        </w:r>
        <w:r w:rsidR="00D80ABE">
          <w:rPr>
            <w:noProof/>
            <w:webHidden/>
          </w:rPr>
          <w:fldChar w:fldCharType="end"/>
        </w:r>
      </w:hyperlink>
    </w:p>
    <w:p w:rsidR="00D80ABE" w:rsidRDefault="003F625E">
      <w:pPr>
        <w:pStyle w:val="TOC4"/>
        <w:tabs>
          <w:tab w:val="right" w:leader="dot" w:pos="9350"/>
        </w:tabs>
        <w:rPr>
          <w:rFonts w:eastAsiaTheme="minorEastAsia"/>
          <w:noProof/>
        </w:rPr>
      </w:pPr>
      <w:hyperlink w:anchor="_Toc88226463" w:history="1">
        <w:r w:rsidR="00D80ABE" w:rsidRPr="00590635">
          <w:rPr>
            <w:rStyle w:val="Hyperlink"/>
            <w:noProof/>
            <w:lang w:val="sq-AL"/>
          </w:rPr>
          <w:t>Propozimi i ZRRE-së</w:t>
        </w:r>
        <w:r w:rsidR="00D80ABE">
          <w:rPr>
            <w:noProof/>
            <w:webHidden/>
          </w:rPr>
          <w:tab/>
        </w:r>
        <w:r w:rsidR="00D80ABE">
          <w:rPr>
            <w:noProof/>
            <w:webHidden/>
          </w:rPr>
          <w:fldChar w:fldCharType="begin"/>
        </w:r>
        <w:r w:rsidR="00D80ABE">
          <w:rPr>
            <w:noProof/>
            <w:webHidden/>
          </w:rPr>
          <w:instrText xml:space="preserve"> PAGEREF _Toc88226463 \h </w:instrText>
        </w:r>
        <w:r w:rsidR="00D80ABE">
          <w:rPr>
            <w:noProof/>
            <w:webHidden/>
          </w:rPr>
        </w:r>
        <w:r w:rsidR="00D80ABE">
          <w:rPr>
            <w:noProof/>
            <w:webHidden/>
          </w:rPr>
          <w:fldChar w:fldCharType="separate"/>
        </w:r>
        <w:r w:rsidR="00820A8B">
          <w:rPr>
            <w:noProof/>
            <w:webHidden/>
          </w:rPr>
          <w:t>17</w:t>
        </w:r>
        <w:r w:rsidR="00D80ABE">
          <w:rPr>
            <w:noProof/>
            <w:webHidden/>
          </w:rPr>
          <w:fldChar w:fldCharType="end"/>
        </w:r>
      </w:hyperlink>
    </w:p>
    <w:p w:rsidR="00D80ABE" w:rsidRDefault="003F625E">
      <w:pPr>
        <w:pStyle w:val="TOC2"/>
        <w:tabs>
          <w:tab w:val="left" w:pos="880"/>
          <w:tab w:val="right" w:leader="dot" w:pos="9350"/>
        </w:tabs>
        <w:rPr>
          <w:rFonts w:asciiTheme="minorHAnsi" w:eastAsiaTheme="minorEastAsia" w:hAnsiTheme="minorHAnsi" w:cstheme="minorBidi"/>
          <w:noProof/>
          <w:szCs w:val="22"/>
          <w:lang w:val="en-US"/>
        </w:rPr>
      </w:pPr>
      <w:hyperlink w:anchor="_Toc88226464" w:history="1">
        <w:r w:rsidR="00D80ABE" w:rsidRPr="00590635">
          <w:rPr>
            <w:rStyle w:val="Hyperlink"/>
            <w:noProof/>
            <w:lang w:val="sq-AL"/>
          </w:rPr>
          <w:t>3.3</w:t>
        </w:r>
        <w:r w:rsidR="00D80ABE">
          <w:rPr>
            <w:rFonts w:asciiTheme="minorHAnsi" w:eastAsiaTheme="minorEastAsia" w:hAnsiTheme="minorHAnsi" w:cstheme="minorBidi"/>
            <w:noProof/>
            <w:szCs w:val="22"/>
            <w:lang w:val="en-US"/>
          </w:rPr>
          <w:tab/>
        </w:r>
        <w:r w:rsidR="00D80ABE" w:rsidRPr="00590635">
          <w:rPr>
            <w:rStyle w:val="Hyperlink"/>
            <w:noProof/>
            <w:lang w:val="sq-AL"/>
          </w:rPr>
          <w:t>Kategorizimi dhe jetëgjatësia e aseteve</w:t>
        </w:r>
        <w:r w:rsidR="00D80ABE">
          <w:rPr>
            <w:noProof/>
            <w:webHidden/>
          </w:rPr>
          <w:tab/>
        </w:r>
        <w:r w:rsidR="00D80ABE">
          <w:rPr>
            <w:noProof/>
            <w:webHidden/>
          </w:rPr>
          <w:fldChar w:fldCharType="begin"/>
        </w:r>
        <w:r w:rsidR="00D80ABE">
          <w:rPr>
            <w:noProof/>
            <w:webHidden/>
          </w:rPr>
          <w:instrText xml:space="preserve"> PAGEREF _Toc88226464 \h </w:instrText>
        </w:r>
        <w:r w:rsidR="00D80ABE">
          <w:rPr>
            <w:noProof/>
            <w:webHidden/>
          </w:rPr>
        </w:r>
        <w:r w:rsidR="00D80ABE">
          <w:rPr>
            <w:noProof/>
            <w:webHidden/>
          </w:rPr>
          <w:fldChar w:fldCharType="separate"/>
        </w:r>
        <w:r w:rsidR="00820A8B">
          <w:rPr>
            <w:noProof/>
            <w:webHidden/>
          </w:rPr>
          <w:t>21</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65" w:history="1">
        <w:r w:rsidR="00D80ABE" w:rsidRPr="00590635">
          <w:rPr>
            <w:rStyle w:val="Hyperlink"/>
            <w:noProof/>
            <w:lang w:val="sq-AL"/>
          </w:rPr>
          <w:t>3.3.1</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Aplikacioni i KESCO</w:t>
        </w:r>
        <w:r w:rsidR="00D80ABE">
          <w:rPr>
            <w:noProof/>
            <w:webHidden/>
          </w:rPr>
          <w:tab/>
        </w:r>
        <w:r w:rsidR="00D80ABE">
          <w:rPr>
            <w:noProof/>
            <w:webHidden/>
          </w:rPr>
          <w:fldChar w:fldCharType="begin"/>
        </w:r>
        <w:r w:rsidR="00D80ABE">
          <w:rPr>
            <w:noProof/>
            <w:webHidden/>
          </w:rPr>
          <w:instrText xml:space="preserve"> PAGEREF _Toc88226465 \h </w:instrText>
        </w:r>
        <w:r w:rsidR="00D80ABE">
          <w:rPr>
            <w:noProof/>
            <w:webHidden/>
          </w:rPr>
        </w:r>
        <w:r w:rsidR="00D80ABE">
          <w:rPr>
            <w:noProof/>
            <w:webHidden/>
          </w:rPr>
          <w:fldChar w:fldCharType="separate"/>
        </w:r>
        <w:r w:rsidR="00820A8B">
          <w:rPr>
            <w:noProof/>
            <w:webHidden/>
          </w:rPr>
          <w:t>21</w:t>
        </w:r>
        <w:r w:rsidR="00D80ABE">
          <w:rPr>
            <w:noProof/>
            <w:webHidden/>
          </w:rPr>
          <w:fldChar w:fldCharType="end"/>
        </w:r>
      </w:hyperlink>
    </w:p>
    <w:p w:rsidR="00D80ABE" w:rsidRDefault="003F625E">
      <w:pPr>
        <w:pStyle w:val="TOC3"/>
        <w:tabs>
          <w:tab w:val="left" w:pos="1320"/>
          <w:tab w:val="right" w:leader="dot" w:pos="9350"/>
        </w:tabs>
        <w:rPr>
          <w:rFonts w:asciiTheme="minorHAnsi" w:eastAsiaTheme="minorEastAsia" w:hAnsiTheme="minorHAnsi" w:cstheme="minorBidi"/>
          <w:noProof/>
          <w:sz w:val="22"/>
          <w:szCs w:val="22"/>
          <w:lang w:val="en-US"/>
        </w:rPr>
      </w:pPr>
      <w:hyperlink w:anchor="_Toc88226466" w:history="1">
        <w:r w:rsidR="00D80ABE" w:rsidRPr="00590635">
          <w:rPr>
            <w:rStyle w:val="Hyperlink"/>
            <w:noProof/>
            <w:lang w:val="sq-AL"/>
          </w:rPr>
          <w:t>3.3.2</w:t>
        </w:r>
        <w:r w:rsidR="00D80ABE">
          <w:rPr>
            <w:rFonts w:asciiTheme="minorHAnsi" w:eastAsiaTheme="minorEastAsia" w:hAnsiTheme="minorHAnsi" w:cstheme="minorBidi"/>
            <w:noProof/>
            <w:sz w:val="22"/>
            <w:szCs w:val="22"/>
            <w:lang w:val="en-US"/>
          </w:rPr>
          <w:tab/>
        </w:r>
        <w:r w:rsidR="00D80ABE" w:rsidRPr="00590635">
          <w:rPr>
            <w:rStyle w:val="Hyperlink"/>
            <w:noProof/>
            <w:lang w:val="sq-AL"/>
          </w:rPr>
          <w:t>Shqyrtimi dhe propozimi i ZRRE-së</w:t>
        </w:r>
        <w:r w:rsidR="00D80ABE">
          <w:rPr>
            <w:noProof/>
            <w:webHidden/>
          </w:rPr>
          <w:tab/>
        </w:r>
        <w:r w:rsidR="00D80ABE">
          <w:rPr>
            <w:noProof/>
            <w:webHidden/>
          </w:rPr>
          <w:fldChar w:fldCharType="begin"/>
        </w:r>
        <w:r w:rsidR="00D80ABE">
          <w:rPr>
            <w:noProof/>
            <w:webHidden/>
          </w:rPr>
          <w:instrText xml:space="preserve"> PAGEREF _Toc88226466 \h </w:instrText>
        </w:r>
        <w:r w:rsidR="00D80ABE">
          <w:rPr>
            <w:noProof/>
            <w:webHidden/>
          </w:rPr>
        </w:r>
        <w:r w:rsidR="00D80ABE">
          <w:rPr>
            <w:noProof/>
            <w:webHidden/>
          </w:rPr>
          <w:fldChar w:fldCharType="separate"/>
        </w:r>
        <w:r w:rsidR="00820A8B">
          <w:rPr>
            <w:noProof/>
            <w:webHidden/>
          </w:rPr>
          <w:t>22</w:t>
        </w:r>
        <w:r w:rsidR="00D80ABE">
          <w:rPr>
            <w:noProof/>
            <w:webHidden/>
          </w:rPr>
          <w:fldChar w:fldCharType="end"/>
        </w:r>
      </w:hyperlink>
    </w:p>
    <w:p w:rsidR="00D80ABE" w:rsidRDefault="003F625E">
      <w:pPr>
        <w:pStyle w:val="TOC1"/>
        <w:tabs>
          <w:tab w:val="left" w:pos="475"/>
          <w:tab w:val="right" w:leader="dot" w:pos="9350"/>
        </w:tabs>
        <w:rPr>
          <w:rFonts w:asciiTheme="minorHAnsi" w:eastAsiaTheme="minorEastAsia" w:hAnsiTheme="minorHAnsi" w:cstheme="minorBidi"/>
          <w:b w:val="0"/>
          <w:noProof/>
          <w:szCs w:val="22"/>
          <w:lang w:val="en-US"/>
        </w:rPr>
      </w:pPr>
      <w:hyperlink w:anchor="_Toc88226467" w:history="1">
        <w:r w:rsidR="00D80ABE" w:rsidRPr="00590635">
          <w:rPr>
            <w:rStyle w:val="Hyperlink"/>
            <w:noProof/>
            <w:lang w:val="sq-AL"/>
          </w:rPr>
          <w:t>4</w:t>
        </w:r>
        <w:r w:rsidR="00D80ABE">
          <w:rPr>
            <w:rFonts w:asciiTheme="minorHAnsi" w:eastAsiaTheme="minorEastAsia" w:hAnsiTheme="minorHAnsi" w:cstheme="minorBidi"/>
            <w:b w:val="0"/>
            <w:noProof/>
            <w:szCs w:val="22"/>
            <w:lang w:val="en-US"/>
          </w:rPr>
          <w:tab/>
        </w:r>
        <w:r w:rsidR="00D80ABE" w:rsidRPr="00590635">
          <w:rPr>
            <w:rStyle w:val="Hyperlink"/>
            <w:noProof/>
            <w:lang w:val="sq-AL"/>
          </w:rPr>
          <w:t>Propozimi për Vlerat Hyrëse dhe Shpenzimet Operative</w:t>
        </w:r>
        <w:r w:rsidR="00D80ABE">
          <w:rPr>
            <w:noProof/>
            <w:webHidden/>
          </w:rPr>
          <w:tab/>
        </w:r>
        <w:r w:rsidR="00D80ABE">
          <w:rPr>
            <w:noProof/>
            <w:webHidden/>
          </w:rPr>
          <w:fldChar w:fldCharType="begin"/>
        </w:r>
        <w:r w:rsidR="00D80ABE">
          <w:rPr>
            <w:noProof/>
            <w:webHidden/>
          </w:rPr>
          <w:instrText xml:space="preserve"> PAGEREF _Toc88226467 \h </w:instrText>
        </w:r>
        <w:r w:rsidR="00D80ABE">
          <w:rPr>
            <w:noProof/>
            <w:webHidden/>
          </w:rPr>
        </w:r>
        <w:r w:rsidR="00D80ABE">
          <w:rPr>
            <w:noProof/>
            <w:webHidden/>
          </w:rPr>
          <w:fldChar w:fldCharType="separate"/>
        </w:r>
        <w:r w:rsidR="00820A8B">
          <w:rPr>
            <w:noProof/>
            <w:webHidden/>
          </w:rPr>
          <w:t>23</w:t>
        </w:r>
        <w:r w:rsidR="00D80ABE">
          <w:rPr>
            <w:noProof/>
            <w:webHidden/>
          </w:rPr>
          <w:fldChar w:fldCharType="end"/>
        </w:r>
      </w:hyperlink>
    </w:p>
    <w:p w:rsidR="0075093C" w:rsidRPr="00CC5249" w:rsidRDefault="0075093C" w:rsidP="0075093C">
      <w:pPr>
        <w:rPr>
          <w:lang w:val="sq-AL"/>
        </w:rPr>
      </w:pPr>
      <w:r w:rsidRPr="000D6682">
        <w:rPr>
          <w:rFonts w:ascii="Calibri" w:eastAsia="Times New Roman" w:hAnsi="Calibri" w:cs="Arial"/>
          <w:b/>
          <w:lang w:val="sq-AL"/>
        </w:rPr>
        <w:fldChar w:fldCharType="end"/>
      </w:r>
    </w:p>
    <w:p w:rsidR="0075093C" w:rsidRPr="00CC5249" w:rsidRDefault="0075093C" w:rsidP="0075093C">
      <w:pPr>
        <w:rPr>
          <w:lang w:val="sq-AL"/>
        </w:rPr>
      </w:pPr>
      <w:r w:rsidRPr="00CC5249">
        <w:rPr>
          <w:lang w:val="sq-AL"/>
        </w:rPr>
        <w:br w:type="page"/>
      </w:r>
    </w:p>
    <w:p w:rsidR="0075093C" w:rsidRPr="00CC5249" w:rsidRDefault="0075093C" w:rsidP="0075093C">
      <w:pPr>
        <w:pStyle w:val="Heading1"/>
        <w:pageBreakBefore/>
        <w:rPr>
          <w:lang w:val="sq-AL"/>
        </w:rPr>
      </w:pPr>
      <w:bookmarkStart w:id="0" w:name="_Toc88226444"/>
      <w:r w:rsidRPr="00CC5249">
        <w:rPr>
          <w:lang w:val="sq-AL"/>
        </w:rPr>
        <w:lastRenderedPageBreak/>
        <w:t>Hyrje</w:t>
      </w:r>
      <w:bookmarkEnd w:id="0"/>
    </w:p>
    <w:p w:rsidR="0075093C" w:rsidRPr="00450894" w:rsidRDefault="0075093C" w:rsidP="004B2C8B">
      <w:pPr>
        <w:jc w:val="both"/>
        <w:rPr>
          <w:rFonts w:cs="Calibri"/>
          <w:lang w:val="sq-AL"/>
        </w:rPr>
      </w:pPr>
      <w:r w:rsidRPr="00B26335">
        <w:rPr>
          <w:rFonts w:cs="Calibri"/>
          <w:lang w:val="sq-AL"/>
        </w:rPr>
        <w:t xml:space="preserve">Zyra e Rregullatorit për Energji (ZRRE) aktualisht është në proces të përcaktimit të Vlerave Hyrëse dhe Shpenzimeve Operative </w:t>
      </w:r>
      <w:r w:rsidRPr="00B1408C">
        <w:rPr>
          <w:rFonts w:cs="Calibri"/>
          <w:lang w:val="sq-AL"/>
        </w:rPr>
        <w:t>për Furnizuesin e Shërbimit Universal – FSHU</w:t>
      </w:r>
      <w:r w:rsidRPr="00450894">
        <w:rPr>
          <w:rFonts w:cs="Calibri"/>
          <w:lang w:val="sq-AL"/>
        </w:rPr>
        <w:t>, për periudhën 1 Prill 2022 - 31 Mars 2025.</w:t>
      </w:r>
    </w:p>
    <w:p w:rsidR="0075093C" w:rsidRPr="00450894" w:rsidRDefault="0075093C" w:rsidP="0075093C">
      <w:pPr>
        <w:jc w:val="both"/>
        <w:rPr>
          <w:lang w:val="sq-AL"/>
        </w:rPr>
      </w:pPr>
      <w:r w:rsidRPr="00450894">
        <w:rPr>
          <w:lang w:val="sq-AL"/>
        </w:rPr>
        <w:t xml:space="preserve">Gjatë Rishikimit të Vlerave Hyrëse, ZRRE përcakton vlerat e disa parametrave të cilët ndikojnë drejtpërdrejt në përcaktimin e Të Hyrave të Lejuara të FSHU-së. Këto përfshijnë vlera të tilla si Shpenzimet Operative, Faktori Efikasitetit, Jetëgjatësia e aseteve, </w:t>
      </w:r>
      <w:r w:rsidR="00D53B34">
        <w:rPr>
          <w:lang w:val="sq-AL"/>
        </w:rPr>
        <w:t xml:space="preserve">Borxhi i Keq, Marzha me pakicë </w:t>
      </w:r>
      <w:bookmarkStart w:id="1" w:name="_GoBack"/>
      <w:bookmarkEnd w:id="1"/>
      <w:r w:rsidRPr="00450894">
        <w:rPr>
          <w:lang w:val="sq-AL"/>
        </w:rPr>
        <w:t>dhe Faktori Ndarës i Jobalanceve. Ky Raport Konsultativ paraqet propozimet fillestare të ZRRE-së për Vlerat Hyrëse dhe Shpenzimet Operative për periudhën e ardhshme 2022-2024 dhe publikohet me qëllim të informimit të palëve të interesit si dhe ofrimit të mundësisë së komentimit dhe paraqitjes së pikëpamjeve të palëve të interesit mbi vlerat e propozuara.</w:t>
      </w:r>
    </w:p>
    <w:p w:rsidR="00701D2D" w:rsidRDefault="0075093C" w:rsidP="00701D2D">
      <w:pPr>
        <w:jc w:val="both"/>
        <w:rPr>
          <w:rFonts w:cs="Calibri"/>
          <w:lang w:val="sq-AL"/>
        </w:rPr>
      </w:pPr>
      <w:r w:rsidRPr="00450894">
        <w:rPr>
          <w:rFonts w:cs="Calibri"/>
          <w:lang w:val="sq-AL"/>
        </w:rPr>
        <w:t>ZRRE beson se konsultimi publik është në qendër të politikës efektive rregullative. Prandaj, ZRRE publikon këtë Raport Konsultativ, i cili përmban propozimet fillestare për vlerat hyrëse, ndaj të cilit, të gjitha palët e interesit kanë mundësinë që ta analizojnë dhe ta komentojnë, duke ofruar prova të reja, duke paraqitur kundër-argumente ose duke sig</w:t>
      </w:r>
      <w:r w:rsidR="00701D2D">
        <w:rPr>
          <w:rFonts w:cs="Calibri"/>
          <w:lang w:val="sq-AL"/>
        </w:rPr>
        <w:t xml:space="preserve">uruar të dhëna të reja </w:t>
      </w:r>
      <w:r w:rsidR="00701D2D" w:rsidRPr="008E6219">
        <w:rPr>
          <w:rFonts w:cs="Calibri"/>
          <w:lang w:val="sq-AL"/>
        </w:rPr>
        <w:t xml:space="preserve">në mënyrë që vlerësimi </w:t>
      </w:r>
      <w:r w:rsidR="00701D2D">
        <w:rPr>
          <w:rFonts w:cs="Calibri"/>
          <w:lang w:val="sq-AL"/>
        </w:rPr>
        <w:t xml:space="preserve">përfundimtar </w:t>
      </w:r>
      <w:r w:rsidR="00701D2D" w:rsidRPr="008E6219">
        <w:rPr>
          <w:rFonts w:cs="Calibri"/>
          <w:lang w:val="sq-AL"/>
        </w:rPr>
        <w:t>të jetë i saktë</w:t>
      </w:r>
      <w:r w:rsidR="00701D2D">
        <w:rPr>
          <w:rFonts w:cs="Calibri"/>
          <w:lang w:val="sq-AL"/>
        </w:rPr>
        <w:t>.</w:t>
      </w:r>
    </w:p>
    <w:p w:rsidR="0075093C" w:rsidRPr="00450894" w:rsidRDefault="0075093C" w:rsidP="0075093C">
      <w:pPr>
        <w:jc w:val="both"/>
        <w:rPr>
          <w:rFonts w:cs="Calibri"/>
          <w:lang w:val="sq-AL"/>
        </w:rPr>
      </w:pPr>
      <w:r w:rsidRPr="00450894">
        <w:rPr>
          <w:rFonts w:cs="Calibri"/>
          <w:lang w:val="sq-AL"/>
        </w:rPr>
        <w:t xml:space="preserve">Palët që dëshirojnë të shprehin mendimet e tyre mbi propozimin e ZRRE-së  ftohen të paraqesin komentet e tyre me shkrim në </w:t>
      </w:r>
      <w:r w:rsidRPr="00450894">
        <w:rPr>
          <w:rFonts w:cs="Calibri"/>
          <w:color w:val="0000FF"/>
          <w:u w:val="single"/>
          <w:lang w:val="sq-AL"/>
        </w:rPr>
        <w:t>ero.pricing-tariffs@ero-ks.org</w:t>
      </w:r>
      <w:r w:rsidRPr="00450894">
        <w:rPr>
          <w:rFonts w:cs="Calibri"/>
          <w:lang w:val="sq-AL"/>
        </w:rPr>
        <w:t xml:space="preserve"> jo më vonë se </w:t>
      </w:r>
      <w:r w:rsidRPr="00820A8B">
        <w:rPr>
          <w:rFonts w:cs="Calibri"/>
          <w:lang w:val="sq-AL"/>
        </w:rPr>
        <w:t>8 dhjetor 2021</w:t>
      </w:r>
      <w:r w:rsidRPr="00450894">
        <w:rPr>
          <w:rFonts w:cs="Calibri"/>
          <w:lang w:val="sq-AL"/>
        </w:rPr>
        <w:t>. Komentet mund të dërgohen edhe në adresën e ZRRE-së:</w:t>
      </w:r>
    </w:p>
    <w:p w:rsidR="0075093C" w:rsidRPr="00450894" w:rsidRDefault="0075093C" w:rsidP="0075093C">
      <w:pPr>
        <w:spacing w:after="0" w:line="240" w:lineRule="auto"/>
        <w:ind w:left="720"/>
        <w:rPr>
          <w:rFonts w:cs="Calibri"/>
          <w:lang w:val="sq-AL"/>
        </w:rPr>
      </w:pPr>
      <w:r w:rsidRPr="00450894">
        <w:rPr>
          <w:rFonts w:cs="Calibri"/>
          <w:lang w:val="sq-AL"/>
        </w:rPr>
        <w:t>Zyra e Rregullatorit për Energji</w:t>
      </w:r>
    </w:p>
    <w:p w:rsidR="0075093C" w:rsidRPr="00450894" w:rsidRDefault="0075093C" w:rsidP="0075093C">
      <w:pPr>
        <w:spacing w:after="0" w:line="240" w:lineRule="auto"/>
        <w:ind w:left="720"/>
        <w:rPr>
          <w:rFonts w:cs="Calibri"/>
          <w:lang w:val="sq-AL"/>
        </w:rPr>
      </w:pPr>
      <w:r w:rsidRPr="00450894">
        <w:rPr>
          <w:rFonts w:cs="Calibri"/>
          <w:lang w:val="sq-AL"/>
        </w:rPr>
        <w:t>Departamenti për Tarifa dhe çmime</w:t>
      </w:r>
    </w:p>
    <w:p w:rsidR="0075093C" w:rsidRPr="00450894" w:rsidRDefault="0075093C" w:rsidP="0075093C">
      <w:pPr>
        <w:spacing w:after="0" w:line="240" w:lineRule="auto"/>
        <w:ind w:left="720"/>
        <w:rPr>
          <w:rFonts w:cs="Calibri"/>
          <w:lang w:val="sq-AL"/>
        </w:rPr>
      </w:pPr>
      <w:r w:rsidRPr="00450894">
        <w:rPr>
          <w:rFonts w:cs="Calibri"/>
          <w:lang w:val="sq-AL"/>
        </w:rPr>
        <w:t>Rr. Dervish Rozhaja Nr. 12</w:t>
      </w:r>
    </w:p>
    <w:p w:rsidR="0075093C" w:rsidRPr="00450894" w:rsidRDefault="0075093C" w:rsidP="0075093C">
      <w:pPr>
        <w:spacing w:after="0" w:line="240" w:lineRule="auto"/>
        <w:ind w:left="720"/>
        <w:rPr>
          <w:rFonts w:cs="Calibri"/>
          <w:lang w:val="sq-AL"/>
        </w:rPr>
      </w:pPr>
      <w:r w:rsidRPr="00450894">
        <w:rPr>
          <w:rFonts w:cs="Calibri"/>
          <w:lang w:val="sq-AL"/>
        </w:rPr>
        <w:t>Prishtinë, 10000, Kosovë</w:t>
      </w:r>
    </w:p>
    <w:p w:rsidR="0075093C" w:rsidRPr="00450894" w:rsidRDefault="0075093C" w:rsidP="0075093C">
      <w:pPr>
        <w:spacing w:after="0" w:line="240" w:lineRule="auto"/>
        <w:rPr>
          <w:rFonts w:cs="Calibri"/>
          <w:lang w:val="sq-AL"/>
        </w:rPr>
      </w:pPr>
    </w:p>
    <w:p w:rsidR="0075093C" w:rsidRPr="00450894" w:rsidRDefault="0075093C" w:rsidP="0075093C">
      <w:pPr>
        <w:spacing w:after="0" w:line="240" w:lineRule="auto"/>
        <w:rPr>
          <w:rFonts w:cs="Calibri"/>
          <w:lang w:val="sq-AL"/>
        </w:rPr>
      </w:pPr>
      <w:r w:rsidRPr="00450894">
        <w:rPr>
          <w:lang w:val="sq-AL"/>
        </w:rPr>
        <w:t xml:space="preserve">Pas shqyrtimit të komenteve të pranuara, ZRRE-ja do të publikojë </w:t>
      </w:r>
      <w:r w:rsidRPr="00450894">
        <w:rPr>
          <w:b/>
          <w:bCs/>
          <w:i/>
          <w:iCs/>
          <w:lang w:val="sq-AL"/>
        </w:rPr>
        <w:t>Raportin Final së bashku me përgjigje ndaj komenteve</w:t>
      </w:r>
      <w:r w:rsidRPr="00450894">
        <w:rPr>
          <w:lang w:val="sq-AL"/>
        </w:rPr>
        <w:t xml:space="preserve">. Komentet e pranuara për këtë Raport Konsultativ do të publikohen së bashku me Raportin Final. </w:t>
      </w:r>
    </w:p>
    <w:p w:rsidR="0075093C" w:rsidRPr="00450894" w:rsidRDefault="0075093C" w:rsidP="0075093C">
      <w:pPr>
        <w:spacing w:after="0" w:line="240" w:lineRule="auto"/>
        <w:rPr>
          <w:rFonts w:cs="Calibri"/>
          <w:lang w:val="sq-AL"/>
        </w:rPr>
      </w:pPr>
    </w:p>
    <w:p w:rsidR="0075093C" w:rsidRPr="00450894" w:rsidRDefault="0075093C" w:rsidP="0075093C">
      <w:pPr>
        <w:spacing w:after="0" w:line="240" w:lineRule="auto"/>
        <w:rPr>
          <w:rFonts w:cs="Calibri"/>
          <w:b/>
          <w:lang w:val="sq-AL"/>
        </w:rPr>
      </w:pPr>
      <w:r w:rsidRPr="00450894">
        <w:rPr>
          <w:rFonts w:cs="Calibri"/>
          <w:b/>
          <w:lang w:val="sq-AL"/>
        </w:rPr>
        <w:t>Dokumentet e ndërlidhura</w:t>
      </w:r>
    </w:p>
    <w:p w:rsidR="0075093C" w:rsidRPr="00450894" w:rsidRDefault="0075093C" w:rsidP="0075093C">
      <w:pPr>
        <w:spacing w:after="0" w:line="240" w:lineRule="auto"/>
        <w:rPr>
          <w:rFonts w:cs="Calibri"/>
          <w:lang w:val="sq-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6720"/>
      </w:tblGrid>
      <w:tr w:rsidR="0075093C" w:rsidRPr="00450894" w:rsidTr="00756146">
        <w:trPr>
          <w:trHeight w:val="890"/>
        </w:trPr>
        <w:tc>
          <w:tcPr>
            <w:tcW w:w="1397" w:type="pct"/>
          </w:tcPr>
          <w:p w:rsidR="0075093C" w:rsidRPr="00CC5249" w:rsidRDefault="0075093C" w:rsidP="0075093C">
            <w:pPr>
              <w:rPr>
                <w:lang w:val="sq-AL"/>
              </w:rPr>
            </w:pPr>
            <w:r w:rsidRPr="00CC5249">
              <w:rPr>
                <w:lang w:val="sq-AL"/>
              </w:rPr>
              <w:t>Ligji për Rregullatorin e Energjisë</w:t>
            </w:r>
          </w:p>
        </w:tc>
        <w:tc>
          <w:tcPr>
            <w:tcW w:w="3603" w:type="pct"/>
          </w:tcPr>
          <w:p w:rsidR="0075093C" w:rsidRPr="00756146" w:rsidRDefault="003F625E" w:rsidP="00756146">
            <w:pPr>
              <w:rPr>
                <w:sz w:val="20"/>
                <w:szCs w:val="20"/>
                <w:lang w:val="sq-AL"/>
              </w:rPr>
            </w:pPr>
            <w:hyperlink r:id="rId7" w:history="1">
              <w:r w:rsidR="00756146" w:rsidRPr="00756146">
                <w:rPr>
                  <w:rStyle w:val="Hyperlink"/>
                  <w:sz w:val="20"/>
                  <w:szCs w:val="20"/>
                  <w:lang w:val="sq-AL"/>
                </w:rPr>
                <w:t>http://ero-ks.org/2016/Ligjet/LIGJI_PER_RREGULLATORIN_E_ENERGJISEang.pdf</w:t>
              </w:r>
            </w:hyperlink>
          </w:p>
        </w:tc>
      </w:tr>
      <w:tr w:rsidR="0075093C" w:rsidRPr="00450894" w:rsidTr="00756146">
        <w:trPr>
          <w:trHeight w:val="890"/>
        </w:trPr>
        <w:tc>
          <w:tcPr>
            <w:tcW w:w="1397" w:type="pct"/>
          </w:tcPr>
          <w:p w:rsidR="0075093C" w:rsidRPr="00B26335" w:rsidRDefault="0075093C" w:rsidP="00756146">
            <w:pPr>
              <w:rPr>
                <w:lang w:val="sq-AL"/>
              </w:rPr>
            </w:pPr>
            <w:r w:rsidRPr="00CC5249">
              <w:rPr>
                <w:lang w:val="sq-AL"/>
              </w:rPr>
              <w:t xml:space="preserve">Rregulla </w:t>
            </w:r>
            <w:r w:rsidR="00756146">
              <w:rPr>
                <w:lang w:val="sq-AL"/>
              </w:rPr>
              <w:t>për të Hyrat e FSHU</w:t>
            </w:r>
            <w:r w:rsidRPr="00B26335">
              <w:rPr>
                <w:lang w:val="sq-AL"/>
              </w:rPr>
              <w:t xml:space="preserve"> </w:t>
            </w:r>
          </w:p>
        </w:tc>
        <w:tc>
          <w:tcPr>
            <w:tcW w:w="3603" w:type="pct"/>
          </w:tcPr>
          <w:p w:rsidR="0075093C" w:rsidRPr="00756146" w:rsidRDefault="003F625E" w:rsidP="0075093C">
            <w:pPr>
              <w:rPr>
                <w:sz w:val="20"/>
                <w:szCs w:val="20"/>
                <w:lang w:val="sq-AL"/>
              </w:rPr>
            </w:pPr>
            <w:hyperlink r:id="rId8" w:history="1">
              <w:r w:rsidR="0075093C" w:rsidRPr="00756146">
                <w:rPr>
                  <w:rStyle w:val="Hyperlink"/>
                  <w:sz w:val="20"/>
                  <w:szCs w:val="20"/>
                  <w:lang w:val="sq-AL"/>
                </w:rPr>
                <w:t>http://ero-ks.org/2017/Rregullat/USS%20Pricing%20Rule.pdf</w:t>
              </w:r>
            </w:hyperlink>
            <w:r w:rsidR="0075093C" w:rsidRPr="00756146">
              <w:rPr>
                <w:sz w:val="20"/>
                <w:szCs w:val="20"/>
                <w:lang w:val="sq-AL"/>
              </w:rPr>
              <w:t xml:space="preserve"> </w:t>
            </w:r>
          </w:p>
        </w:tc>
      </w:tr>
      <w:tr w:rsidR="0075093C" w:rsidRPr="00450894" w:rsidTr="00756146">
        <w:trPr>
          <w:trHeight w:val="890"/>
        </w:trPr>
        <w:tc>
          <w:tcPr>
            <w:tcW w:w="1397" w:type="pct"/>
          </w:tcPr>
          <w:p w:rsidR="0075093C" w:rsidRPr="00B26335" w:rsidRDefault="0075093C" w:rsidP="0075093C">
            <w:pPr>
              <w:rPr>
                <w:lang w:val="sq-AL"/>
              </w:rPr>
            </w:pPr>
            <w:r w:rsidRPr="00CC5249">
              <w:rPr>
                <w:lang w:val="sq-AL"/>
              </w:rPr>
              <w:t>Aplikacioni i KESCO-së për vlerat hyrëse</w:t>
            </w:r>
          </w:p>
        </w:tc>
        <w:tc>
          <w:tcPr>
            <w:tcW w:w="3603" w:type="pct"/>
          </w:tcPr>
          <w:p w:rsidR="0075093C" w:rsidRPr="00756146" w:rsidRDefault="003F625E" w:rsidP="00756146">
            <w:pPr>
              <w:rPr>
                <w:sz w:val="20"/>
                <w:szCs w:val="20"/>
                <w:highlight w:val="yellow"/>
                <w:lang w:val="sq-AL"/>
              </w:rPr>
            </w:pPr>
            <w:hyperlink r:id="rId9" w:history="1">
              <w:r w:rsidR="00D80ABE" w:rsidRPr="006227EA">
                <w:rPr>
                  <w:rStyle w:val="Hyperlink"/>
                  <w:sz w:val="20"/>
                  <w:szCs w:val="20"/>
                  <w:lang w:val="sq-AL"/>
                </w:rPr>
                <w:t>https://www.ero-ks.org/zrre/sites/default/files/Publikimet/Pjesemarresit%20ne%20Treg/Furnizim/Propozimi%20per%20Vlerat%20Hyrese%202022-2024%20per%20FSHU_KESCO.PDF</w:t>
              </w:r>
            </w:hyperlink>
            <w:r w:rsidR="00AA737B">
              <w:rPr>
                <w:sz w:val="20"/>
                <w:szCs w:val="20"/>
                <w:lang w:val="sq-AL"/>
              </w:rPr>
              <w:t xml:space="preserve"> </w:t>
            </w:r>
          </w:p>
        </w:tc>
      </w:tr>
    </w:tbl>
    <w:p w:rsidR="0075093C" w:rsidRPr="00CC5249" w:rsidRDefault="0075093C" w:rsidP="0075093C">
      <w:pPr>
        <w:spacing w:after="0" w:line="240" w:lineRule="auto"/>
        <w:rPr>
          <w:rFonts w:cs="Calibri"/>
          <w:b/>
          <w:sz w:val="28"/>
          <w:szCs w:val="28"/>
          <w:lang w:val="sq-AL"/>
        </w:rPr>
      </w:pPr>
    </w:p>
    <w:p w:rsidR="0075093C" w:rsidRPr="00B26335" w:rsidRDefault="0075093C" w:rsidP="0075093C">
      <w:pPr>
        <w:pStyle w:val="Heading1"/>
        <w:rPr>
          <w:lang w:val="sq-AL"/>
        </w:rPr>
      </w:pPr>
      <w:bookmarkStart w:id="2" w:name="_Toc88226445"/>
      <w:r w:rsidRPr="00B26335">
        <w:rPr>
          <w:lang w:val="sq-AL"/>
        </w:rPr>
        <w:t>Vlerat hyrëse</w:t>
      </w:r>
      <w:bookmarkEnd w:id="2"/>
    </w:p>
    <w:p w:rsidR="0075093C" w:rsidRPr="00450894" w:rsidRDefault="0075093C" w:rsidP="0075093C">
      <w:pPr>
        <w:jc w:val="both"/>
        <w:rPr>
          <w:lang w:val="sq-AL"/>
        </w:rPr>
      </w:pPr>
      <w:r w:rsidRPr="00B1408C">
        <w:rPr>
          <w:lang w:val="sq-AL"/>
        </w:rPr>
        <w:t xml:space="preserve">Rregulla për Furnizuesin e Shërbimit Universal (FSHU) përcakton mënyrën në të cilën llogariten dhe azhurnohen </w:t>
      </w:r>
      <w:r w:rsidRPr="00450894">
        <w:rPr>
          <w:lang w:val="sq-AL"/>
        </w:rPr>
        <w:t>Të Hyrat e Lejuara Maksimale të Furnizuesit të Shërbimit Universal që mbulojnë kostot e ofrimit të shërbimit të rregulluar për konsumatorët e furnizimit universal. Kjo rregull përcakton të Hyrat e Rregulluara në një mënyrë që i mundëson furnizuesit me shërbim universal të mbulojë kostot e shitjes me pakicë, koston e blerjes së energjisë që kërkohet për të furnizuar konsumatorët e FSHU-së dhe kostot e bartshme (kostot e OST dhe OSSH). Pastaj bëhen përshtatje në pajtim me Rregullën për të Hyrat e FSHU-së për t'u siguruar që FSHU ka likuiditet të mjaftueshëm financiar, dhe që të ardhurat e rregulluara që realizohen përmes aplikimit të tarifave të llogariten në mënyrë të duhur.</w:t>
      </w:r>
    </w:p>
    <w:p w:rsidR="0075093C" w:rsidRPr="00450894" w:rsidRDefault="0075093C" w:rsidP="0075093C">
      <w:pPr>
        <w:jc w:val="both"/>
        <w:rPr>
          <w:lang w:val="sq-AL"/>
        </w:rPr>
      </w:pPr>
      <w:r w:rsidRPr="00450894">
        <w:rPr>
          <w:lang w:val="sq-AL"/>
        </w:rPr>
        <w:t xml:space="preserve">Të Hyrat e Rregulluara të FSHU, varen nga Vlerat Hyrëse që përcaktohen gjatë rishikimeve të tyre. Në mënyrë që të promovohet parashikueshmëria e të ardhurave, vlerave hyrëse përcaktohen për një periudhe rregullative prej 3 vjetësh. Ndryshimet në vlerat hyrëse mund të bëhen vetëm në masën që këto ndryshime janë </w:t>
      </w:r>
      <w:r w:rsidRPr="00450894">
        <w:rPr>
          <w:i/>
          <w:lang w:val="sq-AL"/>
        </w:rPr>
        <w:t>‘të arsyeshme, të justifikuara dhe të verifikuara me kujdes’</w:t>
      </w:r>
      <w:r w:rsidRPr="00450894">
        <w:rPr>
          <w:lang w:val="sq-AL"/>
        </w:rPr>
        <w:t xml:space="preserve"> (neni 9.1 i Rregullës për Vendosjen e të Hyrave për Furnizuesin me Shërbim Universal).</w:t>
      </w:r>
    </w:p>
    <w:p w:rsidR="0075093C" w:rsidRPr="00450894" w:rsidRDefault="0075093C" w:rsidP="0075093C">
      <w:pPr>
        <w:jc w:val="both"/>
        <w:rPr>
          <w:lang w:val="sq-AL"/>
        </w:rPr>
      </w:pPr>
      <w:r w:rsidRPr="00450894">
        <w:rPr>
          <w:lang w:val="sq-AL"/>
        </w:rPr>
        <w:t>Rregulla për Vendosjen e të Hyrave për Furnizuesin me Shërbim Universal (Rregulla për të Hyrat e FSHU-së) definon që vlerat hyrëse përcaktohen gjatë procesit të Shqyrtimit të Vlerave Hyrëse, të cilat sipas nenit 12, paragrafit 3 janë:</w:t>
      </w:r>
    </w:p>
    <w:p w:rsidR="0075093C" w:rsidRPr="00450894" w:rsidRDefault="0075093C" w:rsidP="0075093C">
      <w:pPr>
        <w:pStyle w:val="ListParagraph"/>
        <w:numPr>
          <w:ilvl w:val="0"/>
          <w:numId w:val="19"/>
        </w:numPr>
        <w:rPr>
          <w:rFonts w:cs="Calibri"/>
          <w:lang w:val="sq-AL" w:eastAsia="en-GB"/>
        </w:rPr>
      </w:pPr>
      <w:r w:rsidRPr="00450894">
        <w:rPr>
          <w:rFonts w:cs="Calibri"/>
          <w:lang w:val="sq-AL" w:eastAsia="en-GB"/>
        </w:rPr>
        <w:t>Marzha me pakicë</w:t>
      </w:r>
    </w:p>
    <w:p w:rsidR="0075093C" w:rsidRPr="00450894" w:rsidRDefault="0075093C" w:rsidP="0075093C">
      <w:pPr>
        <w:pStyle w:val="ListParagraph"/>
        <w:numPr>
          <w:ilvl w:val="0"/>
          <w:numId w:val="19"/>
        </w:numPr>
        <w:rPr>
          <w:rFonts w:cs="Calibri"/>
          <w:lang w:val="sq-AL" w:eastAsia="en-GB"/>
        </w:rPr>
      </w:pPr>
      <w:r w:rsidRPr="00450894">
        <w:rPr>
          <w:rFonts w:cs="Calibri"/>
          <w:lang w:val="sq-AL" w:eastAsia="en-GB"/>
        </w:rPr>
        <w:t>Lejimi i borxhit të keq</w:t>
      </w:r>
    </w:p>
    <w:p w:rsidR="0075093C" w:rsidRPr="00450894" w:rsidRDefault="0075093C" w:rsidP="0075093C">
      <w:pPr>
        <w:pStyle w:val="ListParagraph"/>
        <w:numPr>
          <w:ilvl w:val="0"/>
          <w:numId w:val="19"/>
        </w:numPr>
        <w:rPr>
          <w:rFonts w:cs="Calibri"/>
          <w:lang w:val="sq-AL" w:eastAsia="en-GB"/>
        </w:rPr>
      </w:pPr>
      <w:r w:rsidRPr="00450894">
        <w:rPr>
          <w:rFonts w:cs="Calibri"/>
          <w:lang w:val="sq-AL" w:eastAsia="en-GB"/>
        </w:rPr>
        <w:t>Kostot operative</w:t>
      </w:r>
    </w:p>
    <w:p w:rsidR="0075093C" w:rsidRPr="00450894" w:rsidRDefault="0075093C" w:rsidP="0075093C">
      <w:pPr>
        <w:pStyle w:val="ListParagraph"/>
        <w:numPr>
          <w:ilvl w:val="0"/>
          <w:numId w:val="19"/>
        </w:numPr>
        <w:rPr>
          <w:rFonts w:cs="Calibri"/>
          <w:lang w:val="sq-AL" w:eastAsia="en-GB"/>
        </w:rPr>
      </w:pPr>
      <w:r w:rsidRPr="00450894">
        <w:rPr>
          <w:rFonts w:cs="Calibri"/>
          <w:lang w:val="sq-AL" w:eastAsia="en-GB"/>
        </w:rPr>
        <w:t>Faktori i efikasitetit</w:t>
      </w:r>
    </w:p>
    <w:p w:rsidR="0075093C" w:rsidRPr="00450894" w:rsidRDefault="0075093C" w:rsidP="0075093C">
      <w:pPr>
        <w:pStyle w:val="ListParagraph"/>
        <w:numPr>
          <w:ilvl w:val="0"/>
          <w:numId w:val="19"/>
        </w:numPr>
        <w:rPr>
          <w:rFonts w:cs="Calibri"/>
          <w:lang w:val="sq-AL" w:eastAsia="en-GB"/>
        </w:rPr>
      </w:pPr>
      <w:r w:rsidRPr="00450894">
        <w:rPr>
          <w:rFonts w:cs="Calibri"/>
          <w:lang w:val="sq-AL" w:eastAsia="en-GB"/>
        </w:rPr>
        <w:t xml:space="preserve">Faktori ndarës i jobalanceve </w:t>
      </w:r>
    </w:p>
    <w:p w:rsidR="0075093C" w:rsidRPr="00DA3C6E" w:rsidRDefault="0075093C" w:rsidP="0075093C">
      <w:pPr>
        <w:pStyle w:val="ListParagraph"/>
        <w:numPr>
          <w:ilvl w:val="0"/>
          <w:numId w:val="19"/>
        </w:numPr>
        <w:rPr>
          <w:rFonts w:cs="Calibri"/>
          <w:lang w:val="sq-AL" w:eastAsia="en-GB"/>
        </w:rPr>
      </w:pPr>
      <w:r w:rsidRPr="00DA3C6E">
        <w:rPr>
          <w:rFonts w:cs="Calibri"/>
          <w:lang w:val="sq-AL" w:eastAsia="en-GB"/>
        </w:rPr>
        <w:t>Jetëgjatësia ekonomike e aseteve</w:t>
      </w:r>
    </w:p>
    <w:p w:rsidR="0075093C" w:rsidRPr="00DA3C6E" w:rsidRDefault="0075093C" w:rsidP="0075093C">
      <w:pPr>
        <w:pStyle w:val="ListParagraph"/>
        <w:numPr>
          <w:ilvl w:val="0"/>
          <w:numId w:val="19"/>
        </w:numPr>
        <w:rPr>
          <w:lang w:val="sq-AL"/>
        </w:rPr>
      </w:pPr>
      <w:r w:rsidRPr="00DA3C6E">
        <w:rPr>
          <w:lang w:val="sq-AL"/>
        </w:rPr>
        <w:t>Çdo parametër tjetër hyrës që rregullatori mund ta konsideroj si të nevojshëm.*</w:t>
      </w:r>
    </w:p>
    <w:p w:rsidR="0075093C" w:rsidRPr="00450894" w:rsidRDefault="0075093C" w:rsidP="00E742CD">
      <w:pPr>
        <w:jc w:val="both"/>
        <w:rPr>
          <w:lang w:val="sq-AL"/>
        </w:rPr>
      </w:pPr>
      <w:r w:rsidRPr="00450894">
        <w:rPr>
          <w:lang w:val="sq-AL"/>
        </w:rPr>
        <w:t xml:space="preserve">* Rregullatori gjatë këtij proces konsideron si të nevojshëm </w:t>
      </w:r>
      <w:r w:rsidR="00E742CD" w:rsidRPr="00450894">
        <w:rPr>
          <w:lang w:val="sq-AL"/>
        </w:rPr>
        <w:t>paracaktimin</w:t>
      </w:r>
      <w:r w:rsidRPr="00450894">
        <w:rPr>
          <w:lang w:val="sq-AL"/>
        </w:rPr>
        <w:t xml:space="preserve"> e faktorit të </w:t>
      </w:r>
      <w:r w:rsidR="00E742CD" w:rsidRPr="00450894">
        <w:rPr>
          <w:lang w:val="sq-AL"/>
        </w:rPr>
        <w:t>efikasitetit</w:t>
      </w:r>
      <w:r w:rsidRPr="00450894">
        <w:rPr>
          <w:lang w:val="sq-AL"/>
        </w:rPr>
        <w:t xml:space="preserve"> në OPEX-in e kontrollueshëm si parametër tjetër hyrës. Vendosja e faktorit të </w:t>
      </w:r>
      <w:r w:rsidR="00E742CD" w:rsidRPr="00450894">
        <w:rPr>
          <w:lang w:val="sq-AL"/>
        </w:rPr>
        <w:t>efikasitetit</w:t>
      </w:r>
      <w:r w:rsidRPr="00450894">
        <w:rPr>
          <w:lang w:val="sq-AL"/>
        </w:rPr>
        <w:t xml:space="preserve"> është në parim të </w:t>
      </w:r>
      <w:r w:rsidR="00E742CD" w:rsidRPr="00450894">
        <w:rPr>
          <w:lang w:val="sq-AL"/>
        </w:rPr>
        <w:t>njëjtë</w:t>
      </w:r>
      <w:r w:rsidRPr="00450894">
        <w:rPr>
          <w:lang w:val="sq-AL"/>
        </w:rPr>
        <w:t xml:space="preserve"> me operatorët tjerë të rregulluar, por gjatë përcaktimit të saj janë marrë në konsideratë karakteristikat e veçanta së furnizimit.</w:t>
      </w:r>
    </w:p>
    <w:p w:rsidR="00C85B1F" w:rsidRDefault="00C85B1F" w:rsidP="0075093C">
      <w:pPr>
        <w:rPr>
          <w:lang w:val="sq-AL"/>
        </w:rPr>
      </w:pPr>
    </w:p>
    <w:p w:rsidR="0075093C" w:rsidRPr="00C85B1F" w:rsidRDefault="00C85B1F" w:rsidP="00C85B1F">
      <w:pPr>
        <w:tabs>
          <w:tab w:val="left" w:pos="8064"/>
        </w:tabs>
        <w:rPr>
          <w:lang w:val="sq-AL"/>
        </w:rPr>
      </w:pPr>
      <w:r>
        <w:rPr>
          <w:lang w:val="sq-AL"/>
        </w:rPr>
        <w:tab/>
      </w:r>
    </w:p>
    <w:p w:rsidR="0075093C" w:rsidRPr="00450894" w:rsidRDefault="0075093C" w:rsidP="0075093C">
      <w:pPr>
        <w:pStyle w:val="Heading2"/>
        <w:ind w:left="720"/>
        <w:rPr>
          <w:lang w:val="sq-AL"/>
        </w:rPr>
      </w:pPr>
      <w:bookmarkStart w:id="3" w:name="_Toc88226446"/>
      <w:r w:rsidRPr="00450894">
        <w:rPr>
          <w:lang w:val="sq-AL"/>
        </w:rPr>
        <w:lastRenderedPageBreak/>
        <w:t>Marzha me pakicë</w:t>
      </w:r>
      <w:bookmarkEnd w:id="3"/>
    </w:p>
    <w:p w:rsidR="0075093C" w:rsidRPr="00450894" w:rsidRDefault="0075093C" w:rsidP="0075093C">
      <w:pPr>
        <w:rPr>
          <w:lang w:val="sq-AL"/>
        </w:rPr>
      </w:pPr>
      <w:r w:rsidRPr="00450894">
        <w:rPr>
          <w:lang w:val="sq-AL"/>
        </w:rPr>
        <w:t>Marzha me pakicë është kthimi i përqindjes që FSHU-së i lejohet të fitojë në kostot e blerjes me shumicë në mënyrë që ta kompensojë atë për rrezikun që merr përsipër në ofrimin e shërbimit të rregulluar.</w:t>
      </w:r>
    </w:p>
    <w:p w:rsidR="0075093C" w:rsidRPr="00450894" w:rsidRDefault="0075093C" w:rsidP="0075093C">
      <w:pPr>
        <w:jc w:val="both"/>
        <w:rPr>
          <w:lang w:val="sq-AL"/>
        </w:rPr>
      </w:pPr>
      <w:r w:rsidRPr="00450894">
        <w:rPr>
          <w:lang w:val="sq-AL"/>
        </w:rPr>
        <w:t>Duke qenë se Furnizuesi me Shërbim Universal është aktivitet i rregulluar në sektorin e energjisë, rrjedhimisht kostot operative dhe faktorët tjerë</w:t>
      </w:r>
      <w:r w:rsidRPr="00CC5249">
        <w:rPr>
          <w:lang w:val="sq-AL"/>
        </w:rPr>
        <w:t xml:space="preserve"> të kostove që nd</w:t>
      </w:r>
      <w:r>
        <w:rPr>
          <w:lang w:val="sq-AL"/>
        </w:rPr>
        <w:t>ë</w:t>
      </w:r>
      <w:r w:rsidRPr="00CC5249">
        <w:rPr>
          <w:lang w:val="sq-AL"/>
        </w:rPr>
        <w:t>rlidhen me ofrimin e sh</w:t>
      </w:r>
      <w:r w:rsidRPr="00B26335">
        <w:rPr>
          <w:lang w:val="sq-AL"/>
        </w:rPr>
        <w:t>ë</w:t>
      </w:r>
      <w:r w:rsidRPr="00032EE0">
        <w:rPr>
          <w:lang w:val="sq-AL"/>
        </w:rPr>
        <w:t>rbimit ndaj konsumator</w:t>
      </w:r>
      <w:r>
        <w:rPr>
          <w:lang w:val="sq-AL"/>
        </w:rPr>
        <w:t>ë</w:t>
      </w:r>
      <w:r w:rsidRPr="00032EE0">
        <w:rPr>
          <w:lang w:val="sq-AL"/>
        </w:rPr>
        <w:t>ve jan</w:t>
      </w:r>
      <w:r w:rsidRPr="007F49D2">
        <w:rPr>
          <w:lang w:val="sq-AL"/>
        </w:rPr>
        <w:t>ë</w:t>
      </w:r>
      <w:r w:rsidRPr="00540B57">
        <w:rPr>
          <w:lang w:val="sq-AL"/>
        </w:rPr>
        <w:t xml:space="preserve"> t</w:t>
      </w:r>
      <w:r w:rsidRPr="003C06AF">
        <w:rPr>
          <w:lang w:val="sq-AL"/>
        </w:rPr>
        <w:t>ë</w:t>
      </w:r>
      <w:r w:rsidRPr="00B1408C">
        <w:rPr>
          <w:lang w:val="sq-AL"/>
        </w:rPr>
        <w:t xml:space="preserve"> paracaktuara. Nga kjo rrjedh</w:t>
      </w:r>
      <w:r w:rsidRPr="00450894">
        <w:rPr>
          <w:lang w:val="sq-AL"/>
        </w:rPr>
        <w:t>ë që, kompania nuk ka mandat të përcaktoj fitimin e saj në baza konkurruese, mirëpo Rregullatori përcakton një nivel të marzhës, si një fitim i arsyeshëm, duke marrë në konsiderat</w:t>
      </w:r>
      <w:r>
        <w:rPr>
          <w:lang w:val="sq-AL"/>
        </w:rPr>
        <w:t>ë</w:t>
      </w:r>
      <w:r w:rsidRPr="00450894">
        <w:rPr>
          <w:lang w:val="sq-AL"/>
        </w:rPr>
        <w:t xml:space="preserve"> rreziqet q</w:t>
      </w:r>
      <w:r>
        <w:rPr>
          <w:lang w:val="sq-AL"/>
        </w:rPr>
        <w:t>ë</w:t>
      </w:r>
      <w:r w:rsidRPr="00450894">
        <w:rPr>
          <w:lang w:val="sq-AL"/>
        </w:rPr>
        <w:t xml:space="preserve"> nd</w:t>
      </w:r>
      <w:r>
        <w:rPr>
          <w:lang w:val="sq-AL"/>
        </w:rPr>
        <w:t>ë</w:t>
      </w:r>
      <w:r w:rsidRPr="00450894">
        <w:rPr>
          <w:lang w:val="sq-AL"/>
        </w:rPr>
        <w:t>rmerr furnizuesi g</w:t>
      </w:r>
      <w:r>
        <w:rPr>
          <w:lang w:val="sq-AL"/>
        </w:rPr>
        <w:t>j</w:t>
      </w:r>
      <w:r w:rsidRPr="00450894">
        <w:rPr>
          <w:lang w:val="sq-AL"/>
        </w:rPr>
        <w:t>at</w:t>
      </w:r>
      <w:r>
        <w:rPr>
          <w:lang w:val="sq-AL"/>
        </w:rPr>
        <w:t>ë</w:t>
      </w:r>
      <w:r w:rsidRPr="00450894">
        <w:rPr>
          <w:lang w:val="sq-AL"/>
        </w:rPr>
        <w:t xml:space="preserve"> ofrimit t</w:t>
      </w:r>
      <w:r>
        <w:rPr>
          <w:lang w:val="sq-AL"/>
        </w:rPr>
        <w:t>ë</w:t>
      </w:r>
      <w:r w:rsidRPr="00450894">
        <w:rPr>
          <w:lang w:val="sq-AL"/>
        </w:rPr>
        <w:t xml:space="preserve"> sh</w:t>
      </w:r>
      <w:r>
        <w:rPr>
          <w:lang w:val="sq-AL"/>
        </w:rPr>
        <w:t>ë</w:t>
      </w:r>
      <w:r w:rsidRPr="00450894">
        <w:rPr>
          <w:lang w:val="sq-AL"/>
        </w:rPr>
        <w:t>rbimit p</w:t>
      </w:r>
      <w:r>
        <w:rPr>
          <w:lang w:val="sq-AL"/>
        </w:rPr>
        <w:t>ë</w:t>
      </w:r>
      <w:r w:rsidRPr="00450894">
        <w:rPr>
          <w:lang w:val="sq-AL"/>
        </w:rPr>
        <w:t>r konsumator</w:t>
      </w:r>
      <w:r>
        <w:rPr>
          <w:lang w:val="sq-AL"/>
        </w:rPr>
        <w:t>ë</w:t>
      </w:r>
      <w:r w:rsidRPr="00450894">
        <w:rPr>
          <w:lang w:val="sq-AL"/>
        </w:rPr>
        <w:t>t e rregulluar. Gjat</w:t>
      </w:r>
      <w:r>
        <w:rPr>
          <w:lang w:val="sq-AL"/>
        </w:rPr>
        <w:t>ë</w:t>
      </w:r>
      <w:r w:rsidRPr="00450894">
        <w:rPr>
          <w:lang w:val="sq-AL"/>
        </w:rPr>
        <w:t xml:space="preserve"> p</w:t>
      </w:r>
      <w:r>
        <w:rPr>
          <w:lang w:val="sq-AL"/>
        </w:rPr>
        <w:t>ë</w:t>
      </w:r>
      <w:r w:rsidRPr="00450894">
        <w:rPr>
          <w:lang w:val="sq-AL"/>
        </w:rPr>
        <w:t>rcaktimit t</w:t>
      </w:r>
      <w:r>
        <w:rPr>
          <w:lang w:val="sq-AL"/>
        </w:rPr>
        <w:t>ë</w:t>
      </w:r>
      <w:r w:rsidRPr="00450894">
        <w:rPr>
          <w:lang w:val="sq-AL"/>
        </w:rPr>
        <w:t xml:space="preserve"> saj, Rregullatori p</w:t>
      </w:r>
      <w:r>
        <w:rPr>
          <w:lang w:val="sq-AL"/>
        </w:rPr>
        <w:t>ë</w:t>
      </w:r>
      <w:r w:rsidRPr="00450894">
        <w:rPr>
          <w:lang w:val="sq-AL"/>
        </w:rPr>
        <w:t>rveç vler</w:t>
      </w:r>
      <w:r>
        <w:rPr>
          <w:lang w:val="sq-AL"/>
        </w:rPr>
        <w:t>ë</w:t>
      </w:r>
      <w:r w:rsidRPr="00450894">
        <w:rPr>
          <w:lang w:val="sq-AL"/>
        </w:rPr>
        <w:t>simit t</w:t>
      </w:r>
      <w:r>
        <w:rPr>
          <w:lang w:val="sq-AL"/>
        </w:rPr>
        <w:t>ë</w:t>
      </w:r>
      <w:r w:rsidRPr="00450894">
        <w:rPr>
          <w:lang w:val="sq-AL"/>
        </w:rPr>
        <w:t xml:space="preserve"> ekspozimit t</w:t>
      </w:r>
      <w:r>
        <w:rPr>
          <w:lang w:val="sq-AL"/>
        </w:rPr>
        <w:t>ë</w:t>
      </w:r>
      <w:r w:rsidRPr="00450894">
        <w:rPr>
          <w:lang w:val="sq-AL"/>
        </w:rPr>
        <w:t xml:space="preserve"> FSHU-s</w:t>
      </w:r>
      <w:r>
        <w:rPr>
          <w:lang w:val="sq-AL"/>
        </w:rPr>
        <w:t>ë</w:t>
      </w:r>
      <w:r w:rsidRPr="00450894">
        <w:rPr>
          <w:lang w:val="sq-AL"/>
        </w:rPr>
        <w:t xml:space="preserve"> ndaj rrezikut q</w:t>
      </w:r>
      <w:r>
        <w:rPr>
          <w:lang w:val="sq-AL"/>
        </w:rPr>
        <w:t>ë</w:t>
      </w:r>
      <w:r w:rsidRPr="00450894">
        <w:rPr>
          <w:lang w:val="sq-AL"/>
        </w:rPr>
        <w:t xml:space="preserve"> nd</w:t>
      </w:r>
      <w:r>
        <w:rPr>
          <w:lang w:val="sq-AL"/>
        </w:rPr>
        <w:t>ë</w:t>
      </w:r>
      <w:r w:rsidRPr="00450894">
        <w:rPr>
          <w:lang w:val="sq-AL"/>
        </w:rPr>
        <w:t>rmerr p</w:t>
      </w:r>
      <w:r>
        <w:rPr>
          <w:lang w:val="sq-AL"/>
        </w:rPr>
        <w:t>ë</w:t>
      </w:r>
      <w:r w:rsidRPr="00450894">
        <w:rPr>
          <w:lang w:val="sq-AL"/>
        </w:rPr>
        <w:t>r ofrimin e sh</w:t>
      </w:r>
      <w:r>
        <w:rPr>
          <w:lang w:val="sq-AL"/>
        </w:rPr>
        <w:t>ë</w:t>
      </w:r>
      <w:r w:rsidRPr="00450894">
        <w:rPr>
          <w:lang w:val="sq-AL"/>
        </w:rPr>
        <w:t>rbimit, merr parasysh edhe krahasueshm</w:t>
      </w:r>
      <w:r>
        <w:rPr>
          <w:lang w:val="sq-AL"/>
        </w:rPr>
        <w:t>ë</w:t>
      </w:r>
      <w:r w:rsidRPr="00450894">
        <w:rPr>
          <w:lang w:val="sq-AL"/>
        </w:rPr>
        <w:t>rin</w:t>
      </w:r>
      <w:r>
        <w:rPr>
          <w:lang w:val="sq-AL"/>
        </w:rPr>
        <w:t>ë</w:t>
      </w:r>
      <w:r w:rsidRPr="00450894">
        <w:rPr>
          <w:lang w:val="sq-AL"/>
        </w:rPr>
        <w:t xml:space="preserve"> me marzh</w:t>
      </w:r>
      <w:r>
        <w:rPr>
          <w:lang w:val="sq-AL"/>
        </w:rPr>
        <w:t>ë</w:t>
      </w:r>
      <w:r w:rsidRPr="00450894">
        <w:rPr>
          <w:lang w:val="sq-AL"/>
        </w:rPr>
        <w:t>n e furnizuesve n</w:t>
      </w:r>
      <w:r>
        <w:rPr>
          <w:lang w:val="sq-AL"/>
        </w:rPr>
        <w:t>ë</w:t>
      </w:r>
      <w:r w:rsidRPr="00450894">
        <w:rPr>
          <w:lang w:val="sq-AL"/>
        </w:rPr>
        <w:t xml:space="preserve"> vendet tjera t</w:t>
      </w:r>
      <w:r>
        <w:rPr>
          <w:lang w:val="sq-AL"/>
        </w:rPr>
        <w:t>ë</w:t>
      </w:r>
      <w:r w:rsidRPr="00450894">
        <w:rPr>
          <w:lang w:val="sq-AL"/>
        </w:rPr>
        <w:t xml:space="preserve"> Evrop</w:t>
      </w:r>
      <w:r>
        <w:rPr>
          <w:lang w:val="sq-AL"/>
        </w:rPr>
        <w:t>ë</w:t>
      </w:r>
      <w:r w:rsidRPr="00450894">
        <w:rPr>
          <w:lang w:val="sq-AL"/>
        </w:rPr>
        <w:t>s, n</w:t>
      </w:r>
      <w:r>
        <w:rPr>
          <w:lang w:val="sq-AL"/>
        </w:rPr>
        <w:t>ë</w:t>
      </w:r>
      <w:r w:rsidRPr="00450894">
        <w:rPr>
          <w:lang w:val="sq-AL"/>
        </w:rPr>
        <w:t xml:space="preserve"> veçanti ndaj vendeve me karakteristika t</w:t>
      </w:r>
      <w:r>
        <w:rPr>
          <w:lang w:val="sq-AL"/>
        </w:rPr>
        <w:t>ë</w:t>
      </w:r>
      <w:r w:rsidRPr="00450894">
        <w:rPr>
          <w:lang w:val="sq-AL"/>
        </w:rPr>
        <w:t xml:space="preserve"> ngjashme me tregun e Kosov</w:t>
      </w:r>
      <w:r>
        <w:rPr>
          <w:lang w:val="sq-AL"/>
        </w:rPr>
        <w:t>ë</w:t>
      </w:r>
      <w:r w:rsidRPr="00450894">
        <w:rPr>
          <w:lang w:val="sq-AL"/>
        </w:rPr>
        <w:t xml:space="preserve">s. </w:t>
      </w:r>
    </w:p>
    <w:p w:rsidR="0075093C" w:rsidRPr="00450894" w:rsidRDefault="0075093C" w:rsidP="0075093C">
      <w:pPr>
        <w:pStyle w:val="Heading3"/>
        <w:rPr>
          <w:lang w:val="sq-AL"/>
        </w:rPr>
      </w:pPr>
      <w:bookmarkStart w:id="4" w:name="_Toc88226447"/>
      <w:r w:rsidRPr="00450894">
        <w:rPr>
          <w:lang w:val="sq-AL"/>
        </w:rPr>
        <w:t>Aplikacioni i KESCO</w:t>
      </w:r>
      <w:bookmarkEnd w:id="4"/>
    </w:p>
    <w:p w:rsidR="0075093C" w:rsidRPr="00450894" w:rsidRDefault="0075093C" w:rsidP="0075093C">
      <w:pPr>
        <w:jc w:val="both"/>
        <w:rPr>
          <w:lang w:val="sq-AL"/>
        </w:rPr>
      </w:pPr>
      <w:r w:rsidRPr="00450894">
        <w:rPr>
          <w:lang w:val="sq-AL"/>
        </w:rPr>
        <w:t>Në aplikacionin e tij, KESCO propozon të ruajë marzhën aktuale të shitjes me pakicë prej 3.0%, si sigurim i një ekuilibri adekuat midis kompensimit për rrezikun dhe për të shmangur dëmtimin e furnizuesve të rinj potencialë konkurrues.</w:t>
      </w:r>
    </w:p>
    <w:p w:rsidR="0075093C" w:rsidRPr="00CC5249" w:rsidRDefault="0075093C" w:rsidP="0075093C">
      <w:pPr>
        <w:jc w:val="both"/>
        <w:rPr>
          <w:lang w:val="sq-AL"/>
        </w:rPr>
      </w:pPr>
      <w:r w:rsidRPr="00450894">
        <w:rPr>
          <w:lang w:val="sq-AL"/>
        </w:rPr>
        <w:t>KESCO thekson se marzha me pakicë për furnizuesit e paracaktuar, kur aplikohen në Bashkimin Evropian dhe Komunitetin e Energjisë, përcaktohen nga rregullatori ose përmes ankandeve. Më tutje thekson se, midis vendeve fqinje, Shqipëria zbaton nj</w:t>
      </w:r>
      <w:r w:rsidRPr="00CC5249">
        <w:rPr>
          <w:lang w:val="sq-AL"/>
        </w:rPr>
        <w:t>ë marzhë të rregulluar të vendosur në 3% si në Kosovë</w:t>
      </w:r>
      <w:r>
        <w:rPr>
          <w:lang w:val="sq-AL"/>
        </w:rPr>
        <w:t>,</w:t>
      </w:r>
      <w:r w:rsidRPr="00CC5249">
        <w:rPr>
          <w:lang w:val="sq-AL"/>
        </w:rPr>
        <w:t xml:space="preserve"> ndërsa në Maqedoni marzha </w:t>
      </w:r>
      <w:r>
        <w:rPr>
          <w:lang w:val="sq-AL"/>
        </w:rPr>
        <w:t xml:space="preserve">është </w:t>
      </w:r>
      <w:r w:rsidRPr="00CC5249">
        <w:rPr>
          <w:lang w:val="sq-AL"/>
        </w:rPr>
        <w:t>përcakt</w:t>
      </w:r>
      <w:r>
        <w:rPr>
          <w:lang w:val="sq-AL"/>
        </w:rPr>
        <w:t>uar</w:t>
      </w:r>
      <w:r w:rsidRPr="00CC5249">
        <w:rPr>
          <w:lang w:val="sq-AL"/>
        </w:rPr>
        <w:t xml:space="preserve"> </w:t>
      </w:r>
      <w:r>
        <w:rPr>
          <w:lang w:val="sq-AL"/>
        </w:rPr>
        <w:t>në</w:t>
      </w:r>
      <w:r w:rsidR="004B2C8B">
        <w:rPr>
          <w:lang w:val="sq-AL"/>
        </w:rPr>
        <w:t xml:space="preserve"> </w:t>
      </w:r>
      <w:r w:rsidRPr="00CC5249">
        <w:rPr>
          <w:lang w:val="sq-AL"/>
        </w:rPr>
        <w:t xml:space="preserve">ankandin më të fundit, në </w:t>
      </w:r>
      <w:r>
        <w:rPr>
          <w:lang w:val="sq-AL"/>
        </w:rPr>
        <w:t xml:space="preserve">vitin </w:t>
      </w:r>
      <w:r w:rsidRPr="00CC5249">
        <w:rPr>
          <w:lang w:val="sq-AL"/>
        </w:rPr>
        <w:t>2019, që rezultoi në një marzhë prej 11.5% (përfshirë të gjithë parametrat e kostos me pakicë</w:t>
      </w:r>
      <w:r>
        <w:rPr>
          <w:lang w:val="sq-AL"/>
        </w:rPr>
        <w:t>, borxhi i keq dhe fitimi</w:t>
      </w:r>
      <w:r w:rsidRPr="00CC5249">
        <w:rPr>
          <w:lang w:val="sq-AL"/>
        </w:rPr>
        <w:t>).</w:t>
      </w:r>
    </w:p>
    <w:p w:rsidR="0075093C" w:rsidRPr="00EF4D5D" w:rsidRDefault="0075093C" w:rsidP="0075093C">
      <w:pPr>
        <w:pStyle w:val="Heading3"/>
        <w:rPr>
          <w:lang w:val="sq-AL"/>
        </w:rPr>
      </w:pPr>
      <w:bookmarkStart w:id="5" w:name="_Toc88226448"/>
      <w:r w:rsidRPr="00EF4D5D">
        <w:rPr>
          <w:lang w:val="sq-AL"/>
        </w:rPr>
        <w:t>Shqyrtimi dhe propozimi i ZRRE-s</w:t>
      </w:r>
      <w:r>
        <w:rPr>
          <w:lang w:val="sq-AL"/>
        </w:rPr>
        <w:t>ë</w:t>
      </w:r>
      <w:r w:rsidRPr="00EF4D5D">
        <w:rPr>
          <w:lang w:val="sq-AL"/>
        </w:rPr>
        <w:t xml:space="preserve"> p</w:t>
      </w:r>
      <w:r>
        <w:rPr>
          <w:lang w:val="sq-AL"/>
        </w:rPr>
        <w:t>ë</w:t>
      </w:r>
      <w:r w:rsidRPr="00EF4D5D">
        <w:rPr>
          <w:lang w:val="sq-AL"/>
        </w:rPr>
        <w:t>r Marzh</w:t>
      </w:r>
      <w:r>
        <w:rPr>
          <w:lang w:val="sq-AL"/>
        </w:rPr>
        <w:t>ë</w:t>
      </w:r>
      <w:r w:rsidRPr="00EF4D5D">
        <w:rPr>
          <w:lang w:val="sq-AL"/>
        </w:rPr>
        <w:t>n me pakic</w:t>
      </w:r>
      <w:r>
        <w:rPr>
          <w:lang w:val="sq-AL"/>
        </w:rPr>
        <w:t>ë</w:t>
      </w:r>
      <w:r w:rsidRPr="00EF4D5D">
        <w:rPr>
          <w:lang w:val="sq-AL"/>
        </w:rPr>
        <w:t xml:space="preserve"> t</w:t>
      </w:r>
      <w:r>
        <w:rPr>
          <w:lang w:val="sq-AL"/>
        </w:rPr>
        <w:t>ë</w:t>
      </w:r>
      <w:r w:rsidRPr="00EF4D5D">
        <w:rPr>
          <w:lang w:val="sq-AL"/>
        </w:rPr>
        <w:t xml:space="preserve"> FSHU-s</w:t>
      </w:r>
      <w:r>
        <w:rPr>
          <w:lang w:val="sq-AL"/>
        </w:rPr>
        <w:t>ë</w:t>
      </w:r>
      <w:bookmarkEnd w:id="5"/>
    </w:p>
    <w:p w:rsidR="0075093C" w:rsidRPr="00EF4D5D" w:rsidRDefault="0075093C" w:rsidP="0075093C">
      <w:pPr>
        <w:jc w:val="both"/>
        <w:rPr>
          <w:lang w:val="sq-AL"/>
        </w:rPr>
      </w:pPr>
      <w:r w:rsidRPr="00EF4D5D">
        <w:rPr>
          <w:lang w:val="sq-AL"/>
        </w:rPr>
        <w:t>Në vlerësimin e nivelit të marzhës me pakicë, ZRRE ka analizuar qasjet e përdoruara nga rregull</w:t>
      </w:r>
      <w:r>
        <w:rPr>
          <w:lang w:val="sq-AL"/>
        </w:rPr>
        <w:t>at</w:t>
      </w:r>
      <w:r w:rsidRPr="00EF4D5D">
        <w:rPr>
          <w:lang w:val="sq-AL"/>
        </w:rPr>
        <w:t xml:space="preserve">orë në </w:t>
      </w:r>
      <w:r w:rsidRPr="00DA3C6E">
        <w:rPr>
          <w:lang w:val="sq-AL"/>
        </w:rPr>
        <w:t>vende të ndryshme në Evropë dhe në regjionin e Ballkanit, faktorët që analizohen gjatë përcaktimit të</w:t>
      </w:r>
      <w:r w:rsidRPr="00EF4D5D">
        <w:rPr>
          <w:lang w:val="sq-AL"/>
        </w:rPr>
        <w:t xml:space="preserve"> saj si dhe kushtet dhe rrethanat e tregut. Duhet theksuar se jan</w:t>
      </w:r>
      <w:r>
        <w:rPr>
          <w:lang w:val="sq-AL"/>
        </w:rPr>
        <w:t>ë</w:t>
      </w:r>
      <w:r w:rsidRPr="00EF4D5D">
        <w:rPr>
          <w:lang w:val="sq-AL"/>
        </w:rPr>
        <w:t xml:space="preserve"> t</w:t>
      </w:r>
      <w:r>
        <w:rPr>
          <w:lang w:val="sq-AL"/>
        </w:rPr>
        <w:t>ë</w:t>
      </w:r>
      <w:r w:rsidRPr="00EF4D5D">
        <w:rPr>
          <w:lang w:val="sq-AL"/>
        </w:rPr>
        <w:t xml:space="preserve"> pakta vendet Evropiane t</w:t>
      </w:r>
      <w:r>
        <w:rPr>
          <w:lang w:val="sq-AL"/>
        </w:rPr>
        <w:t>ë</w:t>
      </w:r>
      <w:r w:rsidRPr="00EF4D5D">
        <w:rPr>
          <w:lang w:val="sq-AL"/>
        </w:rPr>
        <w:t xml:space="preserve"> cilat vazhdojn</w:t>
      </w:r>
      <w:r>
        <w:rPr>
          <w:lang w:val="sq-AL"/>
        </w:rPr>
        <w:t>ë</w:t>
      </w:r>
      <w:r w:rsidRPr="00EF4D5D">
        <w:rPr>
          <w:lang w:val="sq-AL"/>
        </w:rPr>
        <w:t xml:space="preserve"> t</w:t>
      </w:r>
      <w:r>
        <w:rPr>
          <w:lang w:val="sq-AL"/>
        </w:rPr>
        <w:t>ë</w:t>
      </w:r>
      <w:r w:rsidRPr="00EF4D5D">
        <w:rPr>
          <w:lang w:val="sq-AL"/>
        </w:rPr>
        <w:t xml:space="preserve"> rregullojn</w:t>
      </w:r>
      <w:r>
        <w:rPr>
          <w:lang w:val="sq-AL"/>
        </w:rPr>
        <w:t>ë</w:t>
      </w:r>
      <w:r w:rsidRPr="00EF4D5D">
        <w:rPr>
          <w:lang w:val="sq-AL"/>
        </w:rPr>
        <w:t xml:space="preserve"> çmimet p</w:t>
      </w:r>
      <w:r>
        <w:rPr>
          <w:lang w:val="sq-AL"/>
        </w:rPr>
        <w:t>ë</w:t>
      </w:r>
      <w:r w:rsidRPr="00EF4D5D">
        <w:rPr>
          <w:lang w:val="sq-AL"/>
        </w:rPr>
        <w:t>r furnizim me pakic</w:t>
      </w:r>
      <w:r>
        <w:rPr>
          <w:lang w:val="sq-AL"/>
        </w:rPr>
        <w:t>ë</w:t>
      </w:r>
      <w:r w:rsidRPr="00EF4D5D">
        <w:rPr>
          <w:lang w:val="sq-AL"/>
        </w:rPr>
        <w:t>, rrjedhimisht edhe p</w:t>
      </w:r>
      <w:r>
        <w:rPr>
          <w:lang w:val="sq-AL"/>
        </w:rPr>
        <w:t>ë</w:t>
      </w:r>
      <w:r w:rsidRPr="00EF4D5D">
        <w:rPr>
          <w:lang w:val="sq-AL"/>
        </w:rPr>
        <w:t>rcaktimin e marzh</w:t>
      </w:r>
      <w:r>
        <w:rPr>
          <w:lang w:val="sq-AL"/>
        </w:rPr>
        <w:t>ë</w:t>
      </w:r>
      <w:r w:rsidRPr="00EF4D5D">
        <w:rPr>
          <w:lang w:val="sq-AL"/>
        </w:rPr>
        <w:t>s p</w:t>
      </w:r>
      <w:r>
        <w:rPr>
          <w:lang w:val="sq-AL"/>
        </w:rPr>
        <w:t>ë</w:t>
      </w:r>
      <w:r w:rsidRPr="00EF4D5D">
        <w:rPr>
          <w:lang w:val="sq-AL"/>
        </w:rPr>
        <w:t>r furnizuesit. N</w:t>
      </w:r>
      <w:r>
        <w:rPr>
          <w:lang w:val="sq-AL"/>
        </w:rPr>
        <w:t>ë</w:t>
      </w:r>
      <w:r w:rsidRPr="00EF4D5D">
        <w:rPr>
          <w:lang w:val="sq-AL"/>
        </w:rPr>
        <w:t xml:space="preserve"> vijim jan</w:t>
      </w:r>
      <w:r>
        <w:rPr>
          <w:lang w:val="sq-AL"/>
        </w:rPr>
        <w:t>ë</w:t>
      </w:r>
      <w:r w:rsidRPr="00EF4D5D">
        <w:rPr>
          <w:lang w:val="sq-AL"/>
        </w:rPr>
        <w:t xml:space="preserve"> p</w:t>
      </w:r>
      <w:r>
        <w:rPr>
          <w:lang w:val="sq-AL"/>
        </w:rPr>
        <w:t>ë</w:t>
      </w:r>
      <w:r w:rsidRPr="00EF4D5D">
        <w:rPr>
          <w:lang w:val="sq-AL"/>
        </w:rPr>
        <w:t>rshkruar p</w:t>
      </w:r>
      <w:r>
        <w:rPr>
          <w:lang w:val="sq-AL"/>
        </w:rPr>
        <w:t>ë</w:t>
      </w:r>
      <w:r w:rsidRPr="00EF4D5D">
        <w:rPr>
          <w:lang w:val="sq-AL"/>
        </w:rPr>
        <w:t>rvojat e vendeve t</w:t>
      </w:r>
      <w:r>
        <w:rPr>
          <w:lang w:val="sq-AL"/>
        </w:rPr>
        <w:t>ë</w:t>
      </w:r>
      <w:r w:rsidRPr="00EF4D5D">
        <w:rPr>
          <w:lang w:val="sq-AL"/>
        </w:rPr>
        <w:t xml:space="preserve"> ndryshme t</w:t>
      </w:r>
      <w:r>
        <w:rPr>
          <w:lang w:val="sq-AL"/>
        </w:rPr>
        <w:t>ë</w:t>
      </w:r>
      <w:r w:rsidRPr="00EF4D5D">
        <w:rPr>
          <w:lang w:val="sq-AL"/>
        </w:rPr>
        <w:t xml:space="preserve"> cilat aplikojn</w:t>
      </w:r>
      <w:r>
        <w:rPr>
          <w:lang w:val="sq-AL"/>
        </w:rPr>
        <w:t>ë</w:t>
      </w:r>
      <w:r w:rsidRPr="00EF4D5D">
        <w:rPr>
          <w:lang w:val="sq-AL"/>
        </w:rPr>
        <w:t xml:space="preserve"> marzh</w:t>
      </w:r>
      <w:r>
        <w:rPr>
          <w:lang w:val="sq-AL"/>
        </w:rPr>
        <w:t>ë</w:t>
      </w:r>
      <w:r w:rsidRPr="00EF4D5D">
        <w:rPr>
          <w:lang w:val="sq-AL"/>
        </w:rPr>
        <w:t xml:space="preserve"> t</w:t>
      </w:r>
      <w:r>
        <w:rPr>
          <w:lang w:val="sq-AL"/>
        </w:rPr>
        <w:t>ë</w:t>
      </w:r>
      <w:r w:rsidRPr="00EF4D5D">
        <w:rPr>
          <w:lang w:val="sq-AL"/>
        </w:rPr>
        <w:t xml:space="preserve"> paracaktuar nga rregullator</w:t>
      </w:r>
      <w:r>
        <w:rPr>
          <w:lang w:val="sq-AL"/>
        </w:rPr>
        <w:t>ë</w:t>
      </w:r>
      <w:r w:rsidRPr="00EF4D5D">
        <w:rPr>
          <w:lang w:val="sq-AL"/>
        </w:rPr>
        <w:t xml:space="preserve">t nacional: </w:t>
      </w:r>
    </w:p>
    <w:p w:rsidR="0075093C" w:rsidRDefault="0075093C" w:rsidP="0075093C">
      <w:pPr>
        <w:pStyle w:val="ListParagraph"/>
        <w:numPr>
          <w:ilvl w:val="0"/>
          <w:numId w:val="17"/>
        </w:numPr>
        <w:rPr>
          <w:lang w:val="sq-AL"/>
        </w:rPr>
      </w:pPr>
      <w:r w:rsidRPr="00EF4D5D">
        <w:rPr>
          <w:lang w:val="sq-AL"/>
        </w:rPr>
        <w:t>Enti Rregullator i Energjis</w:t>
      </w:r>
      <w:r>
        <w:rPr>
          <w:lang w:val="sq-AL"/>
        </w:rPr>
        <w:t>ë</w:t>
      </w:r>
      <w:r w:rsidRPr="00EF4D5D">
        <w:rPr>
          <w:lang w:val="sq-AL"/>
        </w:rPr>
        <w:t xml:space="preserve"> s</w:t>
      </w:r>
      <w:r>
        <w:rPr>
          <w:lang w:val="sq-AL"/>
        </w:rPr>
        <w:t>ë</w:t>
      </w:r>
      <w:r w:rsidRPr="00EF4D5D">
        <w:rPr>
          <w:lang w:val="sq-AL"/>
        </w:rPr>
        <w:t xml:space="preserve"> Shqip</w:t>
      </w:r>
      <w:r>
        <w:rPr>
          <w:lang w:val="sq-AL"/>
        </w:rPr>
        <w:t>ë</w:t>
      </w:r>
      <w:r w:rsidRPr="00EF4D5D">
        <w:rPr>
          <w:lang w:val="sq-AL"/>
        </w:rPr>
        <w:t>ris</w:t>
      </w:r>
      <w:r>
        <w:rPr>
          <w:lang w:val="sq-AL"/>
        </w:rPr>
        <w:t>ë</w:t>
      </w:r>
      <w:r w:rsidRPr="00EF4D5D">
        <w:rPr>
          <w:lang w:val="sq-AL"/>
        </w:rPr>
        <w:t>, e ka p</w:t>
      </w:r>
      <w:r>
        <w:rPr>
          <w:lang w:val="sq-AL"/>
        </w:rPr>
        <w:t>ë</w:t>
      </w:r>
      <w:r w:rsidRPr="00EF4D5D">
        <w:rPr>
          <w:lang w:val="sq-AL"/>
        </w:rPr>
        <w:t>rcaktuar marzh</w:t>
      </w:r>
      <w:r>
        <w:rPr>
          <w:lang w:val="sq-AL"/>
        </w:rPr>
        <w:t>ë</w:t>
      </w:r>
      <w:r w:rsidRPr="00EF4D5D">
        <w:rPr>
          <w:lang w:val="sq-AL"/>
        </w:rPr>
        <w:t>n me pakic</w:t>
      </w:r>
      <w:r>
        <w:rPr>
          <w:lang w:val="sq-AL"/>
        </w:rPr>
        <w:t>ë</w:t>
      </w:r>
      <w:r w:rsidRPr="00EF4D5D">
        <w:rPr>
          <w:lang w:val="sq-AL"/>
        </w:rPr>
        <w:t xml:space="preserve"> p</w:t>
      </w:r>
      <w:r>
        <w:rPr>
          <w:lang w:val="sq-AL"/>
        </w:rPr>
        <w:t>ë</w:t>
      </w:r>
      <w:r w:rsidRPr="00EF4D5D">
        <w:rPr>
          <w:lang w:val="sq-AL"/>
        </w:rPr>
        <w:t>rmes korniz</w:t>
      </w:r>
      <w:r>
        <w:rPr>
          <w:lang w:val="sq-AL"/>
        </w:rPr>
        <w:t>ë</w:t>
      </w:r>
      <w:r w:rsidRPr="00EF4D5D">
        <w:rPr>
          <w:lang w:val="sq-AL"/>
        </w:rPr>
        <w:t>s rregullatore, n</w:t>
      </w:r>
      <w:r>
        <w:rPr>
          <w:lang w:val="sq-AL"/>
        </w:rPr>
        <w:t>ë</w:t>
      </w:r>
      <w:r w:rsidRPr="00EF4D5D">
        <w:rPr>
          <w:lang w:val="sq-AL"/>
        </w:rPr>
        <w:t xml:space="preserve"> nivelin jo m</w:t>
      </w:r>
      <w:r>
        <w:rPr>
          <w:lang w:val="sq-AL"/>
        </w:rPr>
        <w:t>ë</w:t>
      </w:r>
      <w:r w:rsidRPr="00EF4D5D">
        <w:rPr>
          <w:lang w:val="sq-AL"/>
        </w:rPr>
        <w:t xml:space="preserve"> t</w:t>
      </w:r>
      <w:r>
        <w:rPr>
          <w:lang w:val="sq-AL"/>
        </w:rPr>
        <w:t>ë</w:t>
      </w:r>
      <w:r w:rsidRPr="00EF4D5D">
        <w:rPr>
          <w:lang w:val="sq-AL"/>
        </w:rPr>
        <w:t xml:space="preserve"> lart</w:t>
      </w:r>
      <w:r>
        <w:rPr>
          <w:lang w:val="sq-AL"/>
        </w:rPr>
        <w:t>ë</w:t>
      </w:r>
      <w:r w:rsidRPr="00EF4D5D">
        <w:rPr>
          <w:lang w:val="sq-AL"/>
        </w:rPr>
        <w:t xml:space="preserve"> se 3%</w:t>
      </w:r>
      <w:r w:rsidR="00756146">
        <w:rPr>
          <w:lang w:val="sq-AL"/>
        </w:rPr>
        <w:t>.</w:t>
      </w:r>
      <w:r w:rsidRPr="00CC5249">
        <w:rPr>
          <w:rStyle w:val="FootnoteReference"/>
          <w:lang w:val="sq-AL"/>
        </w:rPr>
        <w:footnoteReference w:id="1"/>
      </w:r>
      <w:r w:rsidRPr="00CC5249">
        <w:rPr>
          <w:lang w:val="sq-AL"/>
        </w:rPr>
        <w:t xml:space="preserve"> Kjo i mund</w:t>
      </w:r>
      <w:r>
        <w:rPr>
          <w:lang w:val="sq-AL"/>
        </w:rPr>
        <w:t>ë</w:t>
      </w:r>
      <w:r w:rsidRPr="00CC5249">
        <w:rPr>
          <w:lang w:val="sq-AL"/>
        </w:rPr>
        <w:t>son Rregullatorit q</w:t>
      </w:r>
      <w:r>
        <w:rPr>
          <w:lang w:val="sq-AL"/>
        </w:rPr>
        <w:t>ë</w:t>
      </w:r>
      <w:r w:rsidRPr="00CC5249">
        <w:rPr>
          <w:lang w:val="sq-AL"/>
        </w:rPr>
        <w:t xml:space="preserve"> t</w:t>
      </w:r>
      <w:r>
        <w:rPr>
          <w:lang w:val="sq-AL"/>
        </w:rPr>
        <w:t>ë</w:t>
      </w:r>
      <w:r w:rsidRPr="00CC5249">
        <w:rPr>
          <w:lang w:val="sq-AL"/>
        </w:rPr>
        <w:t xml:space="preserve"> vendos</w:t>
      </w:r>
      <w:r>
        <w:rPr>
          <w:lang w:val="sq-AL"/>
        </w:rPr>
        <w:t>ë</w:t>
      </w:r>
      <w:r w:rsidRPr="00CC5249">
        <w:rPr>
          <w:lang w:val="sq-AL"/>
        </w:rPr>
        <w:t xml:space="preserve"> marzh</w:t>
      </w:r>
      <w:r>
        <w:rPr>
          <w:lang w:val="sq-AL"/>
        </w:rPr>
        <w:t>ë</w:t>
      </w:r>
      <w:r w:rsidRPr="00CC5249">
        <w:rPr>
          <w:lang w:val="sq-AL"/>
        </w:rPr>
        <w:t xml:space="preserve"> n</w:t>
      </w:r>
      <w:r>
        <w:rPr>
          <w:lang w:val="sq-AL"/>
        </w:rPr>
        <w:t>ë</w:t>
      </w:r>
      <w:r w:rsidRPr="00CC5249">
        <w:rPr>
          <w:lang w:val="sq-AL"/>
        </w:rPr>
        <w:t xml:space="preserve"> nivele m</w:t>
      </w:r>
      <w:r>
        <w:rPr>
          <w:lang w:val="sq-AL"/>
        </w:rPr>
        <w:t>ë</w:t>
      </w:r>
      <w:r w:rsidRPr="00CC5249">
        <w:rPr>
          <w:lang w:val="sq-AL"/>
        </w:rPr>
        <w:t xml:space="preserve"> t</w:t>
      </w:r>
      <w:r>
        <w:rPr>
          <w:lang w:val="sq-AL"/>
        </w:rPr>
        <w:t>ë</w:t>
      </w:r>
      <w:r w:rsidRPr="00CC5249">
        <w:rPr>
          <w:lang w:val="sq-AL"/>
        </w:rPr>
        <w:t xml:space="preserve"> ul</w:t>
      </w:r>
      <w:r>
        <w:rPr>
          <w:lang w:val="sq-AL"/>
        </w:rPr>
        <w:t>ë</w:t>
      </w:r>
      <w:r w:rsidRPr="00CC5249">
        <w:rPr>
          <w:lang w:val="sq-AL"/>
        </w:rPr>
        <w:t>ta, por jo m</w:t>
      </w:r>
      <w:r>
        <w:rPr>
          <w:lang w:val="sq-AL"/>
        </w:rPr>
        <w:t>ë</w:t>
      </w:r>
      <w:r w:rsidRPr="00CC5249">
        <w:rPr>
          <w:lang w:val="sq-AL"/>
        </w:rPr>
        <w:t xml:space="preserve"> t</w:t>
      </w:r>
      <w:r>
        <w:rPr>
          <w:lang w:val="sq-AL"/>
        </w:rPr>
        <w:t>ë</w:t>
      </w:r>
      <w:r w:rsidRPr="00CC5249">
        <w:rPr>
          <w:lang w:val="sq-AL"/>
        </w:rPr>
        <w:t xml:space="preserve"> lart</w:t>
      </w:r>
      <w:r>
        <w:rPr>
          <w:lang w:val="sq-AL"/>
        </w:rPr>
        <w:t>ë</w:t>
      </w:r>
      <w:r w:rsidRPr="00CC5249">
        <w:rPr>
          <w:lang w:val="sq-AL"/>
        </w:rPr>
        <w:t xml:space="preserve"> se 3%.</w:t>
      </w:r>
    </w:p>
    <w:p w:rsidR="0075093C" w:rsidRPr="00DA3C6E" w:rsidRDefault="0075093C" w:rsidP="0075093C">
      <w:pPr>
        <w:pStyle w:val="ListParagraph"/>
        <w:numPr>
          <w:ilvl w:val="0"/>
          <w:numId w:val="17"/>
        </w:numPr>
        <w:rPr>
          <w:lang w:val="sq-AL"/>
        </w:rPr>
      </w:pPr>
      <w:r w:rsidRPr="00DA3C6E">
        <w:rPr>
          <w:shd w:val="clear" w:color="auto" w:fill="FFFFFF" w:themeFill="background1"/>
          <w:lang w:val="sq-AL"/>
        </w:rPr>
        <w:t>Maqedonia e Veriut – Marzha me pakicë për furnizuesin e rregulluar të shërbimit universal</w:t>
      </w:r>
      <w:r w:rsidRPr="00DA3C6E">
        <w:rPr>
          <w:lang w:val="sq-AL"/>
        </w:rPr>
        <w:t xml:space="preserve"> dhe atë të furnizuesit të mundësisë së fundit, përcaktohet përmes një procesi konkurrues. Marzha e cila ka rezultuar në ankandin e vitit 2019, është në nivelin prej 11.5%. Ky nivel i marzhës përfshin të gjitha shpenzimet e furnizuesit universal, siç janë kostot operative, borxhet e papaguara dhe </w:t>
      </w:r>
      <w:r w:rsidRPr="00DA3C6E">
        <w:rPr>
          <w:lang w:val="sq-AL"/>
        </w:rPr>
        <w:lastRenderedPageBreak/>
        <w:t>fitimi. Pra</w:t>
      </w:r>
      <w:r>
        <w:rPr>
          <w:lang w:val="sq-AL"/>
        </w:rPr>
        <w:t>,</w:t>
      </w:r>
      <w:r w:rsidRPr="00DA3C6E">
        <w:rPr>
          <w:lang w:val="sq-AL"/>
        </w:rPr>
        <w:t xml:space="preserve"> Maqedonia e Veriut ka përdorur </w:t>
      </w:r>
      <w:r>
        <w:rPr>
          <w:lang w:val="sq-AL"/>
        </w:rPr>
        <w:t>model tjetër të përcaktimit të marzhës</w:t>
      </w:r>
      <w:r w:rsidRPr="00DA3C6E">
        <w:rPr>
          <w:lang w:val="sq-AL"/>
        </w:rPr>
        <w:t>, ka ndjekur procesin konkurrues për ‘’kosto me pakicë, borxhin e keq dhe fitimin’’ që dallon si model nga shtetet tjera.</w:t>
      </w:r>
    </w:p>
    <w:p w:rsidR="0075093C" w:rsidRPr="00B26335" w:rsidRDefault="0075093C" w:rsidP="0075093C">
      <w:pPr>
        <w:pStyle w:val="ListParagraph"/>
        <w:numPr>
          <w:ilvl w:val="0"/>
          <w:numId w:val="17"/>
        </w:numPr>
        <w:rPr>
          <w:lang w:val="sq-AL"/>
        </w:rPr>
      </w:pPr>
      <w:r w:rsidRPr="00B26335">
        <w:rPr>
          <w:lang w:val="sq-AL"/>
        </w:rPr>
        <w:t>Në Irlandë, Komisioni për Shërbime Rregullative (CRE) ka vlerësuar marzhën mesatare të shitjes me pakicë të fituara nga furnizuesit si 2</w:t>
      </w:r>
      <w:r w:rsidRPr="00B1408C">
        <w:rPr>
          <w:lang w:val="sq-AL"/>
        </w:rPr>
        <w:t xml:space="preserve">% respektivisht 1.3%, e cila është konsideruar si </w:t>
      </w:r>
      <w:r w:rsidRPr="00450894">
        <w:rPr>
          <w:lang w:val="sq-AL"/>
        </w:rPr>
        <w:t>marzhë e përshtat</w:t>
      </w:r>
      <w:r>
        <w:rPr>
          <w:lang w:val="sq-AL"/>
        </w:rPr>
        <w:t>sh</w:t>
      </w:r>
      <w:r w:rsidRPr="00450894">
        <w:rPr>
          <w:lang w:val="sq-AL"/>
        </w:rPr>
        <w:t>me për furnizim nën kushtet të rregullimit.</w:t>
      </w:r>
      <w:r w:rsidRPr="00CC5249">
        <w:rPr>
          <w:rStyle w:val="FootnoteReference"/>
          <w:lang w:val="sq-AL"/>
        </w:rPr>
        <w:footnoteReference w:id="2"/>
      </w:r>
      <w:r w:rsidRPr="00CC5249">
        <w:rPr>
          <w:lang w:val="sq-AL"/>
        </w:rPr>
        <w:t xml:space="preserve"> Në kohën e këtyre marzhave, CRU kon</w:t>
      </w:r>
      <w:r w:rsidRPr="00B26335">
        <w:rPr>
          <w:lang w:val="sq-AL"/>
        </w:rPr>
        <w:t xml:space="preserve">sideroi se kjo ishte një marzhë </w:t>
      </w:r>
      <w:r w:rsidRPr="00032EE0">
        <w:rPr>
          <w:lang w:val="sq-AL"/>
        </w:rPr>
        <w:t xml:space="preserve">e përshtatshme, duke pasur parasysh se nuk kishte asnjë rrezik volumi </w:t>
      </w:r>
      <w:r w:rsidRPr="00B1408C">
        <w:rPr>
          <w:lang w:val="sq-AL"/>
        </w:rPr>
        <w:t>p</w:t>
      </w:r>
      <w:r>
        <w:rPr>
          <w:lang w:val="sq-AL"/>
        </w:rPr>
        <w:t>ë</w:t>
      </w:r>
      <w:r w:rsidRPr="00EF4D5D">
        <w:rPr>
          <w:lang w:val="sq-AL"/>
        </w:rPr>
        <w:t>r sh</w:t>
      </w:r>
      <w:r>
        <w:rPr>
          <w:lang w:val="sq-AL"/>
        </w:rPr>
        <w:t>ë</w:t>
      </w:r>
      <w:r w:rsidRPr="00EF4D5D">
        <w:rPr>
          <w:lang w:val="sq-AL"/>
        </w:rPr>
        <w:t>rbimet e rregulluara, për më tepër nëse kompania nuk do të rimerrte kostot e sa</w:t>
      </w:r>
      <w:r w:rsidRPr="00B26335">
        <w:rPr>
          <w:lang w:val="sq-AL"/>
        </w:rPr>
        <w:t>j të plota brenda një viti atëherë ajo do të rikuperohej në periudhat e ardhshme.</w:t>
      </w:r>
    </w:p>
    <w:p w:rsidR="0075093C" w:rsidRPr="00CC5249" w:rsidRDefault="0075093C" w:rsidP="0075093C">
      <w:pPr>
        <w:pStyle w:val="ListParagraph"/>
        <w:numPr>
          <w:ilvl w:val="0"/>
          <w:numId w:val="17"/>
        </w:numPr>
        <w:rPr>
          <w:lang w:val="sq-AL"/>
        </w:rPr>
      </w:pPr>
      <w:r w:rsidRPr="00B1408C">
        <w:rPr>
          <w:lang w:val="sq-AL"/>
        </w:rPr>
        <w:t>Autoriteti Rregullator i Turqisë në kuadër të shqyrtimit të parametrave të Furnizuesit të rregulluar për periudhën e katërt rregullative 2021-2025, në vitin 2020 përmes ERRA-se,</w:t>
      </w:r>
      <w:r w:rsidRPr="00450894">
        <w:rPr>
          <w:lang w:val="sq-AL"/>
        </w:rPr>
        <w:t xml:space="preserve"> kishte kërkuar nga vendet anëtare dhe vëzhguese që të ofrojnë informata lidhur me praktikat e tyre në përcaktimin e marzh</w:t>
      </w:r>
      <w:r>
        <w:rPr>
          <w:lang w:val="sq-AL"/>
        </w:rPr>
        <w:t>ë</w:t>
      </w:r>
      <w:r w:rsidRPr="00EF4D5D">
        <w:rPr>
          <w:lang w:val="sq-AL"/>
        </w:rPr>
        <w:t>s për furnizuesit e rregulluar. Pas përfundimit të procesit të shqyrtimit, EMRA kishte vendosur që mar</w:t>
      </w:r>
      <w:r w:rsidRPr="00B26335">
        <w:rPr>
          <w:lang w:val="sq-AL"/>
        </w:rPr>
        <w:t>zha e furnizimit të jetë 2.38% për periudhën 2021-2025.</w:t>
      </w:r>
      <w:r w:rsidRPr="00CC5249">
        <w:rPr>
          <w:rStyle w:val="FootnoteReference"/>
          <w:lang w:val="sq-AL"/>
        </w:rPr>
        <w:footnoteReference w:id="3"/>
      </w:r>
      <w:r w:rsidRPr="00CC5249">
        <w:rPr>
          <w:lang w:val="sq-AL"/>
        </w:rPr>
        <w:t xml:space="preserve"> </w:t>
      </w:r>
    </w:p>
    <w:p w:rsidR="0075093C" w:rsidRPr="00CC5249" w:rsidRDefault="0075093C" w:rsidP="0075093C">
      <w:pPr>
        <w:pStyle w:val="ListParagraph"/>
        <w:numPr>
          <w:ilvl w:val="0"/>
          <w:numId w:val="17"/>
        </w:numPr>
        <w:rPr>
          <w:lang w:val="sq-AL"/>
        </w:rPr>
      </w:pPr>
      <w:r w:rsidRPr="00B26335">
        <w:rPr>
          <w:lang w:val="sq-AL"/>
        </w:rPr>
        <w:t xml:space="preserve">Nga informatat e ofruara dhe hulumtimi </w:t>
      </w:r>
      <w:r w:rsidRPr="00032EE0">
        <w:rPr>
          <w:lang w:val="sq-AL"/>
        </w:rPr>
        <w:t>i metodologjive, shihet se Komisioni Kombëtar Rregullator për Energji dhe Ujë i Gjeorgjisë (</w:t>
      </w:r>
      <w:r w:rsidRPr="00B1408C">
        <w:rPr>
          <w:lang w:val="sq-AL"/>
        </w:rPr>
        <w:t>GNERC), në Meto</w:t>
      </w:r>
      <w:r>
        <w:rPr>
          <w:lang w:val="sq-AL"/>
        </w:rPr>
        <w:t>do</w:t>
      </w:r>
      <w:r w:rsidRPr="00B1408C">
        <w:rPr>
          <w:lang w:val="sq-AL"/>
        </w:rPr>
        <w:t xml:space="preserve">logjinë për Llogaritjen e Tarifave për Shërbime Universale ka përcaktuar normën prej 1.5% si normë </w:t>
      </w:r>
      <w:r w:rsidRPr="00450894">
        <w:rPr>
          <w:lang w:val="sq-AL"/>
        </w:rPr>
        <w:t>e arsyeshme e profitit që aplikohet në çmimin e vendosur (settlement price) në diferencën ndërmjet Furnizuesit me Shërbim Universal dhe Operatorit me Shërbim Publik me Shumicë.</w:t>
      </w:r>
      <w:r w:rsidRPr="00CC5249">
        <w:rPr>
          <w:rStyle w:val="FootnoteReference"/>
          <w:lang w:val="sq-AL"/>
        </w:rPr>
        <w:footnoteReference w:id="4"/>
      </w:r>
    </w:p>
    <w:p w:rsidR="0075093C" w:rsidRPr="00CC5249" w:rsidRDefault="0075093C" w:rsidP="0075093C">
      <w:pPr>
        <w:pStyle w:val="ListParagraph"/>
        <w:numPr>
          <w:ilvl w:val="0"/>
          <w:numId w:val="17"/>
        </w:numPr>
        <w:rPr>
          <w:lang w:val="sq-AL"/>
        </w:rPr>
      </w:pPr>
      <w:r w:rsidRPr="00B26335">
        <w:rPr>
          <w:lang w:val="sq-AL"/>
        </w:rPr>
        <w:t>Agjencia Kombëtare për Rregullimin e Energjisë së Moldavisë (ANRE), në metodologjinë për kalku</w:t>
      </w:r>
      <w:r w:rsidRPr="00B1408C">
        <w:rPr>
          <w:lang w:val="sq-AL"/>
        </w:rPr>
        <w:t>limin e çmimeve të rregulluara për Furnizuesin me Shërbim Universal dhe Furnizuesin e M</w:t>
      </w:r>
      <w:r w:rsidRPr="00450894">
        <w:rPr>
          <w:lang w:val="sq-AL"/>
        </w:rPr>
        <w:t>undësisë së Fundit ka vendosur si marzhë “normë të kthimit” normën në vlerë prej 1%, e cila normë që aplikohet ndaj kostove totale (Energjia+OST+OSSh+Furnizimi).</w:t>
      </w:r>
      <w:r w:rsidRPr="00CC5249">
        <w:rPr>
          <w:rStyle w:val="FootnoteReference"/>
          <w:lang w:val="sq-AL"/>
        </w:rPr>
        <w:footnoteReference w:id="5"/>
      </w:r>
    </w:p>
    <w:p w:rsidR="0075093C" w:rsidRPr="00032EE0" w:rsidRDefault="0075093C" w:rsidP="0075093C">
      <w:pPr>
        <w:rPr>
          <w:lang w:val="sq-AL"/>
        </w:rPr>
      </w:pPr>
      <w:r w:rsidRPr="00B26335">
        <w:rPr>
          <w:lang w:val="sq-AL"/>
        </w:rPr>
        <w:t xml:space="preserve">Duke marr në konsideratë: </w:t>
      </w:r>
    </w:p>
    <w:p w:rsidR="0075093C" w:rsidRPr="00450894" w:rsidRDefault="0075093C" w:rsidP="0075093C">
      <w:pPr>
        <w:pStyle w:val="ListParagraph"/>
        <w:numPr>
          <w:ilvl w:val="0"/>
          <w:numId w:val="16"/>
        </w:numPr>
        <w:rPr>
          <w:lang w:val="sq-AL"/>
        </w:rPr>
      </w:pPr>
      <w:r w:rsidRPr="007F49D2">
        <w:rPr>
          <w:lang w:val="sq-AL"/>
        </w:rPr>
        <w:t>KESCO-FSHU nuk është i ekspozuar ndaj rrezikut të volumeve të energjisë, për më tepër energjia nga KEK ofrohet me prioritet</w:t>
      </w:r>
      <w:r w:rsidRPr="00B1408C">
        <w:rPr>
          <w:lang w:val="sq-AL"/>
        </w:rPr>
        <w:t xml:space="preserve"> për FSHU;</w:t>
      </w:r>
    </w:p>
    <w:p w:rsidR="0075093C" w:rsidRPr="00450894" w:rsidRDefault="0075093C" w:rsidP="0075093C">
      <w:pPr>
        <w:pStyle w:val="ListParagraph"/>
        <w:numPr>
          <w:ilvl w:val="0"/>
          <w:numId w:val="16"/>
        </w:numPr>
        <w:rPr>
          <w:lang w:val="sq-AL"/>
        </w:rPr>
      </w:pPr>
      <w:r w:rsidRPr="00450894">
        <w:rPr>
          <w:lang w:val="sq-AL"/>
        </w:rPr>
        <w:lastRenderedPageBreak/>
        <w:t>Blerjet qe bëhen nga tregtaret barten ne kostot e FSHU-së;</w:t>
      </w:r>
    </w:p>
    <w:p w:rsidR="0075093C" w:rsidRPr="00450894" w:rsidRDefault="0075093C" w:rsidP="0075093C">
      <w:pPr>
        <w:pStyle w:val="ListParagraph"/>
        <w:numPr>
          <w:ilvl w:val="0"/>
          <w:numId w:val="16"/>
        </w:numPr>
        <w:rPr>
          <w:lang w:val="sq-AL"/>
        </w:rPr>
      </w:pPr>
      <w:r w:rsidRPr="00450894">
        <w:rPr>
          <w:lang w:val="sq-AL"/>
        </w:rPr>
        <w:t>Kostot e plota të FSHU-së njihen dhe përshtaten gjatë shqyrtimeve tarifore;</w:t>
      </w:r>
    </w:p>
    <w:p w:rsidR="0075093C" w:rsidRPr="00450894" w:rsidRDefault="0075093C" w:rsidP="0075093C">
      <w:pPr>
        <w:pStyle w:val="ListParagraph"/>
        <w:numPr>
          <w:ilvl w:val="0"/>
          <w:numId w:val="16"/>
        </w:numPr>
        <w:rPr>
          <w:lang w:val="sq-AL"/>
        </w:rPr>
      </w:pPr>
      <w:r w:rsidRPr="00450894">
        <w:rPr>
          <w:lang w:val="sq-AL"/>
        </w:rPr>
        <w:t>Analizimin e të dhënave historike, përvojave rregullatore, kushteve dhe rretha</w:t>
      </w:r>
      <w:r>
        <w:rPr>
          <w:lang w:val="sq-AL"/>
        </w:rPr>
        <w:t>na</w:t>
      </w:r>
      <w:r w:rsidRPr="00450894">
        <w:rPr>
          <w:lang w:val="sq-AL"/>
        </w:rPr>
        <w:t>ve të operimit të Furnizuesit me Shërbim Universal</w:t>
      </w:r>
    </w:p>
    <w:p w:rsidR="0075093C" w:rsidRDefault="0075093C" w:rsidP="0075093C">
      <w:pPr>
        <w:rPr>
          <w:lang w:val="sq-AL"/>
        </w:rPr>
      </w:pPr>
      <w:r w:rsidRPr="00450894">
        <w:rPr>
          <w:lang w:val="sq-AL"/>
        </w:rPr>
        <w:t>ZRRE vlerëson të arsyeshme vendosjen e marzhës me pakicë në vlerën prej 2.54% për periudhën 2022-2024. Metodologjia për kalkulimin e saj është dhënë në vijim:</w:t>
      </w:r>
    </w:p>
    <w:p w:rsidR="0075093C" w:rsidRPr="00450894" w:rsidRDefault="0075093C" w:rsidP="0075093C">
      <w:pPr>
        <w:pStyle w:val="Caption"/>
        <w:rPr>
          <w:lang w:val="sq-AL"/>
        </w:rPr>
      </w:pPr>
      <w:r>
        <w:t xml:space="preserve">Tabela  </w:t>
      </w:r>
      <w:r>
        <w:fldChar w:fldCharType="begin"/>
      </w:r>
      <w:r>
        <w:instrText xml:space="preserve"> SEQ Tabela_ \* ARABIC </w:instrText>
      </w:r>
      <w:r>
        <w:fldChar w:fldCharType="separate"/>
      </w:r>
      <w:r w:rsidR="00701D2D">
        <w:rPr>
          <w:noProof/>
        </w:rPr>
        <w:t>1</w:t>
      </w:r>
      <w:r>
        <w:fldChar w:fldCharType="end"/>
      </w:r>
      <w:r>
        <w:t xml:space="preserve"> </w:t>
      </w:r>
      <w:r w:rsidRPr="00EB07F2">
        <w:rPr>
          <w:lang w:val="sq-AL"/>
        </w:rPr>
        <w:t>Kos</w:t>
      </w:r>
      <w:r w:rsidR="00EB07F2">
        <w:rPr>
          <w:lang w:val="sq-AL"/>
        </w:rPr>
        <w:t>t</w:t>
      </w:r>
      <w:r w:rsidRPr="00EB07F2">
        <w:rPr>
          <w:lang w:val="sq-AL"/>
        </w:rPr>
        <w:t>ot e marzhës me pakicë</w:t>
      </w:r>
    </w:p>
    <w:tbl>
      <w:tblPr>
        <w:tblW w:w="0" w:type="auto"/>
        <w:tblLook w:val="04A0" w:firstRow="1" w:lastRow="0" w:firstColumn="1" w:lastColumn="0" w:noHBand="0" w:noVBand="1"/>
      </w:tblPr>
      <w:tblGrid>
        <w:gridCol w:w="663"/>
        <w:gridCol w:w="763"/>
        <w:gridCol w:w="1761"/>
        <w:gridCol w:w="2478"/>
        <w:gridCol w:w="2391"/>
      </w:tblGrid>
      <w:tr w:rsidR="0075093C" w:rsidRPr="00450894" w:rsidTr="0075093C">
        <w:trPr>
          <w:trHeight w:val="300"/>
        </w:trPr>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450894" w:rsidRDefault="0075093C" w:rsidP="0075093C">
            <w:pPr>
              <w:keepNext/>
              <w:spacing w:before="60" w:after="60" w:line="240" w:lineRule="auto"/>
              <w:rPr>
                <w:color w:val="FFFFFF" w:themeColor="background1"/>
                <w:lang w:val="sq-AL"/>
              </w:rPr>
            </w:pPr>
            <w:r w:rsidRPr="00450894">
              <w:rPr>
                <w:color w:val="FFFFFF" w:themeColor="background1"/>
                <w:lang w:val="sq-AL"/>
              </w:rPr>
              <w:t>Viti</w:t>
            </w:r>
          </w:p>
        </w:tc>
        <w:tc>
          <w:tcPr>
            <w:tcW w:w="0" w:type="auto"/>
            <w:tcBorders>
              <w:top w:val="single" w:sz="4" w:space="0" w:color="auto"/>
              <w:left w:val="nil"/>
              <w:bottom w:val="single" w:sz="8" w:space="0" w:color="auto"/>
              <w:right w:val="nil"/>
            </w:tcBorders>
            <w:shd w:val="clear" w:color="auto" w:fill="1F4E79" w:themeFill="accent1" w:themeFillShade="80"/>
          </w:tcPr>
          <w:p w:rsidR="0075093C" w:rsidRPr="00450894" w:rsidRDefault="0075093C" w:rsidP="0075093C">
            <w:pPr>
              <w:keepNext/>
              <w:spacing w:before="60" w:after="60" w:line="240" w:lineRule="auto"/>
              <w:rPr>
                <w:color w:val="FFFFFF" w:themeColor="background1"/>
                <w:lang w:val="sq-AL"/>
              </w:rPr>
            </w:pPr>
            <w:r w:rsidRPr="00450894">
              <w:rPr>
                <w:color w:val="FFFFFF" w:themeColor="background1"/>
                <w:lang w:val="sq-AL"/>
              </w:rPr>
              <w:t>Njësia</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450894" w:rsidRDefault="00EB07F2" w:rsidP="0075093C">
            <w:pPr>
              <w:keepNext/>
              <w:spacing w:before="60" w:after="60" w:line="240" w:lineRule="auto"/>
              <w:rPr>
                <w:color w:val="FFFFFF" w:themeColor="background1"/>
                <w:lang w:val="sq-AL"/>
              </w:rPr>
            </w:pPr>
            <w:r>
              <w:rPr>
                <w:color w:val="FFFFFF" w:themeColor="background1"/>
                <w:lang w:val="sq-AL"/>
              </w:rPr>
              <w:t>Kostot e marzhës</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450894" w:rsidRDefault="0075093C" w:rsidP="0075093C">
            <w:pPr>
              <w:keepNext/>
              <w:spacing w:before="60" w:after="60" w:line="240" w:lineRule="auto"/>
              <w:rPr>
                <w:color w:val="FFFFFF" w:themeColor="background1"/>
                <w:lang w:val="sq-AL"/>
              </w:rPr>
            </w:pPr>
            <w:r w:rsidRPr="00450894">
              <w:rPr>
                <w:color w:val="FFFFFF" w:themeColor="background1"/>
                <w:lang w:val="sq-AL"/>
              </w:rPr>
              <w:t>Kostot Bruto me shumicë</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450894" w:rsidRDefault="0075093C" w:rsidP="0075093C">
            <w:pPr>
              <w:keepNext/>
              <w:spacing w:before="60" w:after="60" w:line="240" w:lineRule="auto"/>
              <w:rPr>
                <w:color w:val="FFFFFF" w:themeColor="background1"/>
                <w:lang w:val="sq-AL"/>
              </w:rPr>
            </w:pPr>
            <w:r w:rsidRPr="00450894">
              <w:rPr>
                <w:color w:val="FFFFFF" w:themeColor="background1"/>
                <w:lang w:val="sq-AL"/>
              </w:rPr>
              <w:t>Kostot neto me shumicë</w:t>
            </w:r>
          </w:p>
        </w:tc>
      </w:tr>
      <w:tr w:rsidR="0075093C" w:rsidRPr="00450894" w:rsidTr="0075093C">
        <w:trPr>
          <w:trHeight w:val="288"/>
        </w:trPr>
        <w:tc>
          <w:tcPr>
            <w:tcW w:w="0" w:type="auto"/>
            <w:tcBorders>
              <w:top w:val="nil"/>
              <w:left w:val="nil"/>
              <w:bottom w:val="nil"/>
              <w:right w:val="nil"/>
            </w:tcBorders>
            <w:shd w:val="clear" w:color="auto" w:fill="auto"/>
            <w:noWrap/>
            <w:vAlign w:val="center"/>
            <w:hideMark/>
          </w:tcPr>
          <w:p w:rsidR="0075093C" w:rsidRPr="00CC5249" w:rsidRDefault="0075093C" w:rsidP="0075093C">
            <w:pPr>
              <w:spacing w:after="0" w:line="240" w:lineRule="auto"/>
              <w:jc w:val="center"/>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2017</w:t>
            </w:r>
          </w:p>
        </w:tc>
        <w:tc>
          <w:tcPr>
            <w:tcW w:w="0" w:type="auto"/>
            <w:tcBorders>
              <w:top w:val="nil"/>
              <w:left w:val="nil"/>
              <w:bottom w:val="nil"/>
              <w:right w:val="nil"/>
            </w:tcBorders>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3,724</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127,844</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124,133</w:t>
            </w:r>
          </w:p>
        </w:tc>
      </w:tr>
      <w:tr w:rsidR="0075093C" w:rsidRPr="00450894" w:rsidTr="0075093C">
        <w:trPr>
          <w:trHeight w:val="288"/>
        </w:trPr>
        <w:tc>
          <w:tcPr>
            <w:tcW w:w="0" w:type="auto"/>
            <w:tcBorders>
              <w:top w:val="nil"/>
              <w:left w:val="nil"/>
              <w:bottom w:val="nil"/>
              <w:right w:val="nil"/>
            </w:tcBorders>
            <w:shd w:val="clear" w:color="auto" w:fill="auto"/>
            <w:noWrap/>
            <w:vAlign w:val="center"/>
            <w:hideMark/>
          </w:tcPr>
          <w:p w:rsidR="0075093C" w:rsidRPr="00CC5249" w:rsidRDefault="0075093C" w:rsidP="0075093C">
            <w:pPr>
              <w:spacing w:after="0" w:line="240" w:lineRule="auto"/>
              <w:jc w:val="center"/>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2018</w:t>
            </w:r>
          </w:p>
        </w:tc>
        <w:tc>
          <w:tcPr>
            <w:tcW w:w="0" w:type="auto"/>
            <w:tcBorders>
              <w:top w:val="nil"/>
              <w:left w:val="nil"/>
              <w:bottom w:val="nil"/>
              <w:right w:val="nil"/>
            </w:tcBorders>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3,471</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119,160</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115,700</w:t>
            </w:r>
          </w:p>
        </w:tc>
      </w:tr>
      <w:tr w:rsidR="0075093C" w:rsidRPr="00450894" w:rsidTr="0075093C">
        <w:trPr>
          <w:trHeight w:val="288"/>
        </w:trPr>
        <w:tc>
          <w:tcPr>
            <w:tcW w:w="0" w:type="auto"/>
            <w:tcBorders>
              <w:top w:val="nil"/>
              <w:left w:val="nil"/>
              <w:bottom w:val="nil"/>
              <w:right w:val="nil"/>
            </w:tcBorders>
            <w:shd w:val="clear" w:color="auto" w:fill="auto"/>
            <w:noWrap/>
            <w:vAlign w:val="center"/>
            <w:hideMark/>
          </w:tcPr>
          <w:p w:rsidR="0075093C" w:rsidRPr="00CC5249" w:rsidRDefault="0075093C" w:rsidP="0075093C">
            <w:pPr>
              <w:spacing w:after="0" w:line="240" w:lineRule="auto"/>
              <w:jc w:val="center"/>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2019</w:t>
            </w:r>
          </w:p>
        </w:tc>
        <w:tc>
          <w:tcPr>
            <w:tcW w:w="0" w:type="auto"/>
            <w:tcBorders>
              <w:top w:val="nil"/>
              <w:left w:val="nil"/>
              <w:bottom w:val="nil"/>
              <w:right w:val="nil"/>
            </w:tcBorders>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3,521</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120,899</w:t>
            </w:r>
          </w:p>
        </w:tc>
        <w:tc>
          <w:tcPr>
            <w:tcW w:w="0" w:type="auto"/>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117,367</w:t>
            </w:r>
          </w:p>
        </w:tc>
      </w:tr>
      <w:tr w:rsidR="0075093C" w:rsidRPr="00450894" w:rsidTr="0075093C">
        <w:trPr>
          <w:trHeight w:val="288"/>
        </w:trPr>
        <w:tc>
          <w:tcPr>
            <w:tcW w:w="0" w:type="auto"/>
            <w:tcBorders>
              <w:top w:val="nil"/>
              <w:left w:val="nil"/>
              <w:right w:val="nil"/>
            </w:tcBorders>
            <w:shd w:val="clear" w:color="auto" w:fill="auto"/>
            <w:noWrap/>
            <w:vAlign w:val="center"/>
            <w:hideMark/>
          </w:tcPr>
          <w:p w:rsidR="0075093C" w:rsidRPr="00CC5249" w:rsidRDefault="0075093C" w:rsidP="0075093C">
            <w:pPr>
              <w:spacing w:after="0" w:line="240" w:lineRule="auto"/>
              <w:jc w:val="center"/>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2020</w:t>
            </w:r>
          </w:p>
        </w:tc>
        <w:tc>
          <w:tcPr>
            <w:tcW w:w="0" w:type="auto"/>
            <w:tcBorders>
              <w:top w:val="nil"/>
              <w:left w:val="nil"/>
              <w:right w:val="nil"/>
            </w:tcBorders>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3,795</w:t>
            </w:r>
          </w:p>
        </w:tc>
        <w:tc>
          <w:tcPr>
            <w:tcW w:w="0" w:type="auto"/>
            <w:tcBorders>
              <w:top w:val="nil"/>
              <w:left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130,298</w:t>
            </w:r>
          </w:p>
        </w:tc>
        <w:tc>
          <w:tcPr>
            <w:tcW w:w="0" w:type="auto"/>
            <w:tcBorders>
              <w:top w:val="nil"/>
              <w:left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126,500</w:t>
            </w:r>
          </w:p>
        </w:tc>
      </w:tr>
      <w:tr w:rsidR="0075093C" w:rsidRPr="00450894" w:rsidTr="0075093C">
        <w:trPr>
          <w:trHeight w:val="288"/>
        </w:trPr>
        <w:tc>
          <w:tcPr>
            <w:tcW w:w="0" w:type="auto"/>
            <w:tcBorders>
              <w:top w:val="nil"/>
              <w:left w:val="nil"/>
              <w:bottom w:val="single" w:sz="4" w:space="0" w:color="auto"/>
              <w:right w:val="nil"/>
            </w:tcBorders>
            <w:shd w:val="clear" w:color="auto" w:fill="auto"/>
            <w:noWrap/>
            <w:vAlign w:val="center"/>
            <w:hideMark/>
          </w:tcPr>
          <w:p w:rsidR="0075093C" w:rsidRPr="00CC5249" w:rsidRDefault="0075093C" w:rsidP="0075093C">
            <w:pPr>
              <w:spacing w:after="0" w:line="240" w:lineRule="auto"/>
              <w:jc w:val="center"/>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2021</w:t>
            </w:r>
          </w:p>
        </w:tc>
        <w:tc>
          <w:tcPr>
            <w:tcW w:w="0" w:type="auto"/>
            <w:tcBorders>
              <w:top w:val="nil"/>
              <w:left w:val="nil"/>
              <w:bottom w:val="single" w:sz="4" w:space="0" w:color="auto"/>
              <w:right w:val="nil"/>
            </w:tcBorders>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bottom w:val="single" w:sz="4" w:space="0" w:color="auto"/>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4,730</w:t>
            </w:r>
          </w:p>
        </w:tc>
        <w:tc>
          <w:tcPr>
            <w:tcW w:w="0" w:type="auto"/>
            <w:tcBorders>
              <w:top w:val="nil"/>
              <w:left w:val="nil"/>
              <w:bottom w:val="single" w:sz="4" w:space="0" w:color="auto"/>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162,396</w:t>
            </w:r>
          </w:p>
        </w:tc>
        <w:tc>
          <w:tcPr>
            <w:tcW w:w="0" w:type="auto"/>
            <w:tcBorders>
              <w:top w:val="nil"/>
              <w:left w:val="nil"/>
              <w:bottom w:val="single" w:sz="4" w:space="0" w:color="auto"/>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157,667</w:t>
            </w:r>
          </w:p>
        </w:tc>
      </w:tr>
    </w:tbl>
    <w:p w:rsidR="00D80ABE" w:rsidRDefault="00D80ABE" w:rsidP="0075093C">
      <w:pPr>
        <w:pStyle w:val="Caption"/>
        <w:rPr>
          <w:lang w:val="sq-AL"/>
        </w:rPr>
      </w:pPr>
    </w:p>
    <w:p w:rsidR="0075093C" w:rsidRPr="00756146" w:rsidRDefault="0075093C" w:rsidP="0075093C">
      <w:pPr>
        <w:pStyle w:val="Caption"/>
        <w:rPr>
          <w:lang w:val="sq-AL"/>
        </w:rPr>
      </w:pPr>
      <w:r w:rsidRPr="00756146">
        <w:rPr>
          <w:lang w:val="sq-AL"/>
        </w:rPr>
        <w:t xml:space="preserve">Tabela  </w:t>
      </w:r>
      <w:r w:rsidRPr="00756146">
        <w:rPr>
          <w:lang w:val="sq-AL"/>
        </w:rPr>
        <w:fldChar w:fldCharType="begin"/>
      </w:r>
      <w:r w:rsidRPr="00756146">
        <w:rPr>
          <w:lang w:val="sq-AL"/>
        </w:rPr>
        <w:instrText xml:space="preserve"> SEQ Tabela_ \* ARABIC </w:instrText>
      </w:r>
      <w:r w:rsidRPr="00756146">
        <w:rPr>
          <w:lang w:val="sq-AL"/>
        </w:rPr>
        <w:fldChar w:fldCharType="separate"/>
      </w:r>
      <w:r w:rsidR="00701D2D">
        <w:rPr>
          <w:noProof/>
          <w:lang w:val="sq-AL"/>
        </w:rPr>
        <w:t>2</w:t>
      </w:r>
      <w:r w:rsidRPr="00756146">
        <w:rPr>
          <w:lang w:val="sq-AL"/>
        </w:rPr>
        <w:fldChar w:fldCharType="end"/>
      </w:r>
      <w:r w:rsidRPr="00756146">
        <w:rPr>
          <w:lang w:val="sq-AL"/>
        </w:rPr>
        <w:t xml:space="preserve"> Marzha me pakicë</w:t>
      </w:r>
    </w:p>
    <w:tbl>
      <w:tblPr>
        <w:tblW w:w="0" w:type="auto"/>
        <w:tblLook w:val="04A0" w:firstRow="1" w:lastRow="0" w:firstColumn="1" w:lastColumn="0" w:noHBand="0" w:noVBand="1"/>
      </w:tblPr>
      <w:tblGrid>
        <w:gridCol w:w="4177"/>
        <w:gridCol w:w="763"/>
        <w:gridCol w:w="940"/>
      </w:tblGrid>
      <w:tr w:rsidR="0075093C" w:rsidRPr="00450894" w:rsidTr="0075093C">
        <w:trPr>
          <w:trHeight w:val="300"/>
        </w:trPr>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B26335" w:rsidRDefault="0075093C" w:rsidP="0075093C">
            <w:pPr>
              <w:spacing w:after="0" w:line="240" w:lineRule="auto"/>
              <w:rPr>
                <w:rFonts w:ascii="Calibri" w:eastAsia="Times New Roman" w:hAnsi="Calibri" w:cs="Times New Roman"/>
                <w:color w:val="FFFFFF" w:themeColor="background1"/>
                <w:lang w:val="sq-AL" w:eastAsia="en-GB"/>
              </w:rPr>
            </w:pPr>
            <w:r w:rsidRPr="00B26335">
              <w:rPr>
                <w:rFonts w:ascii="Calibri" w:eastAsia="Times New Roman" w:hAnsi="Calibri" w:cs="Times New Roman"/>
                <w:color w:val="FFFFFF" w:themeColor="background1"/>
                <w:lang w:val="sq-AL" w:eastAsia="en-GB"/>
              </w:rPr>
              <w:t>Kalkulimi</w:t>
            </w:r>
          </w:p>
        </w:tc>
        <w:tc>
          <w:tcPr>
            <w:tcW w:w="0" w:type="auto"/>
            <w:tcBorders>
              <w:top w:val="single" w:sz="4" w:space="0" w:color="auto"/>
              <w:left w:val="nil"/>
              <w:bottom w:val="single" w:sz="8" w:space="0" w:color="auto"/>
              <w:right w:val="nil"/>
            </w:tcBorders>
            <w:shd w:val="clear" w:color="auto" w:fill="1F4E79" w:themeFill="accent1" w:themeFillShade="80"/>
            <w:vAlign w:val="center"/>
          </w:tcPr>
          <w:p w:rsidR="0075093C" w:rsidRPr="00B1408C" w:rsidRDefault="00EB07F2" w:rsidP="0075093C">
            <w:pPr>
              <w:spacing w:after="0" w:line="240" w:lineRule="auto"/>
              <w:rPr>
                <w:rFonts w:ascii="Calibri" w:eastAsia="Times New Roman" w:hAnsi="Calibri" w:cs="Times New Roman"/>
                <w:color w:val="FFFFFF" w:themeColor="background1"/>
                <w:lang w:val="sq-AL" w:eastAsia="en-GB"/>
              </w:rPr>
            </w:pPr>
            <w:r w:rsidRPr="00B1408C">
              <w:rPr>
                <w:rFonts w:ascii="Calibri" w:eastAsia="Times New Roman" w:hAnsi="Calibri" w:cs="Times New Roman"/>
                <w:color w:val="FFFFFF" w:themeColor="background1"/>
                <w:lang w:val="sq-AL" w:eastAsia="en-GB"/>
              </w:rPr>
              <w:t>Njësia</w:t>
            </w:r>
          </w:p>
        </w:tc>
        <w:tc>
          <w:tcPr>
            <w:tcW w:w="0" w:type="auto"/>
            <w:tcBorders>
              <w:top w:val="single" w:sz="4" w:space="0" w:color="auto"/>
              <w:left w:val="nil"/>
              <w:bottom w:val="single" w:sz="8" w:space="0" w:color="auto"/>
              <w:right w:val="nil"/>
            </w:tcBorders>
            <w:shd w:val="clear" w:color="auto" w:fill="1F4E79" w:themeFill="accent1" w:themeFillShade="80"/>
            <w:noWrap/>
            <w:vAlign w:val="center"/>
            <w:hideMark/>
          </w:tcPr>
          <w:p w:rsidR="0075093C" w:rsidRPr="00450894" w:rsidRDefault="0075093C" w:rsidP="0075093C">
            <w:pPr>
              <w:spacing w:after="0" w:line="240" w:lineRule="auto"/>
              <w:rPr>
                <w:rFonts w:ascii="Calibri" w:eastAsia="Times New Roman" w:hAnsi="Calibri" w:cs="Times New Roman"/>
                <w:color w:val="FFFFFF" w:themeColor="background1"/>
                <w:lang w:val="sq-AL" w:eastAsia="en-GB"/>
              </w:rPr>
            </w:pPr>
            <w:r w:rsidRPr="00450894">
              <w:rPr>
                <w:rFonts w:ascii="Calibri" w:eastAsia="Times New Roman" w:hAnsi="Calibri" w:cs="Times New Roman"/>
                <w:color w:val="FFFFFF" w:themeColor="background1"/>
                <w:lang w:val="sq-AL" w:eastAsia="en-GB"/>
              </w:rPr>
              <w:t>Sasia</w:t>
            </w:r>
          </w:p>
        </w:tc>
      </w:tr>
      <w:tr w:rsidR="0075093C" w:rsidRPr="00450894" w:rsidTr="0075093C">
        <w:trPr>
          <w:trHeight w:val="288"/>
        </w:trPr>
        <w:tc>
          <w:tcPr>
            <w:tcW w:w="0" w:type="auto"/>
            <w:tcBorders>
              <w:top w:val="nil"/>
              <w:left w:val="nil"/>
              <w:right w:val="nil"/>
            </w:tcBorders>
            <w:shd w:val="clear" w:color="auto" w:fill="auto"/>
            <w:noWrap/>
            <w:vAlign w:val="center"/>
            <w:hideMark/>
          </w:tcPr>
          <w:p w:rsidR="0075093C" w:rsidRPr="00CC5249" w:rsidRDefault="00EB07F2" w:rsidP="0075093C">
            <w:pPr>
              <w:spacing w:after="0" w:line="240" w:lineRule="auto"/>
              <w:ind w:firstLineChars="100" w:firstLine="220"/>
              <w:rPr>
                <w:rFonts w:ascii="Calibri" w:eastAsia="Times New Roman" w:hAnsi="Calibri" w:cs="Times New Roman"/>
                <w:color w:val="000000"/>
                <w:lang w:val="sq-AL" w:eastAsia="en-GB"/>
              </w:rPr>
            </w:pPr>
            <w:r>
              <w:rPr>
                <w:rFonts w:ascii="Calibri" w:eastAsia="Times New Roman" w:hAnsi="Calibri" w:cs="Times New Roman"/>
                <w:color w:val="000000"/>
                <w:lang w:val="sq-AL" w:eastAsia="en-GB"/>
              </w:rPr>
              <w:t>a) Kostot mesatare të marzhës</w:t>
            </w:r>
            <w:r w:rsidR="0075093C" w:rsidRPr="00CC5249">
              <w:rPr>
                <w:rFonts w:ascii="Calibri" w:eastAsia="Times New Roman" w:hAnsi="Calibri" w:cs="Times New Roman"/>
                <w:color w:val="000000"/>
                <w:lang w:val="sq-AL" w:eastAsia="en-GB"/>
              </w:rPr>
              <w:t xml:space="preserve"> 2017-2021</w:t>
            </w:r>
          </w:p>
        </w:tc>
        <w:tc>
          <w:tcPr>
            <w:tcW w:w="0" w:type="auto"/>
            <w:tcBorders>
              <w:top w:val="nil"/>
              <w:left w:val="nil"/>
              <w:right w:val="nil"/>
            </w:tcBorders>
            <w:vAlign w:val="center"/>
          </w:tcPr>
          <w:p w:rsidR="0075093C" w:rsidRPr="00B26335" w:rsidRDefault="0075093C" w:rsidP="0075093C">
            <w:pPr>
              <w:spacing w:after="0" w:line="240" w:lineRule="auto"/>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right w:val="nil"/>
            </w:tcBorders>
            <w:shd w:val="clear" w:color="auto" w:fill="auto"/>
            <w:noWrap/>
            <w:vAlign w:val="center"/>
            <w:hideMark/>
          </w:tcPr>
          <w:p w:rsidR="0075093C" w:rsidRPr="00B1408C" w:rsidRDefault="0075093C" w:rsidP="0075093C">
            <w:pPr>
              <w:spacing w:after="0" w:line="240" w:lineRule="auto"/>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3,848</w:t>
            </w:r>
          </w:p>
        </w:tc>
      </w:tr>
      <w:tr w:rsidR="0075093C" w:rsidRPr="00450894" w:rsidTr="0075093C">
        <w:trPr>
          <w:trHeight w:val="288"/>
        </w:trPr>
        <w:tc>
          <w:tcPr>
            <w:tcW w:w="0" w:type="auto"/>
            <w:tcBorders>
              <w:top w:val="nil"/>
              <w:left w:val="nil"/>
              <w:right w:val="nil"/>
            </w:tcBorders>
            <w:shd w:val="clear" w:color="auto" w:fill="auto"/>
            <w:noWrap/>
            <w:vAlign w:val="center"/>
          </w:tcPr>
          <w:p w:rsidR="0075093C" w:rsidRPr="00CC5249" w:rsidRDefault="00EB07F2" w:rsidP="0075093C">
            <w:pPr>
              <w:spacing w:after="0" w:line="240" w:lineRule="auto"/>
              <w:ind w:firstLineChars="100" w:firstLine="220"/>
              <w:rPr>
                <w:rFonts w:ascii="Calibri" w:eastAsia="Times New Roman" w:hAnsi="Calibri" w:cs="Times New Roman"/>
                <w:color w:val="000000"/>
                <w:lang w:val="sq-AL" w:eastAsia="en-GB"/>
              </w:rPr>
            </w:pPr>
            <w:r>
              <w:rPr>
                <w:rFonts w:ascii="Calibri" w:eastAsia="Times New Roman" w:hAnsi="Calibri" w:cs="Times New Roman"/>
                <w:color w:val="000000"/>
                <w:lang w:val="sq-AL" w:eastAsia="en-GB"/>
              </w:rPr>
              <w:t>b) Trendi i marzhës</w:t>
            </w:r>
            <w:r w:rsidR="0075093C" w:rsidRPr="00CC5249">
              <w:rPr>
                <w:rFonts w:ascii="Calibri" w:eastAsia="Times New Roman" w:hAnsi="Calibri" w:cs="Times New Roman"/>
                <w:color w:val="000000"/>
                <w:lang w:val="sq-AL" w:eastAsia="en-GB"/>
              </w:rPr>
              <w:t xml:space="preserve"> ne vitin 2022</w:t>
            </w:r>
          </w:p>
        </w:tc>
        <w:tc>
          <w:tcPr>
            <w:tcW w:w="0" w:type="auto"/>
            <w:tcBorders>
              <w:top w:val="nil"/>
              <w:left w:val="nil"/>
              <w:right w:val="nil"/>
            </w:tcBorders>
            <w:vAlign w:val="center"/>
          </w:tcPr>
          <w:p w:rsidR="0075093C" w:rsidRPr="00B26335" w:rsidRDefault="0075093C" w:rsidP="0075093C">
            <w:pPr>
              <w:spacing w:after="0" w:line="240" w:lineRule="auto"/>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€000</w:t>
            </w:r>
          </w:p>
        </w:tc>
        <w:tc>
          <w:tcPr>
            <w:tcW w:w="0" w:type="auto"/>
            <w:tcBorders>
              <w:top w:val="nil"/>
              <w:left w:val="nil"/>
              <w:right w:val="nil"/>
            </w:tcBorders>
            <w:shd w:val="clear" w:color="auto" w:fill="auto"/>
            <w:noWrap/>
            <w:vAlign w:val="center"/>
          </w:tcPr>
          <w:p w:rsidR="0075093C" w:rsidRPr="00B1408C" w:rsidRDefault="0075093C" w:rsidP="0075093C">
            <w:pPr>
              <w:spacing w:after="0" w:line="240" w:lineRule="auto"/>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151,663</w:t>
            </w:r>
          </w:p>
        </w:tc>
      </w:tr>
      <w:tr w:rsidR="0075093C" w:rsidRPr="00450894" w:rsidTr="0075093C">
        <w:trPr>
          <w:trHeight w:val="288"/>
        </w:trPr>
        <w:tc>
          <w:tcPr>
            <w:tcW w:w="0" w:type="auto"/>
            <w:tcBorders>
              <w:top w:val="nil"/>
              <w:left w:val="nil"/>
              <w:bottom w:val="single" w:sz="4" w:space="0" w:color="auto"/>
              <w:right w:val="nil"/>
            </w:tcBorders>
            <w:shd w:val="clear" w:color="auto" w:fill="1F4E79" w:themeFill="accent1" w:themeFillShade="80"/>
            <w:noWrap/>
            <w:vAlign w:val="center"/>
            <w:hideMark/>
          </w:tcPr>
          <w:p w:rsidR="0075093C" w:rsidRPr="00CC5249" w:rsidRDefault="0075093C" w:rsidP="0075093C">
            <w:pPr>
              <w:spacing w:after="0" w:line="240" w:lineRule="auto"/>
              <w:ind w:firstLineChars="100" w:firstLine="220"/>
              <w:rPr>
                <w:rFonts w:ascii="Calibri" w:eastAsia="Times New Roman" w:hAnsi="Calibri" w:cs="Times New Roman"/>
                <w:color w:val="FFFFFF" w:themeColor="background1"/>
                <w:lang w:val="sq-AL" w:eastAsia="en-GB"/>
              </w:rPr>
            </w:pPr>
            <w:r w:rsidRPr="00CC5249">
              <w:rPr>
                <w:rFonts w:ascii="Calibri" w:eastAsia="Times New Roman" w:hAnsi="Calibri" w:cs="Times New Roman"/>
                <w:color w:val="FFFFFF" w:themeColor="background1"/>
                <w:lang w:val="sq-AL" w:eastAsia="en-GB"/>
              </w:rPr>
              <w:t>c= a/b Margjina</w:t>
            </w:r>
          </w:p>
        </w:tc>
        <w:tc>
          <w:tcPr>
            <w:tcW w:w="0" w:type="auto"/>
            <w:tcBorders>
              <w:top w:val="nil"/>
              <w:left w:val="nil"/>
              <w:bottom w:val="single" w:sz="4" w:space="0" w:color="auto"/>
              <w:right w:val="nil"/>
            </w:tcBorders>
            <w:shd w:val="clear" w:color="auto" w:fill="1F4E79" w:themeFill="accent1" w:themeFillShade="80"/>
            <w:vAlign w:val="center"/>
          </w:tcPr>
          <w:p w:rsidR="0075093C" w:rsidRPr="00B26335" w:rsidRDefault="0075093C" w:rsidP="0075093C">
            <w:pPr>
              <w:spacing w:after="0" w:line="240" w:lineRule="auto"/>
              <w:rPr>
                <w:rFonts w:ascii="Calibri" w:eastAsia="Times New Roman" w:hAnsi="Calibri" w:cs="Times New Roman"/>
                <w:color w:val="FFFFFF" w:themeColor="background1"/>
                <w:lang w:val="sq-AL" w:eastAsia="en-GB"/>
              </w:rPr>
            </w:pPr>
            <w:r w:rsidRPr="00B26335">
              <w:rPr>
                <w:rFonts w:ascii="Calibri" w:eastAsia="Times New Roman" w:hAnsi="Calibri" w:cs="Times New Roman"/>
                <w:color w:val="FFFFFF" w:themeColor="background1"/>
                <w:lang w:val="sq-AL" w:eastAsia="en-GB"/>
              </w:rPr>
              <w:t>%</w:t>
            </w:r>
          </w:p>
        </w:tc>
        <w:tc>
          <w:tcPr>
            <w:tcW w:w="0" w:type="auto"/>
            <w:tcBorders>
              <w:top w:val="nil"/>
              <w:left w:val="nil"/>
              <w:bottom w:val="single" w:sz="4" w:space="0" w:color="auto"/>
              <w:right w:val="nil"/>
            </w:tcBorders>
            <w:shd w:val="clear" w:color="auto" w:fill="1F4E79" w:themeFill="accent1" w:themeFillShade="80"/>
            <w:noWrap/>
            <w:vAlign w:val="center"/>
            <w:hideMark/>
          </w:tcPr>
          <w:p w:rsidR="0075093C" w:rsidRPr="00B1408C" w:rsidRDefault="0075093C" w:rsidP="0075093C">
            <w:pPr>
              <w:spacing w:after="0" w:line="240" w:lineRule="auto"/>
              <w:rPr>
                <w:rFonts w:ascii="Calibri" w:eastAsia="Times New Roman" w:hAnsi="Calibri" w:cs="Times New Roman"/>
                <w:color w:val="FFFFFF" w:themeColor="background1"/>
                <w:lang w:val="sq-AL" w:eastAsia="en-GB"/>
              </w:rPr>
            </w:pPr>
            <w:r w:rsidRPr="00B1408C">
              <w:rPr>
                <w:rFonts w:ascii="Calibri" w:eastAsia="Times New Roman" w:hAnsi="Calibri" w:cs="Times New Roman"/>
                <w:color w:val="FFFFFF" w:themeColor="background1"/>
                <w:lang w:val="sq-AL" w:eastAsia="en-GB"/>
              </w:rPr>
              <w:t>2.54%</w:t>
            </w:r>
          </w:p>
        </w:tc>
      </w:tr>
    </w:tbl>
    <w:p w:rsidR="0075093C" w:rsidRPr="00CC5249" w:rsidRDefault="0075093C" w:rsidP="0075093C">
      <w:pPr>
        <w:rPr>
          <w:lang w:val="sq-AL"/>
        </w:rPr>
      </w:pPr>
    </w:p>
    <w:p w:rsidR="0075093C" w:rsidRPr="00032EE0" w:rsidRDefault="0075093C" w:rsidP="00EB07F2">
      <w:pPr>
        <w:jc w:val="both"/>
        <w:rPr>
          <w:lang w:val="sq-AL"/>
        </w:rPr>
      </w:pPr>
      <w:r w:rsidRPr="00B26335">
        <w:rPr>
          <w:lang w:val="sq-AL"/>
        </w:rPr>
        <w:t>ZRRE propozon që marzha me pakicë në vlerën prej</w:t>
      </w:r>
      <w:r w:rsidRPr="00032EE0">
        <w:rPr>
          <w:lang w:val="sq-AL"/>
        </w:rPr>
        <w:t xml:space="preserve"> 2.54% të aplikohet për periudhën 2022-2024.</w:t>
      </w:r>
    </w:p>
    <w:p w:rsidR="0075093C" w:rsidRPr="00450894" w:rsidRDefault="0075093C" w:rsidP="0075093C">
      <w:pPr>
        <w:pStyle w:val="Heading2"/>
        <w:ind w:left="720"/>
        <w:rPr>
          <w:lang w:val="sq-AL"/>
        </w:rPr>
      </w:pPr>
      <w:bookmarkStart w:id="6" w:name="_Toc88226449"/>
      <w:r w:rsidRPr="00B1408C">
        <w:rPr>
          <w:lang w:val="sq-AL"/>
        </w:rPr>
        <w:t xml:space="preserve">Borxhi i </w:t>
      </w:r>
      <w:r w:rsidRPr="00450894">
        <w:rPr>
          <w:lang w:val="sq-AL"/>
        </w:rPr>
        <w:t>keq</w:t>
      </w:r>
      <w:bookmarkEnd w:id="6"/>
    </w:p>
    <w:p w:rsidR="0075093C" w:rsidRPr="00450894" w:rsidRDefault="0075093C" w:rsidP="00EB07F2">
      <w:pPr>
        <w:jc w:val="both"/>
        <w:rPr>
          <w:lang w:val="sq-AL"/>
        </w:rPr>
      </w:pPr>
      <w:r w:rsidRPr="00450894">
        <w:rPr>
          <w:lang w:val="sq-AL"/>
        </w:rPr>
        <w:t xml:space="preserve">Në Rregullën për të Hyrat e FSHU-së, theksohet se kostot e lejuara të borxhit të keq do të vendosen nga Rregullatori gjatë përcaktimit të vlerave hyrëse dhe do të llogaritet duke aplikuar nivelin e lejuar të borxhit të keq në llogaritjen fillestare të MAR-it. Diferenca ndërmjet MAR-it përfundimtar (që përfshin llogaritjen e borxhit të keq) dhe MAR-it fillestar përfaqëson kostot e borxhit të keq të lejuar për vitin përkatës. </w:t>
      </w:r>
    </w:p>
    <w:p w:rsidR="0075093C" w:rsidRPr="00450894" w:rsidRDefault="0075093C" w:rsidP="0075093C">
      <w:pPr>
        <w:pStyle w:val="Heading3"/>
        <w:rPr>
          <w:lang w:val="sq-AL"/>
        </w:rPr>
      </w:pPr>
      <w:bookmarkStart w:id="7" w:name="_Toc88226450"/>
      <w:r w:rsidRPr="00450894">
        <w:rPr>
          <w:lang w:val="sq-AL"/>
        </w:rPr>
        <w:t>Aplikacioni i KESCO-së</w:t>
      </w:r>
      <w:bookmarkEnd w:id="7"/>
    </w:p>
    <w:p w:rsidR="0075093C" w:rsidRPr="00450894" w:rsidRDefault="0075093C" w:rsidP="00EB07F2">
      <w:pPr>
        <w:jc w:val="both"/>
        <w:rPr>
          <w:lang w:val="sq-AL"/>
        </w:rPr>
      </w:pPr>
      <w:r w:rsidRPr="00450894">
        <w:rPr>
          <w:lang w:val="sq-AL"/>
        </w:rPr>
        <w:t>Lejimi i borxhit të keq përfaqëson përqindjen e të ardhurave të faturuara të cilat KESCO, si FSHU, nuk është në gjendje të mbledhë për shkak të mospagimit, falimentimit të konsumatorit etj. Lejimi aktual është i përcaktuar në 4% të të hyrave të lejuara, një nivel i cili nuk ka ndryshuar që prej vitit 2015.</w:t>
      </w:r>
    </w:p>
    <w:p w:rsidR="0075093C" w:rsidRPr="00EF4D5D" w:rsidRDefault="0075093C" w:rsidP="0075093C">
      <w:pPr>
        <w:rPr>
          <w:lang w:val="sq-AL"/>
        </w:rPr>
      </w:pPr>
      <w:r w:rsidRPr="00450894">
        <w:rPr>
          <w:lang w:val="sq-AL"/>
        </w:rPr>
        <w:t>KESCO pretendon për një rritje në këtë kompensim për periudhën 2022-2024 për k</w:t>
      </w:r>
      <w:r>
        <w:rPr>
          <w:lang w:val="sq-AL"/>
        </w:rPr>
        <w:t>ë</w:t>
      </w:r>
      <w:r w:rsidRPr="00EF4D5D">
        <w:rPr>
          <w:lang w:val="sq-AL"/>
        </w:rPr>
        <w:t>to arsye:</w:t>
      </w:r>
    </w:p>
    <w:p w:rsidR="0075093C" w:rsidRPr="00EF4D5D" w:rsidRDefault="0075093C" w:rsidP="0075093C">
      <w:pPr>
        <w:pStyle w:val="ListParagraph"/>
        <w:numPr>
          <w:ilvl w:val="0"/>
          <w:numId w:val="5"/>
        </w:numPr>
        <w:rPr>
          <w:lang w:val="sq-AL"/>
        </w:rPr>
      </w:pPr>
      <w:r w:rsidRPr="00B26335">
        <w:rPr>
          <w:lang w:val="sq-AL"/>
        </w:rPr>
        <w:lastRenderedPageBreak/>
        <w:t xml:space="preserve">Sipas KESCO - shkalla historike e inkasimit e përdorur nga ZRRE nënvlerëson borxhet aktuale të këqija të </w:t>
      </w:r>
      <w:r w:rsidRPr="00B1408C">
        <w:rPr>
          <w:lang w:val="sq-AL"/>
        </w:rPr>
        <w:t xml:space="preserve">KESCO-së. </w:t>
      </w:r>
      <w:r w:rsidRPr="00450894">
        <w:rPr>
          <w:lang w:val="sq-AL"/>
        </w:rPr>
        <w:t>Sipas KESCO-s</w:t>
      </w:r>
      <w:r>
        <w:rPr>
          <w:lang w:val="sq-AL"/>
        </w:rPr>
        <w:t>ë</w:t>
      </w:r>
      <w:r w:rsidRPr="00EF4D5D">
        <w:rPr>
          <w:lang w:val="sq-AL"/>
        </w:rPr>
        <w:t>, gabimi që bëhet gjatë llogaritjes së nivelit të borxheve të këqija aktuale është konsiderimi i të gjitha të hyrave të furnizuesit. Është e rëndësishme të theksohet që KESCO si furnizues i licencuar pranon edhe pagesa</w:t>
      </w:r>
      <w:r w:rsidRPr="00B26335">
        <w:rPr>
          <w:lang w:val="sq-AL"/>
        </w:rPr>
        <w:t xml:space="preserve"> të cilat nuk janë të ndërlidhura me energjinë e faturuar, ndërsa niveli i lejuar për borxhet e këqija lejohet mbi bazën e MAR-it fillestar dhe si e tillë duhet të llogaritet vetëm në shumat e faturuara të energjisë elektrike për vitin përkatës. Sipas </w:t>
      </w:r>
      <w:r w:rsidR="00EB07F2" w:rsidRPr="00B26335">
        <w:rPr>
          <w:lang w:val="sq-AL"/>
        </w:rPr>
        <w:t>kalkulimeve</w:t>
      </w:r>
      <w:r w:rsidRPr="00B26335">
        <w:rPr>
          <w:lang w:val="sq-AL"/>
        </w:rPr>
        <w:t xml:space="preserve"> t</w:t>
      </w:r>
      <w:r>
        <w:rPr>
          <w:lang w:val="sq-AL"/>
        </w:rPr>
        <w:t>ë</w:t>
      </w:r>
      <w:r w:rsidRPr="00EF4D5D">
        <w:rPr>
          <w:lang w:val="sq-AL"/>
        </w:rPr>
        <w:t xml:space="preserve"> KESCO, borxhi </w:t>
      </w:r>
      <w:r>
        <w:rPr>
          <w:lang w:val="sq-AL"/>
        </w:rPr>
        <w:t>i</w:t>
      </w:r>
      <w:r w:rsidRPr="00EF4D5D">
        <w:rPr>
          <w:lang w:val="sq-AL"/>
        </w:rPr>
        <w:t xml:space="preserve"> keq mesatar p</w:t>
      </w:r>
      <w:r>
        <w:rPr>
          <w:lang w:val="sq-AL"/>
        </w:rPr>
        <w:t>ë</w:t>
      </w:r>
      <w:r w:rsidRPr="00EF4D5D">
        <w:rPr>
          <w:lang w:val="sq-AL"/>
        </w:rPr>
        <w:t>rgjat</w:t>
      </w:r>
      <w:r>
        <w:rPr>
          <w:lang w:val="sq-AL"/>
        </w:rPr>
        <w:t>ë</w:t>
      </w:r>
      <w:r w:rsidRPr="00EF4D5D">
        <w:rPr>
          <w:lang w:val="sq-AL"/>
        </w:rPr>
        <w:t xml:space="preserve"> periudh</w:t>
      </w:r>
      <w:r>
        <w:rPr>
          <w:lang w:val="sq-AL"/>
        </w:rPr>
        <w:t>ë</w:t>
      </w:r>
      <w:r w:rsidRPr="00EF4D5D">
        <w:rPr>
          <w:lang w:val="sq-AL"/>
        </w:rPr>
        <w:t>s 2017-2021 rezulton t</w:t>
      </w:r>
      <w:r>
        <w:rPr>
          <w:lang w:val="sq-AL"/>
        </w:rPr>
        <w:t>ë</w:t>
      </w:r>
      <w:r w:rsidRPr="00EF4D5D">
        <w:rPr>
          <w:lang w:val="sq-AL"/>
        </w:rPr>
        <w:t xml:space="preserve"> jet</w:t>
      </w:r>
      <w:r>
        <w:rPr>
          <w:lang w:val="sq-AL"/>
        </w:rPr>
        <w:t>ë</w:t>
      </w:r>
      <w:r w:rsidRPr="00EF4D5D">
        <w:rPr>
          <w:lang w:val="sq-AL"/>
        </w:rPr>
        <w:t xml:space="preserve"> 5.2%</w:t>
      </w:r>
      <w:r>
        <w:rPr>
          <w:lang w:val="sq-AL"/>
        </w:rPr>
        <w:t>.</w:t>
      </w:r>
    </w:p>
    <w:p w:rsidR="0075093C" w:rsidRPr="00EF4D5D" w:rsidRDefault="0075093C" w:rsidP="0075093C">
      <w:pPr>
        <w:pStyle w:val="ListParagraph"/>
        <w:numPr>
          <w:ilvl w:val="0"/>
          <w:numId w:val="5"/>
        </w:numPr>
        <w:rPr>
          <w:lang w:val="sq-AL"/>
        </w:rPr>
      </w:pPr>
      <w:r w:rsidRPr="00EF4D5D">
        <w:rPr>
          <w:lang w:val="sq-AL"/>
        </w:rPr>
        <w:t>KESCO, n</w:t>
      </w:r>
      <w:r>
        <w:rPr>
          <w:lang w:val="sq-AL"/>
        </w:rPr>
        <w:t>ë</w:t>
      </w:r>
      <w:r w:rsidRPr="00EF4D5D">
        <w:rPr>
          <w:lang w:val="sq-AL"/>
        </w:rPr>
        <w:t xml:space="preserve"> vler</w:t>
      </w:r>
      <w:r>
        <w:rPr>
          <w:lang w:val="sq-AL"/>
        </w:rPr>
        <w:t>ë</w:t>
      </w:r>
      <w:r w:rsidRPr="00EF4D5D">
        <w:rPr>
          <w:lang w:val="sq-AL"/>
        </w:rPr>
        <w:t>simin e saj, ka larguar nga kalkulimi konsumator</w:t>
      </w:r>
      <w:r>
        <w:rPr>
          <w:lang w:val="sq-AL"/>
        </w:rPr>
        <w:t>ë</w:t>
      </w:r>
      <w:r w:rsidRPr="00EF4D5D">
        <w:rPr>
          <w:lang w:val="sq-AL"/>
        </w:rPr>
        <w:t>t e nivelit 35kV dhe 10kV, t</w:t>
      </w:r>
      <w:r>
        <w:rPr>
          <w:lang w:val="sq-AL"/>
        </w:rPr>
        <w:t>ë</w:t>
      </w:r>
      <w:r w:rsidRPr="00EF4D5D">
        <w:rPr>
          <w:lang w:val="sq-AL"/>
        </w:rPr>
        <w:t xml:space="preserve"> cilat pritet t</w:t>
      </w:r>
      <w:r>
        <w:rPr>
          <w:lang w:val="sq-AL"/>
        </w:rPr>
        <w:t>ë</w:t>
      </w:r>
      <w:r w:rsidRPr="00EF4D5D">
        <w:rPr>
          <w:lang w:val="sq-AL"/>
        </w:rPr>
        <w:t xml:space="preserve"> furnizohen me tarifa t</w:t>
      </w:r>
      <w:r>
        <w:rPr>
          <w:lang w:val="sq-AL"/>
        </w:rPr>
        <w:t>ë</w:t>
      </w:r>
      <w:r w:rsidRPr="00EF4D5D">
        <w:rPr>
          <w:lang w:val="sq-AL"/>
        </w:rPr>
        <w:t xml:space="preserve"> parregulluara nga prilli i vitit 2022. Si </w:t>
      </w:r>
      <w:r w:rsidR="00EB07F2" w:rsidRPr="00EF4D5D">
        <w:rPr>
          <w:lang w:val="sq-AL"/>
        </w:rPr>
        <w:t>rrjedhoj</w:t>
      </w:r>
      <w:r w:rsidR="00EB07F2">
        <w:rPr>
          <w:lang w:val="sq-AL"/>
        </w:rPr>
        <w:t>ë,</w:t>
      </w:r>
      <w:r w:rsidRPr="00EF4D5D">
        <w:rPr>
          <w:lang w:val="sq-AL"/>
        </w:rPr>
        <w:t xml:space="preserve"> KESCO pretendon q</w:t>
      </w:r>
      <w:r>
        <w:rPr>
          <w:lang w:val="sq-AL"/>
        </w:rPr>
        <w:t>ë</w:t>
      </w:r>
      <w:r w:rsidRPr="00EF4D5D">
        <w:rPr>
          <w:lang w:val="sq-AL"/>
        </w:rPr>
        <w:t xml:space="preserve"> ndikimi i daljes s</w:t>
      </w:r>
      <w:r>
        <w:rPr>
          <w:lang w:val="sq-AL"/>
        </w:rPr>
        <w:t>ë</w:t>
      </w:r>
      <w:r w:rsidRPr="00EF4D5D">
        <w:rPr>
          <w:lang w:val="sq-AL"/>
        </w:rPr>
        <w:t xml:space="preserve"> tyre ne treg do t</w:t>
      </w:r>
      <w:r>
        <w:rPr>
          <w:lang w:val="sq-AL"/>
        </w:rPr>
        <w:t>ë</w:t>
      </w:r>
      <w:r w:rsidRPr="00EF4D5D">
        <w:rPr>
          <w:lang w:val="sq-AL"/>
        </w:rPr>
        <w:t xml:space="preserve"> ndikoj</w:t>
      </w:r>
      <w:r>
        <w:rPr>
          <w:lang w:val="sq-AL"/>
        </w:rPr>
        <w:t>ë</w:t>
      </w:r>
      <w:r w:rsidRPr="00EF4D5D">
        <w:rPr>
          <w:lang w:val="sq-AL"/>
        </w:rPr>
        <w:t xml:space="preserve"> n</w:t>
      </w:r>
      <w:r>
        <w:rPr>
          <w:lang w:val="sq-AL"/>
        </w:rPr>
        <w:t>ë</w:t>
      </w:r>
      <w:r w:rsidRPr="00EF4D5D">
        <w:rPr>
          <w:lang w:val="sq-AL"/>
        </w:rPr>
        <w:t xml:space="preserve"> rritjen e nivelit t</w:t>
      </w:r>
      <w:r>
        <w:rPr>
          <w:lang w:val="sq-AL"/>
        </w:rPr>
        <w:t>ë</w:t>
      </w:r>
      <w:r w:rsidRPr="00EF4D5D">
        <w:rPr>
          <w:lang w:val="sq-AL"/>
        </w:rPr>
        <w:t xml:space="preserve"> borxhit t</w:t>
      </w:r>
      <w:r>
        <w:rPr>
          <w:lang w:val="sq-AL"/>
        </w:rPr>
        <w:t>ë</w:t>
      </w:r>
      <w:r w:rsidRPr="00EF4D5D">
        <w:rPr>
          <w:lang w:val="sq-AL"/>
        </w:rPr>
        <w:t xml:space="preserve"> keq t</w:t>
      </w:r>
      <w:r>
        <w:rPr>
          <w:lang w:val="sq-AL"/>
        </w:rPr>
        <w:t>ë</w:t>
      </w:r>
      <w:r w:rsidRPr="00EF4D5D">
        <w:rPr>
          <w:lang w:val="sq-AL"/>
        </w:rPr>
        <w:t xml:space="preserve"> FSHU-s</w:t>
      </w:r>
      <w:r>
        <w:rPr>
          <w:lang w:val="sq-AL"/>
        </w:rPr>
        <w:t>ë</w:t>
      </w:r>
      <w:r w:rsidRPr="00EF4D5D">
        <w:rPr>
          <w:lang w:val="sq-AL"/>
        </w:rPr>
        <w:t>, duke mos ofruar vler</w:t>
      </w:r>
      <w:r>
        <w:rPr>
          <w:lang w:val="sq-AL"/>
        </w:rPr>
        <w:t>ë</w:t>
      </w:r>
      <w:r w:rsidRPr="00EF4D5D">
        <w:rPr>
          <w:lang w:val="sq-AL"/>
        </w:rPr>
        <w:t>sim konkret p</w:t>
      </w:r>
      <w:r>
        <w:rPr>
          <w:lang w:val="sq-AL"/>
        </w:rPr>
        <w:t>ë</w:t>
      </w:r>
      <w:r w:rsidRPr="00EF4D5D">
        <w:rPr>
          <w:lang w:val="sq-AL"/>
        </w:rPr>
        <w:t>r k</w:t>
      </w:r>
      <w:r>
        <w:rPr>
          <w:lang w:val="sq-AL"/>
        </w:rPr>
        <w:t>ë</w:t>
      </w:r>
      <w:r w:rsidRPr="00EF4D5D">
        <w:rPr>
          <w:lang w:val="sq-AL"/>
        </w:rPr>
        <w:t>t</w:t>
      </w:r>
      <w:r>
        <w:rPr>
          <w:lang w:val="sq-AL"/>
        </w:rPr>
        <w:t>ë</w:t>
      </w:r>
      <w:r w:rsidRPr="00EF4D5D">
        <w:rPr>
          <w:lang w:val="sq-AL"/>
        </w:rPr>
        <w:t xml:space="preserve"> ndikim.</w:t>
      </w:r>
    </w:p>
    <w:p w:rsidR="0075093C" w:rsidRPr="00EF4D5D" w:rsidRDefault="0075093C" w:rsidP="0075093C">
      <w:pPr>
        <w:pStyle w:val="ListParagraph"/>
        <w:numPr>
          <w:ilvl w:val="0"/>
          <w:numId w:val="5"/>
        </w:numPr>
        <w:rPr>
          <w:lang w:val="sq-AL"/>
        </w:rPr>
      </w:pPr>
      <w:r w:rsidRPr="00EF4D5D">
        <w:rPr>
          <w:lang w:val="sq-AL"/>
        </w:rPr>
        <w:t>P</w:t>
      </w:r>
      <w:r>
        <w:rPr>
          <w:lang w:val="sq-AL"/>
        </w:rPr>
        <w:t>ë</w:t>
      </w:r>
      <w:r w:rsidRPr="00EF4D5D">
        <w:rPr>
          <w:lang w:val="sq-AL"/>
        </w:rPr>
        <w:t>rkund</w:t>
      </w:r>
      <w:r>
        <w:rPr>
          <w:lang w:val="sq-AL"/>
        </w:rPr>
        <w:t>ë</w:t>
      </w:r>
      <w:r w:rsidRPr="00EF4D5D">
        <w:rPr>
          <w:lang w:val="sq-AL"/>
        </w:rPr>
        <w:t>r q</w:t>
      </w:r>
      <w:r>
        <w:rPr>
          <w:lang w:val="sq-AL"/>
        </w:rPr>
        <w:t>ë</w:t>
      </w:r>
      <w:r w:rsidRPr="00EF4D5D">
        <w:rPr>
          <w:lang w:val="sq-AL"/>
        </w:rPr>
        <w:t xml:space="preserve"> KESCO nuk i ka marr</w:t>
      </w:r>
      <w:r>
        <w:rPr>
          <w:lang w:val="sq-AL"/>
        </w:rPr>
        <w:t>ë</w:t>
      </w:r>
      <w:r w:rsidRPr="00EF4D5D">
        <w:rPr>
          <w:lang w:val="sq-AL"/>
        </w:rPr>
        <w:t xml:space="preserve"> p</w:t>
      </w:r>
      <w:r>
        <w:rPr>
          <w:lang w:val="sq-AL"/>
        </w:rPr>
        <w:t>ë</w:t>
      </w:r>
      <w:r w:rsidRPr="00EF4D5D">
        <w:rPr>
          <w:lang w:val="sq-AL"/>
        </w:rPr>
        <w:t>r baz</w:t>
      </w:r>
      <w:r>
        <w:rPr>
          <w:lang w:val="sq-AL"/>
        </w:rPr>
        <w:t>ë</w:t>
      </w:r>
      <w:r w:rsidRPr="00EF4D5D">
        <w:rPr>
          <w:lang w:val="sq-AL"/>
        </w:rPr>
        <w:t xml:space="preserve"> gjat</w:t>
      </w:r>
      <w:r>
        <w:rPr>
          <w:lang w:val="sq-AL"/>
        </w:rPr>
        <w:t>ë</w:t>
      </w:r>
      <w:r w:rsidRPr="00EF4D5D">
        <w:rPr>
          <w:lang w:val="sq-AL"/>
        </w:rPr>
        <w:t xml:space="preserve"> vler</w:t>
      </w:r>
      <w:r>
        <w:rPr>
          <w:lang w:val="sq-AL"/>
        </w:rPr>
        <w:t>ë</w:t>
      </w:r>
      <w:r w:rsidRPr="00EF4D5D">
        <w:rPr>
          <w:lang w:val="sq-AL"/>
        </w:rPr>
        <w:t>simit t</w:t>
      </w:r>
      <w:r>
        <w:rPr>
          <w:lang w:val="sq-AL"/>
        </w:rPr>
        <w:t>ë</w:t>
      </w:r>
      <w:r w:rsidRPr="00EF4D5D">
        <w:rPr>
          <w:lang w:val="sq-AL"/>
        </w:rPr>
        <w:t xml:space="preserve"> borxhit t</w:t>
      </w:r>
      <w:r>
        <w:rPr>
          <w:lang w:val="sq-AL"/>
        </w:rPr>
        <w:t>ë</w:t>
      </w:r>
      <w:r w:rsidRPr="00EF4D5D">
        <w:rPr>
          <w:lang w:val="sq-AL"/>
        </w:rPr>
        <w:t xml:space="preserve"> keq, ajo thekson q</w:t>
      </w:r>
      <w:r>
        <w:rPr>
          <w:lang w:val="sq-AL"/>
        </w:rPr>
        <w:t>ë</w:t>
      </w:r>
      <w:r w:rsidRPr="00EF4D5D">
        <w:rPr>
          <w:lang w:val="sq-AL"/>
        </w:rPr>
        <w:t xml:space="preserve"> </w:t>
      </w:r>
      <w:r w:rsidR="00EB07F2">
        <w:rPr>
          <w:lang w:val="sq-AL"/>
        </w:rPr>
        <w:t>e</w:t>
      </w:r>
      <w:r w:rsidR="00EB07F2" w:rsidRPr="00EF4D5D">
        <w:rPr>
          <w:lang w:val="sq-AL"/>
        </w:rPr>
        <w:t>kzistojn</w:t>
      </w:r>
      <w:r w:rsidR="00EB07F2">
        <w:rPr>
          <w:lang w:val="sq-AL"/>
        </w:rPr>
        <w:t>ë</w:t>
      </w:r>
      <w:r w:rsidRPr="00EF4D5D">
        <w:rPr>
          <w:lang w:val="sq-AL"/>
        </w:rPr>
        <w:t xml:space="preserve"> disa faktor</w:t>
      </w:r>
      <w:r>
        <w:rPr>
          <w:lang w:val="sq-AL"/>
        </w:rPr>
        <w:t>ë</w:t>
      </w:r>
      <w:r w:rsidRPr="00EF4D5D">
        <w:rPr>
          <w:lang w:val="sq-AL"/>
        </w:rPr>
        <w:t xml:space="preserve"> tjer</w:t>
      </w:r>
      <w:r>
        <w:rPr>
          <w:lang w:val="sq-AL"/>
        </w:rPr>
        <w:t>ë</w:t>
      </w:r>
      <w:r w:rsidRPr="00EF4D5D">
        <w:rPr>
          <w:lang w:val="sq-AL"/>
        </w:rPr>
        <w:t xml:space="preserve"> t</w:t>
      </w:r>
      <w:r>
        <w:rPr>
          <w:lang w:val="sq-AL"/>
        </w:rPr>
        <w:t>ë</w:t>
      </w:r>
      <w:r w:rsidRPr="00EF4D5D">
        <w:rPr>
          <w:lang w:val="sq-AL"/>
        </w:rPr>
        <w:t xml:space="preserve"> cil</w:t>
      </w:r>
      <w:r>
        <w:rPr>
          <w:lang w:val="sq-AL"/>
        </w:rPr>
        <w:t>ë</w:t>
      </w:r>
      <w:r w:rsidRPr="00EF4D5D">
        <w:rPr>
          <w:lang w:val="sq-AL"/>
        </w:rPr>
        <w:t>t do t</w:t>
      </w:r>
      <w:r>
        <w:rPr>
          <w:lang w:val="sq-AL"/>
        </w:rPr>
        <w:t>ë</w:t>
      </w:r>
      <w:r w:rsidRPr="00EF4D5D">
        <w:rPr>
          <w:lang w:val="sq-AL"/>
        </w:rPr>
        <w:t xml:space="preserve"> mund t</w:t>
      </w:r>
      <w:r>
        <w:rPr>
          <w:lang w:val="sq-AL"/>
        </w:rPr>
        <w:t>ë</w:t>
      </w:r>
      <w:r w:rsidRPr="00EF4D5D">
        <w:rPr>
          <w:lang w:val="sq-AL"/>
        </w:rPr>
        <w:t xml:space="preserve"> ndikonin n</w:t>
      </w:r>
      <w:r>
        <w:rPr>
          <w:lang w:val="sq-AL"/>
        </w:rPr>
        <w:t>ë</w:t>
      </w:r>
      <w:r w:rsidRPr="00EF4D5D">
        <w:rPr>
          <w:lang w:val="sq-AL"/>
        </w:rPr>
        <w:t xml:space="preserve"> rritjen e nivelit t</w:t>
      </w:r>
      <w:r>
        <w:rPr>
          <w:lang w:val="sq-AL"/>
        </w:rPr>
        <w:t>ë</w:t>
      </w:r>
      <w:r w:rsidR="00EB07F2">
        <w:rPr>
          <w:lang w:val="sq-AL"/>
        </w:rPr>
        <w:t xml:space="preserve"> bo</w:t>
      </w:r>
      <w:r w:rsidRPr="00EF4D5D">
        <w:rPr>
          <w:lang w:val="sq-AL"/>
        </w:rPr>
        <w:t>rxhit t</w:t>
      </w:r>
      <w:r>
        <w:rPr>
          <w:lang w:val="sq-AL"/>
        </w:rPr>
        <w:t>ë</w:t>
      </w:r>
      <w:r w:rsidRPr="00EF4D5D">
        <w:rPr>
          <w:lang w:val="sq-AL"/>
        </w:rPr>
        <w:t xml:space="preserve"> keq p</w:t>
      </w:r>
      <w:r>
        <w:rPr>
          <w:lang w:val="sq-AL"/>
        </w:rPr>
        <w:t>ë</w:t>
      </w:r>
      <w:r w:rsidRPr="00EF4D5D">
        <w:rPr>
          <w:lang w:val="sq-AL"/>
        </w:rPr>
        <w:t xml:space="preserve">r FSHU, ku listohen: rritja eventuale e </w:t>
      </w:r>
      <w:r w:rsidR="00EB07F2" w:rsidRPr="00EF4D5D">
        <w:rPr>
          <w:lang w:val="sq-AL"/>
        </w:rPr>
        <w:t>çmimeve</w:t>
      </w:r>
      <w:r w:rsidRPr="00EF4D5D">
        <w:rPr>
          <w:lang w:val="sq-AL"/>
        </w:rPr>
        <w:t xml:space="preserve"> p</w:t>
      </w:r>
      <w:r>
        <w:rPr>
          <w:lang w:val="sq-AL"/>
        </w:rPr>
        <w:t>ë</w:t>
      </w:r>
      <w:r w:rsidRPr="00EF4D5D">
        <w:rPr>
          <w:lang w:val="sq-AL"/>
        </w:rPr>
        <w:t>r konsumator</w:t>
      </w:r>
      <w:r>
        <w:rPr>
          <w:lang w:val="sq-AL"/>
        </w:rPr>
        <w:t>ë</w:t>
      </w:r>
      <w:r w:rsidRPr="00EF4D5D">
        <w:rPr>
          <w:lang w:val="sq-AL"/>
        </w:rPr>
        <w:t>t fundor</w:t>
      </w:r>
      <w:r>
        <w:rPr>
          <w:lang w:val="sq-AL"/>
        </w:rPr>
        <w:t>ë</w:t>
      </w:r>
      <w:r w:rsidRPr="00EF4D5D">
        <w:rPr>
          <w:lang w:val="sq-AL"/>
        </w:rPr>
        <w:t>, si rrjedhoj</w:t>
      </w:r>
      <w:r>
        <w:rPr>
          <w:lang w:val="sq-AL"/>
        </w:rPr>
        <w:t>ë</w:t>
      </w:r>
      <w:r w:rsidRPr="00EF4D5D">
        <w:rPr>
          <w:lang w:val="sq-AL"/>
        </w:rPr>
        <w:t xml:space="preserve"> e rritjes s</w:t>
      </w:r>
      <w:r>
        <w:rPr>
          <w:lang w:val="sq-AL"/>
        </w:rPr>
        <w:t>ë</w:t>
      </w:r>
      <w:r w:rsidRPr="00EF4D5D">
        <w:rPr>
          <w:lang w:val="sq-AL"/>
        </w:rPr>
        <w:t xml:space="preserve"> </w:t>
      </w:r>
      <w:r w:rsidR="00EB07F2" w:rsidRPr="00EF4D5D">
        <w:rPr>
          <w:lang w:val="sq-AL"/>
        </w:rPr>
        <w:t>çmimeve</w:t>
      </w:r>
      <w:r w:rsidRPr="00EF4D5D">
        <w:rPr>
          <w:lang w:val="sq-AL"/>
        </w:rPr>
        <w:t xml:space="preserve"> n</w:t>
      </w:r>
      <w:r>
        <w:rPr>
          <w:lang w:val="sq-AL"/>
        </w:rPr>
        <w:t>ë</w:t>
      </w:r>
      <w:r w:rsidRPr="00EF4D5D">
        <w:rPr>
          <w:lang w:val="sq-AL"/>
        </w:rPr>
        <w:t xml:space="preserve"> tregjet me shumic</w:t>
      </w:r>
      <w:r>
        <w:rPr>
          <w:lang w:val="sq-AL"/>
        </w:rPr>
        <w:t>ë</w:t>
      </w:r>
      <w:r w:rsidRPr="00EF4D5D">
        <w:rPr>
          <w:lang w:val="sq-AL"/>
        </w:rPr>
        <w:t>, remontet e TC Kosova B, derregullimi eventual i konsumator</w:t>
      </w:r>
      <w:r>
        <w:rPr>
          <w:lang w:val="sq-AL"/>
        </w:rPr>
        <w:t>ë</w:t>
      </w:r>
      <w:r w:rsidRPr="00EF4D5D">
        <w:rPr>
          <w:lang w:val="sq-AL"/>
        </w:rPr>
        <w:t>ve t</w:t>
      </w:r>
      <w:r>
        <w:rPr>
          <w:lang w:val="sq-AL"/>
        </w:rPr>
        <w:t>ë</w:t>
      </w:r>
      <w:r w:rsidRPr="00EF4D5D">
        <w:rPr>
          <w:lang w:val="sq-AL"/>
        </w:rPr>
        <w:t xml:space="preserve"> </w:t>
      </w:r>
      <w:r w:rsidR="00EB07F2" w:rsidRPr="00EF4D5D">
        <w:rPr>
          <w:lang w:val="sq-AL"/>
        </w:rPr>
        <w:t>kyçur</w:t>
      </w:r>
      <w:r w:rsidRPr="00EF4D5D">
        <w:rPr>
          <w:lang w:val="sq-AL"/>
        </w:rPr>
        <w:t xml:space="preserve"> n</w:t>
      </w:r>
      <w:r>
        <w:rPr>
          <w:lang w:val="sq-AL"/>
        </w:rPr>
        <w:t>ë</w:t>
      </w:r>
      <w:r w:rsidRPr="00EF4D5D">
        <w:rPr>
          <w:lang w:val="sq-AL"/>
        </w:rPr>
        <w:t xml:space="preserve"> nivelin 0.4kV dhe mund</w:t>
      </w:r>
      <w:r>
        <w:rPr>
          <w:lang w:val="sq-AL"/>
        </w:rPr>
        <w:t>ë</w:t>
      </w:r>
      <w:r w:rsidRPr="00EF4D5D">
        <w:rPr>
          <w:lang w:val="sq-AL"/>
        </w:rPr>
        <w:t xml:space="preserve">sia e </w:t>
      </w:r>
      <w:r w:rsidR="00EB07F2" w:rsidRPr="00EF4D5D">
        <w:rPr>
          <w:lang w:val="sq-AL"/>
        </w:rPr>
        <w:t>ndë</w:t>
      </w:r>
      <w:r w:rsidR="00EB07F2">
        <w:rPr>
          <w:lang w:val="sq-AL"/>
        </w:rPr>
        <w:t>r</w:t>
      </w:r>
      <w:r w:rsidR="00EB07F2" w:rsidRPr="00EF4D5D">
        <w:rPr>
          <w:lang w:val="sq-AL"/>
        </w:rPr>
        <w:t>rimit</w:t>
      </w:r>
      <w:r w:rsidRPr="00EF4D5D">
        <w:rPr>
          <w:lang w:val="sq-AL"/>
        </w:rPr>
        <w:t xml:space="preserve"> t</w:t>
      </w:r>
      <w:r>
        <w:rPr>
          <w:lang w:val="sq-AL"/>
        </w:rPr>
        <w:t>ë</w:t>
      </w:r>
      <w:r w:rsidRPr="00EF4D5D">
        <w:rPr>
          <w:lang w:val="sq-AL"/>
        </w:rPr>
        <w:t xml:space="preserve"> furnizuesit dhe kthimi n</w:t>
      </w:r>
      <w:r>
        <w:rPr>
          <w:lang w:val="sq-AL"/>
        </w:rPr>
        <w:t>ë</w:t>
      </w:r>
      <w:r w:rsidRPr="00EF4D5D">
        <w:rPr>
          <w:lang w:val="sq-AL"/>
        </w:rPr>
        <w:t xml:space="preserve"> FSHU, e cila do t</w:t>
      </w:r>
      <w:r>
        <w:rPr>
          <w:lang w:val="sq-AL"/>
        </w:rPr>
        <w:t>ë</w:t>
      </w:r>
      <w:r w:rsidRPr="00EF4D5D">
        <w:rPr>
          <w:lang w:val="sq-AL"/>
        </w:rPr>
        <w:t xml:space="preserve"> mund t</w:t>
      </w:r>
      <w:r>
        <w:rPr>
          <w:lang w:val="sq-AL"/>
        </w:rPr>
        <w:t>ë</w:t>
      </w:r>
      <w:r w:rsidRPr="00EF4D5D">
        <w:rPr>
          <w:lang w:val="sq-AL"/>
        </w:rPr>
        <w:t xml:space="preserve"> keqp</w:t>
      </w:r>
      <w:r>
        <w:rPr>
          <w:lang w:val="sq-AL"/>
        </w:rPr>
        <w:t>ë</w:t>
      </w:r>
      <w:r w:rsidRPr="00EF4D5D">
        <w:rPr>
          <w:lang w:val="sq-AL"/>
        </w:rPr>
        <w:t>rdorej nga konsumator</w:t>
      </w:r>
      <w:r>
        <w:rPr>
          <w:lang w:val="sq-AL"/>
        </w:rPr>
        <w:t>ë</w:t>
      </w:r>
      <w:r w:rsidRPr="00EF4D5D">
        <w:rPr>
          <w:lang w:val="sq-AL"/>
        </w:rPr>
        <w:t>t sikurse n</w:t>
      </w:r>
      <w:r>
        <w:rPr>
          <w:lang w:val="sq-AL"/>
        </w:rPr>
        <w:t>ë</w:t>
      </w:r>
      <w:r w:rsidRPr="00EF4D5D">
        <w:rPr>
          <w:lang w:val="sq-AL"/>
        </w:rPr>
        <w:t xml:space="preserve"> vendet t</w:t>
      </w:r>
      <w:r>
        <w:rPr>
          <w:lang w:val="sq-AL"/>
        </w:rPr>
        <w:t>ë</w:t>
      </w:r>
      <w:r w:rsidRPr="00EF4D5D">
        <w:rPr>
          <w:lang w:val="sq-AL"/>
        </w:rPr>
        <w:t xml:space="preserve"> cilat kan</w:t>
      </w:r>
      <w:r>
        <w:rPr>
          <w:lang w:val="sq-AL"/>
        </w:rPr>
        <w:t>ë</w:t>
      </w:r>
      <w:r w:rsidRPr="00EF4D5D">
        <w:rPr>
          <w:lang w:val="sq-AL"/>
        </w:rPr>
        <w:t xml:space="preserve"> kaluar p</w:t>
      </w:r>
      <w:r>
        <w:rPr>
          <w:lang w:val="sq-AL"/>
        </w:rPr>
        <w:t>ë</w:t>
      </w:r>
      <w:r w:rsidRPr="00EF4D5D">
        <w:rPr>
          <w:lang w:val="sq-AL"/>
        </w:rPr>
        <w:t>rmes k</w:t>
      </w:r>
      <w:r>
        <w:rPr>
          <w:lang w:val="sq-AL"/>
        </w:rPr>
        <w:t>ë</w:t>
      </w:r>
      <w:r w:rsidRPr="00EF4D5D">
        <w:rPr>
          <w:lang w:val="sq-AL"/>
        </w:rPr>
        <w:t>tij procesi m</w:t>
      </w:r>
      <w:r>
        <w:rPr>
          <w:lang w:val="sq-AL"/>
        </w:rPr>
        <w:t>ë</w:t>
      </w:r>
      <w:r w:rsidRPr="00EF4D5D">
        <w:rPr>
          <w:lang w:val="sq-AL"/>
        </w:rPr>
        <w:t xml:space="preserve"> </w:t>
      </w:r>
      <w:r w:rsidR="00EB07F2" w:rsidRPr="00EF4D5D">
        <w:rPr>
          <w:lang w:val="sq-AL"/>
        </w:rPr>
        <w:t>herët</w:t>
      </w:r>
      <w:r w:rsidRPr="00EF4D5D">
        <w:rPr>
          <w:lang w:val="sq-AL"/>
        </w:rPr>
        <w:t>.</w:t>
      </w:r>
    </w:p>
    <w:p w:rsidR="0075093C" w:rsidRPr="00B26335" w:rsidRDefault="0075093C" w:rsidP="00EB07F2">
      <w:pPr>
        <w:jc w:val="both"/>
        <w:rPr>
          <w:lang w:val="sq-AL"/>
        </w:rPr>
      </w:pPr>
      <w:r w:rsidRPr="00EF4D5D">
        <w:rPr>
          <w:lang w:val="sq-AL"/>
        </w:rPr>
        <w:t xml:space="preserve">Propozimi që rezulton nga KESCO për lejimin e borxhit të keq për </w:t>
      </w:r>
      <w:r w:rsidR="00EB07F2" w:rsidRPr="00EF4D5D">
        <w:rPr>
          <w:lang w:val="sq-AL"/>
        </w:rPr>
        <w:t>periudh</w:t>
      </w:r>
      <w:r w:rsidR="00EB07F2">
        <w:rPr>
          <w:lang w:val="sq-AL"/>
        </w:rPr>
        <w:t>ë</w:t>
      </w:r>
      <w:r w:rsidR="00EB07F2" w:rsidRPr="00EF4D5D">
        <w:rPr>
          <w:lang w:val="sq-AL"/>
        </w:rPr>
        <w:t>n</w:t>
      </w:r>
      <w:r w:rsidRPr="00EF4D5D">
        <w:rPr>
          <w:lang w:val="sq-AL"/>
        </w:rPr>
        <w:t xml:space="preserve"> tre-vjeçare tarifore 2022 </w:t>
      </w:r>
      <w:r w:rsidRPr="00B26335">
        <w:rPr>
          <w:lang w:val="sq-AL"/>
        </w:rPr>
        <w:t>-2024 tregohet më poshtë.</w:t>
      </w:r>
    </w:p>
    <w:p w:rsidR="0075093C" w:rsidRPr="00B1408C" w:rsidRDefault="0075093C" w:rsidP="0075093C">
      <w:pPr>
        <w:pStyle w:val="Caption"/>
        <w:rPr>
          <w:lang w:val="sq-AL"/>
        </w:rPr>
      </w:pPr>
      <w:r>
        <w:t xml:space="preserve">Tabela  </w:t>
      </w:r>
      <w:r>
        <w:fldChar w:fldCharType="begin"/>
      </w:r>
      <w:r>
        <w:instrText xml:space="preserve"> SEQ Tabela_ \* ARABIC </w:instrText>
      </w:r>
      <w:r>
        <w:fldChar w:fldCharType="separate"/>
      </w:r>
      <w:r w:rsidR="00701D2D">
        <w:rPr>
          <w:noProof/>
        </w:rPr>
        <w:t>3</w:t>
      </w:r>
      <w:r>
        <w:fldChar w:fldCharType="end"/>
      </w:r>
      <w:r>
        <w:t xml:space="preserve"> </w:t>
      </w:r>
      <w:r w:rsidRPr="00B1408C">
        <w:rPr>
          <w:lang w:val="sq-AL"/>
        </w:rPr>
        <w:t>Kërkesa e FSHU për nivelin e lejuar për borxhet e këqija</w:t>
      </w:r>
    </w:p>
    <w:tbl>
      <w:tblPr>
        <w:tblW w:w="4276" w:type="pct"/>
        <w:tblBorders>
          <w:bottom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795"/>
        <w:gridCol w:w="1071"/>
        <w:gridCol w:w="1071"/>
        <w:gridCol w:w="1068"/>
      </w:tblGrid>
      <w:tr w:rsidR="0075093C" w:rsidRPr="00450894" w:rsidTr="0075093C">
        <w:trPr>
          <w:trHeight w:val="552"/>
          <w:tblHeader/>
        </w:trPr>
        <w:tc>
          <w:tcPr>
            <w:tcW w:w="2995" w:type="pct"/>
            <w:shd w:val="clear" w:color="000000" w:fill="003366"/>
            <w:noWrap/>
            <w:vAlign w:val="center"/>
          </w:tcPr>
          <w:p w:rsidR="0075093C" w:rsidRPr="00450894" w:rsidRDefault="0075093C" w:rsidP="0075093C">
            <w:pPr>
              <w:keepNext/>
              <w:spacing w:before="60" w:after="60" w:line="240" w:lineRule="auto"/>
              <w:rPr>
                <w:rFonts w:eastAsia="Times New Roman" w:cstheme="minorHAnsi"/>
                <w:color w:val="FFFFFF"/>
                <w:sz w:val="20"/>
                <w:szCs w:val="20"/>
                <w:lang w:val="sq-AL"/>
              </w:rPr>
            </w:pPr>
            <w:r w:rsidRPr="00450894">
              <w:rPr>
                <w:lang w:val="sq-AL"/>
              </w:rPr>
              <w:t xml:space="preserve">Kërkesa për nivelin e lejuar për borxhet e këqija </w:t>
            </w:r>
          </w:p>
        </w:tc>
        <w:tc>
          <w:tcPr>
            <w:tcW w:w="669" w:type="pct"/>
            <w:shd w:val="clear" w:color="000000" w:fill="003366"/>
            <w:noWrap/>
            <w:vAlign w:val="center"/>
          </w:tcPr>
          <w:p w:rsidR="0075093C" w:rsidRPr="00450894" w:rsidRDefault="0075093C" w:rsidP="0075093C">
            <w:pPr>
              <w:keepNext/>
              <w:spacing w:before="60" w:after="60" w:line="240" w:lineRule="auto"/>
              <w:jc w:val="center"/>
              <w:rPr>
                <w:rFonts w:eastAsia="Times New Roman" w:cstheme="minorHAnsi"/>
                <w:color w:val="FFFFFF"/>
                <w:sz w:val="20"/>
                <w:szCs w:val="20"/>
                <w:lang w:val="sq-AL"/>
              </w:rPr>
            </w:pPr>
            <w:r w:rsidRPr="00450894">
              <w:rPr>
                <w:rFonts w:eastAsia="Times New Roman" w:cstheme="minorHAnsi"/>
                <w:color w:val="FFFFFF"/>
                <w:sz w:val="20"/>
                <w:szCs w:val="20"/>
                <w:lang w:val="sq-AL"/>
              </w:rPr>
              <w:t>2022</w:t>
            </w:r>
          </w:p>
        </w:tc>
        <w:tc>
          <w:tcPr>
            <w:tcW w:w="669" w:type="pct"/>
            <w:shd w:val="clear" w:color="000000" w:fill="003366"/>
            <w:noWrap/>
            <w:vAlign w:val="center"/>
          </w:tcPr>
          <w:p w:rsidR="0075093C" w:rsidRPr="00450894" w:rsidRDefault="0075093C" w:rsidP="0075093C">
            <w:pPr>
              <w:keepNext/>
              <w:spacing w:before="60" w:after="60" w:line="240" w:lineRule="auto"/>
              <w:jc w:val="center"/>
              <w:rPr>
                <w:rFonts w:eastAsia="Times New Roman" w:cstheme="minorHAnsi"/>
                <w:color w:val="FFFFFF"/>
                <w:sz w:val="20"/>
                <w:szCs w:val="20"/>
                <w:lang w:val="sq-AL"/>
              </w:rPr>
            </w:pPr>
            <w:r w:rsidRPr="00450894">
              <w:rPr>
                <w:rFonts w:eastAsia="Times New Roman" w:cstheme="minorHAnsi"/>
                <w:color w:val="FFFFFF"/>
                <w:sz w:val="20"/>
                <w:szCs w:val="20"/>
                <w:lang w:val="sq-AL"/>
              </w:rPr>
              <w:t>2023</w:t>
            </w:r>
          </w:p>
        </w:tc>
        <w:tc>
          <w:tcPr>
            <w:tcW w:w="668" w:type="pct"/>
            <w:shd w:val="clear" w:color="000000" w:fill="003366"/>
            <w:noWrap/>
            <w:vAlign w:val="center"/>
          </w:tcPr>
          <w:p w:rsidR="0075093C" w:rsidRPr="00450894" w:rsidRDefault="0075093C" w:rsidP="0075093C">
            <w:pPr>
              <w:keepNext/>
              <w:spacing w:before="60" w:after="60" w:line="240" w:lineRule="auto"/>
              <w:jc w:val="center"/>
              <w:rPr>
                <w:rFonts w:eastAsia="Times New Roman" w:cstheme="minorHAnsi"/>
                <w:color w:val="FFFFFF"/>
                <w:sz w:val="20"/>
                <w:szCs w:val="20"/>
                <w:lang w:val="sq-AL"/>
              </w:rPr>
            </w:pPr>
            <w:r w:rsidRPr="00450894">
              <w:rPr>
                <w:rFonts w:eastAsia="Times New Roman" w:cstheme="minorHAnsi"/>
                <w:color w:val="FFFFFF"/>
                <w:sz w:val="20"/>
                <w:szCs w:val="20"/>
                <w:lang w:val="sq-AL"/>
              </w:rPr>
              <w:t>2024</w:t>
            </w:r>
          </w:p>
        </w:tc>
      </w:tr>
      <w:tr w:rsidR="0075093C" w:rsidRPr="00450894" w:rsidTr="0075093C">
        <w:trPr>
          <w:trHeight w:val="288"/>
        </w:trPr>
        <w:tc>
          <w:tcPr>
            <w:tcW w:w="2995" w:type="pct"/>
            <w:shd w:val="clear" w:color="auto" w:fill="DEEAF6" w:themeFill="accent1" w:themeFillTint="33"/>
            <w:noWrap/>
            <w:vAlign w:val="center"/>
            <w:hideMark/>
          </w:tcPr>
          <w:p w:rsidR="0075093C" w:rsidRPr="00CC5249" w:rsidRDefault="0075093C" w:rsidP="0075093C">
            <w:pPr>
              <w:keepNext/>
              <w:spacing w:before="60" w:after="60" w:line="240" w:lineRule="auto"/>
              <w:rPr>
                <w:rFonts w:eastAsia="Times New Roman" w:cstheme="minorHAnsi"/>
                <w:color w:val="000000"/>
                <w:sz w:val="20"/>
                <w:szCs w:val="20"/>
                <w:lang w:val="sq-AL"/>
              </w:rPr>
            </w:pPr>
            <w:r w:rsidRPr="00CC5249">
              <w:rPr>
                <w:rFonts w:eastAsia="Times New Roman" w:cstheme="minorHAnsi"/>
                <w:color w:val="000000"/>
                <w:sz w:val="20"/>
                <w:szCs w:val="20"/>
                <w:lang w:val="sq-AL"/>
              </w:rPr>
              <w:t>Propozimi për borxhin e keq</w:t>
            </w:r>
          </w:p>
        </w:tc>
        <w:tc>
          <w:tcPr>
            <w:tcW w:w="669" w:type="pct"/>
            <w:shd w:val="clear" w:color="auto" w:fill="DEEAF6" w:themeFill="accent1" w:themeFillTint="33"/>
            <w:noWrap/>
            <w:vAlign w:val="center"/>
          </w:tcPr>
          <w:p w:rsidR="0075093C" w:rsidRPr="00B26335" w:rsidRDefault="0075093C" w:rsidP="0075093C">
            <w:pPr>
              <w:keepNext/>
              <w:spacing w:before="60" w:after="60" w:line="240" w:lineRule="auto"/>
              <w:jc w:val="center"/>
              <w:rPr>
                <w:rFonts w:eastAsia="Times New Roman" w:cstheme="minorHAnsi"/>
                <w:color w:val="000000"/>
                <w:sz w:val="20"/>
                <w:szCs w:val="20"/>
                <w:lang w:val="sq-AL"/>
              </w:rPr>
            </w:pPr>
            <w:r w:rsidRPr="00B26335">
              <w:rPr>
                <w:rFonts w:eastAsia="Times New Roman" w:cstheme="minorHAnsi"/>
                <w:color w:val="000000"/>
                <w:sz w:val="20"/>
                <w:szCs w:val="20"/>
                <w:lang w:val="sq-AL"/>
              </w:rPr>
              <w:t>5.2%</w:t>
            </w:r>
          </w:p>
        </w:tc>
        <w:tc>
          <w:tcPr>
            <w:tcW w:w="669" w:type="pct"/>
            <w:shd w:val="clear" w:color="auto" w:fill="DEEAF6" w:themeFill="accent1" w:themeFillTint="33"/>
            <w:noWrap/>
            <w:vAlign w:val="center"/>
          </w:tcPr>
          <w:p w:rsidR="0075093C" w:rsidRPr="00B1408C" w:rsidRDefault="0075093C" w:rsidP="0075093C">
            <w:pPr>
              <w:keepNext/>
              <w:spacing w:before="60" w:after="60" w:line="240" w:lineRule="auto"/>
              <w:jc w:val="center"/>
              <w:rPr>
                <w:rFonts w:eastAsia="Times New Roman" w:cstheme="minorHAnsi"/>
                <w:color w:val="000000"/>
                <w:sz w:val="20"/>
                <w:szCs w:val="20"/>
                <w:lang w:val="sq-AL"/>
              </w:rPr>
            </w:pPr>
            <w:r w:rsidRPr="00B1408C">
              <w:rPr>
                <w:rFonts w:eastAsia="Times New Roman" w:cstheme="minorHAnsi"/>
                <w:color w:val="000000"/>
                <w:sz w:val="20"/>
                <w:szCs w:val="20"/>
                <w:lang w:val="sq-AL"/>
              </w:rPr>
              <w:t>4.8%</w:t>
            </w:r>
          </w:p>
        </w:tc>
        <w:tc>
          <w:tcPr>
            <w:tcW w:w="668" w:type="pct"/>
            <w:shd w:val="clear" w:color="auto" w:fill="DEEAF6" w:themeFill="accent1" w:themeFillTint="33"/>
            <w:noWrap/>
            <w:vAlign w:val="center"/>
          </w:tcPr>
          <w:p w:rsidR="0075093C" w:rsidRPr="00450894" w:rsidRDefault="0075093C" w:rsidP="0075093C">
            <w:pPr>
              <w:keepNext/>
              <w:spacing w:before="60" w:after="60" w:line="240" w:lineRule="auto"/>
              <w:jc w:val="center"/>
              <w:rPr>
                <w:rFonts w:eastAsia="Times New Roman" w:cstheme="minorHAnsi"/>
                <w:color w:val="000000"/>
                <w:sz w:val="20"/>
                <w:szCs w:val="20"/>
                <w:lang w:val="sq-AL"/>
              </w:rPr>
            </w:pPr>
            <w:r w:rsidRPr="00450894">
              <w:rPr>
                <w:rFonts w:eastAsia="Times New Roman" w:cstheme="minorHAnsi"/>
                <w:color w:val="000000"/>
                <w:sz w:val="20"/>
                <w:szCs w:val="20"/>
                <w:lang w:val="sq-AL"/>
              </w:rPr>
              <w:t>4.6%</w:t>
            </w:r>
          </w:p>
        </w:tc>
      </w:tr>
    </w:tbl>
    <w:p w:rsidR="0075093C" w:rsidRPr="00CC5249" w:rsidRDefault="0075093C" w:rsidP="0075093C">
      <w:pPr>
        <w:rPr>
          <w:color w:val="A5A5A5" w:themeColor="accent3"/>
          <w:sz w:val="18"/>
          <w:szCs w:val="18"/>
          <w:lang w:val="sq-AL"/>
        </w:rPr>
      </w:pPr>
      <w:r w:rsidRPr="00CC5249">
        <w:rPr>
          <w:color w:val="A5A5A5" w:themeColor="accent3"/>
          <w:sz w:val="18"/>
          <w:szCs w:val="18"/>
          <w:lang w:val="sq-AL"/>
        </w:rPr>
        <w:t>Burimi: KESCO</w:t>
      </w:r>
    </w:p>
    <w:p w:rsidR="0075093C" w:rsidRPr="00EF4D5D" w:rsidRDefault="0075093C" w:rsidP="0075093C">
      <w:pPr>
        <w:pStyle w:val="Heading3"/>
        <w:rPr>
          <w:lang w:val="sq-AL"/>
        </w:rPr>
      </w:pPr>
      <w:bookmarkStart w:id="8" w:name="_Toc88226451"/>
      <w:r w:rsidRPr="00EF4D5D">
        <w:rPr>
          <w:lang w:val="sq-AL"/>
        </w:rPr>
        <w:t>Shqyrtimi dhe propozimi i ZRRE-s</w:t>
      </w:r>
      <w:r>
        <w:rPr>
          <w:lang w:val="sq-AL"/>
        </w:rPr>
        <w:t>ë</w:t>
      </w:r>
      <w:r w:rsidRPr="00EF4D5D">
        <w:rPr>
          <w:lang w:val="sq-AL"/>
        </w:rPr>
        <w:t xml:space="preserve"> n</w:t>
      </w:r>
      <w:r>
        <w:rPr>
          <w:lang w:val="sq-AL"/>
        </w:rPr>
        <w:t>ë</w:t>
      </w:r>
      <w:r w:rsidRPr="00EF4D5D">
        <w:rPr>
          <w:lang w:val="sq-AL"/>
        </w:rPr>
        <w:t xml:space="preserve"> lidhje me lejimin e borxhit t</w:t>
      </w:r>
      <w:r>
        <w:rPr>
          <w:lang w:val="sq-AL"/>
        </w:rPr>
        <w:t>ë</w:t>
      </w:r>
      <w:r w:rsidRPr="00EF4D5D">
        <w:rPr>
          <w:lang w:val="sq-AL"/>
        </w:rPr>
        <w:t xml:space="preserve"> keq</w:t>
      </w:r>
      <w:bookmarkEnd w:id="8"/>
    </w:p>
    <w:p w:rsidR="0075093C" w:rsidRPr="00450894" w:rsidRDefault="0075093C" w:rsidP="00EB07F2">
      <w:pPr>
        <w:jc w:val="both"/>
        <w:rPr>
          <w:lang w:val="sq-AL"/>
        </w:rPr>
      </w:pPr>
      <w:r w:rsidRPr="00450894">
        <w:rPr>
          <w:lang w:val="sq-AL"/>
        </w:rPr>
        <w:t xml:space="preserve">Argumenti i KESCO-së që lejimi i borxhit të keq duhet të llogaritet duke iu referuar vetëm faturimeve të energjisë është i drejtë për aq sa faturat e shërbimeve duhet të përjashtohen nga llogaritja si të ardhura të bartura, por jo edhe për të arkëtimet që realizohen nga procesi i </w:t>
      </w:r>
      <w:r w:rsidR="00EB07F2" w:rsidRPr="00450894">
        <w:rPr>
          <w:lang w:val="sq-AL"/>
        </w:rPr>
        <w:t>përmbarimit</w:t>
      </w:r>
      <w:r w:rsidRPr="00450894">
        <w:rPr>
          <w:lang w:val="sq-AL"/>
        </w:rPr>
        <w:t>.</w:t>
      </w:r>
    </w:p>
    <w:p w:rsidR="0075093C" w:rsidRPr="00EF4D5D" w:rsidRDefault="0075093C" w:rsidP="0075093C">
      <w:pPr>
        <w:pStyle w:val="Heading4"/>
        <w:spacing w:after="240"/>
        <w:rPr>
          <w:lang w:val="sq-AL"/>
        </w:rPr>
      </w:pPr>
      <w:bookmarkStart w:id="9" w:name="_Toc88226452"/>
      <w:r w:rsidRPr="00450894">
        <w:rPr>
          <w:lang w:val="sq-AL"/>
        </w:rPr>
        <w:t>Ndikimi i Rënies në Vler</w:t>
      </w:r>
      <w:r>
        <w:rPr>
          <w:lang w:val="sq-AL"/>
        </w:rPr>
        <w:t>ë</w:t>
      </w:r>
      <w:r w:rsidRPr="00EF4D5D">
        <w:rPr>
          <w:lang w:val="sq-AL"/>
        </w:rPr>
        <w:t xml:space="preserve"> </w:t>
      </w:r>
      <w:r>
        <w:rPr>
          <w:lang w:val="sq-AL"/>
        </w:rPr>
        <w:t>t</w:t>
      </w:r>
      <w:r w:rsidRPr="00EF4D5D">
        <w:rPr>
          <w:lang w:val="sq-AL"/>
        </w:rPr>
        <w:t>ë Llogarive t</w:t>
      </w:r>
      <w:r>
        <w:rPr>
          <w:lang w:val="sq-AL"/>
        </w:rPr>
        <w:t>ë</w:t>
      </w:r>
      <w:r w:rsidRPr="00EF4D5D">
        <w:rPr>
          <w:lang w:val="sq-AL"/>
        </w:rPr>
        <w:t xml:space="preserve"> Ark</w:t>
      </w:r>
      <w:r>
        <w:rPr>
          <w:lang w:val="sq-AL"/>
        </w:rPr>
        <w:t>ë</w:t>
      </w:r>
      <w:r w:rsidRPr="00EF4D5D">
        <w:rPr>
          <w:lang w:val="sq-AL"/>
        </w:rPr>
        <w:t>tueshme</w:t>
      </w:r>
      <w:bookmarkEnd w:id="9"/>
    </w:p>
    <w:p w:rsidR="0075093C" w:rsidRPr="00EF4D5D" w:rsidRDefault="00EB07F2" w:rsidP="00EB07F2">
      <w:pPr>
        <w:jc w:val="both"/>
        <w:rPr>
          <w:lang w:val="sq-AL"/>
        </w:rPr>
      </w:pPr>
      <w:r w:rsidRPr="00EF4D5D">
        <w:rPr>
          <w:lang w:val="sq-AL"/>
        </w:rPr>
        <w:t>Fillimisht</w:t>
      </w:r>
      <w:r w:rsidR="0075093C" w:rsidRPr="00EF4D5D">
        <w:rPr>
          <w:lang w:val="sq-AL"/>
        </w:rPr>
        <w:t xml:space="preserve"> në </w:t>
      </w:r>
      <w:r w:rsidRPr="00EF4D5D">
        <w:rPr>
          <w:lang w:val="sq-AL"/>
        </w:rPr>
        <w:t>trajti</w:t>
      </w:r>
      <w:r>
        <w:rPr>
          <w:lang w:val="sq-AL"/>
        </w:rPr>
        <w:t>m</w:t>
      </w:r>
      <w:r w:rsidRPr="00EF4D5D">
        <w:rPr>
          <w:lang w:val="sq-AL"/>
        </w:rPr>
        <w:t>in</w:t>
      </w:r>
      <w:r w:rsidR="0075093C" w:rsidRPr="00EF4D5D">
        <w:rPr>
          <w:lang w:val="sq-AL"/>
        </w:rPr>
        <w:t xml:space="preserve"> e nivelit të borxhit të keq duhet qartësuar se mos-inkasimi nuk mund t</w:t>
      </w:r>
      <w:r w:rsidR="0075093C">
        <w:rPr>
          <w:lang w:val="sq-AL"/>
        </w:rPr>
        <w:t>ë</w:t>
      </w:r>
      <w:r w:rsidR="0075093C" w:rsidRPr="00EF4D5D">
        <w:rPr>
          <w:lang w:val="sq-AL"/>
        </w:rPr>
        <w:t xml:space="preserve"> konsiderohet i t</w:t>
      </w:r>
      <w:r w:rsidR="0075093C">
        <w:rPr>
          <w:lang w:val="sq-AL"/>
        </w:rPr>
        <w:t>ë</w:t>
      </w:r>
      <w:r w:rsidR="0075093C" w:rsidRPr="00EF4D5D">
        <w:rPr>
          <w:lang w:val="sq-AL"/>
        </w:rPr>
        <w:t>ri si borxh i keq, ngase mund t</w:t>
      </w:r>
      <w:r w:rsidR="0075093C">
        <w:rPr>
          <w:lang w:val="sq-AL"/>
        </w:rPr>
        <w:t>ë</w:t>
      </w:r>
      <w:r w:rsidR="0075093C" w:rsidRPr="00EF4D5D">
        <w:rPr>
          <w:lang w:val="sq-AL"/>
        </w:rPr>
        <w:t xml:space="preserve"> ket</w:t>
      </w:r>
      <w:r w:rsidR="0075093C">
        <w:rPr>
          <w:lang w:val="sq-AL"/>
        </w:rPr>
        <w:t>ë</w:t>
      </w:r>
      <w:r w:rsidR="0075093C" w:rsidRPr="00EF4D5D">
        <w:rPr>
          <w:lang w:val="sq-AL"/>
        </w:rPr>
        <w:t xml:space="preserve"> vonesa n</w:t>
      </w:r>
      <w:r w:rsidR="0075093C">
        <w:rPr>
          <w:lang w:val="sq-AL"/>
        </w:rPr>
        <w:t>ë</w:t>
      </w:r>
      <w:r w:rsidR="0075093C" w:rsidRPr="00EF4D5D">
        <w:rPr>
          <w:lang w:val="sq-AL"/>
        </w:rPr>
        <w:t xml:space="preserve"> inkasim, mir</w:t>
      </w:r>
      <w:r w:rsidR="0075093C">
        <w:rPr>
          <w:lang w:val="sq-AL"/>
        </w:rPr>
        <w:t>ë</w:t>
      </w:r>
      <w:r w:rsidR="0075093C" w:rsidRPr="00EF4D5D">
        <w:rPr>
          <w:lang w:val="sq-AL"/>
        </w:rPr>
        <w:t>po jo i t</w:t>
      </w:r>
      <w:r w:rsidR="0075093C">
        <w:rPr>
          <w:lang w:val="sq-AL"/>
        </w:rPr>
        <w:t>ë</w:t>
      </w:r>
      <w:r w:rsidR="0075093C" w:rsidRPr="00EF4D5D">
        <w:rPr>
          <w:lang w:val="sq-AL"/>
        </w:rPr>
        <w:t>r</w:t>
      </w:r>
      <w:r w:rsidR="0075093C">
        <w:rPr>
          <w:lang w:val="sq-AL"/>
        </w:rPr>
        <w:t>ë</w:t>
      </w:r>
      <w:r w:rsidR="0075093C" w:rsidRPr="00EF4D5D">
        <w:rPr>
          <w:lang w:val="sq-AL"/>
        </w:rPr>
        <w:t xml:space="preserve"> ky mos-inkasim rezulton t</w:t>
      </w:r>
      <w:r w:rsidR="0075093C">
        <w:rPr>
          <w:lang w:val="sq-AL"/>
        </w:rPr>
        <w:t>ë</w:t>
      </w:r>
      <w:r w:rsidR="0075093C" w:rsidRPr="00EF4D5D">
        <w:rPr>
          <w:lang w:val="sq-AL"/>
        </w:rPr>
        <w:t xml:space="preserve"> mbetet si borxh i keq. P</w:t>
      </w:r>
      <w:r w:rsidR="0075093C">
        <w:rPr>
          <w:lang w:val="sq-AL"/>
        </w:rPr>
        <w:t>ë</w:t>
      </w:r>
      <w:r w:rsidR="0075093C" w:rsidRPr="00EF4D5D">
        <w:rPr>
          <w:lang w:val="sq-AL"/>
        </w:rPr>
        <w:t>r k</w:t>
      </w:r>
      <w:r w:rsidR="0075093C">
        <w:rPr>
          <w:lang w:val="sq-AL"/>
        </w:rPr>
        <w:t>ë</w:t>
      </w:r>
      <w:r w:rsidR="0075093C" w:rsidRPr="00EF4D5D">
        <w:rPr>
          <w:lang w:val="sq-AL"/>
        </w:rPr>
        <w:t>t</w:t>
      </w:r>
      <w:r w:rsidR="0075093C">
        <w:rPr>
          <w:lang w:val="sq-AL"/>
        </w:rPr>
        <w:t>ë</w:t>
      </w:r>
      <w:r w:rsidR="0075093C" w:rsidRPr="00EF4D5D">
        <w:rPr>
          <w:lang w:val="sq-AL"/>
        </w:rPr>
        <w:t xml:space="preserve"> q</w:t>
      </w:r>
      <w:r w:rsidR="0075093C">
        <w:rPr>
          <w:lang w:val="sq-AL"/>
        </w:rPr>
        <w:t>ë</w:t>
      </w:r>
      <w:r w:rsidR="0075093C" w:rsidRPr="00EF4D5D">
        <w:rPr>
          <w:lang w:val="sq-AL"/>
        </w:rPr>
        <w:t>llim ZRRE ka k</w:t>
      </w:r>
      <w:r w:rsidR="0075093C">
        <w:rPr>
          <w:lang w:val="sq-AL"/>
        </w:rPr>
        <w:t>ë</w:t>
      </w:r>
      <w:r w:rsidR="0075093C" w:rsidRPr="00EF4D5D">
        <w:rPr>
          <w:lang w:val="sq-AL"/>
        </w:rPr>
        <w:t>rkuar t</w:t>
      </w:r>
      <w:r w:rsidR="0075093C">
        <w:rPr>
          <w:lang w:val="sq-AL"/>
        </w:rPr>
        <w:t>ë</w:t>
      </w:r>
      <w:r w:rsidR="0075093C" w:rsidRPr="00EF4D5D">
        <w:rPr>
          <w:lang w:val="sq-AL"/>
        </w:rPr>
        <w:t xml:space="preserve"> dh</w:t>
      </w:r>
      <w:r w:rsidR="0075093C">
        <w:rPr>
          <w:lang w:val="sq-AL"/>
        </w:rPr>
        <w:t>ë</w:t>
      </w:r>
      <w:r w:rsidR="0075093C" w:rsidRPr="00EF4D5D">
        <w:rPr>
          <w:lang w:val="sq-AL"/>
        </w:rPr>
        <w:t>nat nga KESCO q</w:t>
      </w:r>
      <w:r w:rsidR="0075093C">
        <w:rPr>
          <w:lang w:val="sq-AL"/>
        </w:rPr>
        <w:t>ë</w:t>
      </w:r>
      <w:r w:rsidR="0075093C" w:rsidRPr="00EF4D5D">
        <w:rPr>
          <w:lang w:val="sq-AL"/>
        </w:rPr>
        <w:t xml:space="preserve"> kan</w:t>
      </w:r>
      <w:r w:rsidR="0075093C">
        <w:rPr>
          <w:lang w:val="sq-AL"/>
        </w:rPr>
        <w:t>ë</w:t>
      </w:r>
      <w:r w:rsidR="0075093C" w:rsidRPr="00EF4D5D">
        <w:rPr>
          <w:lang w:val="sq-AL"/>
        </w:rPr>
        <w:t xml:space="preserve"> t</w:t>
      </w:r>
      <w:r w:rsidR="0075093C">
        <w:rPr>
          <w:lang w:val="sq-AL"/>
        </w:rPr>
        <w:t>ë</w:t>
      </w:r>
      <w:r w:rsidR="0075093C" w:rsidRPr="00EF4D5D">
        <w:rPr>
          <w:lang w:val="sq-AL"/>
        </w:rPr>
        <w:t xml:space="preserve"> b</w:t>
      </w:r>
      <w:r w:rsidR="0075093C">
        <w:rPr>
          <w:lang w:val="sq-AL"/>
        </w:rPr>
        <w:t>ë</w:t>
      </w:r>
      <w:r w:rsidR="0075093C" w:rsidRPr="00EF4D5D">
        <w:rPr>
          <w:lang w:val="sq-AL"/>
        </w:rPr>
        <w:t>jn</w:t>
      </w:r>
      <w:r w:rsidR="0075093C">
        <w:rPr>
          <w:lang w:val="sq-AL"/>
        </w:rPr>
        <w:t>ë</w:t>
      </w:r>
      <w:r w:rsidR="0075093C" w:rsidRPr="00EF4D5D">
        <w:rPr>
          <w:lang w:val="sq-AL"/>
        </w:rPr>
        <w:t xml:space="preserve"> me Humbjen/Rënien n</w:t>
      </w:r>
      <w:r w:rsidR="0075093C">
        <w:rPr>
          <w:lang w:val="sq-AL"/>
        </w:rPr>
        <w:t>ë</w:t>
      </w:r>
      <w:r w:rsidR="0075093C" w:rsidRPr="00EF4D5D">
        <w:rPr>
          <w:lang w:val="sq-AL"/>
        </w:rPr>
        <w:t xml:space="preserve"> Vler</w:t>
      </w:r>
      <w:r w:rsidR="0075093C">
        <w:rPr>
          <w:lang w:val="sq-AL"/>
        </w:rPr>
        <w:t>ë</w:t>
      </w:r>
      <w:r w:rsidR="0075093C" w:rsidRPr="00EF4D5D">
        <w:rPr>
          <w:lang w:val="sq-AL"/>
        </w:rPr>
        <w:t xml:space="preserve"> t</w:t>
      </w:r>
      <w:r w:rsidR="0075093C">
        <w:rPr>
          <w:lang w:val="sq-AL"/>
        </w:rPr>
        <w:t>ë</w:t>
      </w:r>
      <w:r w:rsidR="0075093C" w:rsidRPr="00EF4D5D">
        <w:rPr>
          <w:lang w:val="sq-AL"/>
        </w:rPr>
        <w:t xml:space="preserve"> Llogarive t</w:t>
      </w:r>
      <w:r w:rsidR="0075093C">
        <w:rPr>
          <w:lang w:val="sq-AL"/>
        </w:rPr>
        <w:t>ë</w:t>
      </w:r>
      <w:r w:rsidR="0075093C" w:rsidRPr="00EF4D5D">
        <w:rPr>
          <w:lang w:val="sq-AL"/>
        </w:rPr>
        <w:t xml:space="preserve"> Ark</w:t>
      </w:r>
      <w:r w:rsidR="0075093C">
        <w:rPr>
          <w:lang w:val="sq-AL"/>
        </w:rPr>
        <w:t>ë</w:t>
      </w:r>
      <w:r w:rsidR="0075093C" w:rsidRPr="00EF4D5D">
        <w:rPr>
          <w:lang w:val="sq-AL"/>
        </w:rPr>
        <w:t xml:space="preserve">tueshme (RNVLlA), si dhe ka analizuar pasqyrat </w:t>
      </w:r>
      <w:r w:rsidR="0075093C" w:rsidRPr="00EF4D5D">
        <w:rPr>
          <w:lang w:val="sq-AL"/>
        </w:rPr>
        <w:lastRenderedPageBreak/>
        <w:t>financiare t</w:t>
      </w:r>
      <w:r w:rsidR="0075093C">
        <w:rPr>
          <w:lang w:val="sq-AL"/>
        </w:rPr>
        <w:t>ë</w:t>
      </w:r>
      <w:r w:rsidR="0075093C" w:rsidRPr="00EF4D5D">
        <w:rPr>
          <w:lang w:val="sq-AL"/>
        </w:rPr>
        <w:t xml:space="preserve"> KESCO</w:t>
      </w:r>
      <w:r w:rsidR="0075093C">
        <w:rPr>
          <w:lang w:val="sq-AL"/>
        </w:rPr>
        <w:t>-së</w:t>
      </w:r>
      <w:r w:rsidR="0075093C" w:rsidRPr="00EF4D5D">
        <w:rPr>
          <w:lang w:val="sq-AL"/>
        </w:rPr>
        <w:t>, ku pasqyrohen edhe z</w:t>
      </w:r>
      <w:r w:rsidR="0075093C">
        <w:rPr>
          <w:lang w:val="sq-AL"/>
        </w:rPr>
        <w:t>ë</w:t>
      </w:r>
      <w:r w:rsidR="0075093C" w:rsidRPr="00EF4D5D">
        <w:rPr>
          <w:lang w:val="sq-AL"/>
        </w:rPr>
        <w:t>rat q</w:t>
      </w:r>
      <w:r w:rsidR="0075093C">
        <w:rPr>
          <w:lang w:val="sq-AL"/>
        </w:rPr>
        <w:t>ë</w:t>
      </w:r>
      <w:r w:rsidR="0075093C" w:rsidRPr="00EF4D5D">
        <w:rPr>
          <w:lang w:val="sq-AL"/>
        </w:rPr>
        <w:t xml:space="preserve"> nd</w:t>
      </w:r>
      <w:r w:rsidR="0075093C">
        <w:rPr>
          <w:lang w:val="sq-AL"/>
        </w:rPr>
        <w:t>ë</w:t>
      </w:r>
      <w:r w:rsidR="0075093C" w:rsidRPr="00EF4D5D">
        <w:rPr>
          <w:lang w:val="sq-AL"/>
        </w:rPr>
        <w:t xml:space="preserve">rlidhen me rënien në vlerë të llogarive të arkëtueshme. </w:t>
      </w:r>
    </w:p>
    <w:p w:rsidR="0075093C" w:rsidRPr="00450894" w:rsidRDefault="0075093C" w:rsidP="00EB07F2">
      <w:pPr>
        <w:jc w:val="both"/>
        <w:rPr>
          <w:lang w:val="sq-AL"/>
        </w:rPr>
      </w:pPr>
      <w:r w:rsidRPr="00450894">
        <w:rPr>
          <w:lang w:val="sq-AL"/>
        </w:rPr>
        <w:t>G</w:t>
      </w:r>
      <w:r>
        <w:rPr>
          <w:lang w:val="sq-AL"/>
        </w:rPr>
        <w:t>jatë këtyre dy viteve për shkak</w:t>
      </w:r>
      <w:r w:rsidRPr="00450894">
        <w:rPr>
          <w:lang w:val="sq-AL"/>
        </w:rPr>
        <w:t xml:space="preserve"> të pandemisë COVID 19, kriza ekonomike ka prekur gjithë botën, </w:t>
      </w:r>
      <w:r>
        <w:rPr>
          <w:lang w:val="sq-AL"/>
        </w:rPr>
        <w:t>dhe rrjedhimisht është prekur edhe</w:t>
      </w:r>
      <w:r w:rsidRPr="00450894">
        <w:rPr>
          <w:lang w:val="sq-AL"/>
        </w:rPr>
        <w:t xml:space="preserve"> Kosova. Rrjedhimisht kjo krizë ka prekur edhe familjet dhe bizneset të cilat gjatë kësaj periudhe kanë pasur vështirësi me i kryer obligimet ndaj shërbimeve publike dhe kthimit të kredive. </w:t>
      </w:r>
    </w:p>
    <w:p w:rsidR="0075093C" w:rsidRDefault="0075093C" w:rsidP="0075093C">
      <w:pPr>
        <w:rPr>
          <w:lang w:val="sq-AL"/>
        </w:rPr>
      </w:pPr>
    </w:p>
    <w:p w:rsidR="0075093C" w:rsidRDefault="0075093C" w:rsidP="00EB07F2">
      <w:pPr>
        <w:jc w:val="both"/>
        <w:rPr>
          <w:lang w:val="sq-AL"/>
        </w:rPr>
      </w:pPr>
      <w:r w:rsidRPr="00EF4D5D">
        <w:rPr>
          <w:lang w:val="sq-AL"/>
        </w:rPr>
        <w:t>Nga analiza e të dhënave</w:t>
      </w:r>
      <w:r>
        <w:rPr>
          <w:lang w:val="sq-AL"/>
        </w:rPr>
        <w:t xml:space="preserve"> historike</w:t>
      </w:r>
      <w:r w:rsidRPr="00EF4D5D">
        <w:rPr>
          <w:lang w:val="sq-AL"/>
        </w:rPr>
        <w:t xml:space="preserve"> t</w:t>
      </w:r>
      <w:r>
        <w:rPr>
          <w:lang w:val="sq-AL"/>
        </w:rPr>
        <w:t>ë</w:t>
      </w:r>
      <w:r w:rsidRPr="00EF4D5D">
        <w:rPr>
          <w:lang w:val="sq-AL"/>
        </w:rPr>
        <w:t xml:space="preserve"> siguruara nga KESCO, dhe pasqyrave financiare për periudhën 2017-2021, Rënia në Vlerë e Llogarive të Arkëtueshme në mesat</w:t>
      </w:r>
      <w:r w:rsidR="00EB07F2">
        <w:rPr>
          <w:lang w:val="sq-AL"/>
        </w:rPr>
        <w:t>a</w:t>
      </w:r>
      <w:r w:rsidRPr="00EF4D5D">
        <w:rPr>
          <w:lang w:val="sq-AL"/>
        </w:rPr>
        <w:t>re për tërë periudhën është 1.7%. Përveç kësaj ZRRE t</w:t>
      </w:r>
      <w:r w:rsidRPr="00450894">
        <w:rPr>
          <w:lang w:val="sq-AL"/>
        </w:rPr>
        <w:t xml:space="preserve">utje në analizën e saj ka marrë në konsideratë pa-njohurit lidhur me situatën e ardhshme të COVID19 në Kosovë dhe Botë, </w:t>
      </w:r>
      <w:r w:rsidR="00EB07F2" w:rsidRPr="00450894">
        <w:rPr>
          <w:lang w:val="sq-AL"/>
        </w:rPr>
        <w:t>përkeqësimi</w:t>
      </w:r>
      <w:r w:rsidRPr="00450894">
        <w:rPr>
          <w:lang w:val="sq-AL"/>
        </w:rPr>
        <w:t xml:space="preserve"> eventual i saj mund të ketë një ndikim negativ në inkasim</w:t>
      </w:r>
      <w:r w:rsidRPr="00032EE0">
        <w:rPr>
          <w:lang w:val="sq-AL"/>
        </w:rPr>
        <w:t xml:space="preserve">. </w:t>
      </w:r>
      <w:r w:rsidRPr="00450894">
        <w:rPr>
          <w:lang w:val="sq-AL"/>
        </w:rPr>
        <w:t xml:space="preserve">Prandaj, ZRRE në vlerësimin e borxhit të keq për vitin 2022 si vlerë hapëse, ka marrë në konsideratë pikat kritike të Rënies në Vlerë të Llogarive të Arkëtueshme të periudhës 2020-2021. </w:t>
      </w:r>
    </w:p>
    <w:p w:rsidR="0075093C" w:rsidRDefault="0075093C" w:rsidP="00EB07F2">
      <w:pPr>
        <w:jc w:val="both"/>
        <w:rPr>
          <w:lang w:val="sq-AL"/>
        </w:rPr>
      </w:pPr>
      <w:r w:rsidRPr="00B1408C">
        <w:rPr>
          <w:lang w:val="sq-AL"/>
        </w:rPr>
        <w:t>Në supozimin e për pritjet e nivelit të Rënies në</w:t>
      </w:r>
      <w:r w:rsidRPr="00450894">
        <w:rPr>
          <w:lang w:val="sq-AL"/>
        </w:rPr>
        <w:t xml:space="preserve"> Vlerë të Llogarive të Arkëtueshme të Vitit 2021, ZRRE ka marrë nivelin e realizuar për tetë (8) muaj dhe më pastaj ka konvertuar atë në vlerë vjetore (3.3*12/8). Mesatarja e RNVLlA për 2020-2021 ka rezultuar të jetë prej 2.21%. Ky nivel mundëson që të shmangen pa</w:t>
      </w:r>
      <w:r w:rsidR="00EB07F2">
        <w:rPr>
          <w:lang w:val="sq-AL"/>
        </w:rPr>
        <w:t>-</w:t>
      </w:r>
      <w:r w:rsidRPr="00450894">
        <w:rPr>
          <w:lang w:val="sq-AL"/>
        </w:rPr>
        <w:t xml:space="preserve">parashikueshmeritë eventuale në </w:t>
      </w:r>
      <w:r w:rsidR="00EB07F2" w:rsidRPr="00450894">
        <w:rPr>
          <w:lang w:val="sq-AL"/>
        </w:rPr>
        <w:t>njërën</w:t>
      </w:r>
      <w:r w:rsidRPr="00450894">
        <w:rPr>
          <w:lang w:val="sq-AL"/>
        </w:rPr>
        <w:t xml:space="preserve"> anë, dhe është masë preventive për stabilitetin dhe </w:t>
      </w:r>
      <w:r w:rsidR="00EB07F2" w:rsidRPr="00450894">
        <w:rPr>
          <w:lang w:val="sq-AL"/>
        </w:rPr>
        <w:t>likuiditetin</w:t>
      </w:r>
      <w:r w:rsidRPr="00450894">
        <w:rPr>
          <w:lang w:val="sq-AL"/>
        </w:rPr>
        <w:t xml:space="preserve"> e FSHU-së në anën tjetër. </w:t>
      </w:r>
    </w:p>
    <w:p w:rsidR="0075093C" w:rsidRPr="00EF4D5D" w:rsidRDefault="0075093C" w:rsidP="0075093C">
      <w:pPr>
        <w:pStyle w:val="Heading4"/>
        <w:spacing w:after="240"/>
        <w:rPr>
          <w:lang w:val="sq-AL"/>
        </w:rPr>
      </w:pPr>
      <w:bookmarkStart w:id="10" w:name="_Toc88226453"/>
      <w:r w:rsidRPr="00724407">
        <w:rPr>
          <w:lang w:val="sq-AL"/>
        </w:rPr>
        <w:t xml:space="preserve">Ndikimi i </w:t>
      </w:r>
      <w:r>
        <w:rPr>
          <w:lang w:val="sq-AL"/>
        </w:rPr>
        <w:t>derregullimit</w:t>
      </w:r>
      <w:bookmarkEnd w:id="10"/>
    </w:p>
    <w:p w:rsidR="0075093C" w:rsidRDefault="0075093C" w:rsidP="009277F3">
      <w:pPr>
        <w:jc w:val="both"/>
        <w:rPr>
          <w:lang w:val="sq-AL"/>
        </w:rPr>
      </w:pPr>
      <w:r w:rsidRPr="00540B57">
        <w:rPr>
          <w:lang w:val="sq-AL"/>
        </w:rPr>
        <w:t>ZRRE gjithashtu ka marr</w:t>
      </w:r>
      <w:r>
        <w:rPr>
          <w:lang w:val="sq-AL"/>
        </w:rPr>
        <w:t>ë</w:t>
      </w:r>
      <w:r w:rsidRPr="00EF4D5D">
        <w:rPr>
          <w:lang w:val="sq-AL"/>
        </w:rPr>
        <w:t xml:space="preserve"> n</w:t>
      </w:r>
      <w:r>
        <w:rPr>
          <w:lang w:val="sq-AL"/>
        </w:rPr>
        <w:t>ë</w:t>
      </w:r>
      <w:r w:rsidRPr="00EF4D5D">
        <w:rPr>
          <w:lang w:val="sq-AL"/>
        </w:rPr>
        <w:t xml:space="preserve"> </w:t>
      </w:r>
      <w:r w:rsidR="00EB07F2" w:rsidRPr="00EF4D5D">
        <w:rPr>
          <w:lang w:val="sq-AL"/>
        </w:rPr>
        <w:t>konsidera</w:t>
      </w:r>
      <w:r w:rsidR="00EB07F2">
        <w:rPr>
          <w:lang w:val="sq-AL"/>
        </w:rPr>
        <w:t>të</w:t>
      </w:r>
      <w:r w:rsidRPr="00EF4D5D">
        <w:rPr>
          <w:lang w:val="sq-AL"/>
        </w:rPr>
        <w:t xml:space="preserve"> ndikimin e derregullimit t</w:t>
      </w:r>
      <w:r>
        <w:rPr>
          <w:lang w:val="sq-AL"/>
        </w:rPr>
        <w:t>ë</w:t>
      </w:r>
      <w:r w:rsidRPr="00EF4D5D">
        <w:rPr>
          <w:lang w:val="sq-AL"/>
        </w:rPr>
        <w:t xml:space="preserve"> konsumator</w:t>
      </w:r>
      <w:r>
        <w:rPr>
          <w:lang w:val="sq-AL"/>
        </w:rPr>
        <w:t>ë</w:t>
      </w:r>
      <w:r w:rsidRPr="00EF4D5D">
        <w:rPr>
          <w:lang w:val="sq-AL"/>
        </w:rPr>
        <w:t>ve, prej 0.15%, n</w:t>
      </w:r>
      <w:r>
        <w:rPr>
          <w:lang w:val="sq-AL"/>
        </w:rPr>
        <w:t>ë</w:t>
      </w:r>
      <w:r w:rsidRPr="00EF4D5D">
        <w:rPr>
          <w:lang w:val="sq-AL"/>
        </w:rPr>
        <w:t xml:space="preserve"> vler</w:t>
      </w:r>
      <w:r>
        <w:rPr>
          <w:lang w:val="sq-AL"/>
        </w:rPr>
        <w:t>ë</w:t>
      </w:r>
      <w:r w:rsidRPr="00EF4D5D">
        <w:rPr>
          <w:lang w:val="sq-AL"/>
        </w:rPr>
        <w:t>simin e borxhit t</w:t>
      </w:r>
      <w:r>
        <w:rPr>
          <w:lang w:val="sq-AL"/>
        </w:rPr>
        <w:t>ë</w:t>
      </w:r>
      <w:r w:rsidRPr="00EF4D5D">
        <w:rPr>
          <w:lang w:val="sq-AL"/>
        </w:rPr>
        <w:t xml:space="preserve"> keq. Propozimi p</w:t>
      </w:r>
      <w:r>
        <w:rPr>
          <w:lang w:val="sq-AL"/>
        </w:rPr>
        <w:t>ë</w:t>
      </w:r>
      <w:r w:rsidRPr="00EF4D5D">
        <w:rPr>
          <w:lang w:val="sq-AL"/>
        </w:rPr>
        <w:t>rfundimtar i ZRRE</w:t>
      </w:r>
      <w:r>
        <w:rPr>
          <w:lang w:val="sq-AL"/>
        </w:rPr>
        <w:t>-së</w:t>
      </w:r>
      <w:r w:rsidRPr="00EF4D5D">
        <w:rPr>
          <w:lang w:val="sq-AL"/>
        </w:rPr>
        <w:t xml:space="preserve"> p</w:t>
      </w:r>
      <w:r>
        <w:rPr>
          <w:lang w:val="sq-AL"/>
        </w:rPr>
        <w:t>ë</w:t>
      </w:r>
      <w:r w:rsidRPr="00EF4D5D">
        <w:rPr>
          <w:lang w:val="sq-AL"/>
        </w:rPr>
        <w:t>r lejimin e nivelit t</w:t>
      </w:r>
      <w:r>
        <w:rPr>
          <w:lang w:val="sq-AL"/>
        </w:rPr>
        <w:t>ë</w:t>
      </w:r>
      <w:r w:rsidRPr="00EF4D5D">
        <w:rPr>
          <w:lang w:val="sq-AL"/>
        </w:rPr>
        <w:t xml:space="preserve"> borxhit t</w:t>
      </w:r>
      <w:r>
        <w:rPr>
          <w:lang w:val="sq-AL"/>
        </w:rPr>
        <w:t>ë</w:t>
      </w:r>
      <w:r w:rsidRPr="00EF4D5D">
        <w:rPr>
          <w:lang w:val="sq-AL"/>
        </w:rPr>
        <w:t xml:space="preserve"> keq p</w:t>
      </w:r>
      <w:r>
        <w:rPr>
          <w:lang w:val="sq-AL"/>
        </w:rPr>
        <w:t>ë</w:t>
      </w:r>
      <w:r w:rsidRPr="00EF4D5D">
        <w:rPr>
          <w:lang w:val="sq-AL"/>
        </w:rPr>
        <w:t>r vitin baz</w:t>
      </w:r>
      <w:r>
        <w:rPr>
          <w:lang w:val="sq-AL"/>
        </w:rPr>
        <w:t>ë</w:t>
      </w:r>
      <w:r w:rsidRPr="00EF4D5D">
        <w:rPr>
          <w:lang w:val="sq-AL"/>
        </w:rPr>
        <w:t xml:space="preserve"> 2022 t</w:t>
      </w:r>
      <w:r>
        <w:rPr>
          <w:lang w:val="sq-AL"/>
        </w:rPr>
        <w:t>ë</w:t>
      </w:r>
      <w:r w:rsidRPr="00EF4D5D">
        <w:rPr>
          <w:lang w:val="sq-AL"/>
        </w:rPr>
        <w:t xml:space="preserve"> periudh</w:t>
      </w:r>
      <w:r>
        <w:rPr>
          <w:lang w:val="sq-AL"/>
        </w:rPr>
        <w:t>ës rregullative është</w:t>
      </w:r>
      <w:r w:rsidRPr="00EF4D5D">
        <w:rPr>
          <w:lang w:val="sq-AL"/>
        </w:rPr>
        <w:t xml:space="preserve"> 2.</w:t>
      </w:r>
      <w:r>
        <w:rPr>
          <w:lang w:val="sq-AL"/>
        </w:rPr>
        <w:t>4</w:t>
      </w:r>
      <w:r w:rsidRPr="00EF4D5D">
        <w:rPr>
          <w:lang w:val="sq-AL"/>
        </w:rPr>
        <w:t>%, nd</w:t>
      </w:r>
      <w:r>
        <w:rPr>
          <w:lang w:val="sq-AL"/>
        </w:rPr>
        <w:t>ë</w:t>
      </w:r>
      <w:r w:rsidRPr="00EF4D5D">
        <w:rPr>
          <w:lang w:val="sq-AL"/>
        </w:rPr>
        <w:t>rsa propozon q</w:t>
      </w:r>
      <w:r>
        <w:rPr>
          <w:lang w:val="sq-AL"/>
        </w:rPr>
        <w:t>ë</w:t>
      </w:r>
      <w:r w:rsidRPr="00EF4D5D">
        <w:rPr>
          <w:lang w:val="sq-AL"/>
        </w:rPr>
        <w:t xml:space="preserve"> kjo norm</w:t>
      </w:r>
      <w:r>
        <w:rPr>
          <w:lang w:val="sq-AL"/>
        </w:rPr>
        <w:t>ë</w:t>
      </w:r>
      <w:r w:rsidRPr="00EF4D5D">
        <w:rPr>
          <w:lang w:val="sq-AL"/>
        </w:rPr>
        <w:t xml:space="preserve"> t</w:t>
      </w:r>
      <w:r>
        <w:rPr>
          <w:lang w:val="sq-AL"/>
        </w:rPr>
        <w:t>ë</w:t>
      </w:r>
      <w:r w:rsidRPr="00EF4D5D">
        <w:rPr>
          <w:lang w:val="sq-AL"/>
        </w:rPr>
        <w:t xml:space="preserve"> ulet në </w:t>
      </w:r>
      <w:r>
        <w:rPr>
          <w:lang w:val="sq-AL"/>
        </w:rPr>
        <w:t>2.0</w:t>
      </w:r>
      <w:r w:rsidRPr="00EF4D5D">
        <w:rPr>
          <w:lang w:val="sq-AL"/>
        </w:rPr>
        <w:t xml:space="preserve">% në vitin </w:t>
      </w:r>
      <w:r w:rsidRPr="00450894">
        <w:rPr>
          <w:lang w:val="sq-AL"/>
        </w:rPr>
        <w:t xml:space="preserve">2024. Ky objektiv i ZRRE-së ka si referencë nivelin mesatar të realizuar nga KESCO-FSHU në periudhën 2017-2021, i cili ishte 1.7%. Ky dallim prej 0.4% është ndarë në dy vite, ku për vitin 2023 borxhi i keq propozohet të jetë 2.2%, ndërsa në vitin 2024 propozohet të jetë2.0%. </w:t>
      </w:r>
      <w:r>
        <w:rPr>
          <w:lang w:val="sq-AL"/>
        </w:rPr>
        <w:t xml:space="preserve">Objektivi </w:t>
      </w:r>
      <w:r w:rsidRPr="00450894">
        <w:rPr>
          <w:lang w:val="sq-AL"/>
        </w:rPr>
        <w:t>rregullator është që ofr</w:t>
      </w:r>
      <w:r w:rsidR="009277F3">
        <w:rPr>
          <w:lang w:val="sq-AL"/>
        </w:rPr>
        <w:t>o</w:t>
      </w:r>
      <w:r w:rsidRPr="00450894">
        <w:rPr>
          <w:lang w:val="sq-AL"/>
        </w:rPr>
        <w:t>jë një nxitje për përmirësim të mëtejmë t</w:t>
      </w:r>
      <w:r>
        <w:rPr>
          <w:lang w:val="sq-AL"/>
        </w:rPr>
        <w:t>ë</w:t>
      </w:r>
      <w:r w:rsidRPr="00450894">
        <w:rPr>
          <w:lang w:val="sq-AL"/>
        </w:rPr>
        <w:t xml:space="preserve"> llogarive të arkëtueshme, kjo nxitje bazohet edhe në faktin se përmes </w:t>
      </w:r>
      <w:r>
        <w:rPr>
          <w:lang w:val="sq-AL"/>
        </w:rPr>
        <w:t xml:space="preserve">procesit të </w:t>
      </w:r>
      <w:r w:rsidRPr="00450894">
        <w:rPr>
          <w:lang w:val="sq-AL"/>
        </w:rPr>
        <w:t xml:space="preserve">përmbarimit </w:t>
      </w:r>
      <w:r>
        <w:rPr>
          <w:lang w:val="sq-AL"/>
        </w:rPr>
        <w:t xml:space="preserve">në të kaluarën </w:t>
      </w:r>
      <w:r w:rsidRPr="00450894">
        <w:rPr>
          <w:lang w:val="sq-AL"/>
        </w:rPr>
        <w:t>FSHU ka një përmirësim të nivelit të llogarive të arkëtueshme.</w:t>
      </w:r>
    </w:p>
    <w:p w:rsidR="0075093C" w:rsidRPr="007F49D2" w:rsidRDefault="0075093C" w:rsidP="009277F3">
      <w:pPr>
        <w:jc w:val="both"/>
        <w:rPr>
          <w:lang w:val="sq-AL"/>
        </w:rPr>
      </w:pPr>
      <w:r>
        <w:rPr>
          <w:lang w:val="sq-AL"/>
        </w:rPr>
        <w:t xml:space="preserve">Mekanizmi rregullator </w:t>
      </w:r>
      <w:r w:rsidRPr="00724407">
        <w:rPr>
          <w:lang w:val="sq-AL"/>
        </w:rPr>
        <w:t xml:space="preserve">për menaxhimin e borxhit të keq </w:t>
      </w:r>
      <w:r>
        <w:rPr>
          <w:lang w:val="sq-AL"/>
        </w:rPr>
        <w:t xml:space="preserve">mundëson </w:t>
      </w:r>
      <w:r w:rsidRPr="00724407">
        <w:rPr>
          <w:lang w:val="sq-AL"/>
        </w:rPr>
        <w:t>financimin e deficiti</w:t>
      </w:r>
      <w:r>
        <w:rPr>
          <w:lang w:val="sq-AL"/>
        </w:rPr>
        <w:t>t</w:t>
      </w:r>
      <w:r w:rsidRPr="00724407">
        <w:rPr>
          <w:lang w:val="sq-AL"/>
        </w:rPr>
        <w:t xml:space="preserve"> në të hyrat që nuk mund të </w:t>
      </w:r>
      <w:r w:rsidR="009277F3" w:rsidRPr="00724407">
        <w:rPr>
          <w:lang w:val="sq-AL"/>
        </w:rPr>
        <w:t>mblidh</w:t>
      </w:r>
      <w:r w:rsidR="009277F3">
        <w:rPr>
          <w:lang w:val="sq-AL"/>
        </w:rPr>
        <w:t>en</w:t>
      </w:r>
      <w:r w:rsidRPr="00724407">
        <w:rPr>
          <w:lang w:val="sq-AL"/>
        </w:rPr>
        <w:t xml:space="preserve"> nga faturimi i konsumatorëve me kosto sa më të ulët të mundshme, duke marrë parasysh nivelin e pranueshëm të ekspozimit ndaj rreziqeve financiare dhe </w:t>
      </w:r>
      <w:r>
        <w:rPr>
          <w:lang w:val="sq-AL"/>
        </w:rPr>
        <w:t>të</w:t>
      </w:r>
      <w:r w:rsidRPr="00724407">
        <w:rPr>
          <w:lang w:val="sq-AL"/>
        </w:rPr>
        <w:t xml:space="preserve"> likuiditeti</w:t>
      </w:r>
      <w:r>
        <w:rPr>
          <w:lang w:val="sq-AL"/>
        </w:rPr>
        <w:t>t</w:t>
      </w:r>
      <w:r w:rsidRPr="00724407">
        <w:rPr>
          <w:lang w:val="sq-AL"/>
        </w:rPr>
        <w:t xml:space="preserve"> </w:t>
      </w:r>
      <w:r>
        <w:rPr>
          <w:lang w:val="sq-AL"/>
        </w:rPr>
        <w:t>të</w:t>
      </w:r>
      <w:r w:rsidRPr="00724407">
        <w:rPr>
          <w:lang w:val="sq-AL"/>
        </w:rPr>
        <w:t xml:space="preserve"> FSHU-së. </w:t>
      </w:r>
    </w:p>
    <w:p w:rsidR="0075093C" w:rsidRDefault="0075093C" w:rsidP="009277F3">
      <w:pPr>
        <w:jc w:val="both"/>
        <w:rPr>
          <w:lang w:val="sq-AL"/>
        </w:rPr>
      </w:pPr>
      <w:r w:rsidRPr="00540B57">
        <w:rPr>
          <w:lang w:val="sq-AL"/>
        </w:rPr>
        <w:t>Në tabelën më poshtë janë paraqitur t</w:t>
      </w:r>
      <w:r>
        <w:rPr>
          <w:lang w:val="sq-AL"/>
        </w:rPr>
        <w:t>ë</w:t>
      </w:r>
      <w:r w:rsidRPr="00EF4D5D">
        <w:rPr>
          <w:lang w:val="sq-AL"/>
        </w:rPr>
        <w:t xml:space="preserve"> dh</w:t>
      </w:r>
      <w:r>
        <w:rPr>
          <w:lang w:val="sq-AL"/>
        </w:rPr>
        <w:t>ë</w:t>
      </w:r>
      <w:r w:rsidRPr="00EF4D5D">
        <w:rPr>
          <w:lang w:val="sq-AL"/>
        </w:rPr>
        <w:t>nat e p</w:t>
      </w:r>
      <w:r>
        <w:rPr>
          <w:lang w:val="sq-AL"/>
        </w:rPr>
        <w:t>ë</w:t>
      </w:r>
      <w:r w:rsidRPr="00EF4D5D">
        <w:rPr>
          <w:lang w:val="sq-AL"/>
        </w:rPr>
        <w:t>rdorura dhe kalkulimet q</w:t>
      </w:r>
      <w:r>
        <w:rPr>
          <w:lang w:val="sq-AL"/>
        </w:rPr>
        <w:t>ë</w:t>
      </w:r>
      <w:r w:rsidRPr="00EF4D5D">
        <w:rPr>
          <w:lang w:val="sq-AL"/>
        </w:rPr>
        <w:t xml:space="preserve"> nd</w:t>
      </w:r>
      <w:r>
        <w:rPr>
          <w:lang w:val="sq-AL"/>
        </w:rPr>
        <w:t>ë</w:t>
      </w:r>
      <w:r w:rsidRPr="00EF4D5D">
        <w:rPr>
          <w:lang w:val="sq-AL"/>
        </w:rPr>
        <w:t>rlidhen me aspektet e mos-inkasimit p</w:t>
      </w:r>
      <w:r>
        <w:rPr>
          <w:lang w:val="sq-AL"/>
        </w:rPr>
        <w:t>ë</w:t>
      </w:r>
      <w:r w:rsidRPr="00EF4D5D">
        <w:rPr>
          <w:lang w:val="sq-AL"/>
        </w:rPr>
        <w:t>r lejimin e borxhit t</w:t>
      </w:r>
      <w:r>
        <w:rPr>
          <w:lang w:val="sq-AL"/>
        </w:rPr>
        <w:t>ë</w:t>
      </w:r>
      <w:r w:rsidRPr="00EF4D5D">
        <w:rPr>
          <w:lang w:val="sq-AL"/>
        </w:rPr>
        <w:t xml:space="preserve"> keq.</w:t>
      </w:r>
    </w:p>
    <w:p w:rsidR="00820A8B" w:rsidRPr="00EF4D5D" w:rsidRDefault="00820A8B" w:rsidP="009277F3">
      <w:pPr>
        <w:jc w:val="both"/>
        <w:rPr>
          <w:lang w:val="sq-AL"/>
        </w:rPr>
      </w:pPr>
    </w:p>
    <w:p w:rsidR="0075093C" w:rsidRPr="00CC5249" w:rsidRDefault="0075093C" w:rsidP="0075093C">
      <w:pPr>
        <w:pStyle w:val="Caption"/>
        <w:rPr>
          <w:lang w:val="sq-AL"/>
        </w:rPr>
      </w:pPr>
      <w:r>
        <w:lastRenderedPageBreak/>
        <w:t xml:space="preserve">Tabela  </w:t>
      </w:r>
      <w:r>
        <w:fldChar w:fldCharType="begin"/>
      </w:r>
      <w:r>
        <w:instrText xml:space="preserve"> SEQ Tabela_ \* ARABIC </w:instrText>
      </w:r>
      <w:r>
        <w:fldChar w:fldCharType="separate"/>
      </w:r>
      <w:r w:rsidR="00701D2D">
        <w:rPr>
          <w:noProof/>
        </w:rPr>
        <w:t>4</w:t>
      </w:r>
      <w:r>
        <w:fldChar w:fldCharType="end"/>
      </w:r>
      <w:r w:rsidRPr="00CC5249">
        <w:rPr>
          <w:lang w:val="sq-AL"/>
        </w:rPr>
        <w:t xml:space="preserve"> Normat historike të mos-inkasimit</w:t>
      </w:r>
    </w:p>
    <w:tbl>
      <w:tblPr>
        <w:tblW w:w="5000" w:type="pct"/>
        <w:tblLook w:val="04A0" w:firstRow="1" w:lastRow="0" w:firstColumn="1" w:lastColumn="0" w:noHBand="0" w:noVBand="1"/>
      </w:tblPr>
      <w:tblGrid>
        <w:gridCol w:w="3653"/>
        <w:gridCol w:w="635"/>
        <w:gridCol w:w="865"/>
        <w:gridCol w:w="865"/>
        <w:gridCol w:w="865"/>
        <w:gridCol w:w="865"/>
        <w:gridCol w:w="865"/>
        <w:gridCol w:w="747"/>
      </w:tblGrid>
      <w:tr w:rsidR="0075093C" w:rsidRPr="00450894" w:rsidTr="009277F3">
        <w:trPr>
          <w:trHeight w:val="187"/>
        </w:trPr>
        <w:tc>
          <w:tcPr>
            <w:tcW w:w="1951" w:type="pct"/>
            <w:tcBorders>
              <w:top w:val="nil"/>
              <w:left w:val="nil"/>
              <w:bottom w:val="nil"/>
              <w:right w:val="nil"/>
            </w:tcBorders>
            <w:shd w:val="clear" w:color="000000" w:fill="2F75B5"/>
            <w:noWrap/>
            <w:vAlign w:val="center"/>
            <w:hideMark/>
          </w:tcPr>
          <w:p w:rsidR="0075093C" w:rsidRPr="00B26335" w:rsidRDefault="009277F3" w:rsidP="0075093C">
            <w:pPr>
              <w:spacing w:after="0" w:line="240" w:lineRule="auto"/>
              <w:rPr>
                <w:rFonts w:ascii="Calibri" w:eastAsia="Times New Roman" w:hAnsi="Calibri" w:cs="Calibri"/>
                <w:b/>
                <w:bCs/>
                <w:color w:val="DDEBF7"/>
                <w:lang w:val="sq-AL" w:eastAsia="en-GB"/>
              </w:rPr>
            </w:pPr>
            <w:r w:rsidRPr="00B26335">
              <w:rPr>
                <w:rFonts w:ascii="Calibri" w:eastAsia="Times New Roman" w:hAnsi="Calibri" w:cs="Calibri"/>
                <w:b/>
                <w:bCs/>
                <w:color w:val="DDEBF7"/>
                <w:lang w:val="sq-AL" w:eastAsia="en-GB"/>
              </w:rPr>
              <w:t>Faturimi</w:t>
            </w:r>
          </w:p>
        </w:tc>
        <w:tc>
          <w:tcPr>
            <w:tcW w:w="339" w:type="pct"/>
            <w:tcBorders>
              <w:top w:val="nil"/>
              <w:left w:val="nil"/>
              <w:bottom w:val="nil"/>
              <w:right w:val="nil"/>
            </w:tcBorders>
            <w:shd w:val="clear" w:color="000000" w:fill="2F75B5"/>
            <w:noWrap/>
            <w:vAlign w:val="center"/>
            <w:hideMark/>
          </w:tcPr>
          <w:p w:rsidR="0075093C" w:rsidRPr="00B1408C" w:rsidRDefault="0075093C" w:rsidP="0075093C">
            <w:pPr>
              <w:spacing w:after="0" w:line="240" w:lineRule="auto"/>
              <w:jc w:val="center"/>
              <w:rPr>
                <w:rFonts w:ascii="Calibri" w:eastAsia="Times New Roman" w:hAnsi="Calibri" w:cs="Calibri"/>
                <w:b/>
                <w:bCs/>
                <w:color w:val="DDEBF7"/>
                <w:lang w:val="sq-AL" w:eastAsia="en-GB"/>
              </w:rPr>
            </w:pPr>
            <w:r w:rsidRPr="00B1408C">
              <w:rPr>
                <w:rFonts w:ascii="Calibri" w:eastAsia="Times New Roman" w:hAnsi="Calibri" w:cs="Calibri"/>
                <w:b/>
                <w:bCs/>
                <w:color w:val="DDEBF7"/>
                <w:lang w:val="sq-AL" w:eastAsia="en-GB"/>
              </w:rPr>
              <w:t>Unit</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2017</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2018</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2019</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2020</w:t>
            </w:r>
          </w:p>
        </w:tc>
        <w:tc>
          <w:tcPr>
            <w:tcW w:w="462" w:type="pct"/>
            <w:tcBorders>
              <w:top w:val="nil"/>
              <w:left w:val="nil"/>
              <w:bottom w:val="nil"/>
              <w:right w:val="nil"/>
            </w:tcBorders>
            <w:shd w:val="clear" w:color="000000" w:fill="FFC000"/>
            <w:noWrap/>
            <w:vAlign w:val="center"/>
            <w:hideMark/>
          </w:tcPr>
          <w:p w:rsidR="0075093C" w:rsidRPr="00450894" w:rsidRDefault="0075093C" w:rsidP="0075093C">
            <w:pPr>
              <w:spacing w:after="0" w:line="240" w:lineRule="auto"/>
              <w:jc w:val="center"/>
              <w:rPr>
                <w:rFonts w:ascii="Calibri" w:eastAsia="Times New Roman" w:hAnsi="Calibri" w:cs="Calibri"/>
                <w:b/>
                <w:bCs/>
                <w:color w:val="FFFFFF"/>
                <w:lang w:val="sq-AL" w:eastAsia="en-GB"/>
              </w:rPr>
            </w:pPr>
            <w:r w:rsidRPr="00450894">
              <w:rPr>
                <w:rFonts w:ascii="Calibri" w:eastAsia="Times New Roman" w:hAnsi="Calibri" w:cs="Calibri"/>
                <w:b/>
                <w:bCs/>
                <w:color w:val="FFFFFF"/>
                <w:lang w:val="sq-AL" w:eastAsia="en-GB"/>
              </w:rPr>
              <w:t>2021*</w:t>
            </w:r>
          </w:p>
        </w:tc>
        <w:tc>
          <w:tcPr>
            <w:tcW w:w="399"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Total</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pStyle w:val="ListParagraph"/>
              <w:numPr>
                <w:ilvl w:val="0"/>
                <w:numId w:val="14"/>
              </w:numPr>
              <w:spacing w:after="0" w:line="240" w:lineRule="auto"/>
              <w:ind w:left="249" w:hanging="270"/>
              <w:jc w:val="left"/>
              <w:rPr>
                <w:rFonts w:cs="Calibri"/>
                <w:color w:val="000000"/>
                <w:lang w:val="sq-AL" w:eastAsia="en-GB"/>
              </w:rPr>
            </w:pPr>
            <w:r w:rsidRPr="00CC5249">
              <w:rPr>
                <w:rFonts w:cs="Calibri"/>
                <w:color w:val="000000"/>
                <w:lang w:val="sq-AL" w:eastAsia="en-GB"/>
              </w:rPr>
              <w:t>Faturimi i energjisë</w:t>
            </w:r>
          </w:p>
        </w:tc>
        <w:tc>
          <w:tcPr>
            <w:tcW w:w="339"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270.41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263.47</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278.21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289.68</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326.08</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1,428</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Faturimi i shërbimeve</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2.24</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2.20</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2.04</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1.77</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2.08</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10</w:t>
            </w:r>
          </w:p>
        </w:tc>
      </w:tr>
      <w:tr w:rsidR="0075093C" w:rsidRPr="00450894" w:rsidTr="009277F3">
        <w:trPr>
          <w:trHeight w:val="187"/>
        </w:trPr>
        <w:tc>
          <w:tcPr>
            <w:tcW w:w="1951" w:type="pct"/>
            <w:tcBorders>
              <w:top w:val="nil"/>
              <w:left w:val="nil"/>
              <w:bottom w:val="single" w:sz="4" w:space="0" w:color="auto"/>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Gjithsej faturimi</w:t>
            </w:r>
          </w:p>
        </w:tc>
        <w:tc>
          <w:tcPr>
            <w:tcW w:w="339" w:type="pct"/>
            <w:tcBorders>
              <w:top w:val="nil"/>
              <w:left w:val="nil"/>
              <w:bottom w:val="single" w:sz="4" w:space="0" w:color="auto"/>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single" w:sz="4" w:space="0" w:color="auto"/>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273</w:t>
            </w:r>
          </w:p>
        </w:tc>
        <w:tc>
          <w:tcPr>
            <w:tcW w:w="462" w:type="pct"/>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266</w:t>
            </w:r>
          </w:p>
        </w:tc>
        <w:tc>
          <w:tcPr>
            <w:tcW w:w="462" w:type="pct"/>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280</w:t>
            </w:r>
          </w:p>
        </w:tc>
        <w:tc>
          <w:tcPr>
            <w:tcW w:w="462" w:type="pct"/>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291</w:t>
            </w:r>
          </w:p>
        </w:tc>
        <w:tc>
          <w:tcPr>
            <w:tcW w:w="462" w:type="pct"/>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328</w:t>
            </w:r>
          </w:p>
        </w:tc>
        <w:tc>
          <w:tcPr>
            <w:tcW w:w="399" w:type="pct"/>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1,438</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p>
        </w:tc>
        <w:tc>
          <w:tcPr>
            <w:tcW w:w="339" w:type="pct"/>
            <w:tcBorders>
              <w:top w:val="nil"/>
              <w:left w:val="nil"/>
              <w:bottom w:val="nil"/>
              <w:right w:val="nil"/>
            </w:tcBorders>
            <w:shd w:val="clear" w:color="auto" w:fill="auto"/>
            <w:noWrap/>
            <w:vAlign w:val="center"/>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Times New Roman" w:eastAsia="Times New Roman" w:hAnsi="Times New Roman" w:cs="Times New Roman"/>
                <w:sz w:val="20"/>
                <w:szCs w:val="20"/>
                <w:lang w:val="sq-AL" w:eastAsia="en-GB"/>
              </w:rPr>
            </w:pP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Times New Roman" w:eastAsia="Times New Roman" w:hAnsi="Times New Roman" w:cs="Times New Roman"/>
                <w:sz w:val="20"/>
                <w:szCs w:val="20"/>
                <w:lang w:val="sq-AL" w:eastAsia="en-GB"/>
              </w:rPr>
            </w:pP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Times New Roman" w:eastAsia="Times New Roman" w:hAnsi="Times New Roman" w:cs="Times New Roman"/>
                <w:sz w:val="20"/>
                <w:szCs w:val="20"/>
                <w:lang w:val="sq-AL" w:eastAsia="en-GB"/>
              </w:rPr>
            </w:pP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Times New Roman" w:eastAsia="Times New Roman" w:hAnsi="Times New Roman" w:cs="Times New Roman"/>
                <w:sz w:val="20"/>
                <w:szCs w:val="20"/>
                <w:lang w:val="sq-AL" w:eastAsia="en-GB"/>
              </w:rPr>
            </w:pP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Times New Roman" w:eastAsia="Times New Roman" w:hAnsi="Times New Roman" w:cs="Times New Roman"/>
                <w:sz w:val="20"/>
                <w:szCs w:val="20"/>
                <w:lang w:val="sq-AL" w:eastAsia="en-GB"/>
              </w:rPr>
            </w:pP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Times New Roman" w:eastAsia="Times New Roman" w:hAnsi="Times New Roman" w:cs="Times New Roman"/>
                <w:sz w:val="20"/>
                <w:szCs w:val="20"/>
                <w:lang w:val="sq-AL" w:eastAsia="en-GB"/>
              </w:rPr>
            </w:pPr>
          </w:p>
        </w:tc>
      </w:tr>
      <w:tr w:rsidR="0075093C" w:rsidRPr="00450894" w:rsidTr="009277F3">
        <w:trPr>
          <w:trHeight w:val="187"/>
        </w:trPr>
        <w:tc>
          <w:tcPr>
            <w:tcW w:w="1951" w:type="pct"/>
            <w:tcBorders>
              <w:top w:val="nil"/>
              <w:left w:val="nil"/>
              <w:bottom w:val="nil"/>
              <w:right w:val="nil"/>
            </w:tcBorders>
            <w:shd w:val="clear" w:color="000000" w:fill="2F75B5"/>
            <w:noWrap/>
            <w:vAlign w:val="center"/>
            <w:hideMark/>
          </w:tcPr>
          <w:p w:rsidR="0075093C" w:rsidRPr="00CC5249" w:rsidRDefault="0075093C" w:rsidP="0075093C">
            <w:pPr>
              <w:spacing w:after="0" w:line="240" w:lineRule="auto"/>
              <w:rPr>
                <w:rFonts w:ascii="Calibri" w:eastAsia="Times New Roman" w:hAnsi="Calibri" w:cs="Calibri"/>
                <w:b/>
                <w:bCs/>
                <w:color w:val="DDEBF7"/>
                <w:lang w:val="sq-AL" w:eastAsia="en-GB"/>
              </w:rPr>
            </w:pPr>
            <w:r w:rsidRPr="00CC5249">
              <w:rPr>
                <w:rFonts w:ascii="Calibri" w:eastAsia="Times New Roman" w:hAnsi="Calibri" w:cs="Calibri"/>
                <w:b/>
                <w:bCs/>
                <w:color w:val="DDEBF7"/>
                <w:lang w:val="sq-AL" w:eastAsia="en-GB"/>
              </w:rPr>
              <w:t>Inkasimi</w:t>
            </w:r>
          </w:p>
        </w:tc>
        <w:tc>
          <w:tcPr>
            <w:tcW w:w="339" w:type="pct"/>
            <w:tcBorders>
              <w:top w:val="nil"/>
              <w:left w:val="nil"/>
              <w:bottom w:val="nil"/>
              <w:right w:val="nil"/>
            </w:tcBorders>
            <w:shd w:val="clear" w:color="000000" w:fill="2F75B5"/>
            <w:noWrap/>
            <w:vAlign w:val="center"/>
            <w:hideMark/>
          </w:tcPr>
          <w:p w:rsidR="0075093C" w:rsidRPr="00B26335" w:rsidRDefault="0075093C" w:rsidP="0075093C">
            <w:pPr>
              <w:spacing w:after="0" w:line="240" w:lineRule="auto"/>
              <w:jc w:val="center"/>
              <w:rPr>
                <w:rFonts w:ascii="Calibri" w:eastAsia="Times New Roman" w:hAnsi="Calibri" w:cs="Calibri"/>
                <w:b/>
                <w:bCs/>
                <w:color w:val="DDEBF7"/>
                <w:lang w:val="sq-AL" w:eastAsia="en-GB"/>
              </w:rPr>
            </w:pPr>
            <w:r w:rsidRPr="00B26335">
              <w:rPr>
                <w:rFonts w:ascii="Calibri" w:eastAsia="Times New Roman" w:hAnsi="Calibri" w:cs="Calibri"/>
                <w:b/>
                <w:bCs/>
                <w:color w:val="DDEBF7"/>
                <w:lang w:val="sq-AL" w:eastAsia="en-GB"/>
              </w:rPr>
              <w:t>Unit</w:t>
            </w:r>
          </w:p>
        </w:tc>
        <w:tc>
          <w:tcPr>
            <w:tcW w:w="462" w:type="pct"/>
            <w:tcBorders>
              <w:top w:val="nil"/>
              <w:left w:val="nil"/>
              <w:bottom w:val="nil"/>
              <w:right w:val="nil"/>
            </w:tcBorders>
            <w:shd w:val="clear" w:color="000000" w:fill="2F75B5"/>
            <w:noWrap/>
            <w:vAlign w:val="center"/>
            <w:hideMark/>
          </w:tcPr>
          <w:p w:rsidR="0075093C" w:rsidRPr="00B1408C" w:rsidRDefault="0075093C" w:rsidP="0075093C">
            <w:pPr>
              <w:spacing w:after="0" w:line="240" w:lineRule="auto"/>
              <w:jc w:val="center"/>
              <w:rPr>
                <w:rFonts w:ascii="Calibri" w:eastAsia="Times New Roman" w:hAnsi="Calibri" w:cs="Calibri"/>
                <w:b/>
                <w:bCs/>
                <w:color w:val="DDEBF7"/>
                <w:lang w:val="sq-AL" w:eastAsia="en-GB"/>
              </w:rPr>
            </w:pPr>
            <w:r w:rsidRPr="00B1408C">
              <w:rPr>
                <w:rFonts w:ascii="Calibri" w:eastAsia="Times New Roman" w:hAnsi="Calibri" w:cs="Calibri"/>
                <w:b/>
                <w:bCs/>
                <w:color w:val="DDEBF7"/>
                <w:lang w:val="sq-AL" w:eastAsia="en-GB"/>
              </w:rPr>
              <w:t>2017</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2018</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2019</w:t>
            </w:r>
          </w:p>
        </w:tc>
        <w:tc>
          <w:tcPr>
            <w:tcW w:w="462"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2020</w:t>
            </w:r>
          </w:p>
        </w:tc>
        <w:tc>
          <w:tcPr>
            <w:tcW w:w="462" w:type="pct"/>
            <w:tcBorders>
              <w:top w:val="nil"/>
              <w:left w:val="nil"/>
              <w:bottom w:val="nil"/>
              <w:right w:val="nil"/>
            </w:tcBorders>
            <w:shd w:val="clear" w:color="000000" w:fill="FFC000"/>
            <w:noWrap/>
            <w:vAlign w:val="center"/>
            <w:hideMark/>
          </w:tcPr>
          <w:p w:rsidR="0075093C" w:rsidRPr="00450894" w:rsidRDefault="0075093C" w:rsidP="0075093C">
            <w:pPr>
              <w:spacing w:after="0" w:line="240" w:lineRule="auto"/>
              <w:jc w:val="center"/>
              <w:rPr>
                <w:rFonts w:ascii="Calibri" w:eastAsia="Times New Roman" w:hAnsi="Calibri" w:cs="Calibri"/>
                <w:b/>
                <w:bCs/>
                <w:color w:val="FFFFFF"/>
                <w:lang w:val="sq-AL" w:eastAsia="en-GB"/>
              </w:rPr>
            </w:pPr>
            <w:r w:rsidRPr="00450894">
              <w:rPr>
                <w:rFonts w:ascii="Calibri" w:eastAsia="Times New Roman" w:hAnsi="Calibri" w:cs="Calibri"/>
                <w:b/>
                <w:bCs/>
                <w:color w:val="FFFFFF"/>
                <w:lang w:val="sq-AL" w:eastAsia="en-GB"/>
              </w:rPr>
              <w:t>2021*</w:t>
            </w:r>
          </w:p>
        </w:tc>
        <w:tc>
          <w:tcPr>
            <w:tcW w:w="399" w:type="pct"/>
            <w:tcBorders>
              <w:top w:val="nil"/>
              <w:left w:val="nil"/>
              <w:bottom w:val="nil"/>
              <w:right w:val="nil"/>
            </w:tcBorders>
            <w:shd w:val="clear" w:color="000000" w:fill="2F75B5"/>
            <w:noWrap/>
            <w:vAlign w:val="center"/>
            <w:hideMark/>
          </w:tcPr>
          <w:p w:rsidR="0075093C" w:rsidRPr="00450894" w:rsidRDefault="0075093C" w:rsidP="0075093C">
            <w:pPr>
              <w:spacing w:after="0" w:line="240" w:lineRule="auto"/>
              <w:jc w:val="center"/>
              <w:rPr>
                <w:rFonts w:ascii="Calibri" w:eastAsia="Times New Roman" w:hAnsi="Calibri" w:cs="Calibri"/>
                <w:b/>
                <w:bCs/>
                <w:color w:val="DDEBF7"/>
                <w:lang w:val="sq-AL" w:eastAsia="en-GB"/>
              </w:rPr>
            </w:pPr>
            <w:r w:rsidRPr="00450894">
              <w:rPr>
                <w:rFonts w:ascii="Calibri" w:eastAsia="Times New Roman" w:hAnsi="Calibri" w:cs="Calibri"/>
                <w:b/>
                <w:bCs/>
                <w:color w:val="DDEBF7"/>
                <w:lang w:val="sq-AL" w:eastAsia="en-GB"/>
              </w:rPr>
              <w:t>Total</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 xml:space="preserve">b) </w:t>
            </w:r>
            <w:r w:rsidR="009277F3" w:rsidRPr="00CC5249">
              <w:rPr>
                <w:rFonts w:ascii="Calibri" w:eastAsia="Times New Roman" w:hAnsi="Calibri" w:cs="Calibri"/>
                <w:color w:val="000000"/>
                <w:lang w:val="sq-AL" w:eastAsia="en-GB"/>
              </w:rPr>
              <w:t>Inkasimi</w:t>
            </w:r>
            <w:r w:rsidRPr="00CC5249">
              <w:rPr>
                <w:rFonts w:ascii="Calibri" w:eastAsia="Times New Roman" w:hAnsi="Calibri" w:cs="Calibri"/>
                <w:color w:val="000000"/>
                <w:lang w:val="sq-AL" w:eastAsia="en-GB"/>
              </w:rPr>
              <w:t xml:space="preserve"> për energjinë e faturuar</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256.21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249.89</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266.91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264.11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315.83</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1,353</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Parapagimet**</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3.51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4.22</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2.68</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8.37</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5.63</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24</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c) Përmbarimi</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0.65</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2.67</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3.90</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2.02</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2.77</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12</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Shërbimet</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2.14</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2.27</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2.14</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1.31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2.17</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10</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Të hyrat nga inkasimi i borxheve-KEK</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0.49</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0.15</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0.00</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0.00</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0.04</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w:t>
            </w:r>
          </w:p>
        </w:tc>
      </w:tr>
      <w:tr w:rsidR="0075093C" w:rsidRPr="00450894" w:rsidTr="009277F3">
        <w:trPr>
          <w:trHeight w:val="187"/>
        </w:trPr>
        <w:tc>
          <w:tcPr>
            <w:tcW w:w="1951"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KEK – marrëveshja</w:t>
            </w:r>
          </w:p>
        </w:tc>
        <w:tc>
          <w:tcPr>
            <w:tcW w:w="339" w:type="pct"/>
            <w:tcBorders>
              <w:top w:val="nil"/>
              <w:left w:val="nil"/>
              <w:bottom w:val="nil"/>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nil"/>
              <w:right w:val="nil"/>
            </w:tcBorders>
            <w:shd w:val="clear" w:color="auto" w:fill="auto"/>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3.81</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1.29</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1.09</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0.39</w:t>
            </w:r>
          </w:p>
        </w:tc>
        <w:tc>
          <w:tcPr>
            <w:tcW w:w="46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0.40</w:t>
            </w:r>
          </w:p>
        </w:tc>
        <w:tc>
          <w:tcPr>
            <w:tcW w:w="399"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7</w:t>
            </w:r>
          </w:p>
        </w:tc>
      </w:tr>
      <w:tr w:rsidR="0075093C" w:rsidRPr="00450894" w:rsidTr="009277F3">
        <w:trPr>
          <w:trHeight w:val="187"/>
        </w:trPr>
        <w:tc>
          <w:tcPr>
            <w:tcW w:w="1951" w:type="pct"/>
            <w:tcBorders>
              <w:top w:val="nil"/>
              <w:left w:val="nil"/>
              <w:bottom w:val="single" w:sz="4" w:space="0" w:color="FFFFFF" w:themeColor="background1"/>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 xml:space="preserve">Gjithsej </w:t>
            </w:r>
          </w:p>
        </w:tc>
        <w:tc>
          <w:tcPr>
            <w:tcW w:w="339" w:type="pct"/>
            <w:tcBorders>
              <w:top w:val="nil"/>
              <w:left w:val="nil"/>
              <w:bottom w:val="single" w:sz="4" w:space="0" w:color="FFFFFF" w:themeColor="background1"/>
              <w:right w:val="nil"/>
            </w:tcBorders>
            <w:shd w:val="clear" w:color="000000" w:fill="FFFFFF"/>
            <w:noWrap/>
            <w:hideMark/>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nil"/>
              <w:left w:val="nil"/>
              <w:bottom w:val="single" w:sz="4" w:space="0" w:color="FFFFFF" w:themeColor="background1"/>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267</w:t>
            </w:r>
          </w:p>
        </w:tc>
        <w:tc>
          <w:tcPr>
            <w:tcW w:w="462" w:type="pct"/>
            <w:tcBorders>
              <w:top w:val="nil"/>
              <w:left w:val="nil"/>
              <w:bottom w:val="single" w:sz="4" w:space="0" w:color="FFFFFF" w:themeColor="background1"/>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260</w:t>
            </w:r>
          </w:p>
        </w:tc>
        <w:tc>
          <w:tcPr>
            <w:tcW w:w="462" w:type="pct"/>
            <w:tcBorders>
              <w:top w:val="nil"/>
              <w:left w:val="nil"/>
              <w:bottom w:val="single" w:sz="4" w:space="0" w:color="FFFFFF" w:themeColor="background1"/>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277</w:t>
            </w:r>
          </w:p>
        </w:tc>
        <w:tc>
          <w:tcPr>
            <w:tcW w:w="462" w:type="pct"/>
            <w:tcBorders>
              <w:top w:val="nil"/>
              <w:left w:val="nil"/>
              <w:bottom w:val="single" w:sz="4" w:space="0" w:color="FFFFFF" w:themeColor="background1"/>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276</w:t>
            </w:r>
          </w:p>
        </w:tc>
        <w:tc>
          <w:tcPr>
            <w:tcW w:w="462" w:type="pct"/>
            <w:tcBorders>
              <w:top w:val="nil"/>
              <w:left w:val="nil"/>
              <w:bottom w:val="single" w:sz="4" w:space="0" w:color="FFFFFF" w:themeColor="background1"/>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327</w:t>
            </w:r>
          </w:p>
        </w:tc>
        <w:tc>
          <w:tcPr>
            <w:tcW w:w="399" w:type="pct"/>
            <w:tcBorders>
              <w:top w:val="nil"/>
              <w:left w:val="nil"/>
              <w:bottom w:val="single" w:sz="4" w:space="0" w:color="FFFFFF" w:themeColor="background1"/>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1,407</w:t>
            </w:r>
          </w:p>
        </w:tc>
      </w:tr>
      <w:tr w:rsidR="0075093C" w:rsidRPr="00450894" w:rsidTr="009277F3">
        <w:trPr>
          <w:trHeight w:val="187"/>
        </w:trPr>
        <w:tc>
          <w:tcPr>
            <w:tcW w:w="19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Norma e mos inkasimit (b+c)/a</w:t>
            </w:r>
          </w:p>
        </w:tc>
        <w:tc>
          <w:tcPr>
            <w:tcW w:w="3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5.0</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4.1</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2.7</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8.1</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2.3</w:t>
            </w:r>
          </w:p>
        </w:tc>
        <w:tc>
          <w:tcPr>
            <w:tcW w:w="3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4.4</w:t>
            </w:r>
          </w:p>
        </w:tc>
      </w:tr>
      <w:tr w:rsidR="0075093C" w:rsidRPr="00450894" w:rsidTr="009277F3">
        <w:trPr>
          <w:trHeight w:val="187"/>
        </w:trPr>
        <w:tc>
          <w:tcPr>
            <w:tcW w:w="19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d) Humbja në vlerë e Ll/A</w:t>
            </w:r>
          </w:p>
        </w:tc>
        <w:tc>
          <w:tcPr>
            <w:tcW w:w="3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mil€</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4.0</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5.4</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2.3</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8.6</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3.3</w:t>
            </w:r>
          </w:p>
        </w:tc>
        <w:tc>
          <w:tcPr>
            <w:tcW w:w="3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20.3</w:t>
            </w:r>
          </w:p>
        </w:tc>
      </w:tr>
      <w:tr w:rsidR="0075093C" w:rsidRPr="00450894" w:rsidTr="009277F3">
        <w:trPr>
          <w:trHeight w:val="187"/>
        </w:trPr>
        <w:tc>
          <w:tcPr>
            <w:tcW w:w="19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CC5249" w:rsidRDefault="0075093C" w:rsidP="0075093C">
            <w:pPr>
              <w:spacing w:after="0" w:line="240" w:lineRule="auto"/>
              <w:rPr>
                <w:rFonts w:ascii="Calibri" w:eastAsia="Times New Roman" w:hAnsi="Calibri" w:cs="Calibri"/>
                <w:color w:val="000000"/>
                <w:lang w:val="sq-AL" w:eastAsia="en-GB"/>
              </w:rPr>
            </w:pPr>
            <w:r w:rsidRPr="00CC5249">
              <w:rPr>
                <w:rFonts w:ascii="Calibri" w:eastAsia="Times New Roman" w:hAnsi="Calibri" w:cs="Calibri"/>
                <w:color w:val="000000"/>
                <w:lang w:val="sq-AL" w:eastAsia="en-GB"/>
              </w:rPr>
              <w:t>Humbja në vlerë e Ll/A d/a</w:t>
            </w:r>
          </w:p>
        </w:tc>
        <w:tc>
          <w:tcPr>
            <w:tcW w:w="3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B26335" w:rsidRDefault="0075093C" w:rsidP="0075093C">
            <w:pPr>
              <w:spacing w:after="0" w:line="240" w:lineRule="auto"/>
              <w:jc w:val="center"/>
              <w:rPr>
                <w:rFonts w:ascii="Calibri" w:eastAsia="Times New Roman" w:hAnsi="Calibri" w:cs="Calibri"/>
                <w:color w:val="000000"/>
                <w:lang w:val="sq-AL" w:eastAsia="en-GB"/>
              </w:rPr>
            </w:pPr>
            <w:r w:rsidRPr="00B26335">
              <w:rPr>
                <w:rFonts w:ascii="Calibri" w:eastAsia="Times New Roman" w:hAnsi="Calibri" w:cs="Calibri"/>
                <w:color w:val="000000"/>
                <w:lang w:val="sq-AL" w:eastAsia="en-GB"/>
              </w:rPr>
              <w:t>%</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B1408C" w:rsidRDefault="0075093C" w:rsidP="0075093C">
            <w:pPr>
              <w:spacing w:after="0" w:line="240" w:lineRule="auto"/>
              <w:jc w:val="center"/>
              <w:rPr>
                <w:rFonts w:ascii="Calibri" w:eastAsia="Times New Roman" w:hAnsi="Calibri" w:cs="Calibri"/>
                <w:color w:val="000000"/>
                <w:lang w:val="sq-AL" w:eastAsia="en-GB"/>
              </w:rPr>
            </w:pPr>
            <w:r w:rsidRPr="00B1408C">
              <w:rPr>
                <w:rFonts w:ascii="Calibri" w:eastAsia="Times New Roman" w:hAnsi="Calibri" w:cs="Calibri"/>
                <w:color w:val="000000"/>
                <w:lang w:val="sq-AL" w:eastAsia="en-GB"/>
              </w:rPr>
              <w:t>1.5</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2.1</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0.8</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3.0</w:t>
            </w: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1.0</w:t>
            </w:r>
          </w:p>
        </w:tc>
        <w:tc>
          <w:tcPr>
            <w:tcW w:w="3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Calibri"/>
                <w:color w:val="000000"/>
                <w:lang w:val="sq-AL" w:eastAsia="en-GB"/>
              </w:rPr>
            </w:pPr>
            <w:r w:rsidRPr="00450894">
              <w:rPr>
                <w:rFonts w:ascii="Calibri" w:eastAsia="Times New Roman" w:hAnsi="Calibri" w:cs="Calibri"/>
                <w:color w:val="000000"/>
                <w:lang w:val="sq-AL" w:eastAsia="en-GB"/>
              </w:rPr>
              <w:t>1.4</w:t>
            </w:r>
          </w:p>
        </w:tc>
      </w:tr>
    </w:tbl>
    <w:p w:rsidR="0075093C" w:rsidRPr="00CC5249" w:rsidRDefault="0075093C" w:rsidP="0075093C">
      <w:pPr>
        <w:rPr>
          <w:lang w:val="sq-AL"/>
        </w:rPr>
      </w:pPr>
    </w:p>
    <w:p w:rsidR="0075093C" w:rsidRPr="00CC5249" w:rsidRDefault="0075093C" w:rsidP="0075093C">
      <w:pPr>
        <w:pStyle w:val="Heading5"/>
        <w:ind w:firstLine="720"/>
        <w:rPr>
          <w:lang w:val="sq-AL"/>
        </w:rPr>
      </w:pPr>
      <w:bookmarkStart w:id="11" w:name="_Toc88226454"/>
      <w:r>
        <w:rPr>
          <w:lang w:val="sq-AL"/>
        </w:rPr>
        <w:t>Analiza e vlerësimit të derregullimit</w:t>
      </w:r>
      <w:bookmarkEnd w:id="11"/>
    </w:p>
    <w:p w:rsidR="0075093C" w:rsidRPr="00450894" w:rsidRDefault="0075093C" w:rsidP="009277F3">
      <w:pPr>
        <w:jc w:val="both"/>
        <w:rPr>
          <w:lang w:val="sq-AL"/>
        </w:rPr>
      </w:pPr>
      <w:r w:rsidRPr="00B26335">
        <w:rPr>
          <w:lang w:val="sq-AL"/>
        </w:rPr>
        <w:t>Është e arsyeshme të presim që dalja në treg e konsumatorëve më të mëdhenj dhe që paguajnë me rregull të çojë në një rritje të normës së borxheve të këqija për FSHU, përderisa përbërja e kategorive t</w:t>
      </w:r>
      <w:r w:rsidRPr="00B1408C">
        <w:rPr>
          <w:lang w:val="sq-AL"/>
        </w:rPr>
        <w:t xml:space="preserve">ë konsumatorëve ndryshon. Sidoqoftë, madhësia e këtij ndikimi është e vështirë të konstatohet. Llogaritjet e siguruara nga KESCO nuk shpjegojnë supozimet themelore dhe kështu nuk mund të verifikohen. Ato gjithashtu tregojnë se ndikimi i derregullimit bie me kalimin e </w:t>
      </w:r>
      <w:r w:rsidRPr="00450894">
        <w:rPr>
          <w:lang w:val="sq-AL"/>
        </w:rPr>
        <w:t>kohës, ndërsa rritja e niveleve të ndërrimit të konsumatorëve do të çonte në mënyrë intuitive në një ndikim në rritje në nivelet e borxhit të keq.</w:t>
      </w:r>
    </w:p>
    <w:p w:rsidR="0075093C" w:rsidRPr="00450894" w:rsidRDefault="0075093C" w:rsidP="009277F3">
      <w:pPr>
        <w:jc w:val="both"/>
        <w:rPr>
          <w:lang w:val="sq-AL"/>
        </w:rPr>
      </w:pPr>
      <w:r w:rsidRPr="00450894">
        <w:rPr>
          <w:lang w:val="sq-AL"/>
        </w:rPr>
        <w:t xml:space="preserve">Në një përpjekje për të përafruar efektin e derregullimit të konsumatorëve, në përputhje me Udhëzimin e fundit të ZRRE-së për Liberalizimin e Tregut të Energjisë Elektrike, ZRRE i kërkoi KESCO të sigurojë të dhëna mbi normat e faturimit dhe inkasimit për nivelet e tensionit (35 kV, 10 kV dhe 0.4 kV). </w:t>
      </w:r>
    </w:p>
    <w:p w:rsidR="0075093C" w:rsidRDefault="0075093C" w:rsidP="009277F3">
      <w:pPr>
        <w:jc w:val="both"/>
        <w:rPr>
          <w:lang w:val="sq-AL"/>
        </w:rPr>
      </w:pPr>
      <w:r w:rsidRPr="00450894">
        <w:rPr>
          <w:lang w:val="sq-AL"/>
        </w:rPr>
        <w:t>Një llogaritje e saktë e ndikimit të derregullimit në normën e inkasimit të FSHU-së do të kërkonte, ndër të tjera, një identifikim të numrit të konsumatorëve të kyçur në rrjetet 35 kV dhe 10 kV që kualifikohen për kriteret e referuara në nenin 37.2 të Ligjit për Energjinë Elektrike. Në mungesë të të dhënave të tilla, për qëllim të këtij shqyrtimi, ZRRE ka supozuar se asnjë nga konsumatorët në nivelet 35 kV dhe 10 kV nuk i plotëson këto kritere dhe - prandaj - të gjithë janë subjekt i derregullimit. Llogaritja e normave të inkasimit që rezultojnë dhe ndryshimi në pikë përqindje nga nivelet e vitit 2019 janë paraqitur në Tabelën 4, më poshtë.</w:t>
      </w:r>
    </w:p>
    <w:p w:rsidR="00820A8B" w:rsidRDefault="00820A8B" w:rsidP="009277F3">
      <w:pPr>
        <w:jc w:val="both"/>
        <w:rPr>
          <w:lang w:val="sq-AL"/>
        </w:rPr>
      </w:pPr>
    </w:p>
    <w:p w:rsidR="00820A8B" w:rsidRPr="00450894" w:rsidRDefault="00820A8B" w:rsidP="009277F3">
      <w:pPr>
        <w:jc w:val="both"/>
        <w:rPr>
          <w:lang w:val="sq-AL"/>
        </w:rPr>
      </w:pPr>
    </w:p>
    <w:p w:rsidR="0075093C" w:rsidRPr="00CC5249" w:rsidRDefault="0075093C" w:rsidP="0075093C">
      <w:pPr>
        <w:pStyle w:val="Caption"/>
        <w:rPr>
          <w:lang w:val="sq-AL"/>
        </w:rPr>
      </w:pPr>
      <w:r>
        <w:lastRenderedPageBreak/>
        <w:t xml:space="preserve">Tabela  </w:t>
      </w:r>
      <w:r>
        <w:fldChar w:fldCharType="begin"/>
      </w:r>
      <w:r>
        <w:instrText xml:space="preserve"> SEQ Tabela_ \* ARABIC </w:instrText>
      </w:r>
      <w:r>
        <w:fldChar w:fldCharType="separate"/>
      </w:r>
      <w:r w:rsidR="00701D2D">
        <w:rPr>
          <w:noProof/>
        </w:rPr>
        <w:t>5</w:t>
      </w:r>
      <w:r>
        <w:fldChar w:fldCharType="end"/>
      </w:r>
      <w:r>
        <w:rPr>
          <w:lang w:val="sq-AL"/>
        </w:rPr>
        <w:t xml:space="preserve"> </w:t>
      </w:r>
      <w:r w:rsidRPr="00CC5249">
        <w:rPr>
          <w:lang w:val="sq-AL"/>
        </w:rPr>
        <w:t>Efektet e derregullimit në normat e inkasimit</w:t>
      </w:r>
    </w:p>
    <w:tbl>
      <w:tblPr>
        <w:tblW w:w="5000" w:type="pct"/>
        <w:tblLook w:val="04A0" w:firstRow="1" w:lastRow="0" w:firstColumn="1" w:lastColumn="0" w:noHBand="0" w:noVBand="1"/>
      </w:tblPr>
      <w:tblGrid>
        <w:gridCol w:w="5275"/>
        <w:gridCol w:w="2024"/>
        <w:gridCol w:w="2061"/>
      </w:tblGrid>
      <w:tr w:rsidR="0075093C" w:rsidRPr="00450894" w:rsidTr="0075093C">
        <w:trPr>
          <w:trHeight w:val="408"/>
        </w:trPr>
        <w:tc>
          <w:tcPr>
            <w:tcW w:w="2818" w:type="pct"/>
            <w:vMerge w:val="restart"/>
            <w:tcBorders>
              <w:top w:val="nil"/>
              <w:left w:val="nil"/>
              <w:bottom w:val="nil"/>
              <w:right w:val="nil"/>
            </w:tcBorders>
            <w:shd w:val="clear" w:color="000000" w:fill="1F4E78"/>
            <w:noWrap/>
            <w:vAlign w:val="center"/>
            <w:hideMark/>
          </w:tcPr>
          <w:p w:rsidR="0075093C" w:rsidRPr="00B26335" w:rsidRDefault="0075093C" w:rsidP="0075093C">
            <w:pPr>
              <w:spacing w:after="0" w:line="240" w:lineRule="auto"/>
              <w:rPr>
                <w:rFonts w:ascii="Calibri (Body)" w:eastAsia="Times New Roman" w:hAnsi="Calibri (Body)" w:cs="Times New Roman"/>
                <w:color w:val="FFFFFF"/>
                <w:sz w:val="20"/>
                <w:szCs w:val="20"/>
                <w:lang w:val="sq-AL"/>
              </w:rPr>
            </w:pPr>
            <w:r w:rsidRPr="00B26335">
              <w:rPr>
                <w:rFonts w:ascii="Calibri (Body)" w:eastAsia="Times New Roman" w:hAnsi="Calibri (Body)" w:cs="Times New Roman"/>
                <w:color w:val="FFFFFF"/>
                <w:sz w:val="20"/>
                <w:szCs w:val="20"/>
                <w:lang w:val="sq-AL"/>
              </w:rPr>
              <w:t>Efekti i derregullimit (Të dhënat e 2019)</w:t>
            </w:r>
          </w:p>
        </w:tc>
        <w:tc>
          <w:tcPr>
            <w:tcW w:w="1081" w:type="pct"/>
            <w:vMerge w:val="restart"/>
            <w:tcBorders>
              <w:top w:val="nil"/>
              <w:left w:val="nil"/>
              <w:bottom w:val="nil"/>
              <w:right w:val="nil"/>
            </w:tcBorders>
            <w:shd w:val="clear" w:color="000000" w:fill="1F4E78"/>
            <w:vAlign w:val="center"/>
            <w:hideMark/>
          </w:tcPr>
          <w:p w:rsidR="0075093C" w:rsidRPr="00B1408C" w:rsidRDefault="0075093C" w:rsidP="0075093C">
            <w:pPr>
              <w:spacing w:after="0" w:line="240" w:lineRule="auto"/>
              <w:jc w:val="center"/>
              <w:rPr>
                <w:rFonts w:ascii="Calibri (Body)" w:eastAsia="Times New Roman" w:hAnsi="Calibri (Body)" w:cs="Times New Roman"/>
                <w:color w:val="FFFFFF"/>
                <w:sz w:val="20"/>
                <w:szCs w:val="20"/>
                <w:lang w:val="sq-AL"/>
              </w:rPr>
            </w:pPr>
            <w:r w:rsidRPr="00B1408C">
              <w:rPr>
                <w:rFonts w:ascii="Calibri (Body)" w:eastAsia="Times New Roman" w:hAnsi="Calibri (Body)" w:cs="Times New Roman"/>
                <w:color w:val="FFFFFF"/>
                <w:sz w:val="20"/>
                <w:szCs w:val="20"/>
                <w:lang w:val="sq-AL"/>
              </w:rPr>
              <w:t>Norma e inkasimit</w:t>
            </w:r>
          </w:p>
        </w:tc>
        <w:tc>
          <w:tcPr>
            <w:tcW w:w="1101" w:type="pct"/>
            <w:vMerge w:val="restart"/>
            <w:tcBorders>
              <w:top w:val="nil"/>
              <w:left w:val="nil"/>
              <w:bottom w:val="nil"/>
              <w:right w:val="nil"/>
            </w:tcBorders>
            <w:shd w:val="clear" w:color="000000" w:fill="1F4E78"/>
            <w:vAlign w:val="center"/>
            <w:hideMark/>
          </w:tcPr>
          <w:p w:rsidR="0075093C" w:rsidRPr="00450894" w:rsidRDefault="0075093C" w:rsidP="0075093C">
            <w:pPr>
              <w:spacing w:after="0" w:line="240" w:lineRule="auto"/>
              <w:jc w:val="center"/>
              <w:rPr>
                <w:rFonts w:ascii="Calibri (Body)" w:eastAsia="Times New Roman" w:hAnsi="Calibri (Body)" w:cs="Times New Roman"/>
                <w:color w:val="FFFFFF"/>
                <w:sz w:val="20"/>
                <w:szCs w:val="20"/>
                <w:lang w:val="sq-AL"/>
              </w:rPr>
            </w:pPr>
            <w:r w:rsidRPr="00450894">
              <w:rPr>
                <w:rFonts w:ascii="Calibri (Body)" w:eastAsia="Times New Roman" w:hAnsi="Calibri (Body)" w:cs="Times New Roman"/>
                <w:color w:val="FFFFFF"/>
                <w:sz w:val="20"/>
                <w:szCs w:val="20"/>
                <w:lang w:val="sq-AL"/>
              </w:rPr>
              <w:t>dallimi në</w:t>
            </w:r>
            <w:r w:rsidRPr="00450894">
              <w:rPr>
                <w:rFonts w:ascii="Calibri (Body)" w:eastAsia="Times New Roman" w:hAnsi="Calibri (Body)" w:cs="Times New Roman"/>
                <w:color w:val="FFFFFF"/>
                <w:sz w:val="20"/>
                <w:szCs w:val="20"/>
                <w:lang w:val="sq-AL"/>
              </w:rPr>
              <w:br/>
              <w:t xml:space="preserve"> pike%</w:t>
            </w:r>
          </w:p>
        </w:tc>
      </w:tr>
      <w:tr w:rsidR="0075093C" w:rsidRPr="00450894" w:rsidTr="0075093C">
        <w:trPr>
          <w:trHeight w:val="408"/>
        </w:trPr>
        <w:tc>
          <w:tcPr>
            <w:tcW w:w="2818" w:type="pct"/>
            <w:vMerge/>
            <w:tcBorders>
              <w:top w:val="nil"/>
              <w:left w:val="nil"/>
              <w:right w:val="nil"/>
            </w:tcBorders>
            <w:vAlign w:val="center"/>
            <w:hideMark/>
          </w:tcPr>
          <w:p w:rsidR="0075093C" w:rsidRPr="00450894" w:rsidRDefault="0075093C" w:rsidP="0075093C">
            <w:pPr>
              <w:spacing w:after="0" w:line="240" w:lineRule="auto"/>
              <w:rPr>
                <w:rFonts w:ascii="Calibri (Body)" w:eastAsia="Times New Roman" w:hAnsi="Calibri (Body)" w:cs="Times New Roman"/>
                <w:color w:val="FFFFFF"/>
                <w:sz w:val="20"/>
                <w:szCs w:val="20"/>
                <w:lang w:val="sq-AL"/>
              </w:rPr>
            </w:pPr>
          </w:p>
        </w:tc>
        <w:tc>
          <w:tcPr>
            <w:tcW w:w="1081" w:type="pct"/>
            <w:vMerge/>
            <w:tcBorders>
              <w:top w:val="nil"/>
              <w:left w:val="nil"/>
              <w:right w:val="nil"/>
            </w:tcBorders>
            <w:vAlign w:val="center"/>
            <w:hideMark/>
          </w:tcPr>
          <w:p w:rsidR="0075093C" w:rsidRPr="00450894" w:rsidRDefault="0075093C" w:rsidP="0075093C">
            <w:pPr>
              <w:spacing w:after="0" w:line="240" w:lineRule="auto"/>
              <w:rPr>
                <w:rFonts w:ascii="Calibri (Body)" w:eastAsia="Times New Roman" w:hAnsi="Calibri (Body)" w:cs="Times New Roman"/>
                <w:color w:val="FFFFFF"/>
                <w:sz w:val="20"/>
                <w:szCs w:val="20"/>
                <w:lang w:val="sq-AL"/>
              </w:rPr>
            </w:pPr>
          </w:p>
        </w:tc>
        <w:tc>
          <w:tcPr>
            <w:tcW w:w="1101" w:type="pct"/>
            <w:vMerge/>
            <w:tcBorders>
              <w:top w:val="nil"/>
              <w:left w:val="nil"/>
              <w:right w:val="nil"/>
            </w:tcBorders>
            <w:vAlign w:val="center"/>
            <w:hideMark/>
          </w:tcPr>
          <w:p w:rsidR="0075093C" w:rsidRPr="00450894" w:rsidRDefault="0075093C" w:rsidP="0075093C">
            <w:pPr>
              <w:spacing w:after="0" w:line="240" w:lineRule="auto"/>
              <w:rPr>
                <w:rFonts w:ascii="Calibri (Body)" w:eastAsia="Times New Roman" w:hAnsi="Calibri (Body)" w:cs="Times New Roman"/>
                <w:color w:val="FFFFFF"/>
                <w:sz w:val="20"/>
                <w:szCs w:val="20"/>
                <w:lang w:val="sq-AL"/>
              </w:rPr>
            </w:pPr>
          </w:p>
        </w:tc>
      </w:tr>
      <w:tr w:rsidR="0075093C" w:rsidRPr="00450894" w:rsidTr="0075093C">
        <w:trPr>
          <w:trHeight w:val="360"/>
        </w:trPr>
        <w:tc>
          <w:tcPr>
            <w:tcW w:w="2818" w:type="pct"/>
            <w:tcBorders>
              <w:top w:val="nil"/>
              <w:left w:val="nil"/>
              <w:bottom w:val="single" w:sz="4" w:space="0" w:color="auto"/>
              <w:right w:val="nil"/>
            </w:tcBorders>
            <w:shd w:val="clear" w:color="auto" w:fill="auto"/>
            <w:noWrap/>
            <w:vAlign w:val="bottom"/>
            <w:hideMark/>
          </w:tcPr>
          <w:p w:rsidR="0075093C" w:rsidRPr="00CC5249" w:rsidRDefault="0075093C" w:rsidP="0075093C">
            <w:pPr>
              <w:spacing w:after="0" w:line="240" w:lineRule="auto"/>
              <w:rPr>
                <w:rFonts w:ascii="Calibri (Body)" w:eastAsia="Times New Roman" w:hAnsi="Calibri (Body)" w:cs="Times New Roman"/>
                <w:color w:val="000000"/>
                <w:sz w:val="20"/>
                <w:szCs w:val="20"/>
                <w:lang w:val="sq-AL"/>
              </w:rPr>
            </w:pPr>
            <w:r w:rsidRPr="00CC5249">
              <w:rPr>
                <w:rFonts w:ascii="Calibri (Body)" w:eastAsia="Times New Roman" w:hAnsi="Calibri (Body)" w:cs="Times New Roman"/>
                <w:color w:val="000000"/>
                <w:sz w:val="20"/>
                <w:szCs w:val="20"/>
                <w:lang w:val="sq-AL"/>
              </w:rPr>
              <w:t>Mesatar 35, 10 dhe 0.4 kV</w:t>
            </w:r>
          </w:p>
        </w:tc>
        <w:tc>
          <w:tcPr>
            <w:tcW w:w="1081" w:type="pct"/>
            <w:tcBorders>
              <w:top w:val="nil"/>
              <w:left w:val="nil"/>
              <w:bottom w:val="single" w:sz="4" w:space="0" w:color="auto"/>
              <w:right w:val="nil"/>
            </w:tcBorders>
            <w:shd w:val="clear" w:color="auto" w:fill="auto"/>
            <w:noWrap/>
            <w:vAlign w:val="bottom"/>
            <w:hideMark/>
          </w:tcPr>
          <w:p w:rsidR="0075093C" w:rsidRPr="00B26335" w:rsidRDefault="0075093C" w:rsidP="0075093C">
            <w:pPr>
              <w:spacing w:after="0" w:line="240" w:lineRule="auto"/>
              <w:jc w:val="center"/>
              <w:rPr>
                <w:rFonts w:ascii="Calibri (Body)" w:eastAsia="Times New Roman" w:hAnsi="Calibri (Body)" w:cs="Times New Roman"/>
                <w:color w:val="000000"/>
                <w:sz w:val="20"/>
                <w:szCs w:val="20"/>
                <w:lang w:val="sq-AL"/>
              </w:rPr>
            </w:pPr>
            <w:r w:rsidRPr="00B26335">
              <w:rPr>
                <w:rFonts w:ascii="Calibri (Body)" w:eastAsia="Times New Roman" w:hAnsi="Calibri (Body)" w:cs="Times New Roman"/>
                <w:color w:val="000000"/>
                <w:sz w:val="20"/>
                <w:szCs w:val="20"/>
                <w:lang w:val="sq-AL"/>
              </w:rPr>
              <w:t>98.31%</w:t>
            </w:r>
          </w:p>
        </w:tc>
        <w:tc>
          <w:tcPr>
            <w:tcW w:w="1101" w:type="pct"/>
            <w:tcBorders>
              <w:top w:val="nil"/>
              <w:left w:val="nil"/>
              <w:bottom w:val="single" w:sz="4" w:space="0" w:color="auto"/>
              <w:right w:val="nil"/>
            </w:tcBorders>
            <w:shd w:val="clear" w:color="auto" w:fill="auto"/>
            <w:noWrap/>
            <w:vAlign w:val="bottom"/>
            <w:hideMark/>
          </w:tcPr>
          <w:p w:rsidR="0075093C" w:rsidRPr="00B1408C" w:rsidRDefault="0075093C" w:rsidP="0075093C">
            <w:pPr>
              <w:spacing w:after="0" w:line="240" w:lineRule="auto"/>
              <w:jc w:val="center"/>
              <w:rPr>
                <w:rFonts w:ascii="Calibri (Body)" w:eastAsia="Times New Roman" w:hAnsi="Calibri (Body)" w:cs="Times New Roman"/>
                <w:color w:val="000000"/>
                <w:sz w:val="20"/>
                <w:szCs w:val="20"/>
                <w:lang w:val="sq-AL"/>
              </w:rPr>
            </w:pPr>
          </w:p>
        </w:tc>
      </w:tr>
      <w:tr w:rsidR="0075093C" w:rsidRPr="00450894" w:rsidTr="0075093C">
        <w:trPr>
          <w:trHeight w:val="360"/>
        </w:trPr>
        <w:tc>
          <w:tcPr>
            <w:tcW w:w="2818" w:type="pct"/>
            <w:tcBorders>
              <w:top w:val="single" w:sz="4" w:space="0" w:color="auto"/>
              <w:left w:val="nil"/>
              <w:bottom w:val="single" w:sz="4" w:space="0" w:color="auto"/>
              <w:right w:val="nil"/>
            </w:tcBorders>
            <w:shd w:val="clear" w:color="auto" w:fill="auto"/>
            <w:noWrap/>
            <w:vAlign w:val="bottom"/>
            <w:hideMark/>
          </w:tcPr>
          <w:p w:rsidR="0075093C" w:rsidRPr="00CC5249" w:rsidRDefault="0075093C" w:rsidP="0075093C">
            <w:pPr>
              <w:spacing w:after="0" w:line="240" w:lineRule="auto"/>
              <w:rPr>
                <w:rFonts w:ascii="Calibri (Body)" w:eastAsia="Times New Roman" w:hAnsi="Calibri (Body)" w:cs="Times New Roman"/>
                <w:color w:val="000000"/>
                <w:sz w:val="20"/>
                <w:szCs w:val="20"/>
                <w:lang w:val="sq-AL"/>
              </w:rPr>
            </w:pPr>
            <w:r w:rsidRPr="00CC5249">
              <w:rPr>
                <w:rFonts w:ascii="Calibri (Body)" w:eastAsia="Times New Roman" w:hAnsi="Calibri (Body)" w:cs="Times New Roman"/>
                <w:color w:val="000000"/>
                <w:sz w:val="20"/>
                <w:szCs w:val="20"/>
                <w:lang w:val="sq-AL"/>
              </w:rPr>
              <w:t>Mesatar 10 dhe 0.4 kV</w:t>
            </w:r>
          </w:p>
        </w:tc>
        <w:tc>
          <w:tcPr>
            <w:tcW w:w="1081" w:type="pct"/>
            <w:tcBorders>
              <w:top w:val="single" w:sz="4" w:space="0" w:color="auto"/>
              <w:left w:val="nil"/>
              <w:bottom w:val="single" w:sz="4" w:space="0" w:color="auto"/>
              <w:right w:val="nil"/>
            </w:tcBorders>
            <w:shd w:val="clear" w:color="auto" w:fill="auto"/>
            <w:noWrap/>
            <w:vAlign w:val="bottom"/>
            <w:hideMark/>
          </w:tcPr>
          <w:p w:rsidR="0075093C" w:rsidRPr="00B26335" w:rsidRDefault="0075093C" w:rsidP="0075093C">
            <w:pPr>
              <w:spacing w:after="0" w:line="240" w:lineRule="auto"/>
              <w:jc w:val="center"/>
              <w:rPr>
                <w:rFonts w:ascii="Calibri (Body)" w:eastAsia="Times New Roman" w:hAnsi="Calibri (Body)" w:cs="Times New Roman"/>
                <w:color w:val="000000"/>
                <w:sz w:val="20"/>
                <w:szCs w:val="20"/>
                <w:lang w:val="sq-AL"/>
              </w:rPr>
            </w:pPr>
            <w:r w:rsidRPr="00B26335">
              <w:rPr>
                <w:rFonts w:ascii="Calibri (Body)" w:eastAsia="Times New Roman" w:hAnsi="Calibri (Body)" w:cs="Times New Roman"/>
                <w:color w:val="000000"/>
                <w:sz w:val="20"/>
                <w:szCs w:val="20"/>
                <w:lang w:val="sq-AL"/>
              </w:rPr>
              <w:t>98.30%</w:t>
            </w:r>
          </w:p>
        </w:tc>
        <w:tc>
          <w:tcPr>
            <w:tcW w:w="1101" w:type="pct"/>
            <w:tcBorders>
              <w:top w:val="single" w:sz="4" w:space="0" w:color="auto"/>
              <w:left w:val="nil"/>
              <w:bottom w:val="single" w:sz="4" w:space="0" w:color="auto"/>
              <w:right w:val="nil"/>
            </w:tcBorders>
            <w:shd w:val="clear" w:color="auto" w:fill="auto"/>
            <w:noWrap/>
            <w:vAlign w:val="bottom"/>
            <w:hideMark/>
          </w:tcPr>
          <w:p w:rsidR="0075093C" w:rsidRPr="00B1408C" w:rsidRDefault="0075093C" w:rsidP="0075093C">
            <w:pPr>
              <w:spacing w:after="0" w:line="240" w:lineRule="auto"/>
              <w:jc w:val="center"/>
              <w:rPr>
                <w:rFonts w:ascii="Calibri (Body)" w:eastAsia="Times New Roman" w:hAnsi="Calibri (Body)" w:cs="Times New Roman"/>
                <w:color w:val="000000"/>
                <w:sz w:val="20"/>
                <w:szCs w:val="20"/>
                <w:lang w:val="sq-AL"/>
              </w:rPr>
            </w:pPr>
            <w:r w:rsidRPr="00B1408C">
              <w:rPr>
                <w:rFonts w:ascii="Calibri (Body)" w:eastAsia="Times New Roman" w:hAnsi="Calibri (Body)" w:cs="Times New Roman"/>
                <w:color w:val="000000"/>
                <w:sz w:val="20"/>
                <w:szCs w:val="20"/>
                <w:lang w:val="sq-AL"/>
              </w:rPr>
              <w:t>0.01%</w:t>
            </w:r>
          </w:p>
        </w:tc>
      </w:tr>
      <w:tr w:rsidR="0075093C" w:rsidRPr="00450894" w:rsidTr="0075093C">
        <w:trPr>
          <w:trHeight w:val="360"/>
        </w:trPr>
        <w:tc>
          <w:tcPr>
            <w:tcW w:w="2818" w:type="pct"/>
            <w:tcBorders>
              <w:top w:val="single" w:sz="4" w:space="0" w:color="auto"/>
              <w:left w:val="nil"/>
              <w:bottom w:val="single" w:sz="4" w:space="0" w:color="auto"/>
              <w:right w:val="nil"/>
            </w:tcBorders>
            <w:shd w:val="clear" w:color="auto" w:fill="auto"/>
            <w:noWrap/>
            <w:vAlign w:val="bottom"/>
            <w:hideMark/>
          </w:tcPr>
          <w:p w:rsidR="0075093C" w:rsidRPr="00CC5249" w:rsidRDefault="0075093C" w:rsidP="0075093C">
            <w:pPr>
              <w:spacing w:after="0" w:line="240" w:lineRule="auto"/>
              <w:rPr>
                <w:rFonts w:ascii="Calibri (Body)" w:eastAsia="Times New Roman" w:hAnsi="Calibri (Body)" w:cs="Times New Roman"/>
                <w:color w:val="000000"/>
                <w:sz w:val="20"/>
                <w:szCs w:val="20"/>
                <w:lang w:val="sq-AL"/>
              </w:rPr>
            </w:pPr>
            <w:r w:rsidRPr="00CC5249">
              <w:rPr>
                <w:rFonts w:ascii="Calibri (Body)" w:eastAsia="Times New Roman" w:hAnsi="Calibri (Body)" w:cs="Times New Roman"/>
                <w:color w:val="000000"/>
                <w:sz w:val="20"/>
                <w:szCs w:val="20"/>
                <w:lang w:val="sq-AL"/>
              </w:rPr>
              <w:t>Mesatar 0.4 kV</w:t>
            </w:r>
          </w:p>
        </w:tc>
        <w:tc>
          <w:tcPr>
            <w:tcW w:w="1081" w:type="pct"/>
            <w:tcBorders>
              <w:top w:val="single" w:sz="4" w:space="0" w:color="auto"/>
              <w:left w:val="nil"/>
              <w:bottom w:val="single" w:sz="4" w:space="0" w:color="auto"/>
              <w:right w:val="nil"/>
            </w:tcBorders>
            <w:shd w:val="clear" w:color="auto" w:fill="auto"/>
            <w:noWrap/>
            <w:vAlign w:val="bottom"/>
            <w:hideMark/>
          </w:tcPr>
          <w:p w:rsidR="0075093C" w:rsidRPr="00B26335" w:rsidRDefault="0075093C" w:rsidP="0075093C">
            <w:pPr>
              <w:spacing w:after="0" w:line="240" w:lineRule="auto"/>
              <w:jc w:val="center"/>
              <w:rPr>
                <w:rFonts w:ascii="Calibri (Body)" w:eastAsia="Times New Roman" w:hAnsi="Calibri (Body)" w:cs="Times New Roman"/>
                <w:color w:val="000000"/>
                <w:sz w:val="20"/>
                <w:szCs w:val="20"/>
                <w:lang w:val="sq-AL"/>
              </w:rPr>
            </w:pPr>
            <w:r w:rsidRPr="00B26335">
              <w:rPr>
                <w:rFonts w:ascii="Calibri (Body)" w:eastAsia="Times New Roman" w:hAnsi="Calibri (Body)" w:cs="Times New Roman"/>
                <w:color w:val="000000"/>
                <w:sz w:val="20"/>
                <w:szCs w:val="20"/>
                <w:lang w:val="sq-AL"/>
              </w:rPr>
              <w:t>98.16%</w:t>
            </w:r>
          </w:p>
        </w:tc>
        <w:tc>
          <w:tcPr>
            <w:tcW w:w="1101" w:type="pct"/>
            <w:tcBorders>
              <w:top w:val="single" w:sz="4" w:space="0" w:color="auto"/>
              <w:left w:val="nil"/>
              <w:bottom w:val="single" w:sz="4" w:space="0" w:color="auto"/>
              <w:right w:val="nil"/>
            </w:tcBorders>
            <w:shd w:val="clear" w:color="auto" w:fill="auto"/>
            <w:noWrap/>
            <w:vAlign w:val="bottom"/>
            <w:hideMark/>
          </w:tcPr>
          <w:p w:rsidR="0075093C" w:rsidRPr="00B1408C" w:rsidRDefault="0075093C" w:rsidP="0075093C">
            <w:pPr>
              <w:spacing w:after="0" w:line="240" w:lineRule="auto"/>
              <w:jc w:val="center"/>
              <w:rPr>
                <w:rFonts w:ascii="Calibri (Body)" w:eastAsia="Times New Roman" w:hAnsi="Calibri (Body)" w:cs="Times New Roman"/>
                <w:color w:val="000000"/>
                <w:sz w:val="20"/>
                <w:szCs w:val="20"/>
                <w:lang w:val="sq-AL"/>
              </w:rPr>
            </w:pPr>
            <w:r w:rsidRPr="00B1408C">
              <w:rPr>
                <w:rFonts w:ascii="Calibri (Body)" w:eastAsia="Times New Roman" w:hAnsi="Calibri (Body)" w:cs="Times New Roman"/>
                <w:color w:val="000000"/>
                <w:sz w:val="20"/>
                <w:szCs w:val="20"/>
                <w:lang w:val="sq-AL"/>
              </w:rPr>
              <w:t>0.15%</w:t>
            </w:r>
          </w:p>
        </w:tc>
      </w:tr>
    </w:tbl>
    <w:p w:rsidR="0075093C" w:rsidRPr="00CC5249" w:rsidRDefault="0075093C" w:rsidP="0075093C">
      <w:pPr>
        <w:rPr>
          <w:color w:val="A5A5A5" w:themeColor="accent3"/>
          <w:sz w:val="18"/>
          <w:szCs w:val="18"/>
          <w:lang w:val="sq-AL"/>
        </w:rPr>
      </w:pPr>
      <w:r w:rsidRPr="00CC5249">
        <w:rPr>
          <w:color w:val="A5A5A5" w:themeColor="accent3"/>
          <w:sz w:val="18"/>
          <w:szCs w:val="18"/>
          <w:lang w:val="sq-AL"/>
        </w:rPr>
        <w:t>Burimi: Llogaritja e ZRRE-s</w:t>
      </w:r>
      <w:r w:rsidR="00E742CD">
        <w:rPr>
          <w:color w:val="A5A5A5" w:themeColor="accent3"/>
          <w:sz w:val="18"/>
          <w:szCs w:val="18"/>
          <w:lang w:val="sq-AL"/>
        </w:rPr>
        <w:t>ë bazuar në të hyrat e KESCO-së</w:t>
      </w:r>
    </w:p>
    <w:p w:rsidR="0075093C" w:rsidRPr="00450894" w:rsidRDefault="0075093C" w:rsidP="009277F3">
      <w:pPr>
        <w:jc w:val="both"/>
        <w:rPr>
          <w:lang w:val="sq-AL"/>
        </w:rPr>
      </w:pPr>
      <w:r w:rsidRPr="00B26335">
        <w:rPr>
          <w:lang w:val="sq-AL"/>
        </w:rPr>
        <w:t xml:space="preserve">Norma mesatare aktuale e inkasimit duke përfshirë të gjithë konsumatorët e furnizimit universal në 2019 ishte 98.3%. Shkalla mesatare e ponderuar e inkasimit për konsumatorët 10kV dhe 0.4 kV zvogëlohet me 0.01% </w:t>
      </w:r>
      <w:r w:rsidRPr="00B1408C">
        <w:rPr>
          <w:lang w:val="sq-AL"/>
        </w:rPr>
        <w:t>pp pasi të derregullohen konsumatorët 35 kV. Shkalla e inkasimit zvogëlohet me 0.1</w:t>
      </w:r>
      <w:r>
        <w:rPr>
          <w:lang w:val="sq-AL"/>
        </w:rPr>
        <w:t>5</w:t>
      </w:r>
      <w:r w:rsidRPr="00B1408C">
        <w:rPr>
          <w:lang w:val="sq-AL"/>
        </w:rPr>
        <w:t>% pp</w:t>
      </w:r>
      <w:r w:rsidRPr="00450894">
        <w:rPr>
          <w:lang w:val="sq-AL"/>
        </w:rPr>
        <w:t xml:space="preserve"> me derregullimin e konsumatorëve 35kV dhe 10kV. Këto llogaritje sugjerojnë që parashikimet e KESCO prej 0.5% për vitin e parë duket se mbivlerësojnë ndikimin që do të ketë derregullimi tek konsumatorët.</w:t>
      </w:r>
    </w:p>
    <w:p w:rsidR="0075093C" w:rsidRDefault="0075093C" w:rsidP="009277F3">
      <w:pPr>
        <w:jc w:val="both"/>
        <w:rPr>
          <w:lang w:val="sq-AL"/>
        </w:rPr>
      </w:pPr>
      <w:r w:rsidRPr="00450894">
        <w:rPr>
          <w:lang w:val="sq-AL"/>
        </w:rPr>
        <w:t>N</w:t>
      </w:r>
      <w:r>
        <w:rPr>
          <w:lang w:val="sq-AL"/>
        </w:rPr>
        <w:t>ë</w:t>
      </w:r>
      <w:r w:rsidRPr="00EF4D5D">
        <w:rPr>
          <w:lang w:val="sq-AL"/>
        </w:rPr>
        <w:t xml:space="preserve"> tabel</w:t>
      </w:r>
      <w:r>
        <w:rPr>
          <w:lang w:val="sq-AL"/>
        </w:rPr>
        <w:t>ë</w:t>
      </w:r>
      <w:r w:rsidRPr="00EF4D5D">
        <w:rPr>
          <w:lang w:val="sq-AL"/>
        </w:rPr>
        <w:t>n e m</w:t>
      </w:r>
      <w:r>
        <w:rPr>
          <w:lang w:val="sq-AL"/>
        </w:rPr>
        <w:t>ë</w:t>
      </w:r>
      <w:r w:rsidRPr="00EF4D5D">
        <w:rPr>
          <w:lang w:val="sq-AL"/>
        </w:rPr>
        <w:t>poshtme jan</w:t>
      </w:r>
      <w:r>
        <w:rPr>
          <w:lang w:val="sq-AL"/>
        </w:rPr>
        <w:t>ë</w:t>
      </w:r>
      <w:r w:rsidRPr="00EF4D5D">
        <w:rPr>
          <w:lang w:val="sq-AL"/>
        </w:rPr>
        <w:t xml:space="preserve"> paraqitur propozimet e ZRRE n</w:t>
      </w:r>
      <w:r>
        <w:rPr>
          <w:lang w:val="sq-AL"/>
        </w:rPr>
        <w:t>ë</w:t>
      </w:r>
      <w:r w:rsidRPr="00EF4D5D">
        <w:rPr>
          <w:lang w:val="sq-AL"/>
        </w:rPr>
        <w:t xml:space="preserve"> lidhje me lejimin e borxhit t</w:t>
      </w:r>
      <w:r>
        <w:rPr>
          <w:lang w:val="sq-AL"/>
        </w:rPr>
        <w:t>ë</w:t>
      </w:r>
      <w:r w:rsidRPr="00EF4D5D">
        <w:rPr>
          <w:lang w:val="sq-AL"/>
        </w:rPr>
        <w:t xml:space="preserve"> keq p</w:t>
      </w:r>
      <w:r>
        <w:rPr>
          <w:lang w:val="sq-AL"/>
        </w:rPr>
        <w:t>ë</w:t>
      </w:r>
      <w:r w:rsidRPr="00EF4D5D">
        <w:rPr>
          <w:lang w:val="sq-AL"/>
        </w:rPr>
        <w:t>r FSHU, n</w:t>
      </w:r>
      <w:r>
        <w:rPr>
          <w:lang w:val="sq-AL"/>
        </w:rPr>
        <w:t>ë</w:t>
      </w:r>
      <w:r w:rsidRPr="00EF4D5D">
        <w:rPr>
          <w:lang w:val="sq-AL"/>
        </w:rPr>
        <w:t xml:space="preserve"> baza vjetore p</w:t>
      </w:r>
      <w:r>
        <w:rPr>
          <w:lang w:val="sq-AL"/>
        </w:rPr>
        <w:t>ë</w:t>
      </w:r>
      <w:r w:rsidRPr="00EF4D5D">
        <w:rPr>
          <w:lang w:val="sq-AL"/>
        </w:rPr>
        <w:t>r periudh</w:t>
      </w:r>
      <w:r>
        <w:rPr>
          <w:lang w:val="sq-AL"/>
        </w:rPr>
        <w:t>ë</w:t>
      </w:r>
      <w:r w:rsidRPr="00EF4D5D">
        <w:rPr>
          <w:lang w:val="sq-AL"/>
        </w:rPr>
        <w:t>n e ardhshme tarifore (2022-2024):</w:t>
      </w:r>
    </w:p>
    <w:p w:rsidR="0075093C" w:rsidRPr="00E742CD" w:rsidRDefault="0075093C" w:rsidP="0075093C">
      <w:pPr>
        <w:pStyle w:val="Caption"/>
        <w:rPr>
          <w:lang w:val="sq-AL"/>
        </w:rPr>
      </w:pPr>
      <w:r w:rsidRPr="00E742CD">
        <w:rPr>
          <w:lang w:val="sq-AL"/>
        </w:rPr>
        <w:t xml:space="preserve">Tabela  </w:t>
      </w:r>
      <w:r w:rsidRPr="00E742CD">
        <w:rPr>
          <w:lang w:val="sq-AL"/>
        </w:rPr>
        <w:fldChar w:fldCharType="begin"/>
      </w:r>
      <w:r w:rsidRPr="00E742CD">
        <w:rPr>
          <w:lang w:val="sq-AL"/>
        </w:rPr>
        <w:instrText xml:space="preserve"> SEQ Tabela_ \* ARABIC </w:instrText>
      </w:r>
      <w:r w:rsidRPr="00E742CD">
        <w:rPr>
          <w:lang w:val="sq-AL"/>
        </w:rPr>
        <w:fldChar w:fldCharType="separate"/>
      </w:r>
      <w:r w:rsidR="00701D2D">
        <w:rPr>
          <w:noProof/>
          <w:lang w:val="sq-AL"/>
        </w:rPr>
        <w:t>6</w:t>
      </w:r>
      <w:r w:rsidRPr="00E742CD">
        <w:rPr>
          <w:lang w:val="sq-AL"/>
        </w:rPr>
        <w:fldChar w:fldCharType="end"/>
      </w:r>
      <w:r w:rsidRPr="00E742CD">
        <w:rPr>
          <w:lang w:val="sq-AL"/>
        </w:rPr>
        <w:t xml:space="preserve"> Kalkulimi </w:t>
      </w:r>
      <w:r w:rsidR="00E742CD">
        <w:rPr>
          <w:lang w:val="sq-AL"/>
        </w:rPr>
        <w:t>i</w:t>
      </w:r>
      <w:r w:rsidRPr="00E742CD">
        <w:rPr>
          <w:lang w:val="sq-AL"/>
        </w:rPr>
        <w:t xml:space="preserve"> borxhit të keq</w:t>
      </w:r>
    </w:p>
    <w:tbl>
      <w:tblPr>
        <w:tblW w:w="4574" w:type="pct"/>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5967"/>
        <w:gridCol w:w="677"/>
        <w:gridCol w:w="637"/>
        <w:gridCol w:w="637"/>
        <w:gridCol w:w="635"/>
      </w:tblGrid>
      <w:tr w:rsidR="0075093C" w:rsidRPr="00450894" w:rsidTr="00D80ABE">
        <w:trPr>
          <w:trHeight w:val="300"/>
        </w:trPr>
        <w:tc>
          <w:tcPr>
            <w:tcW w:w="3493" w:type="pct"/>
            <w:shd w:val="clear" w:color="auto" w:fill="1F3864" w:themeFill="accent5" w:themeFillShade="80"/>
            <w:noWrap/>
            <w:vAlign w:val="center"/>
            <w:hideMark/>
          </w:tcPr>
          <w:p w:rsidR="0075093C" w:rsidRPr="00B26335" w:rsidRDefault="0075093C" w:rsidP="0075093C">
            <w:pPr>
              <w:keepNext/>
              <w:spacing w:after="0"/>
              <w:ind w:left="270"/>
              <w:rPr>
                <w:b/>
                <w:lang w:val="sq-AL"/>
              </w:rPr>
            </w:pPr>
            <w:r>
              <w:rPr>
                <w:b/>
                <w:lang w:val="sq-AL"/>
              </w:rPr>
              <w:t>Komponentët e borxhit të keq</w:t>
            </w:r>
          </w:p>
        </w:tc>
        <w:tc>
          <w:tcPr>
            <w:tcW w:w="377" w:type="pct"/>
            <w:shd w:val="clear" w:color="auto" w:fill="1F3864" w:themeFill="accent5" w:themeFillShade="80"/>
            <w:vAlign w:val="center"/>
          </w:tcPr>
          <w:p w:rsidR="0075093C" w:rsidRPr="00B1408C" w:rsidRDefault="00D80ABE" w:rsidP="0075093C">
            <w:pPr>
              <w:keepNext/>
              <w:spacing w:after="0"/>
              <w:jc w:val="center"/>
              <w:rPr>
                <w:b/>
                <w:lang w:val="sq-AL"/>
              </w:rPr>
            </w:pPr>
            <w:r>
              <w:rPr>
                <w:b/>
                <w:lang w:val="sq-AL"/>
              </w:rPr>
              <w:t>Analizë</w:t>
            </w:r>
          </w:p>
        </w:tc>
        <w:tc>
          <w:tcPr>
            <w:tcW w:w="377" w:type="pct"/>
            <w:shd w:val="clear" w:color="auto" w:fill="1F3864" w:themeFill="accent5" w:themeFillShade="80"/>
            <w:vAlign w:val="center"/>
          </w:tcPr>
          <w:p w:rsidR="0075093C" w:rsidRPr="00450894" w:rsidRDefault="0075093C" w:rsidP="0075093C">
            <w:pPr>
              <w:keepNext/>
              <w:spacing w:after="0"/>
              <w:jc w:val="center"/>
              <w:rPr>
                <w:b/>
                <w:lang w:val="sq-AL"/>
              </w:rPr>
            </w:pPr>
            <w:r w:rsidRPr="00450894">
              <w:rPr>
                <w:b/>
                <w:lang w:val="sq-AL"/>
              </w:rPr>
              <w:t>2022</w:t>
            </w:r>
          </w:p>
        </w:tc>
        <w:tc>
          <w:tcPr>
            <w:tcW w:w="377" w:type="pct"/>
            <w:shd w:val="clear" w:color="auto" w:fill="1F3864" w:themeFill="accent5" w:themeFillShade="80"/>
            <w:noWrap/>
            <w:vAlign w:val="center"/>
            <w:hideMark/>
          </w:tcPr>
          <w:p w:rsidR="0075093C" w:rsidRPr="00450894" w:rsidRDefault="0075093C" w:rsidP="0075093C">
            <w:pPr>
              <w:keepNext/>
              <w:spacing w:after="0"/>
              <w:jc w:val="center"/>
              <w:rPr>
                <w:b/>
                <w:lang w:val="sq-AL"/>
              </w:rPr>
            </w:pPr>
            <w:r w:rsidRPr="00450894">
              <w:rPr>
                <w:b/>
                <w:lang w:val="sq-AL"/>
              </w:rPr>
              <w:t>2023</w:t>
            </w:r>
          </w:p>
        </w:tc>
        <w:tc>
          <w:tcPr>
            <w:tcW w:w="376" w:type="pct"/>
            <w:shd w:val="clear" w:color="auto" w:fill="1F3864" w:themeFill="accent5" w:themeFillShade="80"/>
            <w:vAlign w:val="center"/>
          </w:tcPr>
          <w:p w:rsidR="0075093C" w:rsidRPr="00450894" w:rsidRDefault="0075093C" w:rsidP="0075093C">
            <w:pPr>
              <w:keepNext/>
              <w:spacing w:after="0"/>
              <w:jc w:val="center"/>
              <w:rPr>
                <w:b/>
                <w:lang w:val="sq-AL"/>
              </w:rPr>
            </w:pPr>
            <w:r w:rsidRPr="00450894">
              <w:rPr>
                <w:b/>
                <w:lang w:val="sq-AL"/>
              </w:rPr>
              <w:t>2024</w:t>
            </w:r>
          </w:p>
        </w:tc>
      </w:tr>
      <w:tr w:rsidR="0075093C" w:rsidRPr="00450894" w:rsidTr="00D80ABE">
        <w:trPr>
          <w:trHeight w:val="288"/>
        </w:trPr>
        <w:tc>
          <w:tcPr>
            <w:tcW w:w="3493" w:type="pct"/>
            <w:shd w:val="clear" w:color="auto" w:fill="auto"/>
            <w:noWrap/>
            <w:tcMar>
              <w:top w:w="0" w:type="dxa"/>
              <w:left w:w="180" w:type="dxa"/>
              <w:bottom w:w="0" w:type="dxa"/>
              <w:right w:w="0" w:type="dxa"/>
            </w:tcMar>
            <w:vAlign w:val="bottom"/>
            <w:hideMark/>
          </w:tcPr>
          <w:p w:rsidR="0075093C" w:rsidRPr="00CC5249" w:rsidRDefault="0075093C" w:rsidP="0075093C">
            <w:pPr>
              <w:spacing w:after="0"/>
              <w:ind w:firstLineChars="100" w:firstLine="220"/>
              <w:rPr>
                <w:rFonts w:ascii="Calibri" w:hAnsi="Calibri" w:cs="Calibri"/>
                <w:color w:val="000000"/>
                <w:lang w:val="sq-AL"/>
              </w:rPr>
            </w:pPr>
            <w:r w:rsidRPr="00CC5249">
              <w:rPr>
                <w:rFonts w:ascii="Calibri" w:hAnsi="Calibri" w:cs="Calibri"/>
                <w:color w:val="000000"/>
                <w:lang w:val="sq-AL"/>
              </w:rPr>
              <w:t xml:space="preserve"> a. Rënia në Vlerë e Ll/A për vitet 2020-2021 </w:t>
            </w:r>
          </w:p>
        </w:tc>
        <w:tc>
          <w:tcPr>
            <w:tcW w:w="377" w:type="pct"/>
            <w:vAlign w:val="bottom"/>
          </w:tcPr>
          <w:p w:rsidR="0075093C" w:rsidRPr="00B26335" w:rsidRDefault="0075093C" w:rsidP="0075093C">
            <w:pPr>
              <w:spacing w:after="0"/>
              <w:jc w:val="center"/>
              <w:rPr>
                <w:rFonts w:ascii="Calibri" w:hAnsi="Calibri" w:cs="Calibri"/>
                <w:color w:val="000000"/>
                <w:lang w:val="sq-AL"/>
              </w:rPr>
            </w:pPr>
            <w:r w:rsidRPr="00B26335">
              <w:rPr>
                <w:rFonts w:ascii="Calibri" w:hAnsi="Calibri" w:cs="Calibri"/>
                <w:color w:val="000000"/>
                <w:lang w:val="sq-AL"/>
              </w:rPr>
              <w:t>2.21%</w:t>
            </w:r>
          </w:p>
        </w:tc>
        <w:tc>
          <w:tcPr>
            <w:tcW w:w="377" w:type="pct"/>
          </w:tcPr>
          <w:p w:rsidR="0075093C" w:rsidRPr="00B1408C" w:rsidRDefault="0075093C" w:rsidP="0075093C">
            <w:pPr>
              <w:spacing w:after="0"/>
              <w:jc w:val="center"/>
              <w:rPr>
                <w:rFonts w:ascii="Calibri" w:hAnsi="Calibri" w:cs="Calibri"/>
                <w:color w:val="000000"/>
                <w:lang w:val="sq-AL"/>
              </w:rPr>
            </w:pPr>
          </w:p>
        </w:tc>
        <w:tc>
          <w:tcPr>
            <w:tcW w:w="377" w:type="pct"/>
            <w:shd w:val="clear" w:color="auto" w:fill="auto"/>
            <w:noWrap/>
            <w:vAlign w:val="bottom"/>
          </w:tcPr>
          <w:p w:rsidR="0075093C" w:rsidRPr="00B1408C" w:rsidRDefault="0075093C" w:rsidP="0075093C">
            <w:pPr>
              <w:spacing w:after="0"/>
              <w:jc w:val="center"/>
              <w:rPr>
                <w:rFonts w:ascii="Calibri" w:hAnsi="Calibri" w:cs="Calibri"/>
                <w:color w:val="000000"/>
                <w:lang w:val="sq-AL"/>
              </w:rPr>
            </w:pPr>
          </w:p>
        </w:tc>
        <w:tc>
          <w:tcPr>
            <w:tcW w:w="376" w:type="pct"/>
            <w:vAlign w:val="bottom"/>
          </w:tcPr>
          <w:p w:rsidR="0075093C" w:rsidRPr="00450894" w:rsidRDefault="0075093C" w:rsidP="0075093C">
            <w:pPr>
              <w:spacing w:after="0"/>
              <w:jc w:val="center"/>
              <w:rPr>
                <w:rFonts w:ascii="Calibri" w:hAnsi="Calibri" w:cs="Calibri"/>
                <w:color w:val="000000"/>
                <w:lang w:val="sq-AL"/>
              </w:rPr>
            </w:pPr>
          </w:p>
        </w:tc>
      </w:tr>
      <w:tr w:rsidR="0075093C" w:rsidRPr="00450894" w:rsidTr="00D80ABE">
        <w:trPr>
          <w:trHeight w:val="288"/>
        </w:trPr>
        <w:tc>
          <w:tcPr>
            <w:tcW w:w="3493" w:type="pct"/>
            <w:shd w:val="clear" w:color="auto" w:fill="auto"/>
            <w:noWrap/>
            <w:vAlign w:val="bottom"/>
            <w:hideMark/>
          </w:tcPr>
          <w:p w:rsidR="0075093C" w:rsidRPr="00CC5249" w:rsidRDefault="0075093C" w:rsidP="0075093C">
            <w:pPr>
              <w:spacing w:after="0"/>
              <w:ind w:left="450"/>
              <w:rPr>
                <w:rFonts w:ascii="Calibri" w:hAnsi="Calibri" w:cs="Calibri"/>
                <w:color w:val="000000"/>
                <w:lang w:val="sq-AL"/>
              </w:rPr>
            </w:pPr>
            <w:r w:rsidRPr="00CC5249">
              <w:rPr>
                <w:rFonts w:ascii="Calibri" w:hAnsi="Calibri" w:cs="Calibri"/>
                <w:color w:val="000000"/>
                <w:lang w:val="sq-AL"/>
              </w:rPr>
              <w:t>b. Ndikimi i derregullimit t</w:t>
            </w:r>
            <w:r>
              <w:rPr>
                <w:rFonts w:ascii="Calibri" w:hAnsi="Calibri" w:cs="Calibri"/>
                <w:color w:val="000000"/>
                <w:lang w:val="sq-AL"/>
              </w:rPr>
              <w:t>ë</w:t>
            </w:r>
            <w:r w:rsidRPr="00CC5249">
              <w:rPr>
                <w:rFonts w:ascii="Calibri" w:hAnsi="Calibri" w:cs="Calibri"/>
                <w:color w:val="000000"/>
                <w:lang w:val="sq-AL"/>
              </w:rPr>
              <w:t xml:space="preserve"> konsumator</w:t>
            </w:r>
            <w:r>
              <w:rPr>
                <w:rFonts w:ascii="Calibri" w:hAnsi="Calibri" w:cs="Calibri"/>
                <w:color w:val="000000"/>
                <w:lang w:val="sq-AL"/>
              </w:rPr>
              <w:t>ë</w:t>
            </w:r>
            <w:r w:rsidRPr="00CC5249">
              <w:rPr>
                <w:rFonts w:ascii="Calibri" w:hAnsi="Calibri" w:cs="Calibri"/>
                <w:color w:val="000000"/>
                <w:lang w:val="sq-AL"/>
              </w:rPr>
              <w:t>ve (35kV dhe 10kV)</w:t>
            </w:r>
          </w:p>
        </w:tc>
        <w:tc>
          <w:tcPr>
            <w:tcW w:w="377" w:type="pct"/>
            <w:vAlign w:val="bottom"/>
          </w:tcPr>
          <w:p w:rsidR="0075093C" w:rsidRPr="007F49D2" w:rsidRDefault="0075093C" w:rsidP="0075093C">
            <w:pPr>
              <w:spacing w:after="0"/>
              <w:jc w:val="center"/>
              <w:rPr>
                <w:rFonts w:ascii="Calibri" w:hAnsi="Calibri" w:cs="Calibri"/>
                <w:color w:val="000000"/>
                <w:lang w:val="sq-AL"/>
              </w:rPr>
            </w:pPr>
            <w:r w:rsidRPr="00B26335">
              <w:rPr>
                <w:rFonts w:ascii="Calibri" w:hAnsi="Calibri" w:cs="Calibri"/>
                <w:color w:val="000000"/>
                <w:lang w:val="sq-AL"/>
              </w:rPr>
              <w:t>0.15</w:t>
            </w:r>
            <w:r w:rsidRPr="007F49D2">
              <w:rPr>
                <w:rFonts w:ascii="Calibri" w:hAnsi="Calibri" w:cs="Calibri"/>
                <w:color w:val="000000"/>
                <w:lang w:val="sq-AL"/>
              </w:rPr>
              <w:t>%</w:t>
            </w:r>
          </w:p>
        </w:tc>
        <w:tc>
          <w:tcPr>
            <w:tcW w:w="377" w:type="pct"/>
          </w:tcPr>
          <w:p w:rsidR="0075093C" w:rsidRPr="00B1408C" w:rsidRDefault="0075093C" w:rsidP="0075093C">
            <w:pPr>
              <w:spacing w:after="0"/>
              <w:jc w:val="center"/>
              <w:rPr>
                <w:rFonts w:ascii="Calibri" w:hAnsi="Calibri" w:cs="Calibri"/>
                <w:color w:val="000000"/>
                <w:lang w:val="sq-AL"/>
              </w:rPr>
            </w:pPr>
          </w:p>
        </w:tc>
        <w:tc>
          <w:tcPr>
            <w:tcW w:w="377" w:type="pct"/>
            <w:shd w:val="clear" w:color="auto" w:fill="auto"/>
            <w:noWrap/>
            <w:vAlign w:val="bottom"/>
          </w:tcPr>
          <w:p w:rsidR="0075093C" w:rsidRPr="00450894" w:rsidRDefault="0075093C" w:rsidP="0075093C">
            <w:pPr>
              <w:spacing w:after="0"/>
              <w:jc w:val="center"/>
              <w:rPr>
                <w:rFonts w:ascii="Calibri" w:hAnsi="Calibri" w:cs="Calibri"/>
                <w:color w:val="000000"/>
                <w:lang w:val="sq-AL"/>
              </w:rPr>
            </w:pPr>
          </w:p>
        </w:tc>
        <w:tc>
          <w:tcPr>
            <w:tcW w:w="376" w:type="pct"/>
            <w:vAlign w:val="bottom"/>
          </w:tcPr>
          <w:p w:rsidR="0075093C" w:rsidRPr="00450894" w:rsidRDefault="0075093C" w:rsidP="0075093C">
            <w:pPr>
              <w:spacing w:after="0"/>
              <w:jc w:val="center"/>
              <w:rPr>
                <w:rFonts w:ascii="Calibri" w:hAnsi="Calibri" w:cs="Calibri"/>
                <w:color w:val="000000"/>
                <w:lang w:val="sq-AL"/>
              </w:rPr>
            </w:pPr>
          </w:p>
        </w:tc>
      </w:tr>
      <w:tr w:rsidR="0075093C" w:rsidRPr="00450894" w:rsidTr="00D80ABE">
        <w:trPr>
          <w:trHeight w:val="288"/>
        </w:trPr>
        <w:tc>
          <w:tcPr>
            <w:tcW w:w="3493" w:type="pct"/>
            <w:shd w:val="clear" w:color="auto" w:fill="1F3864" w:themeFill="accent5" w:themeFillShade="80"/>
            <w:noWrap/>
            <w:vAlign w:val="bottom"/>
            <w:hideMark/>
          </w:tcPr>
          <w:p w:rsidR="0075093C" w:rsidRPr="00EF4D5D" w:rsidRDefault="0075093C" w:rsidP="0075093C">
            <w:pPr>
              <w:spacing w:after="0"/>
              <w:ind w:left="270"/>
              <w:rPr>
                <w:rFonts w:ascii="Calibri" w:hAnsi="Calibri" w:cs="Calibri"/>
                <w:b/>
                <w:bCs/>
                <w:color w:val="DDEBF7"/>
                <w:lang w:val="sq-AL"/>
              </w:rPr>
            </w:pPr>
            <w:r w:rsidRPr="00CC5249">
              <w:rPr>
                <w:rFonts w:ascii="Calibri" w:hAnsi="Calibri" w:cs="Calibri"/>
                <w:b/>
                <w:bCs/>
                <w:color w:val="DDEBF7"/>
                <w:lang w:val="sq-AL"/>
              </w:rPr>
              <w:t>c=(a+b) Propozimi për</w:t>
            </w:r>
            <w:r w:rsidRPr="00EF4D5D">
              <w:rPr>
                <w:rFonts w:ascii="Calibri" w:hAnsi="Calibri" w:cs="Calibri"/>
                <w:b/>
                <w:bCs/>
                <w:color w:val="DDEBF7"/>
                <w:lang w:val="sq-AL"/>
              </w:rPr>
              <w:t xml:space="preserve"> lejimin e borxhit të keq</w:t>
            </w:r>
          </w:p>
        </w:tc>
        <w:tc>
          <w:tcPr>
            <w:tcW w:w="377" w:type="pct"/>
            <w:shd w:val="clear" w:color="auto" w:fill="1F3864" w:themeFill="accent5" w:themeFillShade="80"/>
            <w:vAlign w:val="bottom"/>
          </w:tcPr>
          <w:p w:rsidR="0075093C" w:rsidRPr="00B26335" w:rsidRDefault="0075093C" w:rsidP="0075093C">
            <w:pPr>
              <w:spacing w:after="0"/>
              <w:jc w:val="center"/>
              <w:rPr>
                <w:rFonts w:ascii="Calibri" w:hAnsi="Calibri" w:cs="Calibri"/>
                <w:b/>
                <w:bCs/>
                <w:color w:val="DDEBF7"/>
                <w:lang w:val="sq-AL"/>
              </w:rPr>
            </w:pPr>
            <w:r w:rsidRPr="00B26335">
              <w:rPr>
                <w:rFonts w:ascii="Calibri" w:hAnsi="Calibri" w:cs="Calibri"/>
                <w:b/>
                <w:bCs/>
                <w:color w:val="DDEBF7"/>
                <w:lang w:val="sq-AL"/>
              </w:rPr>
              <w:t>2.36 %</w:t>
            </w:r>
          </w:p>
        </w:tc>
        <w:tc>
          <w:tcPr>
            <w:tcW w:w="377" w:type="pct"/>
            <w:shd w:val="clear" w:color="auto" w:fill="1F3864" w:themeFill="accent5" w:themeFillShade="80"/>
          </w:tcPr>
          <w:p w:rsidR="0075093C" w:rsidRPr="00B1408C" w:rsidRDefault="0075093C" w:rsidP="0075093C">
            <w:pPr>
              <w:spacing w:after="0"/>
              <w:jc w:val="center"/>
              <w:rPr>
                <w:rFonts w:ascii="Calibri" w:hAnsi="Calibri" w:cs="Calibri"/>
                <w:b/>
                <w:bCs/>
                <w:color w:val="DDEBF7"/>
                <w:lang w:val="sq-AL"/>
              </w:rPr>
            </w:pPr>
            <w:r w:rsidRPr="00B1408C">
              <w:rPr>
                <w:rFonts w:ascii="Calibri" w:hAnsi="Calibri" w:cs="Calibri"/>
                <w:b/>
                <w:bCs/>
                <w:color w:val="DDEBF7"/>
                <w:lang w:val="sq-AL"/>
              </w:rPr>
              <w:t>2.4%</w:t>
            </w:r>
          </w:p>
        </w:tc>
        <w:tc>
          <w:tcPr>
            <w:tcW w:w="377" w:type="pct"/>
            <w:shd w:val="clear" w:color="auto" w:fill="1F3864" w:themeFill="accent5" w:themeFillShade="80"/>
            <w:noWrap/>
            <w:vAlign w:val="bottom"/>
            <w:hideMark/>
          </w:tcPr>
          <w:p w:rsidR="0075093C" w:rsidRPr="00450894" w:rsidRDefault="0075093C" w:rsidP="0075093C">
            <w:pPr>
              <w:spacing w:after="0"/>
              <w:jc w:val="center"/>
              <w:rPr>
                <w:rFonts w:ascii="Calibri" w:hAnsi="Calibri" w:cs="Calibri"/>
                <w:b/>
                <w:bCs/>
                <w:color w:val="DDEBF7"/>
                <w:lang w:val="sq-AL"/>
              </w:rPr>
            </w:pPr>
            <w:r w:rsidRPr="00450894">
              <w:rPr>
                <w:rFonts w:ascii="Calibri" w:hAnsi="Calibri" w:cs="Calibri"/>
                <w:b/>
                <w:bCs/>
                <w:color w:val="DDEBF7"/>
                <w:lang w:val="sq-AL"/>
              </w:rPr>
              <w:t>2.2%</w:t>
            </w:r>
          </w:p>
        </w:tc>
        <w:tc>
          <w:tcPr>
            <w:tcW w:w="376" w:type="pct"/>
            <w:shd w:val="clear" w:color="auto" w:fill="1F3864" w:themeFill="accent5" w:themeFillShade="80"/>
            <w:vAlign w:val="bottom"/>
          </w:tcPr>
          <w:p w:rsidR="0075093C" w:rsidRPr="00450894" w:rsidRDefault="0075093C" w:rsidP="0075093C">
            <w:pPr>
              <w:spacing w:after="0"/>
              <w:jc w:val="center"/>
              <w:rPr>
                <w:rFonts w:ascii="Calibri" w:hAnsi="Calibri" w:cs="Calibri"/>
                <w:b/>
                <w:bCs/>
                <w:color w:val="DDEBF7"/>
                <w:lang w:val="sq-AL"/>
              </w:rPr>
            </w:pPr>
            <w:r w:rsidRPr="00450894">
              <w:rPr>
                <w:rFonts w:ascii="Calibri" w:hAnsi="Calibri" w:cs="Calibri"/>
                <w:b/>
                <w:bCs/>
                <w:color w:val="DDEBF7"/>
                <w:lang w:val="sq-AL"/>
              </w:rPr>
              <w:t>2.0%</w:t>
            </w:r>
          </w:p>
        </w:tc>
      </w:tr>
    </w:tbl>
    <w:p w:rsidR="0075093C" w:rsidRPr="00CC5249" w:rsidRDefault="0075093C" w:rsidP="0075093C">
      <w:pPr>
        <w:rPr>
          <w:lang w:val="sq-AL"/>
        </w:rPr>
      </w:pPr>
    </w:p>
    <w:p w:rsidR="0075093C" w:rsidRPr="007F49D2" w:rsidRDefault="0075093C" w:rsidP="0075093C">
      <w:pPr>
        <w:pStyle w:val="Heading2"/>
        <w:ind w:left="720"/>
        <w:rPr>
          <w:lang w:val="sq-AL"/>
        </w:rPr>
      </w:pPr>
      <w:bookmarkStart w:id="12" w:name="_Toc88226455"/>
      <w:r w:rsidRPr="00B26335">
        <w:rPr>
          <w:lang w:val="sq-AL"/>
        </w:rPr>
        <w:t>Faktori ndarës i jo</w:t>
      </w:r>
      <w:r w:rsidR="009277F3">
        <w:rPr>
          <w:lang w:val="sq-AL"/>
        </w:rPr>
        <w:t>bala</w:t>
      </w:r>
      <w:r w:rsidRPr="007F49D2">
        <w:rPr>
          <w:lang w:val="sq-AL"/>
        </w:rPr>
        <w:t>nceve</w:t>
      </w:r>
      <w:bookmarkEnd w:id="12"/>
    </w:p>
    <w:p w:rsidR="0075093C" w:rsidRPr="00EF4D5D" w:rsidRDefault="0075093C" w:rsidP="009277F3">
      <w:pPr>
        <w:jc w:val="both"/>
        <w:rPr>
          <w:lang w:val="sq-AL"/>
        </w:rPr>
      </w:pPr>
      <w:r w:rsidRPr="00B1408C">
        <w:rPr>
          <w:lang w:val="sq-AL"/>
        </w:rPr>
        <w:t>Faktori ndarës i jobalanceve përfaqëson pjesën e kostove të balancimit që FSHU mund t'ua bart konsumatorëve të rregulluar. Kostot e balancimit janë a</w:t>
      </w:r>
      <w:r w:rsidRPr="00450894">
        <w:rPr>
          <w:lang w:val="sq-AL"/>
        </w:rPr>
        <w:t>to kosto të shkaktuara nga FSHU për ndryshimet midis blerjeve të tij aktuale për të përmbushur kërkesën e konsumatorëve dhe nivelet e parashikimit. Në një treg të madh dhe likuid të energjisë elektrike, furnizuesit pritet të menaxhojnë këto mospërputhje përmes parashikimit të saktë dhe përmes blerjes dhe shitjes së energjisë në tregjet likuide (for</w:t>
      </w:r>
      <w:r w:rsidR="009277F3">
        <w:rPr>
          <w:lang w:val="sq-AL"/>
        </w:rPr>
        <w:t>w</w:t>
      </w:r>
      <w:r w:rsidRPr="00EF4D5D">
        <w:rPr>
          <w:lang w:val="sq-AL"/>
        </w:rPr>
        <w:t>ard market) në mënyrë që çdo jobalanc i mbetur të minimizohet.</w:t>
      </w:r>
    </w:p>
    <w:p w:rsidR="0075093C" w:rsidRPr="007F49D2" w:rsidRDefault="0075093C" w:rsidP="0075093C">
      <w:pPr>
        <w:pStyle w:val="Heading3"/>
        <w:rPr>
          <w:lang w:val="sq-AL"/>
        </w:rPr>
      </w:pPr>
      <w:bookmarkStart w:id="13" w:name="_Toc88226456"/>
      <w:r w:rsidRPr="00B26335">
        <w:rPr>
          <w:lang w:val="sq-AL"/>
        </w:rPr>
        <w:t xml:space="preserve">Aplikacioni i </w:t>
      </w:r>
      <w:r w:rsidRPr="007F49D2">
        <w:rPr>
          <w:lang w:val="sq-AL"/>
        </w:rPr>
        <w:t>KESCO-së</w:t>
      </w:r>
      <w:bookmarkEnd w:id="13"/>
    </w:p>
    <w:p w:rsidR="0075093C" w:rsidRPr="00450894" w:rsidRDefault="0075093C" w:rsidP="009277F3">
      <w:pPr>
        <w:jc w:val="both"/>
        <w:rPr>
          <w:lang w:val="sq-AL"/>
        </w:rPr>
      </w:pPr>
      <w:r w:rsidRPr="00B1408C">
        <w:rPr>
          <w:lang w:val="sq-AL"/>
        </w:rPr>
        <w:t>KESCO n</w:t>
      </w:r>
      <w:r>
        <w:rPr>
          <w:lang w:val="sq-AL"/>
        </w:rPr>
        <w:t>ë</w:t>
      </w:r>
      <w:r w:rsidRPr="00EF4D5D">
        <w:rPr>
          <w:lang w:val="sq-AL"/>
        </w:rPr>
        <w:t xml:space="preserve"> aplikacionin e tij ka par</w:t>
      </w:r>
      <w:r w:rsidR="009277F3">
        <w:rPr>
          <w:lang w:val="sq-AL"/>
        </w:rPr>
        <w:t>a</w:t>
      </w:r>
      <w:r w:rsidRPr="00EF4D5D">
        <w:rPr>
          <w:lang w:val="sq-AL"/>
        </w:rPr>
        <w:t>qitur q</w:t>
      </w:r>
      <w:r>
        <w:rPr>
          <w:lang w:val="sq-AL"/>
        </w:rPr>
        <w:t>ë</w:t>
      </w:r>
      <w:r w:rsidRPr="00EF4D5D">
        <w:rPr>
          <w:lang w:val="sq-AL"/>
        </w:rPr>
        <w:t>ndrimin n</w:t>
      </w:r>
      <w:r>
        <w:rPr>
          <w:lang w:val="sq-AL"/>
        </w:rPr>
        <w:t>ë</w:t>
      </w:r>
      <w:r w:rsidRPr="00EF4D5D">
        <w:rPr>
          <w:lang w:val="sq-AL"/>
        </w:rPr>
        <w:t xml:space="preserve"> lidhje me faktorin ndar</w:t>
      </w:r>
      <w:r>
        <w:rPr>
          <w:lang w:val="sq-AL"/>
        </w:rPr>
        <w:t>ë</w:t>
      </w:r>
      <w:r w:rsidRPr="00EF4D5D">
        <w:rPr>
          <w:lang w:val="sq-AL"/>
        </w:rPr>
        <w:t>s t</w:t>
      </w:r>
      <w:r>
        <w:rPr>
          <w:lang w:val="sq-AL"/>
        </w:rPr>
        <w:t>ë</w:t>
      </w:r>
      <w:r w:rsidRPr="00EF4D5D">
        <w:rPr>
          <w:lang w:val="sq-AL"/>
        </w:rPr>
        <w:t xml:space="preserve"> jo-balanceve dhe propozimin p</w:t>
      </w:r>
      <w:r>
        <w:rPr>
          <w:lang w:val="sq-AL"/>
        </w:rPr>
        <w:t>ë</w:t>
      </w:r>
      <w:r w:rsidRPr="00EF4D5D">
        <w:rPr>
          <w:lang w:val="sq-AL"/>
        </w:rPr>
        <w:t>r nivelin e tij q</w:t>
      </w:r>
      <w:r>
        <w:rPr>
          <w:lang w:val="sq-AL"/>
        </w:rPr>
        <w:t>ë</w:t>
      </w:r>
      <w:r w:rsidRPr="00EF4D5D">
        <w:rPr>
          <w:lang w:val="sq-AL"/>
        </w:rPr>
        <w:t xml:space="preserve"> aplikohet p</w:t>
      </w:r>
      <w:r>
        <w:rPr>
          <w:lang w:val="sq-AL"/>
        </w:rPr>
        <w:t>ë</w:t>
      </w:r>
      <w:r w:rsidRPr="00EF4D5D">
        <w:rPr>
          <w:lang w:val="sq-AL"/>
        </w:rPr>
        <w:t>r konsumator</w:t>
      </w:r>
      <w:r>
        <w:rPr>
          <w:lang w:val="sq-AL"/>
        </w:rPr>
        <w:t>ë</w:t>
      </w:r>
      <w:r w:rsidRPr="00EF4D5D">
        <w:rPr>
          <w:lang w:val="sq-AL"/>
        </w:rPr>
        <w:t>t e rregulluar (FSHU). KESCO thekson se gjithmonë ka pasiguri në parashikimin e kërkesës së konsumatorëve, respektivisht në blerjen e sasisë së saktë të energjisë për këtë kërkesë. Kërkesa e konsumatorit ndryshon gjatë gjithë vitit, muajit dhe gjatë ditës. Nëse furnizuesit kanë blerë më pak energji sesa është kërkesa e konsumatorëve, ata shkaktojnë kosto shtesë, jashtë kostove direkte për blerjen e energjisë me shumicë. Nëse furnizuesit kanë blerë më shumë energji sesa</w:t>
      </w:r>
      <w:r w:rsidRPr="00B26335">
        <w:rPr>
          <w:lang w:val="sq-AL"/>
        </w:rPr>
        <w:t xml:space="preserve"> është kërkesa e konsumatorëve, ata mund të pranojnë pagesa por që mund të jetë e </w:t>
      </w:r>
      <w:r w:rsidRPr="00B26335">
        <w:rPr>
          <w:lang w:val="sq-AL"/>
        </w:rPr>
        <w:lastRenderedPageBreak/>
        <w:t>ndryshme dhe më e ulët sesa shitja e tyre me shumicë. Në këtë këndvështrim, ekziston rrezik për humbje dhe/apo përfitim për furnizuesit, varësisht nga kushtet e tregut. Në mënyrë që të shmanget ekspozimi i furnizuesve ndaj një rreziku më të lartë, përmes së cilëve furnizuesit do ta kishin të pamundur rikuperimin e kostove të tyre operative, Rregullatorët mbështesin furnizuesin duke prezantuar faktorin nda</w:t>
      </w:r>
      <w:r w:rsidRPr="00B1408C">
        <w:rPr>
          <w:lang w:val="sq-AL"/>
        </w:rPr>
        <w:t>rës të jobalancit. Me krijimin e një trendi historik ndër vite, furnizuesit mund të parashikojnë dhe menaxhojnë më mirë këto kosto dhe Rregullatori mund të vendosë të ndryshojë përqindjen fikse që aplikohet në kostot neto të jobalancit (faktorin ndarës të jobalancit), pasi supozohet se lejimi i një faktori të ndarjes ndërmjet furnizuesit dhe konsumatorëve do të rrisë stimujt që furnizuesi të menaxhojë më saktë balancimin e tij.</w:t>
      </w:r>
    </w:p>
    <w:p w:rsidR="0075093C" w:rsidRPr="00450894" w:rsidRDefault="0075093C" w:rsidP="009277F3">
      <w:pPr>
        <w:jc w:val="both"/>
        <w:rPr>
          <w:lang w:val="sq-AL"/>
        </w:rPr>
      </w:pPr>
      <w:r w:rsidRPr="00450894">
        <w:rPr>
          <w:lang w:val="sq-AL"/>
        </w:rPr>
        <w:t xml:space="preserve">KESCO në propozimin e faktori ndarës të jobalanceve thekson se qasja e kufizuar në numër dhe llojllojshmëri të burimeve të gjenerimit, dhe varësia nga njësitë gjeneruese të cilat janë të vjetra dhe jo fleksibile, kufizon aftësinë që sistemi të jetë në balancë dhe të ketë kosto minimale. </w:t>
      </w:r>
    </w:p>
    <w:p w:rsidR="0075093C" w:rsidRPr="00450894" w:rsidRDefault="0075093C" w:rsidP="009277F3">
      <w:pPr>
        <w:jc w:val="both"/>
        <w:rPr>
          <w:lang w:val="sq-AL"/>
        </w:rPr>
      </w:pPr>
      <w:r w:rsidRPr="00450894">
        <w:rPr>
          <w:lang w:val="sq-AL"/>
        </w:rPr>
        <w:t xml:space="preserve">Prandaj marrë parasysh edhe zhvillimet e tregut (konsumatorët prodhues, hapja e tregut dhe mundësia e ndërrimit të furnizuesve), KESCO </w:t>
      </w:r>
      <w:r w:rsidR="009277F3" w:rsidRPr="00450894">
        <w:rPr>
          <w:lang w:val="sq-AL"/>
        </w:rPr>
        <w:t>beson</w:t>
      </w:r>
      <w:r w:rsidRPr="00450894">
        <w:rPr>
          <w:lang w:val="sq-AL"/>
        </w:rPr>
        <w:t xml:space="preserve"> se faktori i ndarjes i </w:t>
      </w:r>
      <w:r w:rsidR="009277F3" w:rsidRPr="00450894">
        <w:rPr>
          <w:lang w:val="sq-AL"/>
        </w:rPr>
        <w:t>jobalancit</w:t>
      </w:r>
      <w:r w:rsidRPr="00450894">
        <w:rPr>
          <w:lang w:val="sq-AL"/>
        </w:rPr>
        <w:t xml:space="preserve"> duhet të vazhdojë të aplikohet si 100% të paktën deri në rishikimin tjetër periodik.</w:t>
      </w:r>
    </w:p>
    <w:p w:rsidR="0075093C" w:rsidRPr="00450894" w:rsidRDefault="0075093C" w:rsidP="0075093C">
      <w:pPr>
        <w:pStyle w:val="Heading3"/>
        <w:rPr>
          <w:lang w:val="sq-AL"/>
        </w:rPr>
      </w:pPr>
      <w:bookmarkStart w:id="14" w:name="_Toc88226457"/>
      <w:r w:rsidRPr="00450894">
        <w:rPr>
          <w:lang w:val="sq-AL"/>
        </w:rPr>
        <w:t>Propozimi i ZRRE-së</w:t>
      </w:r>
      <w:bookmarkEnd w:id="14"/>
    </w:p>
    <w:p w:rsidR="0075093C" w:rsidRPr="00450894" w:rsidRDefault="0075093C" w:rsidP="009277F3">
      <w:pPr>
        <w:jc w:val="both"/>
        <w:rPr>
          <w:lang w:val="sq-AL"/>
        </w:rPr>
      </w:pPr>
      <w:r w:rsidRPr="00450894">
        <w:rPr>
          <w:lang w:val="sq-AL"/>
        </w:rPr>
        <w:t>Meqenëse nuk pritet asnjë ndryshim i dukshëm në aftësinë e KESCO-së për të menaxhuar jobalancet para vitit 2023, asnjë ndryshim në faktorin ndarës të jobalancev</w:t>
      </w:r>
      <w:r w:rsidR="009277F3">
        <w:rPr>
          <w:lang w:val="sq-AL"/>
        </w:rPr>
        <w:t>e</w:t>
      </w:r>
      <w:r w:rsidRPr="00450894">
        <w:rPr>
          <w:lang w:val="sq-AL"/>
        </w:rPr>
        <w:t xml:space="preserve"> nuk justifikohet. Një reduktim pas vitit 2023, duke e ekspozuar KESCO-në ndaj një rreziku më të madh të kostove të jobalancit, mund të justifikohet nëse ALPEX është plotësisht operacional.</w:t>
      </w:r>
    </w:p>
    <w:p w:rsidR="0075093C" w:rsidRPr="00B1408C" w:rsidRDefault="0075093C" w:rsidP="009277F3">
      <w:pPr>
        <w:jc w:val="both"/>
        <w:rPr>
          <w:lang w:val="sq-AL"/>
        </w:rPr>
      </w:pPr>
      <w:r w:rsidRPr="00450894">
        <w:rPr>
          <w:lang w:val="sq-AL"/>
        </w:rPr>
        <w:t xml:space="preserve">Më 5 Tetor 2020, OST-të përkatëse </w:t>
      </w:r>
      <w:r>
        <w:rPr>
          <w:lang w:val="sq-AL"/>
        </w:rPr>
        <w:t>e</w:t>
      </w:r>
      <w:r w:rsidRPr="00540B57">
        <w:rPr>
          <w:lang w:val="sq-AL"/>
        </w:rPr>
        <w:t xml:space="preserve"> Kosovës dhe Shqipërisë nënshkruan marrëveshjen e aksionarëve dhe statutin për të krijuar një operator të përbashkët të shkëmbimit të energjis</w:t>
      </w:r>
      <w:r w:rsidRPr="00B1408C">
        <w:rPr>
          <w:lang w:val="sq-AL"/>
        </w:rPr>
        <w:t>ë, ALPEX, që do të operojë një treg të një dite para (day-ahead) dhe brenda ditës (intra-day) të energjisë elektrike që mbulon Kosovën dhe Shqipërinë. Krijimi i ALPEX pritet të adresojë shumë nga kufizimet me të cilat përballet tregu i energjisë elektrike në Kosovë, duke i dhënë mundësi hyrjes në një treg shumë më të madh me kapacitet më fleksibil të furnizimit.</w:t>
      </w:r>
    </w:p>
    <w:p w:rsidR="0075093C" w:rsidRPr="00450894" w:rsidRDefault="0075093C" w:rsidP="009277F3">
      <w:pPr>
        <w:jc w:val="both"/>
        <w:rPr>
          <w:lang w:val="sq-AL"/>
        </w:rPr>
      </w:pPr>
      <w:r w:rsidRPr="00450894">
        <w:rPr>
          <w:lang w:val="sq-AL"/>
        </w:rPr>
        <w:t>Sidoqoftë, mund të merr kohë derisa ALPEX të bëhet funksional dhe aktualisht fillimi i tij mbetet i panjohur, po</w:t>
      </w:r>
      <w:r w:rsidR="006C04F5">
        <w:rPr>
          <w:lang w:val="sq-AL"/>
        </w:rPr>
        <w:t>-</w:t>
      </w:r>
      <w:r w:rsidRPr="00450894">
        <w:rPr>
          <w:lang w:val="sq-AL"/>
        </w:rPr>
        <w:t>ashtu edhe shkalla e tregut dhe likuiditetit janë të panjohura tani. Duke pasur parasysh këtë, është joreale të presësh që KESCO ose pjesëmarrës të tjerë të tregut të jenë në gjendje të mbështeten tek ALPEX për të menaxhuar jobalancet me kosto të ulët për periudhë deri në vitin 2023.</w:t>
      </w:r>
    </w:p>
    <w:p w:rsidR="0075093C" w:rsidRPr="00450894" w:rsidRDefault="0075093C" w:rsidP="009277F3">
      <w:pPr>
        <w:jc w:val="both"/>
        <w:rPr>
          <w:lang w:val="sq-AL"/>
        </w:rPr>
      </w:pPr>
      <w:r w:rsidRPr="00450894">
        <w:rPr>
          <w:lang w:val="sq-AL"/>
        </w:rPr>
        <w:t>Sidoqoftë, tregu i energjisë elektrike në Kosovë është i vogël dhe jo</w:t>
      </w:r>
      <w:r w:rsidR="006C04F5">
        <w:rPr>
          <w:lang w:val="sq-AL"/>
        </w:rPr>
        <w:t>-</w:t>
      </w:r>
      <w:r w:rsidRPr="00450894">
        <w:rPr>
          <w:lang w:val="sq-AL"/>
        </w:rPr>
        <w:t xml:space="preserve">likuid. Vetëm një numër i vogël i gjeneratorëve marrin pjesë, të cilët janë kryesisht jo fleksibil dhe nuk mund të përshtatin lehtë prodhimin, dhe kontratat e importit vazhdojnë të përballen me kufizime. Duke pasur parasysh këtë, faktori ndarës i jobalanceve aktualisht është përcaktuar në 100%, që do të thotë që të gjitha kostot e balancimit kalojnë te konsumatorët (qofshin ato </w:t>
      </w:r>
      <w:r w:rsidR="000F4234" w:rsidRPr="00450894">
        <w:rPr>
          <w:lang w:val="sq-AL"/>
        </w:rPr>
        <w:t>pozitive</w:t>
      </w:r>
      <w:r w:rsidRPr="00450894">
        <w:rPr>
          <w:lang w:val="sq-AL"/>
        </w:rPr>
        <w:t xml:space="preserve"> apo negative), duke ditur që KESCO ka pak mundësi për të rregulluar blerjet e energjisë para kohe për të përmbushur kërkesën. </w:t>
      </w:r>
    </w:p>
    <w:p w:rsidR="0075093C" w:rsidRPr="00450894" w:rsidRDefault="0075093C" w:rsidP="009277F3">
      <w:pPr>
        <w:jc w:val="both"/>
        <w:rPr>
          <w:lang w:val="sq-AL"/>
        </w:rPr>
      </w:pPr>
      <w:r w:rsidRPr="00450894">
        <w:rPr>
          <w:lang w:val="sq-AL"/>
        </w:rPr>
        <w:t>Bazuar në shpjegimin që ka të bëjë me rreth</w:t>
      </w:r>
      <w:r w:rsidR="006C04F5">
        <w:rPr>
          <w:lang w:val="sq-AL"/>
        </w:rPr>
        <w:t>an</w:t>
      </w:r>
      <w:r w:rsidRPr="00450894">
        <w:rPr>
          <w:lang w:val="sq-AL"/>
        </w:rPr>
        <w:t xml:space="preserve">at aktuale dhe pritjet për integrim në tregun e përbashkët ALPEX, ZRRE pajtohet me propozimin e KESCO që i njëjti faktor ndarës 100% duhet të mbahet për </w:t>
      </w:r>
      <w:r w:rsidRPr="00450894">
        <w:rPr>
          <w:lang w:val="sq-AL"/>
        </w:rPr>
        <w:lastRenderedPageBreak/>
        <w:t>periudhën 2022 deri në 2024 duke pasur parasysh që këto rrethana do të vazhdojnë të mbizotërojnë në tregun vendor të energjisë.</w:t>
      </w:r>
    </w:p>
    <w:p w:rsidR="0075093C" w:rsidRPr="00450894" w:rsidRDefault="0075093C" w:rsidP="0075093C">
      <w:pPr>
        <w:pStyle w:val="Heading1"/>
        <w:rPr>
          <w:lang w:val="sq-AL"/>
        </w:rPr>
      </w:pPr>
      <w:bookmarkStart w:id="15" w:name="_Toc88226458"/>
      <w:r w:rsidRPr="00450894">
        <w:rPr>
          <w:lang w:val="sq-AL"/>
        </w:rPr>
        <w:t>Kostot operative dhe të mirëmbajtjes</w:t>
      </w:r>
      <w:bookmarkEnd w:id="15"/>
    </w:p>
    <w:p w:rsidR="0075093C" w:rsidRPr="00450894" w:rsidRDefault="0075093C" w:rsidP="006C04F5">
      <w:pPr>
        <w:jc w:val="both"/>
        <w:rPr>
          <w:lang w:val="sq-AL"/>
        </w:rPr>
      </w:pPr>
      <w:r w:rsidRPr="00450894">
        <w:rPr>
          <w:lang w:val="sq-AL"/>
        </w:rPr>
        <w:t>Kostot e lejuara me pakicë të Furnizuesit të Shërbimit Universal përfshijnë kostot e operimit dhe mirëmbajtjes, kostot e korporatës, kostot e zhvlerësimit dhe kostot e tjera jashtë kontrollit të të licencuarit. Kjo pjesë e raportit paraqet Aplikacionin e KESCO-FSHU dhe propozimet e ZRRE-së për kostot e lejuara me pakicë, siç përcaktohet në përkufizimin e dhënë në nenin 14 të Rregullës për të Hyrat e FSHU-së.</w:t>
      </w:r>
    </w:p>
    <w:p w:rsidR="0075093C" w:rsidRPr="00450894" w:rsidRDefault="0075093C" w:rsidP="0075093C">
      <w:pPr>
        <w:pStyle w:val="Heading2"/>
        <w:rPr>
          <w:lang w:val="sq-AL"/>
        </w:rPr>
      </w:pPr>
      <w:bookmarkStart w:id="16" w:name="_Toc88226459"/>
      <w:r w:rsidRPr="00450894">
        <w:rPr>
          <w:lang w:val="sq-AL"/>
        </w:rPr>
        <w:t>Aplikacioni i KESCO-së</w:t>
      </w:r>
      <w:bookmarkEnd w:id="16"/>
    </w:p>
    <w:p w:rsidR="0075093C" w:rsidRDefault="0075093C" w:rsidP="006C04F5">
      <w:pPr>
        <w:jc w:val="both"/>
        <w:rPr>
          <w:lang w:val="sq-AL"/>
        </w:rPr>
      </w:pPr>
      <w:r w:rsidRPr="00450894">
        <w:rPr>
          <w:lang w:val="sq-AL"/>
        </w:rPr>
        <w:t>Që nga shthurja funksionale dhe ligjore nga aktiviteti i shpërndarjes në vitin 2015, kostot mesatare të operimit dhe mirëmbajtjes të lejuar për Furnizuesin me Shërbimi Universal janë 5.6 milion € mesatarisht, të cilat janë në përputhje me kostot mesatare aktuale të realizuara nga furnizuesi me shërbimit universal, siç tregohet në tabelën më poshtë:</w:t>
      </w:r>
    </w:p>
    <w:p w:rsidR="0075093C" w:rsidRPr="00450894" w:rsidRDefault="0075093C" w:rsidP="0075093C">
      <w:pPr>
        <w:pStyle w:val="Caption"/>
        <w:rPr>
          <w:lang w:val="sq-AL"/>
        </w:rPr>
      </w:pPr>
      <w:r>
        <w:t xml:space="preserve">Tabela  </w:t>
      </w:r>
      <w:r>
        <w:fldChar w:fldCharType="begin"/>
      </w:r>
      <w:r>
        <w:instrText xml:space="preserve"> SEQ Tabela_ \* ARABIC </w:instrText>
      </w:r>
      <w:r>
        <w:fldChar w:fldCharType="separate"/>
      </w:r>
      <w:r w:rsidR="00701D2D">
        <w:rPr>
          <w:noProof/>
        </w:rPr>
        <w:t>7</w:t>
      </w:r>
      <w:r>
        <w:fldChar w:fldCharType="end"/>
      </w:r>
      <w:r>
        <w:t xml:space="preserve"> </w:t>
      </w:r>
      <w:r w:rsidRPr="00450894">
        <w:rPr>
          <w:lang w:val="sq-AL"/>
        </w:rPr>
        <w:t>Kostot aktuale të operimit dhe mirëmbajtjes (2016-2019)</w:t>
      </w:r>
    </w:p>
    <w:tbl>
      <w:tblPr>
        <w:tblW w:w="8788" w:type="dxa"/>
        <w:jc w:val="center"/>
        <w:tblLook w:val="04A0" w:firstRow="1" w:lastRow="0" w:firstColumn="1" w:lastColumn="0" w:noHBand="0" w:noVBand="1"/>
      </w:tblPr>
      <w:tblGrid>
        <w:gridCol w:w="3471"/>
        <w:gridCol w:w="829"/>
        <w:gridCol w:w="829"/>
        <w:gridCol w:w="829"/>
        <w:gridCol w:w="829"/>
        <w:gridCol w:w="772"/>
        <w:gridCol w:w="1229"/>
      </w:tblGrid>
      <w:tr w:rsidR="0075093C" w:rsidRPr="00450894" w:rsidTr="0075093C">
        <w:trPr>
          <w:trHeight w:val="495"/>
          <w:jc w:val="center"/>
        </w:trPr>
        <w:tc>
          <w:tcPr>
            <w:tcW w:w="3471"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rPr>
                <w:rFonts w:ascii="Calibri" w:eastAsia="Times New Roman" w:hAnsi="Calibri" w:cs="Times New Roman"/>
                <w:color w:val="FFFFFF"/>
                <w:lang w:val="sq-AL"/>
              </w:rPr>
            </w:pPr>
            <w:r w:rsidRPr="00450894">
              <w:rPr>
                <w:rFonts w:ascii="Calibri" w:eastAsia="Times New Roman" w:hAnsi="Calibri" w:cs="Times New Roman"/>
                <w:color w:val="FFFFFF"/>
                <w:lang w:val="sq-AL"/>
              </w:rPr>
              <w:t> </w:t>
            </w:r>
          </w:p>
        </w:tc>
        <w:tc>
          <w:tcPr>
            <w:tcW w:w="829"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2017</w:t>
            </w:r>
          </w:p>
        </w:tc>
        <w:tc>
          <w:tcPr>
            <w:tcW w:w="829"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2018</w:t>
            </w:r>
          </w:p>
        </w:tc>
        <w:tc>
          <w:tcPr>
            <w:tcW w:w="829"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2019</w:t>
            </w:r>
          </w:p>
        </w:tc>
        <w:tc>
          <w:tcPr>
            <w:tcW w:w="829"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2020</w:t>
            </w:r>
          </w:p>
        </w:tc>
        <w:tc>
          <w:tcPr>
            <w:tcW w:w="772" w:type="dxa"/>
            <w:tcBorders>
              <w:top w:val="nil"/>
              <w:left w:val="nil"/>
              <w:bottom w:val="nil"/>
              <w:right w:val="nil"/>
            </w:tcBorders>
            <w:shd w:val="clear" w:color="000000" w:fill="003366"/>
            <w:vAlign w:val="center"/>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2021</w:t>
            </w:r>
          </w:p>
        </w:tc>
        <w:tc>
          <w:tcPr>
            <w:tcW w:w="1229" w:type="dxa"/>
            <w:tcBorders>
              <w:top w:val="nil"/>
              <w:left w:val="nil"/>
              <w:bottom w:val="nil"/>
              <w:right w:val="nil"/>
            </w:tcBorders>
            <w:shd w:val="clear" w:color="000000" w:fill="003366"/>
            <w:vAlign w:val="center"/>
          </w:tcPr>
          <w:p w:rsidR="0075093C" w:rsidRPr="00450894" w:rsidRDefault="0075093C" w:rsidP="0075093C">
            <w:pPr>
              <w:spacing w:after="0" w:line="240" w:lineRule="auto"/>
              <w:jc w:val="center"/>
              <w:rPr>
                <w:rFonts w:ascii="Calibri" w:eastAsia="Times New Roman" w:hAnsi="Calibri" w:cs="Times New Roman"/>
                <w:color w:val="FFFFFF"/>
                <w:lang w:val="sq-AL"/>
              </w:rPr>
            </w:pPr>
            <w:r w:rsidRPr="00450894">
              <w:rPr>
                <w:rFonts w:ascii="Calibri" w:eastAsia="Times New Roman" w:hAnsi="Calibri" w:cs="Times New Roman"/>
                <w:color w:val="FFFFFF"/>
                <w:lang w:val="sq-AL"/>
              </w:rPr>
              <w:t>Mesatarja</w:t>
            </w:r>
          </w:p>
        </w:tc>
      </w:tr>
      <w:tr w:rsidR="0075093C" w:rsidRPr="00450894" w:rsidTr="0075093C">
        <w:trPr>
          <w:trHeight w:val="360"/>
          <w:jc w:val="center"/>
        </w:trPr>
        <w:tc>
          <w:tcPr>
            <w:tcW w:w="3471" w:type="dxa"/>
            <w:tcBorders>
              <w:top w:val="nil"/>
              <w:left w:val="nil"/>
              <w:bottom w:val="nil"/>
              <w:right w:val="nil"/>
            </w:tcBorders>
            <w:shd w:val="clear" w:color="000000" w:fill="FFFFFF"/>
            <w:noWrap/>
            <w:vAlign w:val="center"/>
            <w:hideMark/>
          </w:tcPr>
          <w:p w:rsidR="0075093C" w:rsidRPr="000D6682" w:rsidRDefault="0075093C" w:rsidP="0075093C">
            <w:pPr>
              <w:spacing w:after="0" w:line="240" w:lineRule="auto"/>
              <w:rPr>
                <w:rFonts w:ascii="Calibri" w:eastAsia="Times New Roman" w:hAnsi="Calibri" w:cs="Times New Roman"/>
                <w:color w:val="000000"/>
                <w:lang w:val="sq-AL"/>
              </w:rPr>
            </w:pPr>
            <w:r w:rsidRPr="000D6682">
              <w:rPr>
                <w:rFonts w:ascii="Calibri" w:eastAsia="Times New Roman" w:hAnsi="Calibri" w:cs="Times New Roman"/>
                <w:color w:val="000000"/>
                <w:lang w:val="sq-AL"/>
              </w:rPr>
              <w:t>Shpenzimet e aprovuara</w:t>
            </w:r>
          </w:p>
        </w:tc>
        <w:tc>
          <w:tcPr>
            <w:tcW w:w="829" w:type="dxa"/>
            <w:tcBorders>
              <w:top w:val="nil"/>
              <w:left w:val="nil"/>
              <w:bottom w:val="nil"/>
              <w:right w:val="nil"/>
            </w:tcBorders>
            <w:shd w:val="clear" w:color="000000" w:fill="FFFFFF"/>
            <w:noWrap/>
            <w:vAlign w:val="center"/>
          </w:tcPr>
          <w:p w:rsidR="0075093C" w:rsidRPr="000D6682"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5.79</w:t>
            </w:r>
          </w:p>
        </w:tc>
        <w:tc>
          <w:tcPr>
            <w:tcW w:w="829" w:type="dxa"/>
            <w:tcBorders>
              <w:top w:val="nil"/>
              <w:left w:val="nil"/>
              <w:bottom w:val="nil"/>
              <w:right w:val="nil"/>
            </w:tcBorders>
            <w:shd w:val="clear" w:color="000000" w:fill="FFFFFF"/>
            <w:noWrap/>
            <w:vAlign w:val="center"/>
          </w:tcPr>
          <w:p w:rsidR="0075093C" w:rsidRPr="000D6682"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5.96</w:t>
            </w:r>
          </w:p>
        </w:tc>
        <w:tc>
          <w:tcPr>
            <w:tcW w:w="829" w:type="dxa"/>
            <w:tcBorders>
              <w:top w:val="nil"/>
              <w:left w:val="nil"/>
              <w:bottom w:val="nil"/>
              <w:right w:val="nil"/>
            </w:tcBorders>
            <w:shd w:val="clear" w:color="000000" w:fill="FFFFFF"/>
            <w:noWrap/>
            <w:vAlign w:val="center"/>
          </w:tcPr>
          <w:p w:rsidR="0075093C" w:rsidRPr="000D6682"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6.06</w:t>
            </w:r>
          </w:p>
        </w:tc>
        <w:tc>
          <w:tcPr>
            <w:tcW w:w="829" w:type="dxa"/>
            <w:tcBorders>
              <w:top w:val="nil"/>
              <w:left w:val="nil"/>
              <w:bottom w:val="nil"/>
              <w:right w:val="nil"/>
            </w:tcBorders>
            <w:shd w:val="clear" w:color="000000" w:fill="FFFFFF"/>
            <w:noWrap/>
            <w:vAlign w:val="center"/>
          </w:tcPr>
          <w:p w:rsidR="0075093C" w:rsidRPr="000D6682"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4.59</w:t>
            </w:r>
          </w:p>
        </w:tc>
        <w:tc>
          <w:tcPr>
            <w:tcW w:w="772" w:type="dxa"/>
            <w:tcBorders>
              <w:top w:val="nil"/>
              <w:left w:val="nil"/>
              <w:bottom w:val="nil"/>
              <w:right w:val="nil"/>
            </w:tcBorders>
            <w:shd w:val="clear" w:color="000000" w:fill="FFFFFF"/>
            <w:vAlign w:val="center"/>
          </w:tcPr>
          <w:p w:rsidR="0075093C" w:rsidRPr="000D6682"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4.61</w:t>
            </w:r>
          </w:p>
        </w:tc>
        <w:tc>
          <w:tcPr>
            <w:tcW w:w="1229"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lang w:val="sq-AL"/>
              </w:rPr>
            </w:pPr>
            <w:r w:rsidRPr="000D6682">
              <w:rPr>
                <w:rFonts w:ascii="Calibri" w:eastAsia="Times New Roman" w:hAnsi="Calibri" w:cs="Times New Roman"/>
                <w:color w:val="000000"/>
                <w:lang w:val="sq-AL"/>
              </w:rPr>
              <w:t>5.40</w:t>
            </w:r>
          </w:p>
        </w:tc>
      </w:tr>
      <w:tr w:rsidR="0075093C" w:rsidRPr="00450894" w:rsidTr="0075093C">
        <w:trPr>
          <w:trHeight w:val="360"/>
          <w:jc w:val="center"/>
        </w:trPr>
        <w:tc>
          <w:tcPr>
            <w:tcW w:w="3471"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Times New Roman"/>
                <w:color w:val="000000"/>
                <w:lang w:val="sq-AL"/>
              </w:rPr>
            </w:pPr>
            <w:r w:rsidRPr="00CC5249">
              <w:rPr>
                <w:rFonts w:ascii="Calibri" w:eastAsia="Times New Roman" w:hAnsi="Calibri" w:cs="Times New Roman"/>
                <w:color w:val="000000"/>
                <w:lang w:val="sq-AL"/>
              </w:rPr>
              <w:t>Shpenzimet aktuale</w:t>
            </w:r>
          </w:p>
        </w:tc>
        <w:tc>
          <w:tcPr>
            <w:tcW w:w="829"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ascii="Calibri" w:eastAsia="Times New Roman" w:hAnsi="Calibri" w:cs="Times New Roman"/>
                <w:color w:val="000000"/>
                <w:lang w:val="sq-AL"/>
              </w:rPr>
            </w:pPr>
            <w:r w:rsidRPr="00B26335">
              <w:rPr>
                <w:rFonts w:ascii="Calibri" w:eastAsia="Times New Roman" w:hAnsi="Calibri" w:cs="Times New Roman"/>
                <w:color w:val="000000"/>
                <w:lang w:val="sq-AL"/>
              </w:rPr>
              <w:t>5.60</w:t>
            </w:r>
          </w:p>
        </w:tc>
        <w:tc>
          <w:tcPr>
            <w:tcW w:w="829"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lang w:val="sq-AL"/>
              </w:rPr>
            </w:pPr>
            <w:r w:rsidRPr="00B1408C">
              <w:rPr>
                <w:rFonts w:ascii="Calibri" w:eastAsia="Times New Roman" w:hAnsi="Calibri" w:cs="Times New Roman"/>
                <w:color w:val="000000"/>
                <w:lang w:val="sq-AL"/>
              </w:rPr>
              <w:t>6.14</w:t>
            </w:r>
          </w:p>
        </w:tc>
        <w:tc>
          <w:tcPr>
            <w:tcW w:w="82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rPr>
            </w:pPr>
            <w:r w:rsidRPr="00450894">
              <w:rPr>
                <w:rFonts w:ascii="Calibri" w:eastAsia="Times New Roman" w:hAnsi="Calibri" w:cs="Times New Roman"/>
                <w:color w:val="000000"/>
                <w:lang w:val="sq-AL"/>
              </w:rPr>
              <w:t>5.56</w:t>
            </w:r>
          </w:p>
        </w:tc>
        <w:tc>
          <w:tcPr>
            <w:tcW w:w="82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lang w:val="sq-AL"/>
              </w:rPr>
            </w:pPr>
            <w:r w:rsidRPr="00450894">
              <w:rPr>
                <w:rFonts w:ascii="Calibri" w:eastAsia="Times New Roman" w:hAnsi="Calibri" w:cs="Times New Roman"/>
                <w:color w:val="000000"/>
                <w:lang w:val="sq-AL"/>
              </w:rPr>
              <w:t>5.37</w:t>
            </w:r>
          </w:p>
        </w:tc>
        <w:tc>
          <w:tcPr>
            <w:tcW w:w="772"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lang w:val="sq-AL"/>
              </w:rPr>
            </w:pPr>
            <w:r w:rsidRPr="00450894">
              <w:rPr>
                <w:rFonts w:ascii="Calibri" w:eastAsia="Times New Roman" w:hAnsi="Calibri" w:cs="Times New Roman"/>
                <w:color w:val="000000"/>
                <w:lang w:val="sq-AL"/>
              </w:rPr>
              <w:t>5.33</w:t>
            </w:r>
          </w:p>
        </w:tc>
        <w:tc>
          <w:tcPr>
            <w:tcW w:w="1229"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lang w:val="sq-AL"/>
              </w:rPr>
            </w:pPr>
            <w:r w:rsidRPr="00450894">
              <w:rPr>
                <w:rFonts w:ascii="Calibri" w:eastAsia="Times New Roman" w:hAnsi="Calibri" w:cs="Times New Roman"/>
                <w:color w:val="000000"/>
                <w:lang w:val="sq-AL"/>
              </w:rPr>
              <w:t>5.60</w:t>
            </w:r>
          </w:p>
        </w:tc>
      </w:tr>
      <w:tr w:rsidR="0075093C" w:rsidRPr="00450894" w:rsidTr="0075093C">
        <w:trPr>
          <w:trHeight w:val="360"/>
          <w:jc w:val="center"/>
        </w:trPr>
        <w:tc>
          <w:tcPr>
            <w:tcW w:w="3471" w:type="dxa"/>
            <w:tcBorders>
              <w:top w:val="nil"/>
              <w:left w:val="nil"/>
              <w:bottom w:val="nil"/>
              <w:right w:val="nil"/>
            </w:tcBorders>
            <w:shd w:val="clear" w:color="000000" w:fill="DEEAF6"/>
            <w:noWrap/>
            <w:vAlign w:val="center"/>
            <w:hideMark/>
          </w:tcPr>
          <w:p w:rsidR="0075093C" w:rsidRPr="00CC5249" w:rsidRDefault="0075093C" w:rsidP="0075093C">
            <w:pPr>
              <w:spacing w:after="0" w:line="240" w:lineRule="auto"/>
              <w:rPr>
                <w:rFonts w:ascii="Calibri" w:eastAsia="Times New Roman" w:hAnsi="Calibri" w:cs="Times New Roman"/>
                <w:b/>
                <w:bCs/>
                <w:color w:val="000000"/>
                <w:lang w:val="sq-AL"/>
              </w:rPr>
            </w:pPr>
            <w:r w:rsidRPr="00CC5249">
              <w:rPr>
                <w:rFonts w:ascii="Calibri" w:eastAsia="Times New Roman" w:hAnsi="Calibri" w:cs="Times New Roman"/>
                <w:b/>
                <w:bCs/>
                <w:color w:val="000000"/>
                <w:lang w:val="sq-AL"/>
              </w:rPr>
              <w:t> Diferenca</w:t>
            </w:r>
          </w:p>
        </w:tc>
        <w:tc>
          <w:tcPr>
            <w:tcW w:w="829" w:type="dxa"/>
            <w:tcBorders>
              <w:top w:val="nil"/>
              <w:left w:val="nil"/>
              <w:bottom w:val="nil"/>
              <w:right w:val="nil"/>
            </w:tcBorders>
            <w:shd w:val="clear" w:color="000000" w:fill="DEEAF6"/>
            <w:noWrap/>
            <w:vAlign w:val="center"/>
          </w:tcPr>
          <w:p w:rsidR="0075093C" w:rsidRPr="00B26335" w:rsidRDefault="0075093C" w:rsidP="0075093C">
            <w:pPr>
              <w:spacing w:after="0" w:line="240" w:lineRule="auto"/>
              <w:jc w:val="center"/>
              <w:rPr>
                <w:rFonts w:ascii="Calibri" w:eastAsia="Times New Roman" w:hAnsi="Calibri" w:cs="Times New Roman"/>
                <w:b/>
                <w:bCs/>
                <w:color w:val="000000"/>
                <w:lang w:val="sq-AL"/>
              </w:rPr>
            </w:pPr>
            <w:r w:rsidRPr="00B26335">
              <w:rPr>
                <w:rFonts w:ascii="Calibri" w:eastAsia="Times New Roman" w:hAnsi="Calibri" w:cs="Times New Roman"/>
                <w:b/>
                <w:bCs/>
                <w:color w:val="000000"/>
                <w:lang w:val="sq-AL"/>
              </w:rPr>
              <w:t>0.18</w:t>
            </w:r>
          </w:p>
        </w:tc>
        <w:tc>
          <w:tcPr>
            <w:tcW w:w="829" w:type="dxa"/>
            <w:tcBorders>
              <w:top w:val="nil"/>
              <w:left w:val="nil"/>
              <w:bottom w:val="nil"/>
              <w:right w:val="nil"/>
            </w:tcBorders>
            <w:shd w:val="clear" w:color="000000" w:fill="DEEAF6"/>
            <w:noWrap/>
            <w:vAlign w:val="center"/>
          </w:tcPr>
          <w:p w:rsidR="0075093C" w:rsidRPr="00B1408C" w:rsidRDefault="0075093C" w:rsidP="0075093C">
            <w:pPr>
              <w:spacing w:after="0" w:line="240" w:lineRule="auto"/>
              <w:jc w:val="center"/>
              <w:rPr>
                <w:rFonts w:ascii="Calibri" w:eastAsia="Times New Roman" w:hAnsi="Calibri" w:cs="Times New Roman"/>
                <w:b/>
                <w:bCs/>
                <w:color w:val="000000"/>
                <w:lang w:val="sq-AL"/>
              </w:rPr>
            </w:pPr>
            <w:r w:rsidRPr="00B1408C">
              <w:rPr>
                <w:rFonts w:ascii="Calibri" w:eastAsia="Times New Roman" w:hAnsi="Calibri" w:cs="Times New Roman"/>
                <w:b/>
                <w:bCs/>
                <w:color w:val="000000"/>
                <w:lang w:val="sq-AL"/>
              </w:rPr>
              <w:t>(0.19)</w:t>
            </w:r>
          </w:p>
        </w:tc>
        <w:tc>
          <w:tcPr>
            <w:tcW w:w="829" w:type="dxa"/>
            <w:tcBorders>
              <w:top w:val="nil"/>
              <w:left w:val="nil"/>
              <w:bottom w:val="nil"/>
              <w:right w:val="nil"/>
            </w:tcBorders>
            <w:shd w:val="clear" w:color="000000" w:fill="DEEAF6"/>
            <w:noWrap/>
            <w:vAlign w:val="center"/>
          </w:tcPr>
          <w:p w:rsidR="0075093C" w:rsidRPr="00450894" w:rsidRDefault="0075093C" w:rsidP="0075093C">
            <w:pPr>
              <w:spacing w:after="0" w:line="240" w:lineRule="auto"/>
              <w:jc w:val="center"/>
              <w:rPr>
                <w:rFonts w:ascii="Calibri" w:eastAsia="Times New Roman" w:hAnsi="Calibri" w:cs="Times New Roman"/>
                <w:b/>
                <w:bCs/>
                <w:color w:val="000000"/>
                <w:lang w:val="sq-AL"/>
              </w:rPr>
            </w:pPr>
            <w:r w:rsidRPr="00450894">
              <w:rPr>
                <w:rFonts w:ascii="Calibri" w:eastAsia="Times New Roman" w:hAnsi="Calibri" w:cs="Times New Roman"/>
                <w:b/>
                <w:bCs/>
                <w:color w:val="000000"/>
                <w:lang w:val="sq-AL"/>
              </w:rPr>
              <w:t>0.50</w:t>
            </w:r>
          </w:p>
        </w:tc>
        <w:tc>
          <w:tcPr>
            <w:tcW w:w="829" w:type="dxa"/>
            <w:tcBorders>
              <w:top w:val="nil"/>
              <w:left w:val="nil"/>
              <w:bottom w:val="nil"/>
              <w:right w:val="nil"/>
            </w:tcBorders>
            <w:shd w:val="clear" w:color="000000" w:fill="DEEAF6"/>
            <w:noWrap/>
            <w:vAlign w:val="center"/>
          </w:tcPr>
          <w:p w:rsidR="0075093C" w:rsidRPr="00450894" w:rsidRDefault="0075093C" w:rsidP="0075093C">
            <w:pPr>
              <w:spacing w:after="0" w:line="240" w:lineRule="auto"/>
              <w:jc w:val="center"/>
              <w:rPr>
                <w:rFonts w:ascii="Calibri" w:eastAsia="Times New Roman" w:hAnsi="Calibri" w:cs="Times New Roman"/>
                <w:b/>
                <w:bCs/>
                <w:color w:val="000000"/>
                <w:lang w:val="sq-AL"/>
              </w:rPr>
            </w:pPr>
            <w:r w:rsidRPr="00450894">
              <w:rPr>
                <w:rFonts w:ascii="Calibri" w:eastAsia="Times New Roman" w:hAnsi="Calibri" w:cs="Times New Roman"/>
                <w:b/>
                <w:bCs/>
                <w:color w:val="000000"/>
                <w:lang w:val="sq-AL"/>
              </w:rPr>
              <w:t>(0.77)</w:t>
            </w:r>
          </w:p>
        </w:tc>
        <w:tc>
          <w:tcPr>
            <w:tcW w:w="772" w:type="dxa"/>
            <w:tcBorders>
              <w:top w:val="nil"/>
              <w:left w:val="nil"/>
              <w:bottom w:val="nil"/>
              <w:right w:val="nil"/>
            </w:tcBorders>
            <w:shd w:val="clear" w:color="000000" w:fill="DEEAF6"/>
            <w:vAlign w:val="center"/>
          </w:tcPr>
          <w:p w:rsidR="0075093C" w:rsidRPr="00450894" w:rsidRDefault="0075093C" w:rsidP="0075093C">
            <w:pPr>
              <w:spacing w:after="0" w:line="240" w:lineRule="auto"/>
              <w:jc w:val="center"/>
              <w:rPr>
                <w:rFonts w:ascii="Calibri" w:eastAsia="Times New Roman" w:hAnsi="Calibri" w:cs="Times New Roman"/>
                <w:b/>
                <w:bCs/>
                <w:color w:val="000000"/>
                <w:lang w:val="sq-AL"/>
              </w:rPr>
            </w:pPr>
            <w:r w:rsidRPr="00450894">
              <w:rPr>
                <w:rFonts w:ascii="Calibri" w:eastAsia="Times New Roman" w:hAnsi="Calibri" w:cs="Times New Roman"/>
                <w:b/>
                <w:bCs/>
                <w:color w:val="000000"/>
                <w:lang w:val="sq-AL"/>
              </w:rPr>
              <w:t>(0.73)</w:t>
            </w:r>
          </w:p>
        </w:tc>
        <w:tc>
          <w:tcPr>
            <w:tcW w:w="1229" w:type="dxa"/>
            <w:tcBorders>
              <w:top w:val="nil"/>
              <w:left w:val="nil"/>
              <w:bottom w:val="nil"/>
              <w:right w:val="nil"/>
            </w:tcBorders>
            <w:shd w:val="clear" w:color="000000" w:fill="DEEAF6"/>
            <w:vAlign w:val="center"/>
          </w:tcPr>
          <w:p w:rsidR="0075093C" w:rsidRPr="00450894" w:rsidRDefault="0075093C" w:rsidP="0075093C">
            <w:pPr>
              <w:spacing w:after="0" w:line="240" w:lineRule="auto"/>
              <w:jc w:val="center"/>
              <w:rPr>
                <w:rFonts w:ascii="Calibri" w:eastAsia="Times New Roman" w:hAnsi="Calibri" w:cs="Times New Roman"/>
                <w:b/>
                <w:bCs/>
                <w:color w:val="000000"/>
                <w:lang w:val="sq-AL"/>
              </w:rPr>
            </w:pPr>
            <w:r w:rsidRPr="00450894">
              <w:rPr>
                <w:rFonts w:ascii="Calibri" w:eastAsia="Times New Roman" w:hAnsi="Calibri" w:cs="Times New Roman"/>
                <w:b/>
                <w:bCs/>
                <w:color w:val="000000"/>
                <w:lang w:val="sq-AL"/>
              </w:rPr>
              <w:t>(0.20)</w:t>
            </w:r>
          </w:p>
        </w:tc>
      </w:tr>
    </w:tbl>
    <w:p w:rsidR="0075093C" w:rsidRPr="00CC5249" w:rsidRDefault="0075093C" w:rsidP="0075093C">
      <w:pPr>
        <w:rPr>
          <w:lang w:val="sq-AL"/>
        </w:rPr>
      </w:pPr>
    </w:p>
    <w:p w:rsidR="0075093C" w:rsidRDefault="0075093C" w:rsidP="006C04F5">
      <w:pPr>
        <w:jc w:val="both"/>
        <w:rPr>
          <w:lang w:val="sq-AL"/>
        </w:rPr>
      </w:pPr>
      <w:r w:rsidRPr="00B26335">
        <w:rPr>
          <w:lang w:val="sq-AL"/>
        </w:rPr>
        <w:t>KESCO pretendon se ulja e lejimeve të kostove operacionale prej 25% i vendosi ata në një pozicion të pafavorshëm financiar dhe FSHU mbylli vitin f</w:t>
      </w:r>
      <w:r w:rsidRPr="00B1408C">
        <w:rPr>
          <w:lang w:val="sq-AL"/>
        </w:rPr>
        <w:t>inanciar 2019 me humbje, krahas sfidave të paraqitura nga përhapja e pandemisë COVID</w:t>
      </w:r>
      <w:r w:rsidRPr="00450894">
        <w:rPr>
          <w:lang w:val="sq-AL"/>
        </w:rPr>
        <w:t>-19, e cila ndikoi në pagesat dhe detyrimet e KESCO-së ndaj operatorëve të tjerë. KESCO më tej argumenton se numri i konsumatorëve po rritet vazhdimisht, gjë që po rrit koston e shërbimit.</w:t>
      </w:r>
    </w:p>
    <w:p w:rsidR="00820A8B" w:rsidRDefault="00820A8B" w:rsidP="006C04F5">
      <w:pPr>
        <w:jc w:val="both"/>
        <w:rPr>
          <w:lang w:val="sq-AL"/>
        </w:rPr>
      </w:pPr>
    </w:p>
    <w:p w:rsidR="00820A8B" w:rsidRDefault="00820A8B" w:rsidP="006C04F5">
      <w:pPr>
        <w:jc w:val="both"/>
        <w:rPr>
          <w:lang w:val="sq-AL"/>
        </w:rPr>
      </w:pPr>
    </w:p>
    <w:p w:rsidR="00820A8B" w:rsidRDefault="00820A8B" w:rsidP="006C04F5">
      <w:pPr>
        <w:jc w:val="both"/>
        <w:rPr>
          <w:lang w:val="sq-AL"/>
        </w:rPr>
      </w:pPr>
    </w:p>
    <w:p w:rsidR="00820A8B" w:rsidRDefault="00820A8B" w:rsidP="006C04F5">
      <w:pPr>
        <w:jc w:val="both"/>
        <w:rPr>
          <w:lang w:val="sq-AL"/>
        </w:rPr>
      </w:pPr>
    </w:p>
    <w:p w:rsidR="00820A8B" w:rsidRPr="00450894" w:rsidRDefault="00820A8B" w:rsidP="006C04F5">
      <w:pPr>
        <w:jc w:val="both"/>
        <w:rPr>
          <w:lang w:val="sq-AL"/>
        </w:rPr>
      </w:pPr>
    </w:p>
    <w:p w:rsidR="0075093C" w:rsidRPr="00450894" w:rsidRDefault="0075093C" w:rsidP="0075093C">
      <w:pPr>
        <w:pStyle w:val="Caption"/>
        <w:rPr>
          <w:lang w:val="sq-AL"/>
        </w:rPr>
      </w:pPr>
      <w:r>
        <w:lastRenderedPageBreak/>
        <w:t xml:space="preserve">Tabela  </w:t>
      </w:r>
      <w:r>
        <w:fldChar w:fldCharType="begin"/>
      </w:r>
      <w:r>
        <w:instrText xml:space="preserve"> SEQ Tabela_ \* ARABIC </w:instrText>
      </w:r>
      <w:r>
        <w:fldChar w:fldCharType="separate"/>
      </w:r>
      <w:r w:rsidR="00701D2D">
        <w:rPr>
          <w:noProof/>
        </w:rPr>
        <w:t>8</w:t>
      </w:r>
      <w:r>
        <w:fldChar w:fldCharType="end"/>
      </w:r>
      <w:r w:rsidRPr="00450894">
        <w:rPr>
          <w:lang w:val="sq-AL"/>
        </w:rPr>
        <w:t xml:space="preserve"> Kostot mesatare të OPEX për konsumatorë</w:t>
      </w:r>
    </w:p>
    <w:tbl>
      <w:tblPr>
        <w:tblW w:w="8896" w:type="dxa"/>
        <w:tblLook w:val="04A0" w:firstRow="1" w:lastRow="0" w:firstColumn="1" w:lastColumn="0" w:noHBand="0" w:noVBand="1"/>
      </w:tblPr>
      <w:tblGrid>
        <w:gridCol w:w="3926"/>
        <w:gridCol w:w="974"/>
        <w:gridCol w:w="974"/>
        <w:gridCol w:w="974"/>
        <w:gridCol w:w="974"/>
        <w:gridCol w:w="1074"/>
      </w:tblGrid>
      <w:tr w:rsidR="0075093C" w:rsidRPr="00450894" w:rsidTr="0075093C">
        <w:trPr>
          <w:trHeight w:val="449"/>
        </w:trPr>
        <w:tc>
          <w:tcPr>
            <w:tcW w:w="3926" w:type="dxa"/>
            <w:tcBorders>
              <w:top w:val="nil"/>
              <w:left w:val="nil"/>
              <w:bottom w:val="nil"/>
              <w:right w:val="nil"/>
            </w:tcBorders>
            <w:shd w:val="clear" w:color="000000" w:fill="003366"/>
            <w:noWrap/>
            <w:vAlign w:val="center"/>
            <w:hideMark/>
          </w:tcPr>
          <w:p w:rsidR="0075093C" w:rsidRPr="00450894" w:rsidRDefault="006C04F5" w:rsidP="0075093C">
            <w:pPr>
              <w:spacing w:after="0" w:line="240" w:lineRule="auto"/>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Komponent</w:t>
            </w:r>
            <w:r w:rsidR="0075093C" w:rsidRPr="00450894">
              <w:rPr>
                <w:rFonts w:ascii="Calibri" w:eastAsia="Times New Roman" w:hAnsi="Calibri" w:cs="Times New Roman"/>
                <w:color w:val="FFFFFF"/>
                <w:sz w:val="20"/>
                <w:szCs w:val="20"/>
                <w:lang w:val="sq-AL"/>
              </w:rPr>
              <w:t xml:space="preserve"> e analizuar për njësi</w:t>
            </w:r>
          </w:p>
        </w:tc>
        <w:tc>
          <w:tcPr>
            <w:tcW w:w="974"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2017</w:t>
            </w:r>
          </w:p>
        </w:tc>
        <w:tc>
          <w:tcPr>
            <w:tcW w:w="974"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2018</w:t>
            </w:r>
          </w:p>
        </w:tc>
        <w:tc>
          <w:tcPr>
            <w:tcW w:w="974"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2019</w:t>
            </w:r>
          </w:p>
        </w:tc>
        <w:tc>
          <w:tcPr>
            <w:tcW w:w="974" w:type="dxa"/>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2020</w:t>
            </w:r>
          </w:p>
        </w:tc>
        <w:tc>
          <w:tcPr>
            <w:tcW w:w="1074" w:type="dxa"/>
            <w:tcBorders>
              <w:top w:val="nil"/>
              <w:left w:val="nil"/>
              <w:bottom w:val="nil"/>
              <w:right w:val="nil"/>
            </w:tcBorders>
            <w:shd w:val="clear" w:color="000000" w:fill="003366"/>
            <w:vAlign w:val="center"/>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2021</w:t>
            </w:r>
          </w:p>
        </w:tc>
      </w:tr>
      <w:tr w:rsidR="0075093C" w:rsidRPr="00450894" w:rsidTr="0075093C">
        <w:trPr>
          <w:trHeight w:val="326"/>
        </w:trPr>
        <w:tc>
          <w:tcPr>
            <w:tcW w:w="3926" w:type="dxa"/>
            <w:tcBorders>
              <w:top w:val="nil"/>
              <w:left w:val="nil"/>
              <w:bottom w:val="nil"/>
              <w:right w:val="nil"/>
            </w:tcBorders>
            <w:shd w:val="clear" w:color="auto" w:fill="DEEAF6" w:themeFill="accent1" w:themeFillTint="33"/>
            <w:noWrap/>
            <w:vAlign w:val="center"/>
            <w:hideMark/>
          </w:tcPr>
          <w:p w:rsidR="0075093C" w:rsidRPr="00CC5249" w:rsidRDefault="0075093C" w:rsidP="0075093C">
            <w:pPr>
              <w:spacing w:after="0" w:line="240" w:lineRule="auto"/>
              <w:rPr>
                <w:rFonts w:ascii="Calibri" w:eastAsia="Times New Roman" w:hAnsi="Calibri" w:cs="Times New Roman"/>
                <w:b/>
                <w:bCs/>
                <w:color w:val="000000"/>
                <w:sz w:val="20"/>
                <w:szCs w:val="20"/>
                <w:lang w:val="sq-AL"/>
              </w:rPr>
            </w:pPr>
            <w:r w:rsidRPr="00CC5249">
              <w:rPr>
                <w:rFonts w:ascii="Calibri" w:eastAsia="Times New Roman" w:hAnsi="Calibri" w:cs="Times New Roman"/>
                <w:b/>
                <w:bCs/>
                <w:color w:val="000000"/>
                <w:sz w:val="20"/>
                <w:szCs w:val="20"/>
                <w:lang w:val="sq-AL"/>
              </w:rPr>
              <w:t>Opex-i i lejuar  (000s)</w:t>
            </w:r>
          </w:p>
        </w:tc>
        <w:tc>
          <w:tcPr>
            <w:tcW w:w="974" w:type="dxa"/>
            <w:tcBorders>
              <w:top w:val="nil"/>
              <w:left w:val="nil"/>
              <w:bottom w:val="nil"/>
              <w:right w:val="nil"/>
            </w:tcBorders>
            <w:shd w:val="clear" w:color="auto" w:fill="DEEAF6" w:themeFill="accent1" w:themeFillTint="33"/>
            <w:noWrap/>
            <w:vAlign w:val="center"/>
            <w:hideMark/>
          </w:tcPr>
          <w:p w:rsidR="0075093C" w:rsidRPr="00B26335" w:rsidRDefault="0075093C" w:rsidP="0075093C">
            <w:pPr>
              <w:spacing w:after="0" w:line="240" w:lineRule="auto"/>
              <w:jc w:val="center"/>
              <w:rPr>
                <w:rFonts w:ascii="Calibri" w:eastAsia="Times New Roman" w:hAnsi="Calibri" w:cs="Times New Roman"/>
                <w:b/>
                <w:bCs/>
                <w:color w:val="000000"/>
                <w:sz w:val="20"/>
                <w:szCs w:val="20"/>
                <w:lang w:val="sq-AL"/>
              </w:rPr>
            </w:pPr>
            <w:r w:rsidRPr="00B26335">
              <w:rPr>
                <w:rFonts w:ascii="Calibri" w:eastAsia="Times New Roman" w:hAnsi="Calibri" w:cs="Times New Roman"/>
                <w:b/>
                <w:bCs/>
                <w:color w:val="000000"/>
                <w:sz w:val="20"/>
                <w:szCs w:val="20"/>
                <w:lang w:val="sq-AL"/>
              </w:rPr>
              <w:t>5,787</w:t>
            </w:r>
          </w:p>
        </w:tc>
        <w:tc>
          <w:tcPr>
            <w:tcW w:w="974" w:type="dxa"/>
            <w:tcBorders>
              <w:top w:val="nil"/>
              <w:left w:val="nil"/>
              <w:bottom w:val="nil"/>
              <w:right w:val="nil"/>
            </w:tcBorders>
            <w:shd w:val="clear" w:color="auto" w:fill="DEEAF6" w:themeFill="accent1" w:themeFillTint="33"/>
            <w:noWrap/>
            <w:vAlign w:val="center"/>
            <w:hideMark/>
          </w:tcPr>
          <w:p w:rsidR="0075093C" w:rsidRPr="00B1408C" w:rsidRDefault="0075093C" w:rsidP="0075093C">
            <w:pPr>
              <w:spacing w:after="0" w:line="240" w:lineRule="auto"/>
              <w:jc w:val="center"/>
              <w:rPr>
                <w:rFonts w:ascii="Calibri" w:eastAsia="Times New Roman" w:hAnsi="Calibri" w:cs="Times New Roman"/>
                <w:b/>
                <w:bCs/>
                <w:color w:val="000000"/>
                <w:sz w:val="20"/>
                <w:szCs w:val="20"/>
                <w:lang w:val="sq-AL"/>
              </w:rPr>
            </w:pPr>
            <w:r w:rsidRPr="00B1408C">
              <w:rPr>
                <w:rFonts w:ascii="Calibri" w:eastAsia="Times New Roman" w:hAnsi="Calibri" w:cs="Times New Roman"/>
                <w:b/>
                <w:bCs/>
                <w:color w:val="000000"/>
                <w:sz w:val="20"/>
                <w:szCs w:val="20"/>
                <w:lang w:val="sq-AL"/>
              </w:rPr>
              <w:t>5,957</w:t>
            </w:r>
          </w:p>
        </w:tc>
        <w:tc>
          <w:tcPr>
            <w:tcW w:w="974" w:type="dxa"/>
            <w:tcBorders>
              <w:top w:val="nil"/>
              <w:left w:val="nil"/>
              <w:bottom w:val="nil"/>
              <w:right w:val="nil"/>
            </w:tcBorders>
            <w:shd w:val="clear" w:color="auto" w:fill="DEEAF6" w:themeFill="accent1" w:themeFillTint="33"/>
            <w:noWrap/>
            <w:vAlign w:val="center"/>
            <w:hideMark/>
          </w:tcPr>
          <w:p w:rsidR="0075093C" w:rsidRPr="00450894" w:rsidRDefault="0075093C" w:rsidP="0075093C">
            <w:pPr>
              <w:spacing w:after="0" w:line="240" w:lineRule="auto"/>
              <w:jc w:val="center"/>
              <w:rPr>
                <w:rFonts w:ascii="Calibri" w:eastAsia="Times New Roman" w:hAnsi="Calibri" w:cs="Times New Roman"/>
                <w:b/>
                <w:bCs/>
                <w:color w:val="000000"/>
                <w:sz w:val="20"/>
                <w:szCs w:val="20"/>
                <w:lang w:val="sq-AL"/>
              </w:rPr>
            </w:pPr>
            <w:r w:rsidRPr="00450894">
              <w:rPr>
                <w:rFonts w:ascii="Calibri" w:eastAsia="Times New Roman" w:hAnsi="Calibri" w:cs="Times New Roman"/>
                <w:b/>
                <w:bCs/>
                <w:color w:val="000000"/>
                <w:sz w:val="20"/>
                <w:szCs w:val="20"/>
                <w:lang w:val="sq-AL"/>
              </w:rPr>
              <w:t>6,060</w:t>
            </w:r>
          </w:p>
        </w:tc>
        <w:tc>
          <w:tcPr>
            <w:tcW w:w="974" w:type="dxa"/>
            <w:tcBorders>
              <w:top w:val="nil"/>
              <w:left w:val="nil"/>
              <w:bottom w:val="nil"/>
              <w:right w:val="nil"/>
            </w:tcBorders>
            <w:shd w:val="clear" w:color="auto" w:fill="DEEAF6" w:themeFill="accent1" w:themeFillTint="33"/>
            <w:noWrap/>
            <w:vAlign w:val="center"/>
            <w:hideMark/>
          </w:tcPr>
          <w:p w:rsidR="0075093C" w:rsidRPr="00450894" w:rsidRDefault="0075093C" w:rsidP="0075093C">
            <w:pPr>
              <w:spacing w:after="0" w:line="240" w:lineRule="auto"/>
              <w:jc w:val="center"/>
              <w:rPr>
                <w:rFonts w:ascii="Calibri" w:eastAsia="Times New Roman" w:hAnsi="Calibri" w:cs="Times New Roman"/>
                <w:b/>
                <w:bCs/>
                <w:color w:val="000000"/>
                <w:sz w:val="20"/>
                <w:szCs w:val="20"/>
                <w:lang w:val="sq-AL"/>
              </w:rPr>
            </w:pPr>
            <w:r w:rsidRPr="00450894">
              <w:rPr>
                <w:rFonts w:ascii="Calibri" w:eastAsia="Times New Roman" w:hAnsi="Calibri" w:cs="Times New Roman"/>
                <w:b/>
                <w:bCs/>
                <w:color w:val="000000"/>
                <w:sz w:val="20"/>
                <w:szCs w:val="20"/>
                <w:lang w:val="sq-AL"/>
              </w:rPr>
              <w:t>4,594</w:t>
            </w:r>
          </w:p>
        </w:tc>
        <w:tc>
          <w:tcPr>
            <w:tcW w:w="1074" w:type="dxa"/>
            <w:tcBorders>
              <w:top w:val="nil"/>
              <w:left w:val="nil"/>
              <w:bottom w:val="nil"/>
              <w:right w:val="nil"/>
            </w:tcBorders>
            <w:shd w:val="clear" w:color="auto" w:fill="DEEAF6" w:themeFill="accent1" w:themeFillTint="33"/>
            <w:vAlign w:val="center"/>
          </w:tcPr>
          <w:p w:rsidR="0075093C" w:rsidRPr="00450894" w:rsidRDefault="0075093C" w:rsidP="0075093C">
            <w:pPr>
              <w:spacing w:after="0" w:line="240" w:lineRule="auto"/>
              <w:jc w:val="center"/>
              <w:rPr>
                <w:rFonts w:ascii="Calibri" w:eastAsia="Times New Roman" w:hAnsi="Calibri" w:cs="Times New Roman"/>
                <w:b/>
                <w:bCs/>
                <w:color w:val="000000"/>
                <w:sz w:val="20"/>
                <w:szCs w:val="20"/>
                <w:lang w:val="sq-AL"/>
              </w:rPr>
            </w:pPr>
            <w:r w:rsidRPr="00450894">
              <w:rPr>
                <w:rFonts w:ascii="Calibri" w:eastAsia="Times New Roman" w:hAnsi="Calibri" w:cs="Times New Roman"/>
                <w:b/>
                <w:bCs/>
                <w:color w:val="000000"/>
                <w:sz w:val="20"/>
                <w:szCs w:val="20"/>
                <w:lang w:val="sq-AL"/>
              </w:rPr>
              <w:t>4,606</w:t>
            </w:r>
          </w:p>
        </w:tc>
      </w:tr>
      <w:tr w:rsidR="0075093C" w:rsidRPr="00450894" w:rsidTr="0075093C">
        <w:trPr>
          <w:trHeight w:val="326"/>
        </w:trPr>
        <w:tc>
          <w:tcPr>
            <w:tcW w:w="3926"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Times New Roman"/>
                <w:color w:val="000000"/>
                <w:sz w:val="20"/>
                <w:szCs w:val="20"/>
                <w:lang w:val="sq-AL"/>
              </w:rPr>
            </w:pPr>
            <w:r w:rsidRPr="00CC5249">
              <w:rPr>
                <w:rFonts w:ascii="Calibri" w:eastAsia="Times New Roman" w:hAnsi="Calibri" w:cs="Times New Roman"/>
                <w:color w:val="000000"/>
                <w:sz w:val="20"/>
                <w:szCs w:val="20"/>
                <w:lang w:val="sq-AL"/>
              </w:rPr>
              <w:t>Numri i konsumatorëve aktivë</w:t>
            </w:r>
          </w:p>
        </w:tc>
        <w:tc>
          <w:tcPr>
            <w:tcW w:w="974"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ascii="Calibri" w:eastAsia="Times New Roman" w:hAnsi="Calibri" w:cs="Times New Roman"/>
                <w:color w:val="000000"/>
                <w:sz w:val="20"/>
                <w:szCs w:val="20"/>
                <w:lang w:val="sq-AL"/>
              </w:rPr>
            </w:pPr>
            <w:r w:rsidRPr="00B26335">
              <w:rPr>
                <w:rFonts w:ascii="Calibri" w:eastAsia="Times New Roman" w:hAnsi="Calibri" w:cs="Times New Roman"/>
                <w:color w:val="000000"/>
                <w:sz w:val="20"/>
                <w:szCs w:val="20"/>
                <w:lang w:val="sq-AL"/>
              </w:rPr>
              <w:t>561,827</w:t>
            </w:r>
          </w:p>
        </w:tc>
        <w:tc>
          <w:tcPr>
            <w:tcW w:w="974"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sz w:val="20"/>
                <w:szCs w:val="20"/>
                <w:lang w:val="sq-AL"/>
              </w:rPr>
            </w:pPr>
            <w:r w:rsidRPr="00B1408C">
              <w:rPr>
                <w:rFonts w:ascii="Calibri" w:eastAsia="Times New Roman" w:hAnsi="Calibri" w:cs="Times New Roman"/>
                <w:color w:val="000000"/>
                <w:sz w:val="20"/>
                <w:szCs w:val="20"/>
                <w:lang w:val="sq-AL"/>
              </w:rPr>
              <w:t>579,963</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605,694</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621,516</w:t>
            </w:r>
          </w:p>
        </w:tc>
        <w:tc>
          <w:tcPr>
            <w:tcW w:w="1074"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646,385*</w:t>
            </w:r>
          </w:p>
        </w:tc>
      </w:tr>
      <w:tr w:rsidR="0075093C" w:rsidRPr="00450894" w:rsidTr="0075093C">
        <w:trPr>
          <w:trHeight w:val="326"/>
        </w:trPr>
        <w:tc>
          <w:tcPr>
            <w:tcW w:w="3926"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ascii="Calibri" w:eastAsia="Times New Roman" w:hAnsi="Calibri" w:cs="Times New Roman"/>
                <w:color w:val="000000"/>
                <w:sz w:val="20"/>
                <w:szCs w:val="20"/>
                <w:lang w:val="sq-AL"/>
              </w:rPr>
            </w:pPr>
            <w:r w:rsidRPr="00CC5249">
              <w:rPr>
                <w:rFonts w:ascii="Calibri" w:eastAsia="Times New Roman" w:hAnsi="Calibri" w:cs="Times New Roman"/>
                <w:color w:val="000000"/>
                <w:sz w:val="20"/>
                <w:szCs w:val="20"/>
                <w:lang w:val="sq-AL"/>
              </w:rPr>
              <w:t>Opex i lejuar për konsumator</w:t>
            </w:r>
          </w:p>
        </w:tc>
        <w:tc>
          <w:tcPr>
            <w:tcW w:w="974"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ascii="Calibri" w:eastAsia="Times New Roman" w:hAnsi="Calibri" w:cs="Times New Roman"/>
                <w:color w:val="000000"/>
                <w:sz w:val="20"/>
                <w:szCs w:val="20"/>
                <w:lang w:val="sq-AL"/>
              </w:rPr>
            </w:pPr>
            <w:r w:rsidRPr="00B26335">
              <w:rPr>
                <w:rFonts w:ascii="Calibri" w:eastAsia="Times New Roman" w:hAnsi="Calibri" w:cs="Times New Roman"/>
                <w:color w:val="000000"/>
                <w:sz w:val="20"/>
                <w:szCs w:val="20"/>
                <w:lang w:val="sq-AL"/>
              </w:rPr>
              <w:t>10.3</w:t>
            </w:r>
          </w:p>
        </w:tc>
        <w:tc>
          <w:tcPr>
            <w:tcW w:w="974"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sz w:val="20"/>
                <w:szCs w:val="20"/>
                <w:lang w:val="sq-AL"/>
              </w:rPr>
            </w:pPr>
            <w:r w:rsidRPr="00B1408C">
              <w:rPr>
                <w:rFonts w:ascii="Calibri" w:eastAsia="Times New Roman" w:hAnsi="Calibri" w:cs="Times New Roman"/>
                <w:color w:val="000000"/>
                <w:sz w:val="20"/>
                <w:szCs w:val="20"/>
                <w:lang w:val="sq-AL"/>
              </w:rPr>
              <w:t>10.27</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10.01</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7.39</w:t>
            </w:r>
          </w:p>
        </w:tc>
        <w:tc>
          <w:tcPr>
            <w:tcW w:w="1074"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7.13</w:t>
            </w:r>
          </w:p>
        </w:tc>
      </w:tr>
      <w:tr w:rsidR="0075093C" w:rsidRPr="00450894" w:rsidTr="0075093C">
        <w:trPr>
          <w:trHeight w:val="326"/>
        </w:trPr>
        <w:tc>
          <w:tcPr>
            <w:tcW w:w="3926"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rPr>
                <w:rFonts w:ascii="Calibri" w:eastAsia="Times New Roman" w:hAnsi="Calibri" w:cs="Times New Roman"/>
                <w:color w:val="000000"/>
                <w:sz w:val="20"/>
                <w:szCs w:val="20"/>
                <w:lang w:val="sq-AL"/>
              </w:rPr>
            </w:pPr>
            <w:r w:rsidRPr="00CC5249">
              <w:rPr>
                <w:rFonts w:ascii="Calibri" w:eastAsia="Times New Roman" w:hAnsi="Calibri" w:cs="Times New Roman"/>
                <w:color w:val="000000"/>
                <w:sz w:val="20"/>
                <w:szCs w:val="20"/>
                <w:lang w:val="sq-AL"/>
              </w:rPr>
              <w:t xml:space="preserve">Ndryshimi në koston mesatare të Opex-it të lejuar </w:t>
            </w:r>
            <w:r w:rsidRPr="00B26335">
              <w:rPr>
                <w:rFonts w:ascii="Calibri" w:eastAsia="Times New Roman" w:hAnsi="Calibri" w:cs="Times New Roman"/>
                <w:color w:val="000000"/>
                <w:sz w:val="20"/>
                <w:szCs w:val="20"/>
                <w:lang w:val="sq-AL"/>
              </w:rPr>
              <w:t>për konsumator (%)</w:t>
            </w:r>
          </w:p>
        </w:tc>
        <w:tc>
          <w:tcPr>
            <w:tcW w:w="974"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ascii="Calibri" w:eastAsia="Times New Roman" w:hAnsi="Calibri" w:cs="Times New Roman"/>
                <w:color w:val="000000"/>
                <w:sz w:val="20"/>
                <w:szCs w:val="20"/>
                <w:lang w:val="sq-AL"/>
              </w:rPr>
            </w:pP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-0.3%</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-2.6%</w:t>
            </w:r>
          </w:p>
        </w:tc>
        <w:tc>
          <w:tcPr>
            <w:tcW w:w="974"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-26.1%</w:t>
            </w:r>
          </w:p>
        </w:tc>
        <w:tc>
          <w:tcPr>
            <w:tcW w:w="1074" w:type="dxa"/>
            <w:tcBorders>
              <w:top w:val="nil"/>
              <w:left w:val="nil"/>
              <w:bottom w:val="nil"/>
              <w:right w:val="nil"/>
            </w:tcBorders>
            <w:shd w:val="clear" w:color="000000" w:fill="FFFFFF"/>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2.2%</w:t>
            </w:r>
          </w:p>
        </w:tc>
      </w:tr>
      <w:tr w:rsidR="0075093C" w:rsidRPr="00450894" w:rsidTr="0075093C">
        <w:trPr>
          <w:trHeight w:val="326"/>
        </w:trPr>
        <w:tc>
          <w:tcPr>
            <w:tcW w:w="3926" w:type="dxa"/>
            <w:tcBorders>
              <w:top w:val="nil"/>
              <w:left w:val="nil"/>
              <w:bottom w:val="nil"/>
              <w:right w:val="nil"/>
            </w:tcBorders>
            <w:shd w:val="clear" w:color="auto" w:fill="DEEAF6" w:themeFill="accent1" w:themeFillTint="33"/>
            <w:noWrap/>
            <w:vAlign w:val="center"/>
          </w:tcPr>
          <w:p w:rsidR="0075093C" w:rsidRPr="00CC5249" w:rsidRDefault="0075093C" w:rsidP="0075093C">
            <w:pPr>
              <w:spacing w:after="0" w:line="240" w:lineRule="auto"/>
              <w:rPr>
                <w:rFonts w:ascii="Calibri" w:eastAsia="Times New Roman" w:hAnsi="Calibri" w:cs="Times New Roman"/>
                <w:b/>
                <w:color w:val="000000"/>
                <w:sz w:val="20"/>
                <w:szCs w:val="20"/>
                <w:lang w:val="sq-AL"/>
              </w:rPr>
            </w:pPr>
            <w:r w:rsidRPr="00CC5249">
              <w:rPr>
                <w:rFonts w:ascii="Calibri" w:eastAsia="Times New Roman" w:hAnsi="Calibri" w:cs="Times New Roman"/>
                <w:b/>
                <w:color w:val="000000"/>
                <w:sz w:val="20"/>
                <w:szCs w:val="20"/>
                <w:lang w:val="sq-AL"/>
              </w:rPr>
              <w:t xml:space="preserve">OPEX Aktual </w:t>
            </w:r>
            <w:r w:rsidRPr="00CC5249">
              <w:rPr>
                <w:rFonts w:ascii="Calibri" w:eastAsia="Times New Roman" w:hAnsi="Calibri" w:cs="Times New Roman"/>
                <w:b/>
                <w:bCs/>
                <w:color w:val="000000"/>
                <w:sz w:val="20"/>
                <w:szCs w:val="20"/>
                <w:lang w:val="sq-AL"/>
              </w:rPr>
              <w:t>(000s)</w:t>
            </w:r>
          </w:p>
        </w:tc>
        <w:tc>
          <w:tcPr>
            <w:tcW w:w="974" w:type="dxa"/>
            <w:tcBorders>
              <w:top w:val="nil"/>
              <w:left w:val="nil"/>
              <w:bottom w:val="nil"/>
              <w:right w:val="nil"/>
            </w:tcBorders>
            <w:shd w:val="clear" w:color="auto" w:fill="DEEAF6" w:themeFill="accent1" w:themeFillTint="33"/>
            <w:noWrap/>
            <w:vAlign w:val="center"/>
          </w:tcPr>
          <w:p w:rsidR="0075093C" w:rsidRPr="00B26335" w:rsidRDefault="0075093C" w:rsidP="0075093C">
            <w:pPr>
              <w:spacing w:after="0" w:line="240" w:lineRule="auto"/>
              <w:jc w:val="center"/>
              <w:rPr>
                <w:rFonts w:ascii="Calibri" w:eastAsia="Times New Roman" w:hAnsi="Calibri" w:cs="Times New Roman"/>
                <w:b/>
                <w:color w:val="000000"/>
                <w:sz w:val="20"/>
                <w:szCs w:val="20"/>
                <w:lang w:val="sq-AL"/>
              </w:rPr>
            </w:pPr>
            <w:r w:rsidRPr="00B26335">
              <w:rPr>
                <w:rFonts w:ascii="Calibri" w:eastAsia="Times New Roman" w:hAnsi="Calibri" w:cs="Times New Roman"/>
                <w:b/>
                <w:color w:val="000000"/>
                <w:sz w:val="20"/>
                <w:szCs w:val="20"/>
                <w:lang w:val="sq-AL"/>
              </w:rPr>
              <w:t>5,603</w:t>
            </w:r>
          </w:p>
        </w:tc>
        <w:tc>
          <w:tcPr>
            <w:tcW w:w="974" w:type="dxa"/>
            <w:tcBorders>
              <w:top w:val="nil"/>
              <w:left w:val="nil"/>
              <w:bottom w:val="nil"/>
              <w:right w:val="nil"/>
            </w:tcBorders>
            <w:shd w:val="clear" w:color="auto" w:fill="DEEAF6" w:themeFill="accent1" w:themeFillTint="33"/>
            <w:noWrap/>
            <w:vAlign w:val="center"/>
          </w:tcPr>
          <w:p w:rsidR="0075093C" w:rsidRPr="00B1408C" w:rsidRDefault="0075093C" w:rsidP="0075093C">
            <w:pPr>
              <w:spacing w:after="0" w:line="240" w:lineRule="auto"/>
              <w:jc w:val="center"/>
              <w:rPr>
                <w:rFonts w:ascii="Calibri" w:eastAsia="Times New Roman" w:hAnsi="Calibri" w:cs="Times New Roman"/>
                <w:b/>
                <w:color w:val="000000"/>
                <w:sz w:val="20"/>
                <w:szCs w:val="20"/>
                <w:lang w:val="sq-AL"/>
              </w:rPr>
            </w:pPr>
            <w:r w:rsidRPr="00B1408C">
              <w:rPr>
                <w:rFonts w:ascii="Calibri" w:eastAsia="Times New Roman" w:hAnsi="Calibri" w:cs="Times New Roman"/>
                <w:b/>
                <w:color w:val="000000"/>
                <w:sz w:val="20"/>
                <w:szCs w:val="20"/>
                <w:lang w:val="sq-AL"/>
              </w:rPr>
              <w:t>6,143</w:t>
            </w:r>
          </w:p>
        </w:tc>
        <w:tc>
          <w:tcPr>
            <w:tcW w:w="974" w:type="dxa"/>
            <w:tcBorders>
              <w:top w:val="nil"/>
              <w:left w:val="nil"/>
              <w:bottom w:val="nil"/>
              <w:right w:val="nil"/>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Times New Roman"/>
                <w:b/>
                <w:color w:val="000000"/>
                <w:sz w:val="20"/>
                <w:szCs w:val="20"/>
                <w:lang w:val="sq-AL"/>
              </w:rPr>
            </w:pPr>
            <w:r w:rsidRPr="00450894">
              <w:rPr>
                <w:rFonts w:ascii="Calibri" w:eastAsia="Times New Roman" w:hAnsi="Calibri" w:cs="Times New Roman"/>
                <w:b/>
                <w:color w:val="000000"/>
                <w:sz w:val="20"/>
                <w:szCs w:val="20"/>
                <w:lang w:val="sq-AL"/>
              </w:rPr>
              <w:t>5,556</w:t>
            </w:r>
          </w:p>
        </w:tc>
        <w:tc>
          <w:tcPr>
            <w:tcW w:w="974" w:type="dxa"/>
            <w:tcBorders>
              <w:top w:val="nil"/>
              <w:left w:val="nil"/>
              <w:bottom w:val="nil"/>
              <w:right w:val="nil"/>
            </w:tcBorders>
            <w:shd w:val="clear" w:color="auto" w:fill="DEEAF6" w:themeFill="accent1" w:themeFillTint="33"/>
            <w:noWrap/>
            <w:vAlign w:val="center"/>
          </w:tcPr>
          <w:p w:rsidR="0075093C" w:rsidRPr="00450894" w:rsidRDefault="0075093C" w:rsidP="0075093C">
            <w:pPr>
              <w:spacing w:after="0" w:line="240" w:lineRule="auto"/>
              <w:jc w:val="center"/>
              <w:rPr>
                <w:rFonts w:ascii="Calibri" w:eastAsia="Times New Roman" w:hAnsi="Calibri" w:cs="Times New Roman"/>
                <w:b/>
                <w:color w:val="000000"/>
                <w:sz w:val="20"/>
                <w:szCs w:val="20"/>
                <w:lang w:val="sq-AL"/>
              </w:rPr>
            </w:pPr>
            <w:r w:rsidRPr="00450894">
              <w:rPr>
                <w:rFonts w:ascii="Calibri" w:eastAsia="Times New Roman" w:hAnsi="Calibri" w:cs="Times New Roman"/>
                <w:b/>
                <w:color w:val="000000"/>
                <w:sz w:val="20"/>
                <w:szCs w:val="20"/>
                <w:lang w:val="sq-AL"/>
              </w:rPr>
              <w:t>5,368</w:t>
            </w:r>
          </w:p>
        </w:tc>
        <w:tc>
          <w:tcPr>
            <w:tcW w:w="1074" w:type="dxa"/>
            <w:tcBorders>
              <w:top w:val="nil"/>
              <w:left w:val="nil"/>
              <w:bottom w:val="nil"/>
              <w:right w:val="nil"/>
            </w:tcBorders>
            <w:shd w:val="clear" w:color="auto" w:fill="DEEAF6" w:themeFill="accent1" w:themeFillTint="33"/>
            <w:vAlign w:val="center"/>
          </w:tcPr>
          <w:p w:rsidR="0075093C" w:rsidRPr="00450894" w:rsidRDefault="0075093C" w:rsidP="0075093C">
            <w:pPr>
              <w:spacing w:after="0" w:line="240" w:lineRule="auto"/>
              <w:jc w:val="center"/>
              <w:rPr>
                <w:rFonts w:ascii="Calibri" w:eastAsia="Times New Roman" w:hAnsi="Calibri" w:cs="Times New Roman"/>
                <w:b/>
                <w:color w:val="000000"/>
                <w:sz w:val="20"/>
                <w:szCs w:val="20"/>
                <w:lang w:val="sq-AL"/>
              </w:rPr>
            </w:pPr>
            <w:r w:rsidRPr="00450894">
              <w:rPr>
                <w:rFonts w:ascii="Calibri" w:eastAsia="Times New Roman" w:hAnsi="Calibri" w:cs="Times New Roman"/>
                <w:b/>
                <w:color w:val="000000"/>
                <w:sz w:val="20"/>
                <w:szCs w:val="20"/>
                <w:lang w:val="sq-AL"/>
              </w:rPr>
              <w:t>5,333</w:t>
            </w:r>
          </w:p>
        </w:tc>
      </w:tr>
      <w:tr w:rsidR="0075093C" w:rsidRPr="00450894" w:rsidTr="0075093C">
        <w:trPr>
          <w:trHeight w:val="326"/>
        </w:trPr>
        <w:tc>
          <w:tcPr>
            <w:tcW w:w="3926" w:type="dxa"/>
            <w:tcBorders>
              <w:top w:val="nil"/>
              <w:left w:val="nil"/>
              <w:right w:val="nil"/>
            </w:tcBorders>
            <w:shd w:val="clear" w:color="auto" w:fill="FFFFFF" w:themeFill="background1"/>
            <w:noWrap/>
            <w:vAlign w:val="center"/>
          </w:tcPr>
          <w:p w:rsidR="0075093C" w:rsidRPr="00CC5249" w:rsidRDefault="0075093C" w:rsidP="0075093C">
            <w:pPr>
              <w:spacing w:after="0" w:line="240" w:lineRule="auto"/>
              <w:rPr>
                <w:rFonts w:ascii="Calibri" w:eastAsia="Times New Roman" w:hAnsi="Calibri" w:cs="Times New Roman"/>
                <w:color w:val="000000"/>
                <w:sz w:val="20"/>
                <w:szCs w:val="20"/>
                <w:lang w:val="sq-AL"/>
              </w:rPr>
            </w:pPr>
            <w:r w:rsidRPr="00CC5249">
              <w:rPr>
                <w:rFonts w:ascii="Calibri" w:eastAsia="Times New Roman" w:hAnsi="Calibri" w:cs="Times New Roman"/>
                <w:color w:val="000000"/>
                <w:sz w:val="20"/>
                <w:szCs w:val="20"/>
                <w:lang w:val="sq-AL"/>
              </w:rPr>
              <w:t>Opex aktual për konsumatorë</w:t>
            </w:r>
          </w:p>
        </w:tc>
        <w:tc>
          <w:tcPr>
            <w:tcW w:w="974" w:type="dxa"/>
            <w:tcBorders>
              <w:top w:val="nil"/>
              <w:left w:val="nil"/>
              <w:right w:val="nil"/>
            </w:tcBorders>
            <w:shd w:val="clear" w:color="auto" w:fill="FFFFFF" w:themeFill="background1"/>
            <w:noWrap/>
            <w:vAlign w:val="center"/>
          </w:tcPr>
          <w:p w:rsidR="0075093C" w:rsidRPr="00B26335" w:rsidRDefault="0075093C" w:rsidP="0075093C">
            <w:pPr>
              <w:spacing w:after="0" w:line="240" w:lineRule="auto"/>
              <w:jc w:val="center"/>
              <w:rPr>
                <w:rFonts w:ascii="Calibri" w:eastAsia="Times New Roman" w:hAnsi="Calibri" w:cs="Times New Roman"/>
                <w:color w:val="000000"/>
                <w:sz w:val="20"/>
                <w:szCs w:val="20"/>
                <w:lang w:val="sq-AL"/>
              </w:rPr>
            </w:pPr>
            <w:r w:rsidRPr="00B26335">
              <w:rPr>
                <w:rFonts w:ascii="Calibri" w:eastAsia="Times New Roman" w:hAnsi="Calibri" w:cs="Times New Roman"/>
                <w:color w:val="000000"/>
                <w:sz w:val="20"/>
                <w:szCs w:val="20"/>
                <w:lang w:val="sq-AL"/>
              </w:rPr>
              <w:t>9.97</w:t>
            </w:r>
          </w:p>
        </w:tc>
        <w:tc>
          <w:tcPr>
            <w:tcW w:w="974" w:type="dxa"/>
            <w:tcBorders>
              <w:top w:val="nil"/>
              <w:left w:val="nil"/>
              <w:right w:val="nil"/>
            </w:tcBorders>
            <w:shd w:val="clear" w:color="auto" w:fill="FFFFFF" w:themeFill="background1"/>
            <w:noWrap/>
            <w:vAlign w:val="center"/>
          </w:tcPr>
          <w:p w:rsidR="0075093C" w:rsidRPr="00B1408C" w:rsidRDefault="0075093C" w:rsidP="0075093C">
            <w:pPr>
              <w:spacing w:after="0" w:line="240" w:lineRule="auto"/>
              <w:jc w:val="center"/>
              <w:rPr>
                <w:rFonts w:ascii="Calibri" w:eastAsia="Times New Roman" w:hAnsi="Calibri" w:cs="Times New Roman"/>
                <w:color w:val="000000"/>
                <w:sz w:val="20"/>
                <w:szCs w:val="20"/>
                <w:lang w:val="sq-AL"/>
              </w:rPr>
            </w:pPr>
            <w:r w:rsidRPr="00B1408C">
              <w:rPr>
                <w:rFonts w:ascii="Calibri" w:eastAsia="Times New Roman" w:hAnsi="Calibri" w:cs="Times New Roman"/>
                <w:color w:val="000000"/>
                <w:sz w:val="20"/>
                <w:szCs w:val="20"/>
                <w:lang w:val="sq-AL"/>
              </w:rPr>
              <w:t>10.59</w:t>
            </w:r>
          </w:p>
        </w:tc>
        <w:tc>
          <w:tcPr>
            <w:tcW w:w="974" w:type="dxa"/>
            <w:tcBorders>
              <w:top w:val="nil"/>
              <w:left w:val="nil"/>
              <w:right w:val="nil"/>
            </w:tcBorders>
            <w:shd w:val="clear" w:color="auto" w:fill="FFFFFF" w:themeFill="background1"/>
            <w:noWrap/>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9.17</w:t>
            </w:r>
          </w:p>
        </w:tc>
        <w:tc>
          <w:tcPr>
            <w:tcW w:w="974" w:type="dxa"/>
            <w:tcBorders>
              <w:top w:val="nil"/>
              <w:left w:val="nil"/>
              <w:right w:val="nil"/>
            </w:tcBorders>
            <w:shd w:val="clear" w:color="auto" w:fill="FFFFFF" w:themeFill="background1"/>
            <w:noWrap/>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8.53</w:t>
            </w:r>
          </w:p>
        </w:tc>
        <w:tc>
          <w:tcPr>
            <w:tcW w:w="1074" w:type="dxa"/>
            <w:tcBorders>
              <w:top w:val="nil"/>
              <w:left w:val="nil"/>
              <w:right w:val="nil"/>
            </w:tcBorders>
            <w:shd w:val="clear" w:color="auto" w:fill="FFFFFF" w:themeFill="background1"/>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8.25</w:t>
            </w:r>
          </w:p>
        </w:tc>
      </w:tr>
      <w:tr w:rsidR="0075093C" w:rsidRPr="00450894" w:rsidTr="0075093C">
        <w:trPr>
          <w:trHeight w:val="326"/>
        </w:trPr>
        <w:tc>
          <w:tcPr>
            <w:tcW w:w="3926" w:type="dxa"/>
            <w:tcBorders>
              <w:top w:val="nil"/>
              <w:left w:val="nil"/>
              <w:bottom w:val="single" w:sz="4" w:space="0" w:color="auto"/>
              <w:right w:val="nil"/>
            </w:tcBorders>
            <w:shd w:val="clear" w:color="auto" w:fill="FFFFFF" w:themeFill="background1"/>
            <w:noWrap/>
            <w:vAlign w:val="center"/>
          </w:tcPr>
          <w:p w:rsidR="0075093C" w:rsidRPr="00CC5249" w:rsidRDefault="0075093C" w:rsidP="0075093C">
            <w:pPr>
              <w:spacing w:after="0" w:line="240" w:lineRule="auto"/>
              <w:rPr>
                <w:rFonts w:ascii="Calibri" w:eastAsia="Times New Roman" w:hAnsi="Calibri" w:cs="Times New Roman"/>
                <w:color w:val="000000"/>
                <w:sz w:val="20"/>
                <w:szCs w:val="20"/>
                <w:lang w:val="sq-AL"/>
              </w:rPr>
            </w:pPr>
            <w:r w:rsidRPr="00CC5249">
              <w:rPr>
                <w:rFonts w:ascii="Calibri" w:eastAsia="Times New Roman" w:hAnsi="Calibri" w:cs="Times New Roman"/>
                <w:color w:val="000000"/>
                <w:sz w:val="20"/>
                <w:szCs w:val="20"/>
                <w:lang w:val="sq-AL"/>
              </w:rPr>
              <w:t>Ndryshimi në koston mesatare të Opex-it të aktual 2018-2021 për konsumator (%)</w:t>
            </w:r>
          </w:p>
        </w:tc>
        <w:tc>
          <w:tcPr>
            <w:tcW w:w="974" w:type="dxa"/>
            <w:tcBorders>
              <w:top w:val="nil"/>
              <w:left w:val="nil"/>
              <w:bottom w:val="single" w:sz="4" w:space="0" w:color="auto"/>
              <w:right w:val="nil"/>
            </w:tcBorders>
            <w:shd w:val="clear" w:color="auto" w:fill="FFFFFF" w:themeFill="background1"/>
            <w:noWrap/>
            <w:vAlign w:val="center"/>
          </w:tcPr>
          <w:p w:rsidR="0075093C" w:rsidRPr="00B26335" w:rsidRDefault="0075093C" w:rsidP="0075093C">
            <w:pPr>
              <w:spacing w:after="0" w:line="240" w:lineRule="auto"/>
              <w:jc w:val="center"/>
              <w:rPr>
                <w:rFonts w:ascii="Calibri" w:eastAsia="Times New Roman" w:hAnsi="Calibri" w:cs="Times New Roman"/>
                <w:color w:val="000000"/>
                <w:sz w:val="20"/>
                <w:szCs w:val="20"/>
                <w:lang w:val="sq-AL"/>
              </w:rPr>
            </w:pPr>
          </w:p>
        </w:tc>
        <w:tc>
          <w:tcPr>
            <w:tcW w:w="974" w:type="dxa"/>
            <w:tcBorders>
              <w:top w:val="nil"/>
              <w:left w:val="nil"/>
              <w:bottom w:val="single" w:sz="4" w:space="0" w:color="auto"/>
              <w:right w:val="nil"/>
            </w:tcBorders>
            <w:shd w:val="clear" w:color="auto" w:fill="FFFFFF" w:themeFill="background1"/>
            <w:noWrap/>
            <w:vAlign w:val="center"/>
          </w:tcPr>
          <w:p w:rsidR="0075093C" w:rsidRPr="00B1408C" w:rsidRDefault="0075093C" w:rsidP="0075093C">
            <w:pPr>
              <w:spacing w:after="0" w:line="240" w:lineRule="auto"/>
              <w:jc w:val="center"/>
              <w:rPr>
                <w:rFonts w:ascii="Calibri" w:eastAsia="Times New Roman" w:hAnsi="Calibri" w:cs="Times New Roman"/>
                <w:color w:val="000000"/>
                <w:sz w:val="20"/>
                <w:szCs w:val="20"/>
                <w:lang w:val="sq-AL"/>
              </w:rPr>
            </w:pPr>
          </w:p>
        </w:tc>
        <w:tc>
          <w:tcPr>
            <w:tcW w:w="974" w:type="dxa"/>
            <w:tcBorders>
              <w:top w:val="nil"/>
              <w:left w:val="nil"/>
              <w:bottom w:val="single" w:sz="4" w:space="0" w:color="auto"/>
              <w:right w:val="nil"/>
            </w:tcBorders>
            <w:shd w:val="clear" w:color="auto" w:fill="FFFFFF" w:themeFill="background1"/>
            <w:noWrap/>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p>
        </w:tc>
        <w:tc>
          <w:tcPr>
            <w:tcW w:w="974" w:type="dxa"/>
            <w:tcBorders>
              <w:top w:val="nil"/>
              <w:left w:val="nil"/>
              <w:bottom w:val="single" w:sz="4" w:space="0" w:color="auto"/>
              <w:right w:val="nil"/>
            </w:tcBorders>
            <w:shd w:val="clear" w:color="auto" w:fill="FFFFFF" w:themeFill="background1"/>
            <w:noWrap/>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p>
        </w:tc>
        <w:tc>
          <w:tcPr>
            <w:tcW w:w="1074" w:type="dxa"/>
            <w:tcBorders>
              <w:top w:val="nil"/>
              <w:left w:val="nil"/>
              <w:bottom w:val="single" w:sz="4" w:space="0" w:color="auto"/>
              <w:right w:val="nil"/>
            </w:tcBorders>
            <w:shd w:val="clear" w:color="auto" w:fill="FFFFFF" w:themeFill="background1"/>
            <w:vAlign w:val="center"/>
          </w:tcPr>
          <w:p w:rsidR="0075093C" w:rsidRPr="00450894" w:rsidRDefault="0075093C" w:rsidP="0075093C">
            <w:pPr>
              <w:spacing w:after="0" w:line="240" w:lineRule="auto"/>
              <w:jc w:val="center"/>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22%</w:t>
            </w:r>
          </w:p>
        </w:tc>
      </w:tr>
    </w:tbl>
    <w:p w:rsidR="0075093C" w:rsidRPr="00CC5249" w:rsidRDefault="0075093C" w:rsidP="0075093C">
      <w:pPr>
        <w:spacing w:after="0"/>
        <w:rPr>
          <w:color w:val="A5A5A5" w:themeColor="accent3"/>
          <w:sz w:val="18"/>
          <w:szCs w:val="18"/>
          <w:lang w:val="sq-AL"/>
        </w:rPr>
      </w:pPr>
    </w:p>
    <w:p w:rsidR="0075093C" w:rsidRPr="00B26335" w:rsidRDefault="0075093C" w:rsidP="0075093C">
      <w:pPr>
        <w:rPr>
          <w:color w:val="A5A5A5" w:themeColor="accent3"/>
          <w:sz w:val="18"/>
          <w:szCs w:val="18"/>
          <w:lang w:val="sq-AL"/>
        </w:rPr>
      </w:pPr>
      <w:r w:rsidRPr="00B26335">
        <w:rPr>
          <w:color w:val="A5A5A5" w:themeColor="accent3"/>
          <w:sz w:val="18"/>
          <w:szCs w:val="18"/>
          <w:lang w:val="sq-AL"/>
        </w:rPr>
        <w:t>Burimi: KESCO</w:t>
      </w:r>
    </w:p>
    <w:p w:rsidR="0075093C" w:rsidRPr="00450894" w:rsidRDefault="0075093C" w:rsidP="006C04F5">
      <w:pPr>
        <w:jc w:val="both"/>
        <w:rPr>
          <w:color w:val="A5A5A5" w:themeColor="accent3"/>
          <w:sz w:val="18"/>
          <w:szCs w:val="18"/>
          <w:lang w:val="sq-AL"/>
        </w:rPr>
      </w:pPr>
      <w:r w:rsidRPr="00B1408C">
        <w:rPr>
          <w:lang w:val="sq-AL"/>
        </w:rPr>
        <w:t>Në aplikacionin e saj KESCO thekson se</w:t>
      </w:r>
      <w:r w:rsidRPr="00B1408C">
        <w:rPr>
          <w:color w:val="A5A5A5" w:themeColor="accent3"/>
          <w:sz w:val="18"/>
          <w:szCs w:val="18"/>
          <w:lang w:val="sq-AL"/>
        </w:rPr>
        <w:t xml:space="preserve"> </w:t>
      </w:r>
      <w:r w:rsidRPr="00B1408C">
        <w:rPr>
          <w:lang w:val="sq-AL"/>
        </w:rPr>
        <w:t>nëse krahasojmë shpenzimet operative aktuale nga vitit 2018 në 2021</w:t>
      </w:r>
      <w:r w:rsidRPr="00450894">
        <w:rPr>
          <w:lang w:val="sq-AL"/>
        </w:rPr>
        <w:t xml:space="preserve"> ka një ndryshim prej 23%, që dëshmon se FSHU-ja ka arritur </w:t>
      </w:r>
      <w:r w:rsidR="006C04F5" w:rsidRPr="00450894">
        <w:rPr>
          <w:lang w:val="sq-AL"/>
        </w:rPr>
        <w:t>optimizmin</w:t>
      </w:r>
      <w:r w:rsidRPr="00450894">
        <w:rPr>
          <w:lang w:val="sq-AL"/>
        </w:rPr>
        <w:t xml:space="preserve"> maksimal, për të cilat humbje FSHU nuk është kompensuar përmes OPEX-it të dhënë dhe të cilat do të jenë problematike për t'u arritur në të ardhmen nëse ZRRE-ja nuk merr në konsideratë kërkesat e FSHU-së.</w:t>
      </w:r>
    </w:p>
    <w:p w:rsidR="006C04F5" w:rsidRDefault="0075093C" w:rsidP="00820A8B">
      <w:pPr>
        <w:jc w:val="both"/>
        <w:rPr>
          <w:lang w:val="sq-AL"/>
        </w:rPr>
      </w:pPr>
      <w:r w:rsidRPr="00450894">
        <w:rPr>
          <w:lang w:val="sq-AL"/>
        </w:rPr>
        <w:t>KESCO pretendon se kostot e Operimit dhe Mirëmbajtjes duhet të rriten në mënyrë që të (i) sigurojë trajnim shtesë për punonjësit e furnizuesit në sistemin e ri të faturimit; (ii) siguria, mirëmbajtja dhe furnizimi me karburant për blerje të makinave shtesë; (iii) kostot shtesë të sigurimit të cilat janë rritur për shkak të pandemisë COVID-19; (iv) garancitë bankare dhe kostot e financimit; dhe (v) mjedisi në ndryshim e sipër në tregun e energjisë elektrike që kërkon këshillim të brendshëm shtesë dhe informacion më të mirë në lidhje me ndryshimet në shërbimet e ofruara. Prandaj KESCO ka kërkuar që ZRRE-ja të lejojë Opex-in e propozuar në Tabelën 8, më poshtë.</w:t>
      </w:r>
      <w:r w:rsidR="00820A8B">
        <w:rPr>
          <w:lang w:val="sq-AL"/>
        </w:rPr>
        <w:t xml:space="preserve"> </w:t>
      </w:r>
    </w:p>
    <w:p w:rsidR="0075093C" w:rsidRPr="00450894" w:rsidRDefault="0075093C" w:rsidP="006C04F5">
      <w:pPr>
        <w:jc w:val="both"/>
        <w:rPr>
          <w:lang w:val="sq-AL"/>
        </w:rPr>
      </w:pPr>
    </w:p>
    <w:p w:rsidR="0075093C" w:rsidRPr="00450894" w:rsidRDefault="0075093C" w:rsidP="0075093C">
      <w:pPr>
        <w:pStyle w:val="Caption"/>
        <w:rPr>
          <w:lang w:val="sq-AL"/>
        </w:rPr>
      </w:pPr>
      <w:bookmarkStart w:id="17" w:name="_Hlk55849470"/>
      <w:r>
        <w:t xml:space="preserve">Tabela  </w:t>
      </w:r>
      <w:r>
        <w:fldChar w:fldCharType="begin"/>
      </w:r>
      <w:r>
        <w:instrText xml:space="preserve"> SEQ Tabela_ \* ARABIC </w:instrText>
      </w:r>
      <w:r>
        <w:fldChar w:fldCharType="separate"/>
      </w:r>
      <w:r w:rsidR="00701D2D">
        <w:rPr>
          <w:noProof/>
        </w:rPr>
        <w:t>9</w:t>
      </w:r>
      <w:r>
        <w:fldChar w:fldCharType="end"/>
      </w:r>
      <w:r>
        <w:rPr>
          <w:lang w:val="sq-AL"/>
        </w:rPr>
        <w:t xml:space="preserve"> </w:t>
      </w:r>
      <w:r w:rsidRPr="00450894">
        <w:rPr>
          <w:lang w:val="sq-AL"/>
        </w:rPr>
        <w:t>Opex i kërkuar nga KESCO (2022-2024)</w:t>
      </w:r>
    </w:p>
    <w:tbl>
      <w:tblPr>
        <w:tblW w:w="5000" w:type="pct"/>
        <w:tblLook w:val="04A0" w:firstRow="1" w:lastRow="0" w:firstColumn="1" w:lastColumn="0" w:noHBand="0" w:noVBand="1"/>
      </w:tblPr>
      <w:tblGrid>
        <w:gridCol w:w="4538"/>
        <w:gridCol w:w="1608"/>
        <w:gridCol w:w="1608"/>
        <w:gridCol w:w="1606"/>
      </w:tblGrid>
      <w:tr w:rsidR="0075093C" w:rsidRPr="00450894" w:rsidTr="0075093C">
        <w:trPr>
          <w:trHeight w:val="495"/>
        </w:trPr>
        <w:tc>
          <w:tcPr>
            <w:tcW w:w="2424"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 xml:space="preserve"> Periudha rregullative </w:t>
            </w:r>
          </w:p>
        </w:tc>
        <w:tc>
          <w:tcPr>
            <w:tcW w:w="859" w:type="pct"/>
            <w:tcBorders>
              <w:top w:val="nil"/>
              <w:left w:val="nil"/>
              <w:bottom w:val="nil"/>
              <w:right w:val="nil"/>
            </w:tcBorders>
            <w:shd w:val="clear" w:color="000000" w:fill="003366"/>
            <w:noWrap/>
            <w:vAlign w:val="center"/>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2022</w:t>
            </w:r>
          </w:p>
        </w:tc>
        <w:tc>
          <w:tcPr>
            <w:tcW w:w="859"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2023</w:t>
            </w:r>
          </w:p>
        </w:tc>
        <w:tc>
          <w:tcPr>
            <w:tcW w:w="859"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rPr>
            </w:pPr>
            <w:r w:rsidRPr="00450894">
              <w:rPr>
                <w:rFonts w:ascii="Calibri" w:eastAsia="Times New Roman" w:hAnsi="Calibri" w:cs="Times New Roman"/>
                <w:color w:val="FFFFFF"/>
                <w:sz w:val="20"/>
                <w:szCs w:val="20"/>
                <w:lang w:val="sq-AL"/>
              </w:rPr>
              <w:t>2024</w:t>
            </w:r>
          </w:p>
        </w:tc>
      </w:tr>
      <w:tr w:rsidR="0075093C" w:rsidRPr="00450894" w:rsidTr="0075093C">
        <w:trPr>
          <w:trHeight w:val="360"/>
        </w:trPr>
        <w:tc>
          <w:tcPr>
            <w:tcW w:w="2424" w:type="pct"/>
            <w:tcBorders>
              <w:top w:val="nil"/>
              <w:left w:val="nil"/>
              <w:bottom w:val="nil"/>
              <w:right w:val="nil"/>
            </w:tcBorders>
            <w:shd w:val="clear" w:color="auto" w:fill="E7E6E6" w:themeFill="background2"/>
            <w:noWrap/>
            <w:vAlign w:val="center"/>
            <w:hideMark/>
          </w:tcPr>
          <w:p w:rsidR="0075093C" w:rsidRPr="00CC5249" w:rsidRDefault="0075093C" w:rsidP="0075093C">
            <w:pPr>
              <w:spacing w:after="0" w:line="240" w:lineRule="auto"/>
              <w:rPr>
                <w:rFonts w:ascii="Calibri" w:eastAsia="Times New Roman" w:hAnsi="Calibri" w:cs="Times New Roman"/>
                <w:color w:val="000000"/>
                <w:sz w:val="20"/>
                <w:szCs w:val="20"/>
                <w:lang w:val="sq-AL"/>
              </w:rPr>
            </w:pPr>
            <w:r w:rsidRPr="00CC5249">
              <w:rPr>
                <w:lang w:val="sq-AL"/>
              </w:rPr>
              <w:t>Kërkesa për OPEX (€’000)</w:t>
            </w:r>
          </w:p>
        </w:tc>
        <w:tc>
          <w:tcPr>
            <w:tcW w:w="859" w:type="pct"/>
            <w:tcBorders>
              <w:top w:val="nil"/>
              <w:left w:val="nil"/>
              <w:bottom w:val="nil"/>
              <w:right w:val="nil"/>
            </w:tcBorders>
            <w:shd w:val="clear" w:color="auto" w:fill="E7E6E6" w:themeFill="background2"/>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rPr>
            </w:pPr>
            <w:r w:rsidRPr="00B26335">
              <w:rPr>
                <w:rFonts w:ascii="Calibri" w:eastAsia="Times New Roman" w:hAnsi="Calibri" w:cs="Times New Roman"/>
                <w:color w:val="000000"/>
                <w:sz w:val="20"/>
                <w:szCs w:val="20"/>
                <w:lang w:val="sq-AL"/>
              </w:rPr>
              <w:t>6,807</w:t>
            </w:r>
          </w:p>
        </w:tc>
        <w:tc>
          <w:tcPr>
            <w:tcW w:w="859" w:type="pct"/>
            <w:tcBorders>
              <w:top w:val="nil"/>
              <w:left w:val="nil"/>
              <w:bottom w:val="nil"/>
              <w:right w:val="nil"/>
            </w:tcBorders>
            <w:shd w:val="clear" w:color="auto" w:fill="E7E6E6" w:themeFill="background2"/>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rPr>
            </w:pPr>
            <w:r w:rsidRPr="00B1408C">
              <w:rPr>
                <w:rFonts w:ascii="Calibri" w:eastAsia="Times New Roman" w:hAnsi="Calibri" w:cs="Times New Roman"/>
                <w:color w:val="000000"/>
                <w:sz w:val="20"/>
                <w:szCs w:val="20"/>
                <w:lang w:val="sq-AL"/>
              </w:rPr>
              <w:t>6,867</w:t>
            </w:r>
          </w:p>
        </w:tc>
        <w:tc>
          <w:tcPr>
            <w:tcW w:w="859" w:type="pct"/>
            <w:tcBorders>
              <w:top w:val="nil"/>
              <w:left w:val="nil"/>
              <w:bottom w:val="nil"/>
              <w:right w:val="nil"/>
            </w:tcBorders>
            <w:shd w:val="clear" w:color="auto" w:fill="E7E6E6" w:themeFill="background2"/>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rPr>
            </w:pPr>
            <w:r w:rsidRPr="00450894">
              <w:rPr>
                <w:rFonts w:ascii="Calibri" w:eastAsia="Times New Roman" w:hAnsi="Calibri" w:cs="Times New Roman"/>
                <w:color w:val="000000"/>
                <w:sz w:val="20"/>
                <w:szCs w:val="20"/>
                <w:lang w:val="sq-AL"/>
              </w:rPr>
              <w:t>6,889</w:t>
            </w:r>
          </w:p>
        </w:tc>
      </w:tr>
    </w:tbl>
    <w:bookmarkEnd w:id="17"/>
    <w:p w:rsidR="0075093C" w:rsidRPr="00EF4D5D" w:rsidRDefault="0075093C" w:rsidP="0075093C">
      <w:pPr>
        <w:rPr>
          <w:color w:val="A5A5A5" w:themeColor="accent3"/>
          <w:sz w:val="18"/>
          <w:szCs w:val="18"/>
          <w:lang w:val="sq-AL"/>
        </w:rPr>
      </w:pPr>
      <w:r w:rsidRPr="00CC5249">
        <w:rPr>
          <w:color w:val="A5A5A5" w:themeColor="accent3"/>
          <w:sz w:val="18"/>
          <w:szCs w:val="18"/>
          <w:lang w:val="sq-AL"/>
        </w:rPr>
        <w:t>Burimi: Aplikacioni i KESCO-së</w:t>
      </w:r>
    </w:p>
    <w:p w:rsidR="0075093C" w:rsidRPr="00AC02E5" w:rsidRDefault="0075093C" w:rsidP="0075093C">
      <w:pPr>
        <w:pStyle w:val="Heading2"/>
        <w:rPr>
          <w:lang w:val="sq-AL"/>
        </w:rPr>
      </w:pPr>
      <w:bookmarkStart w:id="18" w:name="_Toc88226460"/>
      <w:r w:rsidRPr="00B26335">
        <w:rPr>
          <w:lang w:val="sq-AL"/>
        </w:rPr>
        <w:t>Shqyrtimi</w:t>
      </w:r>
      <w:r w:rsidRPr="007F49D2">
        <w:rPr>
          <w:lang w:val="sq-AL"/>
        </w:rPr>
        <w:t xml:space="preserve"> i aplikacionit</w:t>
      </w:r>
      <w:r w:rsidRPr="00540B57">
        <w:rPr>
          <w:lang w:val="sq-AL"/>
        </w:rPr>
        <w:t xml:space="preserve"> dhe propozimi i ZRRE-së</w:t>
      </w:r>
      <w:r w:rsidRPr="003C06AF">
        <w:rPr>
          <w:lang w:val="sq-AL"/>
        </w:rPr>
        <w:t xml:space="preserve"> për Kostot </w:t>
      </w:r>
      <w:r w:rsidRPr="00AC02E5">
        <w:rPr>
          <w:lang w:val="sq-AL"/>
        </w:rPr>
        <w:t>Operative</w:t>
      </w:r>
      <w:bookmarkEnd w:id="18"/>
      <w:r w:rsidRPr="00AC02E5">
        <w:rPr>
          <w:lang w:val="sq-AL"/>
        </w:rPr>
        <w:t xml:space="preserve"> </w:t>
      </w:r>
    </w:p>
    <w:p w:rsidR="0075093C" w:rsidRPr="00450894" w:rsidRDefault="0075093C" w:rsidP="006C04F5">
      <w:pPr>
        <w:jc w:val="both"/>
        <w:rPr>
          <w:lang w:val="sq-AL"/>
        </w:rPr>
      </w:pPr>
      <w:r w:rsidRPr="00B1408C">
        <w:rPr>
          <w:lang w:val="sq-AL"/>
        </w:rPr>
        <w:t>Kostot e lejuara me pakicë të FSHU-së përfshijnë lejimin për kostot operative dhe të mirëmbajtjes, kostot e korporatës dhe</w:t>
      </w:r>
      <w:r w:rsidRPr="00450894">
        <w:rPr>
          <w:lang w:val="sq-AL"/>
        </w:rPr>
        <w:t xml:space="preserve"> kosto të tjera jashtë kontrollit të të licencuarit. </w:t>
      </w:r>
    </w:p>
    <w:p w:rsidR="0075093C" w:rsidRPr="00450894" w:rsidRDefault="0075093C" w:rsidP="006C04F5">
      <w:pPr>
        <w:jc w:val="both"/>
        <w:rPr>
          <w:lang w:val="sq-AL"/>
        </w:rPr>
      </w:pPr>
      <w:r w:rsidRPr="00450894">
        <w:rPr>
          <w:lang w:val="sq-AL"/>
        </w:rPr>
        <w:t>Aplikacioni i KESCO-së për kostot e lejuara të shitjes me pakicë është përqendruar më së shumti në kostot e lejuara të operimit dhe mirëmbajtjes pasi këto përbëjnë shumicën e kostove të lejuara me pakicë.</w:t>
      </w:r>
    </w:p>
    <w:p w:rsidR="0075093C" w:rsidRPr="00450894" w:rsidRDefault="0075093C" w:rsidP="006C04F5">
      <w:pPr>
        <w:jc w:val="both"/>
        <w:rPr>
          <w:lang w:val="sq-AL"/>
        </w:rPr>
      </w:pPr>
      <w:r w:rsidRPr="00450894">
        <w:rPr>
          <w:lang w:val="sq-AL"/>
        </w:rPr>
        <w:lastRenderedPageBreak/>
        <w:t xml:space="preserve">ZRRE thekson se më parë nuk e ka ndarë Opex-in në kategori të ndryshme në mënyrë që t’i lejoj fleksibilitet FSHU-së në menaxhimin efikas të kostove operative dhe të mirëmbajtjes. Sidoqoftë, për qëllimin e sqarimit të </w:t>
      </w:r>
      <w:r w:rsidR="006C04F5" w:rsidRPr="00450894">
        <w:rPr>
          <w:lang w:val="sq-AL"/>
        </w:rPr>
        <w:t>qëndrimeve</w:t>
      </w:r>
      <w:r w:rsidRPr="00450894">
        <w:rPr>
          <w:lang w:val="sq-AL"/>
        </w:rPr>
        <w:t xml:space="preserve"> të ZRRE-së mbi lejimet e propozuara të Opex për periudhën 2022-2024, është e rëndësishme të bëhet një diskutim më i hollësishëm mbi përbërësit kryesorë të kostove operative dhe të mirëmbajtjes.</w:t>
      </w:r>
    </w:p>
    <w:p w:rsidR="0075093C" w:rsidRPr="00450894" w:rsidRDefault="0075093C" w:rsidP="006C04F5">
      <w:pPr>
        <w:jc w:val="both"/>
        <w:rPr>
          <w:lang w:val="sq-AL"/>
        </w:rPr>
      </w:pPr>
      <w:r w:rsidRPr="00450894">
        <w:rPr>
          <w:lang w:val="sq-AL"/>
        </w:rPr>
        <w:t>Të dhënat e paraqitura nga KESCO demonstrojnë paqëndrueshmëri të konsiderueshme ndërmjet kategorive të kostove dhe kostove totale të shkaktuara për ofrimin e shërbimit të rregulluar.</w:t>
      </w:r>
    </w:p>
    <w:p w:rsidR="0075093C" w:rsidRPr="00CC5249" w:rsidRDefault="0075093C" w:rsidP="0075093C">
      <w:pPr>
        <w:pStyle w:val="Caption"/>
        <w:jc w:val="left"/>
        <w:rPr>
          <w:lang w:val="sq-AL"/>
        </w:rPr>
      </w:pPr>
      <w:r w:rsidRPr="00450894">
        <w:rPr>
          <w:lang w:val="sq-AL"/>
        </w:rPr>
        <w:t xml:space="preserve">Figura </w:t>
      </w:r>
      <w:r w:rsidRPr="00CC5249">
        <w:rPr>
          <w:lang w:val="sq-AL"/>
        </w:rPr>
        <w:fldChar w:fldCharType="begin"/>
      </w:r>
      <w:r w:rsidRPr="00450894">
        <w:rPr>
          <w:lang w:val="sq-AL"/>
        </w:rPr>
        <w:instrText xml:space="preserve"> SEQ Figure \* ARABIC </w:instrText>
      </w:r>
      <w:r w:rsidRPr="00CC5249">
        <w:rPr>
          <w:lang w:val="sq-AL"/>
        </w:rPr>
        <w:fldChar w:fldCharType="separate"/>
      </w:r>
      <w:r w:rsidR="00701D2D">
        <w:rPr>
          <w:noProof/>
          <w:lang w:val="sq-AL"/>
        </w:rPr>
        <w:t>1</w:t>
      </w:r>
      <w:r w:rsidRPr="00CC5249">
        <w:rPr>
          <w:lang w:val="sq-AL"/>
        </w:rPr>
        <w:fldChar w:fldCharType="end"/>
      </w:r>
      <w:r w:rsidRPr="00CC5249">
        <w:rPr>
          <w:lang w:val="sq-AL"/>
        </w:rPr>
        <w:t xml:space="preserve"> Kostot aktuale të operimit dhe mirëmbajtjes  (2016-2020)</w:t>
      </w:r>
    </w:p>
    <w:p w:rsidR="0075093C" w:rsidRPr="00CC5249" w:rsidRDefault="0075093C" w:rsidP="0075093C">
      <w:pPr>
        <w:jc w:val="center"/>
        <w:rPr>
          <w:lang w:val="sq-AL"/>
        </w:rPr>
      </w:pPr>
      <w:r w:rsidRPr="00450894">
        <w:rPr>
          <w:lang w:val="sq-AL"/>
        </w:rPr>
        <w:t xml:space="preserve"> </w:t>
      </w:r>
      <w:r w:rsidRPr="00450894">
        <w:rPr>
          <w:noProof/>
        </w:rPr>
        <w:drawing>
          <wp:inline distT="0" distB="0" distL="0" distR="0" wp14:anchorId="0DA702F7" wp14:editId="5B2978EC">
            <wp:extent cx="5398936" cy="3466768"/>
            <wp:effectExtent l="0" t="0" r="1143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093C" w:rsidRPr="00450894" w:rsidRDefault="0075093C" w:rsidP="006C04F5">
      <w:pPr>
        <w:jc w:val="both"/>
        <w:rPr>
          <w:lang w:val="sq-AL"/>
        </w:rPr>
      </w:pPr>
      <w:r w:rsidRPr="00B26335">
        <w:rPr>
          <w:lang w:val="sq-AL"/>
        </w:rPr>
        <w:t>Figura 1 treg</w:t>
      </w:r>
      <w:r w:rsidRPr="007F49D2">
        <w:rPr>
          <w:lang w:val="sq-AL"/>
        </w:rPr>
        <w:t xml:space="preserve">on që kostot aktuale të operimit dhe mirëmbajtjes në 2016 janë luhatur nga 4.9 milion € </w:t>
      </w:r>
      <w:r w:rsidRPr="00B1408C">
        <w:rPr>
          <w:lang w:val="sq-AL"/>
        </w:rPr>
        <w:t>në 5.4 milion € në 2020, ku shumica e këtyre ndryshimeve i atribuohen Kostove të Tjera Operative të cilat duket se janë rritur nga 0.7 milion € në 2016 në 1.9 milion € në 2018</w:t>
      </w:r>
      <w:r w:rsidRPr="00450894">
        <w:rPr>
          <w:lang w:val="sq-AL"/>
        </w:rPr>
        <w:t>.</w:t>
      </w:r>
    </w:p>
    <w:p w:rsidR="0075093C" w:rsidRPr="00450894" w:rsidRDefault="0075093C" w:rsidP="006C04F5">
      <w:pPr>
        <w:jc w:val="both"/>
        <w:rPr>
          <w:lang w:val="sq-AL"/>
        </w:rPr>
      </w:pPr>
      <w:r w:rsidRPr="00450894">
        <w:rPr>
          <w:lang w:val="sq-AL"/>
        </w:rPr>
        <w:t xml:space="preserve">Opex-i i pakontrollueshëm i FSHU-së lidhet drejtpërdrejt me shërbimet e përbashkëta në lidhje me shërbimet e korporatës, të tilla si: burimet njerëzore, financat, prokurimi, shërbimet ligjore, IT, shërbimet juridike, auditimi, transporti dhe logjistika, dhe arkiva. </w:t>
      </w:r>
    </w:p>
    <w:p w:rsidR="0075093C" w:rsidRPr="00EF4D5D" w:rsidRDefault="0075093C" w:rsidP="006C04F5">
      <w:pPr>
        <w:jc w:val="both"/>
        <w:rPr>
          <w:lang w:val="sq-AL"/>
        </w:rPr>
      </w:pPr>
      <w:r w:rsidRPr="00450894">
        <w:rPr>
          <w:lang w:val="sq-AL"/>
        </w:rPr>
        <w:t>Kostot e operimit dhe mir</w:t>
      </w:r>
      <w:r>
        <w:rPr>
          <w:lang w:val="sq-AL"/>
        </w:rPr>
        <w:t>ë</w:t>
      </w:r>
      <w:r w:rsidRPr="00EF4D5D">
        <w:rPr>
          <w:lang w:val="sq-AL"/>
        </w:rPr>
        <w:t>mbajtjes, t</w:t>
      </w:r>
      <w:r>
        <w:rPr>
          <w:lang w:val="sq-AL"/>
        </w:rPr>
        <w:t>ë</w:t>
      </w:r>
      <w:r w:rsidRPr="00EF4D5D">
        <w:rPr>
          <w:lang w:val="sq-AL"/>
        </w:rPr>
        <w:t xml:space="preserve"> cilat rregullatori i njeh si t</w:t>
      </w:r>
      <w:r>
        <w:rPr>
          <w:lang w:val="sq-AL"/>
        </w:rPr>
        <w:t>ë</w:t>
      </w:r>
      <w:r w:rsidRPr="00EF4D5D">
        <w:rPr>
          <w:lang w:val="sq-AL"/>
        </w:rPr>
        <w:t xml:space="preserve"> arsyeshme p</w:t>
      </w:r>
      <w:r>
        <w:rPr>
          <w:lang w:val="sq-AL"/>
        </w:rPr>
        <w:t>ë</w:t>
      </w:r>
      <w:r w:rsidRPr="00EF4D5D">
        <w:rPr>
          <w:lang w:val="sq-AL"/>
        </w:rPr>
        <w:t xml:space="preserve">r FSHU/KESCO </w:t>
      </w:r>
      <w:r w:rsidR="006C04F5" w:rsidRPr="00EF4D5D">
        <w:rPr>
          <w:lang w:val="sq-AL"/>
        </w:rPr>
        <w:t>p</w:t>
      </w:r>
      <w:r w:rsidR="006C04F5">
        <w:rPr>
          <w:lang w:val="sq-AL"/>
        </w:rPr>
        <w:t>ër</w:t>
      </w:r>
      <w:r w:rsidR="006C04F5" w:rsidRPr="00EF4D5D">
        <w:rPr>
          <w:lang w:val="sq-AL"/>
        </w:rPr>
        <w:t>be</w:t>
      </w:r>
      <w:r w:rsidR="006C04F5">
        <w:rPr>
          <w:lang w:val="sq-AL"/>
        </w:rPr>
        <w:t>he</w:t>
      </w:r>
      <w:r w:rsidR="006C04F5" w:rsidRPr="00EF4D5D">
        <w:rPr>
          <w:lang w:val="sq-AL"/>
        </w:rPr>
        <w:t>n</w:t>
      </w:r>
      <w:r w:rsidRPr="00EF4D5D">
        <w:rPr>
          <w:lang w:val="sq-AL"/>
        </w:rPr>
        <w:t xml:space="preserve"> nga dy kategori kryesore: </w:t>
      </w:r>
    </w:p>
    <w:p w:rsidR="0075093C" w:rsidRPr="00EF4D5D" w:rsidRDefault="0075093C" w:rsidP="0075093C">
      <w:pPr>
        <w:pStyle w:val="ListParagraph"/>
        <w:numPr>
          <w:ilvl w:val="0"/>
          <w:numId w:val="10"/>
        </w:numPr>
        <w:rPr>
          <w:lang w:val="sq-AL"/>
        </w:rPr>
      </w:pPr>
      <w:r w:rsidRPr="00EF4D5D">
        <w:rPr>
          <w:b/>
          <w:lang w:val="sq-AL"/>
        </w:rPr>
        <w:t>Kostot e kontrollueshme</w:t>
      </w:r>
      <w:r w:rsidRPr="00EF4D5D">
        <w:rPr>
          <w:lang w:val="sq-AL"/>
        </w:rPr>
        <w:t xml:space="preserve"> (ndaj t</w:t>
      </w:r>
      <w:r>
        <w:rPr>
          <w:lang w:val="sq-AL"/>
        </w:rPr>
        <w:t>ë</w:t>
      </w:r>
      <w:r w:rsidRPr="00EF4D5D">
        <w:rPr>
          <w:lang w:val="sq-AL"/>
        </w:rPr>
        <w:t xml:space="preserve"> cilave operatori mund t</w:t>
      </w:r>
      <w:r>
        <w:rPr>
          <w:lang w:val="sq-AL"/>
        </w:rPr>
        <w:t>ë</w:t>
      </w:r>
      <w:r w:rsidRPr="00EF4D5D">
        <w:rPr>
          <w:lang w:val="sq-AL"/>
        </w:rPr>
        <w:t xml:space="preserve"> ket</w:t>
      </w:r>
      <w:r>
        <w:rPr>
          <w:lang w:val="sq-AL"/>
        </w:rPr>
        <w:t>ë</w:t>
      </w:r>
      <w:r w:rsidRPr="00EF4D5D">
        <w:rPr>
          <w:lang w:val="sq-AL"/>
        </w:rPr>
        <w:t xml:space="preserve"> kontroll</w:t>
      </w:r>
      <w:r>
        <w:rPr>
          <w:lang w:val="sq-AL"/>
        </w:rPr>
        <w:t>ë</w:t>
      </w:r>
      <w:r w:rsidRPr="00EF4D5D">
        <w:rPr>
          <w:lang w:val="sq-AL"/>
        </w:rPr>
        <w:t xml:space="preserve"> dhe t</w:t>
      </w:r>
      <w:r>
        <w:rPr>
          <w:lang w:val="sq-AL"/>
        </w:rPr>
        <w:t>ë</w:t>
      </w:r>
      <w:r w:rsidRPr="00EF4D5D">
        <w:rPr>
          <w:lang w:val="sq-AL"/>
        </w:rPr>
        <w:t xml:space="preserve"> ndikoj</w:t>
      </w:r>
      <w:r>
        <w:rPr>
          <w:lang w:val="sq-AL"/>
        </w:rPr>
        <w:t>ë</w:t>
      </w:r>
      <w:r w:rsidRPr="00EF4D5D">
        <w:rPr>
          <w:lang w:val="sq-AL"/>
        </w:rPr>
        <w:t xml:space="preserve"> n</w:t>
      </w:r>
      <w:r>
        <w:rPr>
          <w:lang w:val="sq-AL"/>
        </w:rPr>
        <w:t>ë</w:t>
      </w:r>
      <w:r w:rsidRPr="00EF4D5D">
        <w:rPr>
          <w:lang w:val="sq-AL"/>
        </w:rPr>
        <w:t xml:space="preserve"> to p</w:t>
      </w:r>
      <w:r>
        <w:rPr>
          <w:lang w:val="sq-AL"/>
        </w:rPr>
        <w:t>ë</w:t>
      </w:r>
      <w:r w:rsidRPr="00EF4D5D">
        <w:rPr>
          <w:lang w:val="sq-AL"/>
        </w:rPr>
        <w:t>rmes veprimeve menaxheriale dhe operative) ku p</w:t>
      </w:r>
      <w:r>
        <w:rPr>
          <w:lang w:val="sq-AL"/>
        </w:rPr>
        <w:t>ë</w:t>
      </w:r>
      <w:r w:rsidRPr="00EF4D5D">
        <w:rPr>
          <w:lang w:val="sq-AL"/>
        </w:rPr>
        <w:t xml:space="preserve">rfshihen: </w:t>
      </w:r>
    </w:p>
    <w:p w:rsidR="0075093C" w:rsidRPr="00B26335" w:rsidRDefault="0075093C" w:rsidP="0075093C">
      <w:pPr>
        <w:pStyle w:val="ListParagraph"/>
        <w:numPr>
          <w:ilvl w:val="1"/>
          <w:numId w:val="10"/>
        </w:numPr>
        <w:rPr>
          <w:lang w:val="sq-AL"/>
        </w:rPr>
      </w:pPr>
      <w:r w:rsidRPr="00B26335">
        <w:rPr>
          <w:lang w:val="sq-AL"/>
        </w:rPr>
        <w:lastRenderedPageBreak/>
        <w:t>Shpenzimet e personelit</w:t>
      </w:r>
    </w:p>
    <w:p w:rsidR="0075093C" w:rsidRPr="00B1408C" w:rsidRDefault="0075093C" w:rsidP="0075093C">
      <w:pPr>
        <w:pStyle w:val="ListParagraph"/>
        <w:numPr>
          <w:ilvl w:val="1"/>
          <w:numId w:val="10"/>
        </w:numPr>
        <w:rPr>
          <w:lang w:val="sq-AL"/>
        </w:rPr>
      </w:pPr>
      <w:r w:rsidRPr="00B1408C">
        <w:rPr>
          <w:lang w:val="sq-AL"/>
        </w:rPr>
        <w:t>Mirëmbajtja, Inventari dhe Furnizimet</w:t>
      </w:r>
    </w:p>
    <w:p w:rsidR="0075093C" w:rsidRPr="00450894" w:rsidRDefault="0075093C" w:rsidP="0075093C">
      <w:pPr>
        <w:pStyle w:val="ListParagraph"/>
        <w:numPr>
          <w:ilvl w:val="1"/>
          <w:numId w:val="10"/>
        </w:numPr>
        <w:rPr>
          <w:lang w:val="sq-AL"/>
        </w:rPr>
      </w:pPr>
      <w:r w:rsidRPr="00450894">
        <w:rPr>
          <w:lang w:val="sq-AL"/>
        </w:rPr>
        <w:t>Sigurimi</w:t>
      </w:r>
    </w:p>
    <w:p w:rsidR="0075093C" w:rsidRPr="00450894" w:rsidRDefault="0075093C" w:rsidP="0075093C">
      <w:pPr>
        <w:pStyle w:val="ListParagraph"/>
        <w:numPr>
          <w:ilvl w:val="1"/>
          <w:numId w:val="10"/>
        </w:numPr>
        <w:rPr>
          <w:lang w:val="sq-AL"/>
        </w:rPr>
      </w:pPr>
      <w:r w:rsidRPr="00450894">
        <w:rPr>
          <w:lang w:val="sq-AL"/>
        </w:rPr>
        <w:t>Kosto të tjera operative</w:t>
      </w:r>
    </w:p>
    <w:p w:rsidR="0075093C" w:rsidRPr="00450894" w:rsidRDefault="0075093C" w:rsidP="0075093C">
      <w:pPr>
        <w:pStyle w:val="ListParagraph"/>
        <w:numPr>
          <w:ilvl w:val="1"/>
          <w:numId w:val="10"/>
        </w:numPr>
        <w:rPr>
          <w:lang w:val="sq-AL"/>
        </w:rPr>
      </w:pPr>
      <w:r w:rsidRPr="00450894">
        <w:rPr>
          <w:lang w:val="sq-AL"/>
        </w:rPr>
        <w:t>Shpenzimet financiare</w:t>
      </w:r>
    </w:p>
    <w:p w:rsidR="0075093C" w:rsidRPr="003C06AF" w:rsidRDefault="0075093C" w:rsidP="0075093C">
      <w:pPr>
        <w:pStyle w:val="ListParagraph"/>
        <w:numPr>
          <w:ilvl w:val="0"/>
          <w:numId w:val="10"/>
        </w:numPr>
        <w:rPr>
          <w:lang w:val="sq-AL"/>
        </w:rPr>
      </w:pPr>
      <w:r w:rsidRPr="00450894">
        <w:rPr>
          <w:b/>
          <w:lang w:val="sq-AL"/>
        </w:rPr>
        <w:t>Kostot e pakontrollueshme</w:t>
      </w:r>
      <w:r w:rsidRPr="00450894">
        <w:rPr>
          <w:lang w:val="sq-AL"/>
        </w:rPr>
        <w:t xml:space="preserve"> (t</w:t>
      </w:r>
      <w:r>
        <w:rPr>
          <w:lang w:val="sq-AL"/>
        </w:rPr>
        <w:t>ë</w:t>
      </w:r>
      <w:r w:rsidRPr="003C06AF">
        <w:rPr>
          <w:lang w:val="sq-AL"/>
        </w:rPr>
        <w:t xml:space="preserve"> cilat varen nga </w:t>
      </w:r>
      <w:r w:rsidR="00596A23" w:rsidRPr="003C06AF">
        <w:rPr>
          <w:lang w:val="sq-AL"/>
        </w:rPr>
        <w:t>çmimet</w:t>
      </w:r>
      <w:r w:rsidRPr="003C06AF">
        <w:rPr>
          <w:lang w:val="sq-AL"/>
        </w:rPr>
        <w:t xml:space="preserve"> e tregut dhe ndaj t</w:t>
      </w:r>
      <w:r>
        <w:rPr>
          <w:lang w:val="sq-AL"/>
        </w:rPr>
        <w:t>ë</w:t>
      </w:r>
      <w:r w:rsidRPr="003C06AF">
        <w:rPr>
          <w:lang w:val="sq-AL"/>
        </w:rPr>
        <w:t xml:space="preserve"> cilave KESCO nuk mund t</w:t>
      </w:r>
      <w:r>
        <w:rPr>
          <w:lang w:val="sq-AL"/>
        </w:rPr>
        <w:t>ë</w:t>
      </w:r>
      <w:r w:rsidRPr="003C06AF">
        <w:rPr>
          <w:lang w:val="sq-AL"/>
        </w:rPr>
        <w:t xml:space="preserve"> ket</w:t>
      </w:r>
      <w:r>
        <w:rPr>
          <w:lang w:val="sq-AL"/>
        </w:rPr>
        <w:t>ë</w:t>
      </w:r>
      <w:r w:rsidRPr="003C06AF">
        <w:rPr>
          <w:lang w:val="sq-AL"/>
        </w:rPr>
        <w:t xml:space="preserve"> ndikim t</w:t>
      </w:r>
      <w:r>
        <w:rPr>
          <w:lang w:val="sq-AL"/>
        </w:rPr>
        <w:t>ë</w:t>
      </w:r>
      <w:r w:rsidRPr="003C06AF">
        <w:rPr>
          <w:lang w:val="sq-AL"/>
        </w:rPr>
        <w:t xml:space="preserve"> ndjesh</w:t>
      </w:r>
      <w:r>
        <w:rPr>
          <w:lang w:val="sq-AL"/>
        </w:rPr>
        <w:t>ë</w:t>
      </w:r>
      <w:r w:rsidRPr="003C06AF">
        <w:rPr>
          <w:lang w:val="sq-AL"/>
        </w:rPr>
        <w:t>m) t</w:t>
      </w:r>
      <w:r>
        <w:rPr>
          <w:lang w:val="sq-AL"/>
        </w:rPr>
        <w:t>ë</w:t>
      </w:r>
      <w:r w:rsidRPr="003C06AF">
        <w:rPr>
          <w:lang w:val="sq-AL"/>
        </w:rPr>
        <w:t xml:space="preserve"> cilat p</w:t>
      </w:r>
      <w:r>
        <w:rPr>
          <w:lang w:val="sq-AL"/>
        </w:rPr>
        <w:t>ë</w:t>
      </w:r>
      <w:r w:rsidRPr="003C06AF">
        <w:rPr>
          <w:lang w:val="sq-AL"/>
        </w:rPr>
        <w:t>rfshijn</w:t>
      </w:r>
      <w:r>
        <w:rPr>
          <w:lang w:val="sq-AL"/>
        </w:rPr>
        <w:t>ë</w:t>
      </w:r>
      <w:r w:rsidRPr="003C06AF">
        <w:rPr>
          <w:lang w:val="sq-AL"/>
        </w:rPr>
        <w:t>:</w:t>
      </w:r>
    </w:p>
    <w:p w:rsidR="0075093C" w:rsidRPr="00B1408C" w:rsidRDefault="0075093C" w:rsidP="0075093C">
      <w:pPr>
        <w:pStyle w:val="ListParagraph"/>
        <w:numPr>
          <w:ilvl w:val="1"/>
          <w:numId w:val="10"/>
        </w:numPr>
        <w:rPr>
          <w:lang w:val="sq-AL"/>
        </w:rPr>
      </w:pPr>
      <w:r w:rsidRPr="00B1408C">
        <w:rPr>
          <w:lang w:val="sq-AL"/>
        </w:rPr>
        <w:t>Kostot për shërbimet përbashkëta dhe qiraja</w:t>
      </w:r>
    </w:p>
    <w:p w:rsidR="0075093C" w:rsidRPr="00450894" w:rsidRDefault="0075093C" w:rsidP="0075093C">
      <w:pPr>
        <w:rPr>
          <w:lang w:val="sq-AL"/>
        </w:rPr>
      </w:pPr>
      <w:r w:rsidRPr="00450894">
        <w:rPr>
          <w:lang w:val="sq-AL"/>
        </w:rPr>
        <w:t>Qasja e përdorur nga ZRRE në vlerësimin e kostove operative për periudhën 2022-2024 është si vijon:</w:t>
      </w:r>
    </w:p>
    <w:p w:rsidR="0075093C" w:rsidRPr="00450894" w:rsidRDefault="0075093C" w:rsidP="0075093C">
      <w:pPr>
        <w:pStyle w:val="ListParagraph"/>
        <w:numPr>
          <w:ilvl w:val="0"/>
          <w:numId w:val="7"/>
        </w:numPr>
        <w:rPr>
          <w:lang w:val="sq-AL"/>
        </w:rPr>
      </w:pPr>
      <w:r w:rsidRPr="00450894">
        <w:rPr>
          <w:lang w:val="sq-AL"/>
        </w:rPr>
        <w:t xml:space="preserve">ZRRE ka analizuar të dhënat e realizuara të shpenzimeve operative për secilin zë për periudhën 2016-2020 duke u bazuar në </w:t>
      </w:r>
      <w:r w:rsidR="00596A23" w:rsidRPr="00450894">
        <w:rPr>
          <w:lang w:val="sq-AL"/>
        </w:rPr>
        <w:t>Pasqyrat</w:t>
      </w:r>
      <w:r w:rsidRPr="00450894">
        <w:rPr>
          <w:lang w:val="sq-AL"/>
        </w:rPr>
        <w:t xml:space="preserve"> e Financiare të audituara dhe në formularët e plotësuar nga KESCO-FSHU.</w:t>
      </w:r>
    </w:p>
    <w:p w:rsidR="0075093C" w:rsidRPr="00450894" w:rsidRDefault="0075093C" w:rsidP="0075093C">
      <w:pPr>
        <w:pStyle w:val="ListParagraph"/>
        <w:numPr>
          <w:ilvl w:val="0"/>
          <w:numId w:val="7"/>
        </w:numPr>
        <w:rPr>
          <w:lang w:val="sq-AL"/>
        </w:rPr>
      </w:pPr>
      <w:r w:rsidRPr="00450894">
        <w:rPr>
          <w:lang w:val="sq-AL"/>
        </w:rPr>
        <w:t>OPEX- i vlerësuar për periudhën 2022-2024 është ndarë në dy kategori, në OPEX-in e kontrollueshëm dhe të pa-kontrollueshëm. Vetëm ndaj OPEX-it të kontrollueshëm është aplikuar faktori i efikasiteti duke filluar nga vitit 2023, ndërsa OPEX i pa-kontrollueshëm është supozuar të jetë i pandryshueshëm duke qenë se ai është subjekt i azhurnimit në baza vjetore bazuar në faturimet ndërmjet palëve.</w:t>
      </w:r>
    </w:p>
    <w:p w:rsidR="0075093C" w:rsidRPr="00CC5249" w:rsidRDefault="0075093C" w:rsidP="0075093C">
      <w:pPr>
        <w:pStyle w:val="ListParagraph"/>
        <w:numPr>
          <w:ilvl w:val="0"/>
          <w:numId w:val="7"/>
        </w:numPr>
        <w:rPr>
          <w:lang w:val="sq-AL"/>
        </w:rPr>
      </w:pPr>
      <w:r w:rsidRPr="00450894">
        <w:rPr>
          <w:lang w:val="sq-AL"/>
        </w:rPr>
        <w:t xml:space="preserve">Vlerësimi i OPEX-it të kontrollueshëm është përdorur duke marrë në konsideratë nivelin mesatar të tij të realizuar për periudhën 2016-2020 për zërat: shpenzimet e personelit, materiale&amp;mirembajtje dhe </w:t>
      </w:r>
      <w:r w:rsidR="00596A23" w:rsidRPr="00450894">
        <w:rPr>
          <w:lang w:val="sq-AL"/>
        </w:rPr>
        <w:t>inventar</w:t>
      </w:r>
      <w:r w:rsidRPr="00450894">
        <w:rPr>
          <w:lang w:val="sq-AL"/>
        </w:rPr>
        <w:t xml:space="preserve">, sigurimi, kostot e tjera operative dhe shpenzimet financiare. Duke marrë parasysh se në vitin 2018 shpenzimet tjera operative janë në nivele jashtë trendit të shpenzimeve të periudhës 2016-2020, ZRRE ka nuk ka gjetur arsyeshmeri lidhur me këto shpenzime, </w:t>
      </w:r>
      <w:r w:rsidRPr="00AC02E5">
        <w:rPr>
          <w:lang w:val="sq-AL"/>
        </w:rPr>
        <w:t xml:space="preserve">prej të cilave 1.13 milion euro janë shpenzime për </w:t>
      </w:r>
      <w:r w:rsidR="00596A23" w:rsidRPr="00AC02E5">
        <w:rPr>
          <w:lang w:val="sq-AL"/>
        </w:rPr>
        <w:t>mbështetje</w:t>
      </w:r>
      <w:r w:rsidRPr="00AC02E5">
        <w:rPr>
          <w:lang w:val="sq-AL"/>
        </w:rPr>
        <w:t xml:space="preserve"> të menaxhmentit, prandaj kjo linjë e shpenzimeve është përjashtuar në kalkulimin e mesatares së periudhës. Niveli mesa</w:t>
      </w:r>
      <w:r w:rsidR="00B57801">
        <w:rPr>
          <w:lang w:val="sq-AL"/>
        </w:rPr>
        <w:t>ta</w:t>
      </w:r>
      <w:r w:rsidRPr="00AC02E5">
        <w:rPr>
          <w:lang w:val="sq-AL"/>
        </w:rPr>
        <w:t>r</w:t>
      </w:r>
      <w:r w:rsidRPr="00CC5249">
        <w:rPr>
          <w:lang w:val="sq-AL"/>
        </w:rPr>
        <w:t xml:space="preserve"> i OPEX-it të realizuar është trajtuar si vlerë bazë për kalkulimin e OPEX-it të kontrollueshëm për periudhën 2022-2024.</w:t>
      </w:r>
    </w:p>
    <w:p w:rsidR="0075093C" w:rsidRPr="00450894" w:rsidRDefault="0075093C" w:rsidP="0075093C">
      <w:pPr>
        <w:pStyle w:val="ListParagraph"/>
        <w:numPr>
          <w:ilvl w:val="0"/>
          <w:numId w:val="7"/>
        </w:numPr>
        <w:rPr>
          <w:lang w:val="sq-AL"/>
        </w:rPr>
      </w:pPr>
      <w:r w:rsidRPr="00EF4D5D">
        <w:rPr>
          <w:lang w:val="sq-AL"/>
        </w:rPr>
        <w:t>Në kuadër të vlerësimit të OPEX-it, ZRRE ka rishikuar kostot e personelit duke aplikuar normën e përbërë të inflacionit për tërë periudhën 2016-2020</w:t>
      </w:r>
      <w:r w:rsidRPr="00B26335">
        <w:rPr>
          <w:lang w:val="sq-AL"/>
        </w:rPr>
        <w:t>, me qëllim të refle</w:t>
      </w:r>
      <w:r w:rsidRPr="007F49D2">
        <w:rPr>
          <w:lang w:val="sq-AL"/>
        </w:rPr>
        <w:t>ktimit të vlerës në kohë të parashikimit të këtyre kostove, ndërsa kostot tjera janë marrë si fak</w:t>
      </w:r>
      <w:r w:rsidRPr="00B1408C">
        <w:rPr>
          <w:lang w:val="sq-AL"/>
        </w:rPr>
        <w:t xml:space="preserve">tike ashtu siç janë realizuar, ngase ato kanë pasqyruar rrethanat që kanë mbizotëruar në treg. Kjo ka rezultuar në ngritje të kategorisë së shpenzimeve të personelit për rreth 51 mijë euro. </w:t>
      </w:r>
      <w:r w:rsidRPr="00450894">
        <w:rPr>
          <w:lang w:val="sq-AL"/>
        </w:rPr>
        <w:t xml:space="preserve">Vlen të theksohet se me qëllim që kostot e personelit të KEDS dhe KESCO të jenë të krahasueshme me kostot e personelit të të </w:t>
      </w:r>
      <w:r w:rsidRPr="00450894">
        <w:rPr>
          <w:lang w:val="sq-AL"/>
        </w:rPr>
        <w:lastRenderedPageBreak/>
        <w:t xml:space="preserve">licencuarve të tjerë në sektorin e energjisë, ZRRE në kuadër të shqyrtimit periodik për periudhën rregullative 2018-2022 ka azhurnuar kostot e personelit për KESCO në vlerë prej 251 mijë euro, dhe për KEDS dhe KESCO në total në vlerë prej rreth 2.3milion euro. </w:t>
      </w:r>
    </w:p>
    <w:p w:rsidR="0075093C" w:rsidRPr="00450894" w:rsidRDefault="0075093C" w:rsidP="00B57801">
      <w:pPr>
        <w:jc w:val="both"/>
        <w:rPr>
          <w:lang w:val="sq-AL"/>
        </w:rPr>
      </w:pPr>
      <w:r w:rsidRPr="00450894">
        <w:rPr>
          <w:lang w:val="sq-AL"/>
        </w:rPr>
        <w:t>Në parashikimin e OPEX-it të pakontrollueshëm përfshihen kostot e shërbimeve të përbashkëta: sh</w:t>
      </w:r>
      <w:r>
        <w:rPr>
          <w:lang w:val="sq-AL"/>
        </w:rPr>
        <w:t>ë</w:t>
      </w:r>
      <w:r w:rsidRPr="003C06AF">
        <w:rPr>
          <w:lang w:val="sq-AL"/>
        </w:rPr>
        <w:t>rbimet e financave dhe kontabilitetit, prokurimit, sh</w:t>
      </w:r>
      <w:r>
        <w:rPr>
          <w:lang w:val="sq-AL"/>
        </w:rPr>
        <w:t>ë</w:t>
      </w:r>
      <w:r w:rsidRPr="003C06AF">
        <w:rPr>
          <w:lang w:val="sq-AL"/>
        </w:rPr>
        <w:t>rbimet ligjore, IT-s</w:t>
      </w:r>
      <w:r>
        <w:rPr>
          <w:lang w:val="sq-AL"/>
        </w:rPr>
        <w:t>ë</w:t>
      </w:r>
      <w:r w:rsidRPr="003C06AF">
        <w:rPr>
          <w:lang w:val="sq-AL"/>
        </w:rPr>
        <w:t>, burimeve njer</w:t>
      </w:r>
      <w:r>
        <w:rPr>
          <w:lang w:val="sq-AL"/>
        </w:rPr>
        <w:t>ë</w:t>
      </w:r>
      <w:r w:rsidRPr="003C06AF">
        <w:rPr>
          <w:lang w:val="sq-AL"/>
        </w:rPr>
        <w:t>zore, marr</w:t>
      </w:r>
      <w:r>
        <w:rPr>
          <w:lang w:val="sq-AL"/>
        </w:rPr>
        <w:t>ë</w:t>
      </w:r>
      <w:r w:rsidRPr="003C06AF">
        <w:rPr>
          <w:lang w:val="sq-AL"/>
        </w:rPr>
        <w:t>dh</w:t>
      </w:r>
      <w:r>
        <w:rPr>
          <w:lang w:val="sq-AL"/>
        </w:rPr>
        <w:t>ë</w:t>
      </w:r>
      <w:r w:rsidRPr="003C06AF">
        <w:rPr>
          <w:lang w:val="sq-AL"/>
        </w:rPr>
        <w:t>niet me publikun, transporti dhe logjistika dhe menaxhimin e arkiv</w:t>
      </w:r>
      <w:r>
        <w:rPr>
          <w:lang w:val="sq-AL"/>
        </w:rPr>
        <w:t>ë</w:t>
      </w:r>
      <w:r w:rsidRPr="003C06AF">
        <w:rPr>
          <w:lang w:val="sq-AL"/>
        </w:rPr>
        <w:t>s dhe dokumenteve. P</w:t>
      </w:r>
      <w:r>
        <w:rPr>
          <w:lang w:val="sq-AL"/>
        </w:rPr>
        <w:t>ë</w:t>
      </w:r>
      <w:r w:rsidRPr="003C06AF">
        <w:rPr>
          <w:lang w:val="sq-AL"/>
        </w:rPr>
        <w:t>rveç, k</w:t>
      </w:r>
      <w:r>
        <w:rPr>
          <w:lang w:val="sq-AL"/>
        </w:rPr>
        <w:t>ë</w:t>
      </w:r>
      <w:r w:rsidRPr="003C06AF">
        <w:rPr>
          <w:lang w:val="sq-AL"/>
        </w:rPr>
        <w:t>tyre KEDS ofron edhe objekte me qira p</w:t>
      </w:r>
      <w:r>
        <w:rPr>
          <w:lang w:val="sq-AL"/>
        </w:rPr>
        <w:t>ë</w:t>
      </w:r>
      <w:r w:rsidRPr="003C06AF">
        <w:rPr>
          <w:lang w:val="sq-AL"/>
        </w:rPr>
        <w:t>r KESCO, t</w:t>
      </w:r>
      <w:r>
        <w:rPr>
          <w:lang w:val="sq-AL"/>
        </w:rPr>
        <w:t>ë</w:t>
      </w:r>
      <w:r w:rsidRPr="003C06AF">
        <w:rPr>
          <w:lang w:val="sq-AL"/>
        </w:rPr>
        <w:t xml:space="preserve"> cilat trajtohen n</w:t>
      </w:r>
      <w:r>
        <w:rPr>
          <w:lang w:val="sq-AL"/>
        </w:rPr>
        <w:t>ë</w:t>
      </w:r>
      <w:r w:rsidRPr="003C06AF">
        <w:rPr>
          <w:lang w:val="sq-AL"/>
        </w:rPr>
        <w:t xml:space="preserve"> parimin e </w:t>
      </w:r>
      <w:r w:rsidR="00B57801" w:rsidRPr="003C06AF">
        <w:rPr>
          <w:lang w:val="sq-AL"/>
        </w:rPr>
        <w:t>njëjt</w:t>
      </w:r>
      <w:r w:rsidR="00B57801">
        <w:rPr>
          <w:lang w:val="sq-AL"/>
        </w:rPr>
        <w:t>ë</w:t>
      </w:r>
      <w:r w:rsidRPr="003C06AF">
        <w:rPr>
          <w:lang w:val="sq-AL"/>
        </w:rPr>
        <w:t xml:space="preserve"> t</w:t>
      </w:r>
      <w:r>
        <w:rPr>
          <w:lang w:val="sq-AL"/>
        </w:rPr>
        <w:t>ë</w:t>
      </w:r>
      <w:r w:rsidRPr="003C06AF">
        <w:rPr>
          <w:lang w:val="sq-AL"/>
        </w:rPr>
        <w:t xml:space="preserve"> shpenzimeve tjera t</w:t>
      </w:r>
      <w:r>
        <w:rPr>
          <w:lang w:val="sq-AL"/>
        </w:rPr>
        <w:t>ë</w:t>
      </w:r>
      <w:r w:rsidRPr="003C06AF">
        <w:rPr>
          <w:lang w:val="sq-AL"/>
        </w:rPr>
        <w:t xml:space="preserve"> p</w:t>
      </w:r>
      <w:r>
        <w:rPr>
          <w:lang w:val="sq-AL"/>
        </w:rPr>
        <w:t>ë</w:t>
      </w:r>
      <w:r w:rsidRPr="003C06AF">
        <w:rPr>
          <w:lang w:val="sq-AL"/>
        </w:rPr>
        <w:t>rbashk</w:t>
      </w:r>
      <w:r>
        <w:rPr>
          <w:lang w:val="sq-AL"/>
        </w:rPr>
        <w:t>ë</w:t>
      </w:r>
      <w:r w:rsidRPr="003C06AF">
        <w:rPr>
          <w:lang w:val="sq-AL"/>
        </w:rPr>
        <w:t>ta. Parashikimi i OPEX-i të pakontrollueshëm që përfshinë shpenzimet për Shërbimet e Përbashkëta është bazuar në mesataren e këtyre shpenzimeve për periudhën 2016-2020. Vlen të theksohet s</w:t>
      </w:r>
      <w:r w:rsidRPr="00B1408C">
        <w:rPr>
          <w:lang w:val="sq-AL"/>
        </w:rPr>
        <w:t xml:space="preserve">e shpenzimet për Shërbimet e përbashkëta janë konvertuar në terma real duke </w:t>
      </w:r>
      <w:r w:rsidR="00B57801" w:rsidRPr="00B1408C">
        <w:rPr>
          <w:lang w:val="sq-AL"/>
        </w:rPr>
        <w:t>pjesëtuar</w:t>
      </w:r>
      <w:r w:rsidRPr="00B1408C">
        <w:rPr>
          <w:lang w:val="sq-AL"/>
        </w:rPr>
        <w:t xml:space="preserve"> mesataren e këtyre shpenzimeve me normën e “kostos plus” të faturuar ndërmjet palëve prej 5.5%. Kjo është bërë me qëllim që të shmangen transaksionet e panevojshme, ngase </w:t>
      </w:r>
      <w:r w:rsidRPr="00450894">
        <w:rPr>
          <w:lang w:val="sq-AL"/>
        </w:rPr>
        <w:t xml:space="preserve">në rastin e përfshirje së interesit ato të hyra do të zbriteshin OSSh-së.  Vlera mesatare e këtyre </w:t>
      </w:r>
      <w:r w:rsidR="00B57801" w:rsidRPr="00450894">
        <w:rPr>
          <w:lang w:val="sq-AL"/>
        </w:rPr>
        <w:t>shpenzimeve</w:t>
      </w:r>
      <w:r w:rsidRPr="00450894">
        <w:rPr>
          <w:lang w:val="sq-AL"/>
        </w:rPr>
        <w:t xml:space="preserve"> siç është sqaruar më sipër është vlerë bazë për kalkulimin e OPEX-it të pa-kontrollueshëm për periudhën 2022-2024.</w:t>
      </w:r>
    </w:p>
    <w:p w:rsidR="0075093C" w:rsidRPr="00450894" w:rsidRDefault="0075093C" w:rsidP="00B57801">
      <w:pPr>
        <w:jc w:val="both"/>
        <w:rPr>
          <w:lang w:val="sq-AL"/>
        </w:rPr>
      </w:pPr>
      <w:r w:rsidRPr="00450894">
        <w:rPr>
          <w:lang w:val="sq-AL"/>
        </w:rPr>
        <w:t>Propozimi i OPEX-it është i përshkruar në vijim, ngase për propozimin përfundimtar të tij fillimisht duhet përcaktuar nivelin e faktorit të efikasitetit që aplikohet ndaj OPEX-it të kontrollueshëm.</w:t>
      </w:r>
    </w:p>
    <w:p w:rsidR="0075093C" w:rsidRPr="00450894" w:rsidRDefault="0075093C" w:rsidP="0075093C">
      <w:pPr>
        <w:pStyle w:val="Heading3"/>
        <w:rPr>
          <w:lang w:val="sq-AL"/>
        </w:rPr>
      </w:pPr>
      <w:bookmarkStart w:id="19" w:name="_Toc88226461"/>
      <w:r w:rsidRPr="00450894">
        <w:rPr>
          <w:lang w:val="sq-AL"/>
        </w:rPr>
        <w:t>Faktori i efikasitetit</w:t>
      </w:r>
      <w:bookmarkEnd w:id="19"/>
    </w:p>
    <w:p w:rsidR="0075093C" w:rsidRPr="00450894" w:rsidRDefault="0075093C" w:rsidP="00B57801">
      <w:pPr>
        <w:jc w:val="both"/>
        <w:rPr>
          <w:lang w:val="sq-AL"/>
        </w:rPr>
      </w:pPr>
      <w:r w:rsidRPr="00450894">
        <w:rPr>
          <w:lang w:val="sq-AL"/>
        </w:rPr>
        <w:t xml:space="preserve">Me qëllim të nxitjes së </w:t>
      </w:r>
      <w:r w:rsidR="00B57801" w:rsidRPr="00450894">
        <w:rPr>
          <w:lang w:val="sq-AL"/>
        </w:rPr>
        <w:t>kursimeve</w:t>
      </w:r>
      <w:r w:rsidRPr="00450894">
        <w:rPr>
          <w:lang w:val="sq-AL"/>
        </w:rPr>
        <w:t xml:space="preserve"> në shpenzimet e operimit, sipas praktikave rregullatore rekomandohet aplikimi i faktorëve të efikasitetit për aktivitetet e rregulluara. Kjo do të mundësojë përfitim si për konsumatorët ashtu edhe për operatorët e rregulluar. Në kuadër të këtyre stimujve, ZRRE parashikon që për periudhën 2022-2024 të aplikojë faktorë të efikasitetit për Furnizuesin me Shërbim Universal duke marrë parasysh potencialin e FSHU-së për efik</w:t>
      </w:r>
      <w:r w:rsidR="00B57801">
        <w:rPr>
          <w:lang w:val="sq-AL"/>
        </w:rPr>
        <w:t>asitetin që mund të arrihet gjat</w:t>
      </w:r>
      <w:r w:rsidRPr="00450894">
        <w:rPr>
          <w:lang w:val="sq-AL"/>
        </w:rPr>
        <w:t xml:space="preserve">ë kësaj periudhe. </w:t>
      </w:r>
    </w:p>
    <w:p w:rsidR="0075093C" w:rsidRPr="00450894" w:rsidRDefault="0075093C" w:rsidP="0075093C">
      <w:pPr>
        <w:pStyle w:val="Heading4"/>
        <w:rPr>
          <w:lang w:val="sq-AL"/>
        </w:rPr>
      </w:pPr>
      <w:bookmarkStart w:id="20" w:name="_Toc88226462"/>
      <w:r w:rsidRPr="00450894">
        <w:rPr>
          <w:lang w:val="sq-AL"/>
        </w:rPr>
        <w:t>Propozimi i KESCO</w:t>
      </w:r>
      <w:bookmarkEnd w:id="20"/>
    </w:p>
    <w:p w:rsidR="0075093C" w:rsidRPr="00450894" w:rsidRDefault="0075093C" w:rsidP="00B57801">
      <w:pPr>
        <w:jc w:val="both"/>
        <w:rPr>
          <w:lang w:val="sq-AL"/>
        </w:rPr>
      </w:pPr>
      <w:r w:rsidRPr="00450894">
        <w:rPr>
          <w:lang w:val="sq-AL"/>
        </w:rPr>
        <w:t xml:space="preserve">Në aplikacionin e saj KESCO nuk ka përshkruar ndonjë seksion të veçantë lidhur me </w:t>
      </w:r>
      <w:r w:rsidR="00B57801" w:rsidRPr="00450894">
        <w:rPr>
          <w:lang w:val="sq-AL"/>
        </w:rPr>
        <w:t>faktorin</w:t>
      </w:r>
      <w:r w:rsidRPr="00450894">
        <w:rPr>
          <w:lang w:val="sq-AL"/>
        </w:rPr>
        <w:t xml:space="preserve"> e efikasitetit, por në kuadër të trajtimit të OPEX-it, KESCO-FShU ka theksuar se operon brenda buxhetit të lejuar, duke krijuar efikasitet kurdo që është e mundur në zëra të caktuara në mënyrë që të jetë në gjendje të mbulojë kostot e rritura në zëra tjerë.</w:t>
      </w:r>
    </w:p>
    <w:p w:rsidR="0075093C" w:rsidRPr="00450894" w:rsidRDefault="0075093C" w:rsidP="0075093C">
      <w:pPr>
        <w:pStyle w:val="Heading4"/>
        <w:rPr>
          <w:lang w:val="sq-AL"/>
        </w:rPr>
      </w:pPr>
      <w:bookmarkStart w:id="21" w:name="_Toc88226463"/>
      <w:r w:rsidRPr="00450894">
        <w:rPr>
          <w:lang w:val="sq-AL"/>
        </w:rPr>
        <w:t>Propozimi i ZRRE-së</w:t>
      </w:r>
      <w:bookmarkEnd w:id="21"/>
    </w:p>
    <w:p w:rsidR="0075093C" w:rsidRPr="00450894" w:rsidRDefault="0075093C" w:rsidP="00B57801">
      <w:pPr>
        <w:jc w:val="both"/>
        <w:rPr>
          <w:lang w:val="sq-AL"/>
        </w:rPr>
      </w:pPr>
      <w:r w:rsidRPr="00450894">
        <w:rPr>
          <w:lang w:val="sq-AL"/>
        </w:rPr>
        <w:t xml:space="preserve">Vlera hapëse e OPEX-it për vitin 2022 </w:t>
      </w:r>
      <w:r w:rsidR="00B57801" w:rsidRPr="00450894">
        <w:rPr>
          <w:lang w:val="sq-AL"/>
        </w:rPr>
        <w:t>përshtatet</w:t>
      </w:r>
      <w:r w:rsidRPr="00450894">
        <w:rPr>
          <w:lang w:val="sq-AL"/>
        </w:rPr>
        <w:t xml:space="preserve"> në baza vjetore për të pasqyruar normën vjetore të efikasitetit të pritur të FSHU-së. Niveli i pritur i përmirësimeve të OPEX-it të FSHU-së bazohet në shtytësit e </w:t>
      </w:r>
      <w:r w:rsidR="00B57801" w:rsidRPr="00450894">
        <w:rPr>
          <w:lang w:val="sq-AL"/>
        </w:rPr>
        <w:t>përmirësimeve</w:t>
      </w:r>
      <w:r w:rsidRPr="00450894">
        <w:rPr>
          <w:lang w:val="sq-AL"/>
        </w:rPr>
        <w:t xml:space="preserve"> të produktivitetit. </w:t>
      </w:r>
    </w:p>
    <w:p w:rsidR="0075093C" w:rsidRPr="00450894" w:rsidRDefault="0075093C" w:rsidP="00B57801">
      <w:pPr>
        <w:jc w:val="both"/>
        <w:rPr>
          <w:lang w:val="sq-AL"/>
        </w:rPr>
      </w:pPr>
      <w:r w:rsidRPr="00450894">
        <w:rPr>
          <w:lang w:val="sq-AL"/>
        </w:rPr>
        <w:t xml:space="preserve">Në harmoni me vlerësimet e bëra në studimin e faktorit të efikasitetit të operatorëve të rrjetit dhe studimeve bazuara në literaturë, konstatohet se tre janë </w:t>
      </w:r>
      <w:r w:rsidR="00B57801" w:rsidRPr="00450894">
        <w:rPr>
          <w:lang w:val="sq-AL"/>
        </w:rPr>
        <w:t>shtytësit</w:t>
      </w:r>
      <w:r w:rsidRPr="00450894">
        <w:rPr>
          <w:lang w:val="sq-AL"/>
        </w:rPr>
        <w:t xml:space="preserve"> kryesor të efikasitetit:</w:t>
      </w:r>
    </w:p>
    <w:p w:rsidR="0075093C" w:rsidRPr="00450894" w:rsidRDefault="0075093C" w:rsidP="00B57801">
      <w:pPr>
        <w:jc w:val="both"/>
        <w:rPr>
          <w:lang w:val="sq-AL"/>
        </w:rPr>
      </w:pPr>
      <w:r w:rsidRPr="00450894">
        <w:rPr>
          <w:b/>
          <w:lang w:val="sq-AL"/>
        </w:rPr>
        <w:t xml:space="preserve">Përmirësimet e pritshme të efikasitetit </w:t>
      </w:r>
      <w:r w:rsidRPr="00450894">
        <w:rPr>
          <w:lang w:val="sq-AL"/>
        </w:rPr>
        <w:t xml:space="preserve">gjatë periudhës 2022-2024, që qojnë në reduktimin e kostove të njësisë së të licencuarit dhe, si rrjedhojë, rënie të opex bazës në terma real gjatë periudhës PRR2. </w:t>
      </w:r>
    </w:p>
    <w:p w:rsidR="0075093C" w:rsidRPr="00450894" w:rsidRDefault="0075093C" w:rsidP="00B57801">
      <w:pPr>
        <w:jc w:val="both"/>
        <w:rPr>
          <w:lang w:val="sq-AL"/>
        </w:rPr>
      </w:pPr>
      <w:r w:rsidRPr="00450894">
        <w:rPr>
          <w:b/>
          <w:lang w:val="sq-AL"/>
        </w:rPr>
        <w:lastRenderedPageBreak/>
        <w:t>Efektet reale të çmimit (ERÇ)</w:t>
      </w:r>
      <w:r w:rsidRPr="00450894">
        <w:rPr>
          <w:lang w:val="sq-AL"/>
        </w:rPr>
        <w:t xml:space="preserve">, ku çmimi i inputeve pritet të rritet ose bjerë më shpejt se inflacioni i përgjithshëm i çmimeve të konsumit (ndaj </w:t>
      </w:r>
      <w:r w:rsidR="00B57801">
        <w:rPr>
          <w:lang w:val="sq-AL"/>
        </w:rPr>
        <w:t>të cilave indeksohen lejimet e O</w:t>
      </w:r>
      <w:r w:rsidRPr="00450894">
        <w:rPr>
          <w:lang w:val="sq-AL"/>
        </w:rPr>
        <w:t>pex bazë). Kjo çon në një rritje ose rënie në opex bazë në terma real gjatë periudhës 2022-2024.</w:t>
      </w:r>
    </w:p>
    <w:p w:rsidR="0075093C" w:rsidRPr="00450894" w:rsidRDefault="0075093C" w:rsidP="00B57801">
      <w:pPr>
        <w:jc w:val="both"/>
        <w:rPr>
          <w:lang w:val="sq-AL"/>
        </w:rPr>
      </w:pPr>
      <w:r w:rsidRPr="00450894">
        <w:rPr>
          <w:b/>
          <w:lang w:val="sq-AL"/>
        </w:rPr>
        <w:t>Efektet e vëllimit (EV)</w:t>
      </w:r>
      <w:r w:rsidRPr="00450894">
        <w:rPr>
          <w:lang w:val="sq-AL"/>
        </w:rPr>
        <w:t>, kur rritja e madhësisë së rrjetit çon në rritje të kërkesave të inputeve dhe, si rrjedhojë, opex bazë më i lartë në terma real, gjatë periudhës PRR2.</w:t>
      </w:r>
    </w:p>
    <w:p w:rsidR="0075093C" w:rsidRPr="00450894" w:rsidRDefault="0075093C" w:rsidP="00B57801">
      <w:pPr>
        <w:jc w:val="both"/>
        <w:rPr>
          <w:lang w:val="sq-AL"/>
        </w:rPr>
      </w:pPr>
      <w:r w:rsidRPr="00450894">
        <w:rPr>
          <w:lang w:val="sq-AL"/>
        </w:rPr>
        <w:t>Pozicioni i ZRRE-së është që ERÇ dhe EV të jenë zero dhe të aplikohet qasja që bazohet në përmirësimet e pri</w:t>
      </w:r>
      <w:r w:rsidR="00B57801">
        <w:rPr>
          <w:lang w:val="sq-AL"/>
        </w:rPr>
        <w:t>t</w:t>
      </w:r>
      <w:r w:rsidRPr="00450894">
        <w:rPr>
          <w:lang w:val="sq-AL"/>
        </w:rPr>
        <w:t xml:space="preserve">shme të efikasitetit. Në relacion me aktivitetin e FSHU-së përmirësimet e tilla do të nënkuptonin se efikasiteti do të jetë maksimal atëherë kur shërbehen numër maksimal i konsumatorëve me kosto minimale. </w:t>
      </w:r>
    </w:p>
    <w:p w:rsidR="0075093C" w:rsidRPr="00450894" w:rsidRDefault="0075093C" w:rsidP="00B57801">
      <w:pPr>
        <w:jc w:val="both"/>
        <w:rPr>
          <w:lang w:val="sq-AL"/>
        </w:rPr>
      </w:pPr>
      <w:r w:rsidRPr="00450894">
        <w:rPr>
          <w:lang w:val="sq-AL"/>
        </w:rPr>
        <w:t>Sa i përket ERÇ: Ndikimi i ndryshimeve në kosto reale varet nga shtesa relative e artikujve të ndryshëm të kostos në kostot totale të të licencuarve dhe në Indeksin e Çmimeve të Konsumatorit (CPI) në tërë ekonominë. Për shembull, nëse kostot e bakrit krijojnë 1% të CPI por 10% të kostove të X-kompanisë, atëherë një rënie prej 10% në çmimin e bakrit do të zvogëlonte CPI-në për 0.1% por do të zvogëlonte kostot e X-kompanisë për 1%. Efekti real i çmimit në këtë rast do të ishte -0.9%. Ndërsa lidhur me EV pozicioni i ZRRE-së bazohet si vijon: Ekzistojnë ekonomizime të shkallës në ofrimin e shërbimeve në industrinë e energjisë elektrike dhe, si rrjedhojë, duke pasur parasysh raportin e shpenzimeve operative dhe numrit të konsumatorëve, ka pak arsye për të supozuar se kostot e Opex-it bazë të rriten për shkak të rritjes së numrit të konsumatorëve.</w:t>
      </w:r>
    </w:p>
    <w:p w:rsidR="0075093C" w:rsidRPr="00CC5249" w:rsidRDefault="0075093C" w:rsidP="00B57801">
      <w:pPr>
        <w:jc w:val="both"/>
        <w:rPr>
          <w:lang w:val="sq-AL"/>
        </w:rPr>
      </w:pPr>
      <w:r w:rsidRPr="00450894">
        <w:rPr>
          <w:lang w:val="sq-AL"/>
        </w:rPr>
        <w:t xml:space="preserve">Studime lidhur me nivelet e pritshmërive të përmirësimeve të efikasitetit për këtë fushë industrisë së energjisë elektrike është vështirë të gjinden, dhe krahasimet e tilla janë </w:t>
      </w:r>
      <w:r w:rsidR="00A905B3" w:rsidRPr="00450894">
        <w:rPr>
          <w:lang w:val="sq-AL"/>
        </w:rPr>
        <w:t>sfiduese</w:t>
      </w:r>
      <w:r w:rsidRPr="00450894">
        <w:rPr>
          <w:lang w:val="sq-AL"/>
        </w:rPr>
        <w:t xml:space="preserve"> duke marrë karakteristikat e ndryshme të parametrave në përcaktimin e të hyrave të lejuara. Konstatimi i tillë është evidentuar edhe në studimin e vitit 2013 të </w:t>
      </w:r>
      <w:r w:rsidR="00A905B3" w:rsidRPr="00450894">
        <w:rPr>
          <w:lang w:val="sq-AL"/>
        </w:rPr>
        <w:t>Sekretariatit</w:t>
      </w:r>
      <w:r w:rsidRPr="00450894">
        <w:rPr>
          <w:lang w:val="sq-AL"/>
        </w:rPr>
        <w:t xml:space="preserve"> të Komunitetit të Energjisë.</w:t>
      </w:r>
      <w:r w:rsidRPr="00CC5249">
        <w:rPr>
          <w:rStyle w:val="FootnoteReference"/>
          <w:lang w:val="sq-AL"/>
        </w:rPr>
        <w:footnoteReference w:id="6"/>
      </w:r>
      <w:r w:rsidRPr="00CC5249">
        <w:rPr>
          <w:lang w:val="sq-AL"/>
        </w:rPr>
        <w:t xml:space="preserve"> </w:t>
      </w:r>
    </w:p>
    <w:p w:rsidR="0075093C" w:rsidRPr="00450894" w:rsidRDefault="0075093C" w:rsidP="00B57801">
      <w:pPr>
        <w:jc w:val="both"/>
        <w:rPr>
          <w:lang w:val="sq-AL"/>
        </w:rPr>
      </w:pPr>
      <w:r w:rsidRPr="00B26335">
        <w:rPr>
          <w:lang w:val="sq-AL"/>
        </w:rPr>
        <w:t>Në vlerësimin e efikasitetit</w:t>
      </w:r>
      <w:r w:rsidR="00A905B3">
        <w:rPr>
          <w:lang w:val="sq-AL"/>
        </w:rPr>
        <w:t>, ZRRE ka marrë parasysh portof</w:t>
      </w:r>
      <w:r w:rsidR="00A905B3" w:rsidRPr="00B26335">
        <w:rPr>
          <w:lang w:val="sq-AL"/>
        </w:rPr>
        <w:t>olin</w:t>
      </w:r>
      <w:r w:rsidRPr="00B26335">
        <w:rPr>
          <w:lang w:val="sq-AL"/>
        </w:rPr>
        <w:t xml:space="preserve"> e shpenzimeve operative të FSHU-</w:t>
      </w:r>
      <w:r w:rsidRPr="00B1408C">
        <w:rPr>
          <w:lang w:val="sq-AL"/>
        </w:rPr>
        <w:t xml:space="preserve">së dhe ka vlerësuar se vetëm OPEX-i i kontrollueshëm duhet të jetë subjekt i përmirësimeve të efikasitetit, sipas qasjes së përshkruar në vijim: </w:t>
      </w:r>
    </w:p>
    <w:p w:rsidR="0075093C" w:rsidRPr="00450894" w:rsidRDefault="0075093C" w:rsidP="0075093C">
      <w:pPr>
        <w:pStyle w:val="ListParagraph"/>
        <w:numPr>
          <w:ilvl w:val="0"/>
          <w:numId w:val="11"/>
        </w:numPr>
        <w:rPr>
          <w:lang w:val="sq-AL"/>
        </w:rPr>
      </w:pPr>
      <w:r w:rsidRPr="00450894">
        <w:rPr>
          <w:lang w:val="sq-AL"/>
        </w:rPr>
        <w:t xml:space="preserve">Në vlerësimin e faktorit të efikasitetit, fillimisht është projektuar niveli i </w:t>
      </w:r>
      <w:r w:rsidR="00A905B3" w:rsidRPr="00450894">
        <w:rPr>
          <w:lang w:val="sq-AL"/>
        </w:rPr>
        <w:t>pritshëm</w:t>
      </w:r>
      <w:r w:rsidRPr="00450894">
        <w:rPr>
          <w:lang w:val="sq-AL"/>
        </w:rPr>
        <w:t xml:space="preserve"> i OPEX-it të kontrollueshëm në vitin 2021 në bazë të metodologjisë së trendit linear për periudhën 2016-2020. Viti 2021 i projektuar është bazë për krahasim me OPEX-in mesatar të realizuar për periudhën 2016-2020. </w:t>
      </w:r>
    </w:p>
    <w:p w:rsidR="0075093C" w:rsidRPr="00450894" w:rsidRDefault="0075093C" w:rsidP="0075093C">
      <w:pPr>
        <w:pStyle w:val="ListParagraph"/>
        <w:numPr>
          <w:ilvl w:val="0"/>
          <w:numId w:val="11"/>
        </w:numPr>
        <w:rPr>
          <w:lang w:val="sq-AL"/>
        </w:rPr>
      </w:pPr>
      <w:r w:rsidRPr="00450894">
        <w:rPr>
          <w:lang w:val="sq-AL"/>
        </w:rPr>
        <w:t>Vetëm linjat e OPEX-it të kontrollueshëm për të cilat pritet të ketë përmi</w:t>
      </w:r>
      <w:r w:rsidR="00A905B3">
        <w:rPr>
          <w:lang w:val="sq-AL"/>
        </w:rPr>
        <w:t>rë</w:t>
      </w:r>
      <w:r w:rsidRPr="00450894">
        <w:rPr>
          <w:lang w:val="sq-AL"/>
        </w:rPr>
        <w:t>sime të efikasitetit janë marrë për bazë në kalkulimin e vlerës absolute të efikasitetit.</w:t>
      </w:r>
    </w:p>
    <w:p w:rsidR="0075093C" w:rsidRPr="00450894" w:rsidRDefault="0075093C" w:rsidP="0075093C">
      <w:pPr>
        <w:pStyle w:val="ListParagraph"/>
        <w:numPr>
          <w:ilvl w:val="0"/>
          <w:numId w:val="11"/>
        </w:numPr>
        <w:rPr>
          <w:lang w:val="sq-AL"/>
        </w:rPr>
      </w:pPr>
      <w:r w:rsidRPr="00450894">
        <w:rPr>
          <w:lang w:val="sq-AL"/>
        </w:rPr>
        <w:t>Faktori/indeksi i efikasitetit është kalkuluar si herës i efikasitetit në terma absolut ndaj OPEX-it para efikasitetit si dhe duke marrë parasysh edhe periudhën kohore  prej 4 viteve.  Në formë matematikore ky kalkulim mund të përshkruhet si vijon:</w:t>
      </w:r>
    </w:p>
    <w:p w:rsidR="0075093C" w:rsidRPr="00450894" w:rsidRDefault="0075093C" w:rsidP="0075093C">
      <w:pPr>
        <w:pStyle w:val="ListParagraph"/>
        <w:rPr>
          <w:lang w:val="sq-AL"/>
        </w:rPr>
      </w:pPr>
      <w:r w:rsidRPr="00450894">
        <w:rPr>
          <w:lang w:val="sq-AL"/>
        </w:rPr>
        <w:lastRenderedPageBreak/>
        <w:t>[(OPEX</w:t>
      </w:r>
      <w:r w:rsidRPr="00450894">
        <w:rPr>
          <w:vertAlign w:val="subscript"/>
          <w:lang w:val="sq-AL"/>
        </w:rPr>
        <w:t xml:space="preserve">pa-efikasitet </w:t>
      </w:r>
      <w:r w:rsidRPr="00450894">
        <w:rPr>
          <w:lang w:val="sq-AL"/>
        </w:rPr>
        <w:t>/ OPEX</w:t>
      </w:r>
      <w:r w:rsidRPr="00450894">
        <w:rPr>
          <w:vertAlign w:val="subscript"/>
          <w:lang w:val="sq-AL"/>
        </w:rPr>
        <w:t>me-efikasitet</w:t>
      </w:r>
      <w:r w:rsidRPr="00450894">
        <w:rPr>
          <w:lang w:val="sq-AL"/>
        </w:rPr>
        <w:t>)</w:t>
      </w:r>
      <w:r w:rsidRPr="00450894">
        <w:rPr>
          <w:vertAlign w:val="superscript"/>
          <w:lang w:val="sq-AL"/>
        </w:rPr>
        <w:t>^</w:t>
      </w:r>
      <w:r w:rsidRPr="00450894">
        <w:rPr>
          <w:lang w:val="sq-AL"/>
        </w:rPr>
        <w:t>(1/4)]-1); ku</w:t>
      </w:r>
    </w:p>
    <w:p w:rsidR="0075093C" w:rsidRPr="00450894" w:rsidRDefault="0075093C" w:rsidP="0075093C">
      <w:pPr>
        <w:pStyle w:val="ListParagraph"/>
        <w:rPr>
          <w:lang w:val="sq-AL"/>
        </w:rPr>
      </w:pPr>
      <w:r w:rsidRPr="00450894">
        <w:rPr>
          <w:lang w:val="sq-AL"/>
        </w:rPr>
        <w:t>OPEX</w:t>
      </w:r>
      <w:r w:rsidRPr="00450894">
        <w:rPr>
          <w:vertAlign w:val="subscript"/>
          <w:lang w:val="sq-AL"/>
        </w:rPr>
        <w:t xml:space="preserve">me-efikasitet </w:t>
      </w:r>
      <w:r w:rsidRPr="00450894">
        <w:rPr>
          <w:lang w:val="sq-AL"/>
        </w:rPr>
        <w:t>=</w:t>
      </w:r>
      <w:r w:rsidRPr="00450894">
        <w:rPr>
          <w:vertAlign w:val="subscript"/>
          <w:lang w:val="sq-AL"/>
        </w:rPr>
        <w:t xml:space="preserve"> </w:t>
      </w:r>
      <w:r w:rsidRPr="00450894">
        <w:rPr>
          <w:lang w:val="sq-AL"/>
        </w:rPr>
        <w:t>OPEX</w:t>
      </w:r>
      <w:r w:rsidRPr="00450894">
        <w:rPr>
          <w:vertAlign w:val="subscript"/>
          <w:lang w:val="sq-AL"/>
        </w:rPr>
        <w:t>mesatar</w:t>
      </w:r>
    </w:p>
    <w:p w:rsidR="0075093C" w:rsidRPr="00450894" w:rsidRDefault="0075093C" w:rsidP="0075093C">
      <w:pPr>
        <w:pStyle w:val="ListParagraph"/>
        <w:rPr>
          <w:vertAlign w:val="subscript"/>
          <w:lang w:val="sq-AL"/>
        </w:rPr>
      </w:pPr>
      <w:r w:rsidRPr="00450894">
        <w:rPr>
          <w:lang w:val="sq-AL"/>
        </w:rPr>
        <w:t>OPEX</w:t>
      </w:r>
      <w:r w:rsidRPr="00450894">
        <w:rPr>
          <w:vertAlign w:val="subscript"/>
          <w:lang w:val="sq-AL"/>
        </w:rPr>
        <w:t xml:space="preserve">pa-efikasitet </w:t>
      </w:r>
      <w:r w:rsidRPr="00450894">
        <w:rPr>
          <w:lang w:val="sq-AL"/>
        </w:rPr>
        <w:t>=</w:t>
      </w:r>
      <w:r w:rsidRPr="00450894">
        <w:rPr>
          <w:vertAlign w:val="subscript"/>
          <w:lang w:val="sq-AL"/>
        </w:rPr>
        <w:t xml:space="preserve"> </w:t>
      </w:r>
      <w:r w:rsidRPr="00450894">
        <w:rPr>
          <w:lang w:val="sq-AL"/>
        </w:rPr>
        <w:t>OPEX</w:t>
      </w:r>
      <w:r w:rsidRPr="00450894">
        <w:rPr>
          <w:vertAlign w:val="subscript"/>
          <w:lang w:val="sq-AL"/>
        </w:rPr>
        <w:t xml:space="preserve">mesatar </w:t>
      </w:r>
      <w:r w:rsidRPr="00450894">
        <w:rPr>
          <w:lang w:val="sq-AL"/>
        </w:rPr>
        <w:t>+</w:t>
      </w:r>
      <w:r w:rsidRPr="00450894">
        <w:rPr>
          <w:vertAlign w:val="subscript"/>
          <w:lang w:val="sq-AL"/>
        </w:rPr>
        <w:t xml:space="preserve"> </w:t>
      </w:r>
      <w:r w:rsidRPr="00450894">
        <w:rPr>
          <w:lang w:val="sq-AL"/>
        </w:rPr>
        <w:t>Efikasiteti</w:t>
      </w:r>
      <w:r w:rsidRPr="00450894">
        <w:rPr>
          <w:vertAlign w:val="subscript"/>
          <w:lang w:val="sq-AL"/>
        </w:rPr>
        <w:t>absolut</w:t>
      </w:r>
    </w:p>
    <w:p w:rsidR="0075093C" w:rsidRDefault="0075093C" w:rsidP="0075093C">
      <w:pPr>
        <w:rPr>
          <w:lang w:val="sq-AL"/>
        </w:rPr>
      </w:pPr>
      <w:r w:rsidRPr="00450894">
        <w:rPr>
          <w:lang w:val="sq-AL"/>
        </w:rPr>
        <w:t>Në vijim është përshkruar baza nga e cila jan</w:t>
      </w:r>
      <w:r>
        <w:rPr>
          <w:lang w:val="sq-AL"/>
        </w:rPr>
        <w:t>ë</w:t>
      </w:r>
      <w:r w:rsidRPr="003C06AF">
        <w:rPr>
          <w:lang w:val="sq-AL"/>
        </w:rPr>
        <w:t xml:space="preserve"> b</w:t>
      </w:r>
      <w:r>
        <w:rPr>
          <w:lang w:val="sq-AL"/>
        </w:rPr>
        <w:t>ë</w:t>
      </w:r>
      <w:r w:rsidRPr="003C06AF">
        <w:rPr>
          <w:lang w:val="sq-AL"/>
        </w:rPr>
        <w:t>r</w:t>
      </w:r>
      <w:r>
        <w:rPr>
          <w:lang w:val="sq-AL"/>
        </w:rPr>
        <w:t>ë</w:t>
      </w:r>
      <w:r w:rsidRPr="003C06AF">
        <w:rPr>
          <w:lang w:val="sq-AL"/>
        </w:rPr>
        <w:t xml:space="preserve"> kalkulimet për vlerësimin e OPEX-it për periudhën 2022-2024</w:t>
      </w:r>
      <w:r w:rsidRPr="00B1408C">
        <w:rPr>
          <w:lang w:val="sq-AL"/>
        </w:rPr>
        <w:t>, i cili është input për aplikimin e faktorit të efikasitetit:</w:t>
      </w:r>
      <w:r>
        <w:rPr>
          <w:lang w:val="sq-AL"/>
        </w:rPr>
        <w:t xml:space="preserve"> </w:t>
      </w:r>
    </w:p>
    <w:p w:rsidR="0075093C" w:rsidRPr="00B1408C" w:rsidRDefault="0075093C" w:rsidP="0075093C">
      <w:pPr>
        <w:pStyle w:val="Caption"/>
        <w:rPr>
          <w:lang w:val="sq-AL"/>
        </w:rPr>
      </w:pPr>
      <w:r>
        <w:t xml:space="preserve">Tabela  </w:t>
      </w:r>
      <w:r>
        <w:fldChar w:fldCharType="begin"/>
      </w:r>
      <w:r>
        <w:instrText xml:space="preserve"> SEQ Tabela_ \* ARABIC </w:instrText>
      </w:r>
      <w:r>
        <w:fldChar w:fldCharType="separate"/>
      </w:r>
      <w:r w:rsidR="00701D2D">
        <w:rPr>
          <w:noProof/>
        </w:rPr>
        <w:t>10</w:t>
      </w:r>
      <w:r>
        <w:fldChar w:fldCharType="end"/>
      </w:r>
      <w:r>
        <w:t xml:space="preserve"> </w:t>
      </w:r>
      <w:r w:rsidRPr="00A905B3">
        <w:rPr>
          <w:lang w:val="sq-AL"/>
        </w:rPr>
        <w:t>Kostot aktuale të operimit dhe të mirëmbajtjes</w:t>
      </w:r>
    </w:p>
    <w:tbl>
      <w:tblPr>
        <w:tblW w:w="5000" w:type="pct"/>
        <w:tblLook w:val="04A0" w:firstRow="1" w:lastRow="0" w:firstColumn="1" w:lastColumn="0" w:noHBand="0" w:noVBand="1"/>
      </w:tblPr>
      <w:tblGrid>
        <w:gridCol w:w="4699"/>
        <w:gridCol w:w="917"/>
        <w:gridCol w:w="1106"/>
        <w:gridCol w:w="799"/>
        <w:gridCol w:w="809"/>
        <w:gridCol w:w="1030"/>
      </w:tblGrid>
      <w:tr w:rsidR="0075093C" w:rsidRPr="007C2F61" w:rsidTr="0075093C">
        <w:trPr>
          <w:trHeight w:val="288"/>
        </w:trPr>
        <w:tc>
          <w:tcPr>
            <w:tcW w:w="2510"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Komponentët</w:t>
            </w:r>
            <w:r w:rsidRPr="007C2F61">
              <w:rPr>
                <w:rFonts w:ascii="Calibri" w:eastAsia="Times New Roman" w:hAnsi="Calibri" w:cs="Times New Roman"/>
                <w:b/>
                <w:bCs/>
                <w:color w:val="FFFFFF" w:themeColor="background1"/>
                <w:sz w:val="20"/>
                <w:szCs w:val="20"/>
                <w:lang w:val="sq-AL" w:eastAsia="en-GB"/>
              </w:rPr>
              <w:t xml:space="preserve"> (€000)</w:t>
            </w:r>
          </w:p>
        </w:tc>
        <w:tc>
          <w:tcPr>
            <w:tcW w:w="490"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jc w:val="center"/>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2016</w:t>
            </w:r>
          </w:p>
        </w:tc>
        <w:tc>
          <w:tcPr>
            <w:tcW w:w="591"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jc w:val="center"/>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2017</w:t>
            </w:r>
          </w:p>
        </w:tc>
        <w:tc>
          <w:tcPr>
            <w:tcW w:w="427"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jc w:val="center"/>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2018</w:t>
            </w:r>
          </w:p>
        </w:tc>
        <w:tc>
          <w:tcPr>
            <w:tcW w:w="432"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jc w:val="center"/>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2019</w:t>
            </w:r>
          </w:p>
        </w:tc>
        <w:tc>
          <w:tcPr>
            <w:tcW w:w="550" w:type="pct"/>
            <w:tcBorders>
              <w:top w:val="nil"/>
              <w:left w:val="nil"/>
              <w:bottom w:val="nil"/>
              <w:right w:val="nil"/>
            </w:tcBorders>
            <w:shd w:val="clear" w:color="000000" w:fill="003366"/>
            <w:noWrap/>
            <w:vAlign w:val="center"/>
            <w:hideMark/>
          </w:tcPr>
          <w:p w:rsidR="0075093C" w:rsidRPr="007C2F61" w:rsidRDefault="0075093C" w:rsidP="0075093C">
            <w:pPr>
              <w:spacing w:after="0" w:line="240" w:lineRule="auto"/>
              <w:jc w:val="center"/>
              <w:rPr>
                <w:rFonts w:ascii="Calibri" w:eastAsia="Times New Roman" w:hAnsi="Calibri" w:cs="Times New Roman"/>
                <w:b/>
                <w:color w:val="FFFFFF" w:themeColor="background1"/>
                <w:sz w:val="20"/>
                <w:szCs w:val="20"/>
                <w:lang w:val="sq-AL" w:eastAsia="en-GB"/>
              </w:rPr>
            </w:pPr>
            <w:r w:rsidRPr="007C2F61">
              <w:rPr>
                <w:rFonts w:ascii="Calibri" w:eastAsia="Times New Roman" w:hAnsi="Calibri" w:cs="Times New Roman"/>
                <w:b/>
                <w:color w:val="FFFFFF" w:themeColor="background1"/>
                <w:sz w:val="20"/>
                <w:szCs w:val="20"/>
                <w:lang w:val="sq-AL" w:eastAsia="en-GB"/>
              </w:rPr>
              <w:t>2020</w:t>
            </w:r>
          </w:p>
        </w:tc>
      </w:tr>
      <w:tr w:rsidR="0075093C" w:rsidRPr="00450894" w:rsidTr="0075093C">
        <w:trPr>
          <w:trHeight w:val="288"/>
        </w:trPr>
        <w:tc>
          <w:tcPr>
            <w:tcW w:w="2510"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t>OPEX i kontrollueshëm</w:t>
            </w:r>
          </w:p>
        </w:tc>
        <w:tc>
          <w:tcPr>
            <w:tcW w:w="490" w:type="pct"/>
            <w:tcBorders>
              <w:top w:val="nil"/>
              <w:left w:val="nil"/>
              <w:bottom w:val="nil"/>
              <w:right w:val="nil"/>
            </w:tcBorders>
            <w:shd w:val="clear" w:color="auto" w:fill="F2F2F2" w:themeFill="background1" w:themeFillShade="F2"/>
            <w:noWrap/>
            <w:vAlign w:val="center"/>
          </w:tcPr>
          <w:p w:rsidR="0075093C" w:rsidRPr="00B26335" w:rsidDel="002E5B2A" w:rsidRDefault="0075093C" w:rsidP="0075093C">
            <w:pPr>
              <w:spacing w:after="0" w:line="240" w:lineRule="auto"/>
              <w:jc w:val="right"/>
              <w:rPr>
                <w:rFonts w:ascii="Calibri" w:eastAsia="Times New Roman" w:hAnsi="Calibri" w:cs="Times New Roman"/>
                <w:b/>
                <w:bCs/>
                <w:color w:val="000000"/>
                <w:sz w:val="20"/>
                <w:szCs w:val="20"/>
                <w:lang w:val="sq-AL" w:eastAsia="en-GB"/>
              </w:rPr>
            </w:pPr>
          </w:p>
        </w:tc>
        <w:tc>
          <w:tcPr>
            <w:tcW w:w="591" w:type="pct"/>
            <w:tcBorders>
              <w:top w:val="nil"/>
              <w:left w:val="nil"/>
              <w:bottom w:val="nil"/>
              <w:right w:val="nil"/>
            </w:tcBorders>
            <w:shd w:val="clear" w:color="auto" w:fill="F2F2F2" w:themeFill="background1" w:themeFillShade="F2"/>
            <w:noWrap/>
            <w:vAlign w:val="center"/>
          </w:tcPr>
          <w:p w:rsidR="0075093C" w:rsidRPr="00B1408C" w:rsidDel="002E5B2A" w:rsidRDefault="0075093C" w:rsidP="0075093C">
            <w:pPr>
              <w:spacing w:after="0" w:line="240" w:lineRule="auto"/>
              <w:jc w:val="right"/>
              <w:rPr>
                <w:rFonts w:ascii="Calibri" w:eastAsia="Times New Roman" w:hAnsi="Calibri" w:cs="Times New Roman"/>
                <w:b/>
                <w:bCs/>
                <w:color w:val="000000"/>
                <w:sz w:val="20"/>
                <w:szCs w:val="20"/>
                <w:lang w:val="sq-AL" w:eastAsia="en-GB"/>
              </w:rPr>
            </w:pPr>
          </w:p>
        </w:tc>
        <w:tc>
          <w:tcPr>
            <w:tcW w:w="427" w:type="pct"/>
            <w:tcBorders>
              <w:top w:val="nil"/>
              <w:left w:val="nil"/>
              <w:bottom w:val="nil"/>
              <w:right w:val="nil"/>
            </w:tcBorders>
            <w:shd w:val="clear" w:color="auto" w:fill="F2F2F2" w:themeFill="background1" w:themeFillShade="F2"/>
            <w:noWrap/>
            <w:vAlign w:val="center"/>
          </w:tcPr>
          <w:p w:rsidR="0075093C" w:rsidRPr="00450894" w:rsidDel="002E5B2A" w:rsidRDefault="0075093C" w:rsidP="0075093C">
            <w:pPr>
              <w:spacing w:after="0" w:line="240" w:lineRule="auto"/>
              <w:jc w:val="right"/>
              <w:rPr>
                <w:rFonts w:ascii="Calibri" w:eastAsia="Times New Roman" w:hAnsi="Calibri" w:cs="Times New Roman"/>
                <w:b/>
                <w:bCs/>
                <w:color w:val="000000"/>
                <w:sz w:val="20"/>
                <w:szCs w:val="20"/>
                <w:lang w:val="sq-AL" w:eastAsia="en-GB"/>
              </w:rPr>
            </w:pPr>
          </w:p>
        </w:tc>
        <w:tc>
          <w:tcPr>
            <w:tcW w:w="432" w:type="pct"/>
            <w:tcBorders>
              <w:top w:val="nil"/>
              <w:left w:val="nil"/>
              <w:bottom w:val="nil"/>
              <w:right w:val="nil"/>
            </w:tcBorders>
            <w:shd w:val="clear" w:color="auto" w:fill="F2F2F2" w:themeFill="background1" w:themeFillShade="F2"/>
            <w:noWrap/>
            <w:vAlign w:val="center"/>
          </w:tcPr>
          <w:p w:rsidR="0075093C" w:rsidRPr="00450894" w:rsidDel="002E5B2A" w:rsidRDefault="0075093C" w:rsidP="0075093C">
            <w:pPr>
              <w:spacing w:after="0" w:line="240" w:lineRule="auto"/>
              <w:jc w:val="right"/>
              <w:rPr>
                <w:rFonts w:ascii="Calibri" w:eastAsia="Times New Roman" w:hAnsi="Calibri" w:cs="Times New Roman"/>
                <w:b/>
                <w:bCs/>
                <w:color w:val="000000"/>
                <w:sz w:val="20"/>
                <w:szCs w:val="20"/>
                <w:lang w:val="sq-AL" w:eastAsia="en-GB"/>
              </w:rPr>
            </w:pPr>
          </w:p>
        </w:tc>
        <w:tc>
          <w:tcPr>
            <w:tcW w:w="550" w:type="pct"/>
            <w:tcBorders>
              <w:top w:val="nil"/>
              <w:left w:val="nil"/>
              <w:bottom w:val="nil"/>
              <w:right w:val="nil"/>
            </w:tcBorders>
            <w:shd w:val="clear" w:color="auto" w:fill="F2F2F2" w:themeFill="background1" w:themeFillShade="F2"/>
            <w:noWrap/>
            <w:vAlign w:val="center"/>
          </w:tcPr>
          <w:p w:rsidR="0075093C" w:rsidRPr="00450894" w:rsidDel="002E5B2A" w:rsidRDefault="0075093C" w:rsidP="0075093C">
            <w:pPr>
              <w:spacing w:after="0" w:line="240" w:lineRule="auto"/>
              <w:jc w:val="right"/>
              <w:rPr>
                <w:rFonts w:ascii="Calibri" w:eastAsia="Times New Roman" w:hAnsi="Calibri" w:cs="Times New Roman"/>
                <w:b/>
                <w:bCs/>
                <w:color w:val="000000"/>
                <w:sz w:val="20"/>
                <w:szCs w:val="20"/>
                <w:lang w:val="sq-AL" w:eastAsia="en-GB"/>
              </w:rPr>
            </w:pP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Shpenzimet e personelit</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1,784</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2,036</w:t>
            </w:r>
          </w:p>
        </w:tc>
        <w:tc>
          <w:tcPr>
            <w:tcW w:w="427"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1,670</w:t>
            </w:r>
          </w:p>
        </w:tc>
        <w:tc>
          <w:tcPr>
            <w:tcW w:w="432"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1,953</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1,939</w:t>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Mirëmbajtja, Inventari dhe Furnizimet</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90</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80</w:t>
            </w:r>
          </w:p>
        </w:tc>
        <w:tc>
          <w:tcPr>
            <w:tcW w:w="427"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81</w:t>
            </w:r>
          </w:p>
        </w:tc>
        <w:tc>
          <w:tcPr>
            <w:tcW w:w="432"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88</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66</w:t>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Sigurimi</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377</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364</w:t>
            </w:r>
          </w:p>
        </w:tc>
        <w:tc>
          <w:tcPr>
            <w:tcW w:w="427"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340</w:t>
            </w:r>
          </w:p>
        </w:tc>
        <w:tc>
          <w:tcPr>
            <w:tcW w:w="43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312</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307</w:t>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Kosto të tjera operative</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747</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1,157</w:t>
            </w:r>
          </w:p>
        </w:tc>
        <w:tc>
          <w:tcPr>
            <w:tcW w:w="427"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sz w:val="20"/>
                <w:szCs w:val="20"/>
                <w:lang w:val="sq-AL" w:eastAsia="en-GB"/>
              </w:rPr>
              <w:t>1,930*</w:t>
            </w:r>
          </w:p>
        </w:tc>
        <w:tc>
          <w:tcPr>
            <w:tcW w:w="432" w:type="pct"/>
            <w:tcBorders>
              <w:top w:val="nil"/>
              <w:left w:val="nil"/>
              <w:bottom w:val="nil"/>
              <w:right w:val="nil"/>
            </w:tcBorders>
            <w:shd w:val="clear" w:color="auto" w:fill="auto"/>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999</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900</w:t>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Shpenzimet financiare</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430</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207</w:t>
            </w:r>
          </w:p>
        </w:tc>
        <w:tc>
          <w:tcPr>
            <w:tcW w:w="427"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451</w:t>
            </w:r>
          </w:p>
        </w:tc>
        <w:tc>
          <w:tcPr>
            <w:tcW w:w="432"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501</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524</w:t>
            </w:r>
          </w:p>
        </w:tc>
      </w:tr>
      <w:tr w:rsidR="0075093C" w:rsidRPr="00450894" w:rsidTr="0075093C">
        <w:trPr>
          <w:trHeight w:val="288"/>
        </w:trPr>
        <w:tc>
          <w:tcPr>
            <w:tcW w:w="2510"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t>OPEX i kontrollueshëm</w:t>
            </w:r>
          </w:p>
        </w:tc>
        <w:tc>
          <w:tcPr>
            <w:tcW w:w="490"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fldChar w:fldCharType="begin"/>
            </w:r>
            <w:r w:rsidRPr="00450894">
              <w:rPr>
                <w:rFonts w:ascii="Calibri" w:eastAsia="Times New Roman" w:hAnsi="Calibri" w:cs="Times New Roman"/>
                <w:b/>
                <w:bCs/>
                <w:color w:val="000000"/>
                <w:sz w:val="20"/>
                <w:szCs w:val="20"/>
                <w:lang w:val="sq-AL" w:eastAsia="en-GB"/>
              </w:rPr>
              <w:instrText xml:space="preserve"> =SUM(ABOVE) </w:instrText>
            </w:r>
            <w:r w:rsidRPr="00CC5249">
              <w:rPr>
                <w:rFonts w:ascii="Calibri" w:eastAsia="Times New Roman" w:hAnsi="Calibri" w:cs="Times New Roman"/>
                <w:b/>
                <w:bCs/>
                <w:color w:val="000000"/>
                <w:sz w:val="20"/>
                <w:szCs w:val="20"/>
                <w:lang w:val="sq-AL" w:eastAsia="en-GB"/>
              </w:rPr>
              <w:fldChar w:fldCharType="separate"/>
            </w:r>
            <w:r w:rsidR="00701D2D">
              <w:rPr>
                <w:rFonts w:ascii="Calibri" w:eastAsia="Times New Roman" w:hAnsi="Calibri" w:cs="Times New Roman"/>
                <w:b/>
                <w:bCs/>
                <w:noProof/>
                <w:color w:val="000000"/>
                <w:sz w:val="20"/>
                <w:szCs w:val="20"/>
                <w:lang w:val="sq-AL" w:eastAsia="en-GB"/>
              </w:rPr>
              <w:t>3,428</w:t>
            </w:r>
            <w:r w:rsidRPr="00CC5249">
              <w:rPr>
                <w:rFonts w:ascii="Calibri" w:eastAsia="Times New Roman" w:hAnsi="Calibri" w:cs="Times New Roman"/>
                <w:b/>
                <w:bCs/>
                <w:color w:val="000000"/>
                <w:sz w:val="20"/>
                <w:szCs w:val="20"/>
                <w:lang w:val="sq-AL" w:eastAsia="en-GB"/>
              </w:rPr>
              <w:fldChar w:fldCharType="end"/>
            </w:r>
          </w:p>
        </w:tc>
        <w:tc>
          <w:tcPr>
            <w:tcW w:w="591"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fldChar w:fldCharType="begin"/>
            </w:r>
            <w:r w:rsidRPr="00450894">
              <w:rPr>
                <w:rFonts w:ascii="Calibri" w:eastAsia="Times New Roman" w:hAnsi="Calibri" w:cs="Times New Roman"/>
                <w:b/>
                <w:bCs/>
                <w:color w:val="000000"/>
                <w:sz w:val="20"/>
                <w:szCs w:val="20"/>
                <w:lang w:val="sq-AL" w:eastAsia="en-GB"/>
              </w:rPr>
              <w:instrText xml:space="preserve"> =SUM(ABOVE) </w:instrText>
            </w:r>
            <w:r w:rsidRPr="00CC5249">
              <w:rPr>
                <w:rFonts w:ascii="Calibri" w:eastAsia="Times New Roman" w:hAnsi="Calibri" w:cs="Times New Roman"/>
                <w:b/>
                <w:bCs/>
                <w:color w:val="000000"/>
                <w:sz w:val="20"/>
                <w:szCs w:val="20"/>
                <w:lang w:val="sq-AL" w:eastAsia="en-GB"/>
              </w:rPr>
              <w:fldChar w:fldCharType="separate"/>
            </w:r>
            <w:r w:rsidR="00701D2D">
              <w:rPr>
                <w:rFonts w:ascii="Calibri" w:eastAsia="Times New Roman" w:hAnsi="Calibri" w:cs="Times New Roman"/>
                <w:b/>
                <w:bCs/>
                <w:noProof/>
                <w:color w:val="000000"/>
                <w:sz w:val="20"/>
                <w:szCs w:val="20"/>
                <w:lang w:val="sq-AL" w:eastAsia="en-GB"/>
              </w:rPr>
              <w:t>3,844</w:t>
            </w:r>
            <w:r w:rsidRPr="00CC5249">
              <w:rPr>
                <w:rFonts w:ascii="Calibri" w:eastAsia="Times New Roman" w:hAnsi="Calibri" w:cs="Times New Roman"/>
                <w:b/>
                <w:bCs/>
                <w:color w:val="000000"/>
                <w:sz w:val="20"/>
                <w:szCs w:val="20"/>
                <w:lang w:val="sq-AL" w:eastAsia="en-GB"/>
              </w:rPr>
              <w:fldChar w:fldCharType="end"/>
            </w:r>
          </w:p>
        </w:tc>
        <w:tc>
          <w:tcPr>
            <w:tcW w:w="427"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fldChar w:fldCharType="begin"/>
            </w:r>
            <w:r w:rsidRPr="00450894">
              <w:rPr>
                <w:rFonts w:ascii="Calibri" w:eastAsia="Times New Roman" w:hAnsi="Calibri" w:cs="Times New Roman"/>
                <w:b/>
                <w:bCs/>
                <w:color w:val="000000"/>
                <w:sz w:val="20"/>
                <w:szCs w:val="20"/>
                <w:lang w:val="sq-AL" w:eastAsia="en-GB"/>
              </w:rPr>
              <w:instrText xml:space="preserve"> =SUM(ABOVE) </w:instrText>
            </w:r>
            <w:r w:rsidRPr="00CC5249">
              <w:rPr>
                <w:rFonts w:ascii="Calibri" w:eastAsia="Times New Roman" w:hAnsi="Calibri" w:cs="Times New Roman"/>
                <w:b/>
                <w:bCs/>
                <w:color w:val="000000"/>
                <w:sz w:val="20"/>
                <w:szCs w:val="20"/>
                <w:lang w:val="sq-AL" w:eastAsia="en-GB"/>
              </w:rPr>
              <w:fldChar w:fldCharType="separate"/>
            </w:r>
            <w:r w:rsidR="00701D2D">
              <w:rPr>
                <w:rFonts w:ascii="Calibri" w:eastAsia="Times New Roman" w:hAnsi="Calibri" w:cs="Times New Roman"/>
                <w:b/>
                <w:bCs/>
                <w:noProof/>
                <w:color w:val="000000"/>
                <w:sz w:val="20"/>
                <w:szCs w:val="20"/>
                <w:lang w:val="sq-AL" w:eastAsia="en-GB"/>
              </w:rPr>
              <w:t>451</w:t>
            </w:r>
            <w:r w:rsidRPr="00CC5249">
              <w:rPr>
                <w:rFonts w:ascii="Calibri" w:eastAsia="Times New Roman" w:hAnsi="Calibri" w:cs="Times New Roman"/>
                <w:b/>
                <w:bCs/>
                <w:color w:val="000000"/>
                <w:sz w:val="20"/>
                <w:szCs w:val="20"/>
                <w:lang w:val="sq-AL" w:eastAsia="en-GB"/>
              </w:rPr>
              <w:fldChar w:fldCharType="end"/>
            </w:r>
          </w:p>
        </w:tc>
        <w:tc>
          <w:tcPr>
            <w:tcW w:w="432"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fldChar w:fldCharType="begin"/>
            </w:r>
            <w:r w:rsidRPr="00450894">
              <w:rPr>
                <w:rFonts w:ascii="Calibri" w:eastAsia="Times New Roman" w:hAnsi="Calibri" w:cs="Times New Roman"/>
                <w:b/>
                <w:bCs/>
                <w:color w:val="000000"/>
                <w:sz w:val="20"/>
                <w:szCs w:val="20"/>
                <w:lang w:val="sq-AL" w:eastAsia="en-GB"/>
              </w:rPr>
              <w:instrText xml:space="preserve"> =SUM(ABOVE) </w:instrText>
            </w:r>
            <w:r w:rsidRPr="00CC5249">
              <w:rPr>
                <w:rFonts w:ascii="Calibri" w:eastAsia="Times New Roman" w:hAnsi="Calibri" w:cs="Times New Roman"/>
                <w:b/>
                <w:bCs/>
                <w:color w:val="000000"/>
                <w:sz w:val="20"/>
                <w:szCs w:val="20"/>
                <w:lang w:val="sq-AL" w:eastAsia="en-GB"/>
              </w:rPr>
              <w:fldChar w:fldCharType="separate"/>
            </w:r>
            <w:r w:rsidR="00701D2D">
              <w:rPr>
                <w:rFonts w:ascii="Calibri" w:eastAsia="Times New Roman" w:hAnsi="Calibri" w:cs="Times New Roman"/>
                <w:b/>
                <w:bCs/>
                <w:noProof/>
                <w:color w:val="000000"/>
                <w:sz w:val="20"/>
                <w:szCs w:val="20"/>
                <w:lang w:val="sq-AL" w:eastAsia="en-GB"/>
              </w:rPr>
              <w:t>3,853</w:t>
            </w:r>
            <w:r w:rsidRPr="00CC5249">
              <w:rPr>
                <w:rFonts w:ascii="Calibri" w:eastAsia="Times New Roman" w:hAnsi="Calibri" w:cs="Times New Roman"/>
                <w:b/>
                <w:bCs/>
                <w:color w:val="000000"/>
                <w:sz w:val="20"/>
                <w:szCs w:val="20"/>
                <w:lang w:val="sq-AL" w:eastAsia="en-GB"/>
              </w:rPr>
              <w:fldChar w:fldCharType="end"/>
            </w:r>
          </w:p>
        </w:tc>
        <w:tc>
          <w:tcPr>
            <w:tcW w:w="550" w:type="pct"/>
            <w:tcBorders>
              <w:top w:val="nil"/>
              <w:left w:val="nil"/>
              <w:bottom w:val="nil"/>
              <w:right w:val="nil"/>
            </w:tcBorders>
            <w:shd w:val="clear" w:color="auto" w:fill="F2F2F2" w:themeFill="background1" w:themeFillShade="F2"/>
            <w:noWrap/>
            <w:vAlign w:val="center"/>
          </w:tcPr>
          <w:p w:rsidR="0075093C" w:rsidRPr="00CC5249"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fldChar w:fldCharType="begin"/>
            </w:r>
            <w:r w:rsidRPr="00450894">
              <w:rPr>
                <w:rFonts w:ascii="Calibri" w:eastAsia="Times New Roman" w:hAnsi="Calibri" w:cs="Times New Roman"/>
                <w:b/>
                <w:bCs/>
                <w:color w:val="000000"/>
                <w:sz w:val="20"/>
                <w:szCs w:val="20"/>
                <w:lang w:val="sq-AL" w:eastAsia="en-GB"/>
              </w:rPr>
              <w:instrText xml:space="preserve"> =SUM(ABOVE) </w:instrText>
            </w:r>
            <w:r w:rsidRPr="00CC5249">
              <w:rPr>
                <w:rFonts w:ascii="Calibri" w:eastAsia="Times New Roman" w:hAnsi="Calibri" w:cs="Times New Roman"/>
                <w:b/>
                <w:bCs/>
                <w:color w:val="000000"/>
                <w:sz w:val="20"/>
                <w:szCs w:val="20"/>
                <w:lang w:val="sq-AL" w:eastAsia="en-GB"/>
              </w:rPr>
              <w:fldChar w:fldCharType="separate"/>
            </w:r>
            <w:r w:rsidR="00701D2D">
              <w:rPr>
                <w:rFonts w:ascii="Calibri" w:eastAsia="Times New Roman" w:hAnsi="Calibri" w:cs="Times New Roman"/>
                <w:b/>
                <w:bCs/>
                <w:noProof/>
                <w:color w:val="000000"/>
                <w:sz w:val="20"/>
                <w:szCs w:val="20"/>
                <w:lang w:val="sq-AL" w:eastAsia="en-GB"/>
              </w:rPr>
              <w:t>3,736</w:t>
            </w:r>
            <w:r w:rsidRPr="00CC5249">
              <w:rPr>
                <w:rFonts w:ascii="Calibri" w:eastAsia="Times New Roman" w:hAnsi="Calibri" w:cs="Times New Roman"/>
                <w:b/>
                <w:bCs/>
                <w:color w:val="000000"/>
                <w:sz w:val="20"/>
                <w:szCs w:val="20"/>
                <w:lang w:val="sq-AL" w:eastAsia="en-GB"/>
              </w:rPr>
              <w:fldChar w:fldCharType="end"/>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 xml:space="preserve">Kostot për shërbimet e përbashkëta </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1,063</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991</w:t>
            </w:r>
          </w:p>
        </w:tc>
        <w:tc>
          <w:tcPr>
            <w:tcW w:w="427"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1,044</w:t>
            </w:r>
          </w:p>
        </w:tc>
        <w:tc>
          <w:tcPr>
            <w:tcW w:w="432"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1,147</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1,165</w:t>
            </w:r>
          </w:p>
        </w:tc>
      </w:tr>
      <w:tr w:rsidR="0075093C" w:rsidRPr="00450894" w:rsidTr="0075093C">
        <w:trPr>
          <w:trHeight w:val="288"/>
        </w:trPr>
        <w:tc>
          <w:tcPr>
            <w:tcW w:w="2510" w:type="pct"/>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ind w:firstLine="165"/>
              <w:rPr>
                <w:rFonts w:ascii="Calibri" w:eastAsia="Times New Roman" w:hAnsi="Calibri" w:cs="Times New Roman"/>
                <w:color w:val="000000"/>
                <w:sz w:val="20"/>
                <w:szCs w:val="20"/>
                <w:lang w:val="sq-AL" w:eastAsia="en-GB"/>
              </w:rPr>
            </w:pPr>
            <w:r w:rsidRPr="00CC5249">
              <w:rPr>
                <w:rFonts w:ascii="Calibri" w:eastAsia="Times New Roman" w:hAnsi="Calibri" w:cs="Times New Roman"/>
                <w:color w:val="000000"/>
                <w:sz w:val="20"/>
                <w:szCs w:val="20"/>
                <w:lang w:val="sq-AL" w:eastAsia="en-GB"/>
              </w:rPr>
              <w:t>Qiraja</w:t>
            </w:r>
          </w:p>
        </w:tc>
        <w:tc>
          <w:tcPr>
            <w:tcW w:w="490" w:type="pct"/>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right"/>
              <w:rPr>
                <w:rFonts w:ascii="Calibri" w:eastAsia="Times New Roman" w:hAnsi="Calibri" w:cs="Times New Roman"/>
                <w:color w:val="000000"/>
                <w:sz w:val="20"/>
                <w:szCs w:val="20"/>
                <w:lang w:val="sq-AL" w:eastAsia="en-GB"/>
              </w:rPr>
            </w:pPr>
            <w:r w:rsidRPr="00B26335">
              <w:rPr>
                <w:rFonts w:ascii="Calibri" w:eastAsia="Times New Roman" w:hAnsi="Calibri" w:cs="Times New Roman"/>
                <w:color w:val="000000"/>
                <w:sz w:val="20"/>
                <w:szCs w:val="20"/>
                <w:lang w:val="sq-AL" w:eastAsia="en-GB"/>
              </w:rPr>
              <w:t>473</w:t>
            </w:r>
          </w:p>
        </w:tc>
        <w:tc>
          <w:tcPr>
            <w:tcW w:w="591" w:type="pct"/>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right"/>
              <w:rPr>
                <w:rFonts w:ascii="Calibri" w:eastAsia="Times New Roman" w:hAnsi="Calibri" w:cs="Times New Roman"/>
                <w:color w:val="000000"/>
                <w:sz w:val="20"/>
                <w:szCs w:val="20"/>
                <w:lang w:val="sq-AL" w:eastAsia="en-GB"/>
              </w:rPr>
            </w:pPr>
            <w:r w:rsidRPr="00B1408C">
              <w:rPr>
                <w:rFonts w:ascii="Calibri" w:eastAsia="Times New Roman" w:hAnsi="Calibri" w:cs="Times New Roman"/>
                <w:color w:val="000000"/>
                <w:sz w:val="20"/>
                <w:szCs w:val="20"/>
                <w:lang w:val="sq-AL" w:eastAsia="en-GB"/>
              </w:rPr>
              <w:t>473</w:t>
            </w:r>
          </w:p>
        </w:tc>
        <w:tc>
          <w:tcPr>
            <w:tcW w:w="427"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473</w:t>
            </w:r>
          </w:p>
        </w:tc>
        <w:tc>
          <w:tcPr>
            <w:tcW w:w="432"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473</w:t>
            </w:r>
          </w:p>
        </w:tc>
        <w:tc>
          <w:tcPr>
            <w:tcW w:w="550" w:type="pct"/>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right"/>
              <w:rPr>
                <w:rFonts w:ascii="Calibri" w:eastAsia="Times New Roman" w:hAnsi="Calibri" w:cs="Times New Roman"/>
                <w:color w:val="000000"/>
                <w:sz w:val="20"/>
                <w:szCs w:val="20"/>
                <w:lang w:val="sq-AL" w:eastAsia="en-GB"/>
              </w:rPr>
            </w:pPr>
            <w:r w:rsidRPr="00450894">
              <w:rPr>
                <w:rFonts w:ascii="Calibri" w:eastAsia="Times New Roman" w:hAnsi="Calibri" w:cs="Times New Roman"/>
                <w:color w:val="000000"/>
                <w:sz w:val="20"/>
                <w:szCs w:val="20"/>
                <w:lang w:val="sq-AL" w:eastAsia="en-GB"/>
              </w:rPr>
              <w:t>473</w:t>
            </w:r>
          </w:p>
        </w:tc>
      </w:tr>
      <w:tr w:rsidR="0075093C" w:rsidRPr="00450894" w:rsidTr="0075093C">
        <w:trPr>
          <w:trHeight w:val="300"/>
        </w:trPr>
        <w:tc>
          <w:tcPr>
            <w:tcW w:w="2510" w:type="pct"/>
            <w:tcBorders>
              <w:top w:val="nil"/>
              <w:left w:val="nil"/>
              <w:bottom w:val="nil"/>
              <w:right w:val="nil"/>
            </w:tcBorders>
            <w:shd w:val="clear" w:color="000000" w:fill="DEEAF6"/>
            <w:noWrap/>
            <w:vAlign w:val="center"/>
            <w:hideMark/>
          </w:tcPr>
          <w:p w:rsidR="0075093C" w:rsidRPr="00CC5249" w:rsidRDefault="0075093C" w:rsidP="0075093C">
            <w:pPr>
              <w:spacing w:after="0" w:line="240" w:lineRule="auto"/>
              <w:rPr>
                <w:rFonts w:ascii="Calibri" w:eastAsia="Times New Roman" w:hAnsi="Calibri" w:cs="Times New Roman"/>
                <w:b/>
                <w:bCs/>
                <w:color w:val="000000"/>
                <w:sz w:val="20"/>
                <w:szCs w:val="20"/>
                <w:lang w:val="sq-AL" w:eastAsia="en-GB"/>
              </w:rPr>
            </w:pPr>
            <w:r w:rsidRPr="00CC5249">
              <w:rPr>
                <w:rFonts w:ascii="Calibri" w:eastAsia="Times New Roman" w:hAnsi="Calibri" w:cs="Times New Roman"/>
                <w:b/>
                <w:bCs/>
                <w:color w:val="000000"/>
                <w:sz w:val="20"/>
                <w:szCs w:val="20"/>
                <w:lang w:val="sq-AL" w:eastAsia="en-GB"/>
              </w:rPr>
              <w:t> Gjithsej kostot aktuale të O&amp;M</w:t>
            </w:r>
          </w:p>
        </w:tc>
        <w:tc>
          <w:tcPr>
            <w:tcW w:w="490" w:type="pct"/>
            <w:tcBorders>
              <w:top w:val="nil"/>
              <w:left w:val="nil"/>
              <w:bottom w:val="nil"/>
              <w:right w:val="nil"/>
            </w:tcBorders>
            <w:shd w:val="clear" w:color="000000" w:fill="DEEAF6"/>
            <w:noWrap/>
            <w:vAlign w:val="center"/>
            <w:hideMark/>
          </w:tcPr>
          <w:p w:rsidR="0075093C" w:rsidRPr="00B26335"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B26335">
              <w:rPr>
                <w:rFonts w:ascii="Calibri" w:eastAsia="Times New Roman" w:hAnsi="Calibri" w:cs="Times New Roman"/>
                <w:b/>
                <w:bCs/>
                <w:color w:val="000000"/>
                <w:sz w:val="20"/>
                <w:szCs w:val="20"/>
                <w:lang w:val="sq-AL" w:eastAsia="en-GB"/>
              </w:rPr>
              <w:t>4,964</w:t>
            </w:r>
          </w:p>
        </w:tc>
        <w:tc>
          <w:tcPr>
            <w:tcW w:w="591" w:type="pct"/>
            <w:tcBorders>
              <w:top w:val="nil"/>
              <w:left w:val="nil"/>
              <w:bottom w:val="nil"/>
              <w:right w:val="nil"/>
            </w:tcBorders>
            <w:shd w:val="clear" w:color="000000" w:fill="DEEAF6"/>
            <w:noWrap/>
            <w:vAlign w:val="center"/>
            <w:hideMark/>
          </w:tcPr>
          <w:p w:rsidR="0075093C" w:rsidRPr="00B1408C"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B1408C">
              <w:rPr>
                <w:rFonts w:ascii="Calibri" w:eastAsia="Times New Roman" w:hAnsi="Calibri" w:cs="Times New Roman"/>
                <w:b/>
                <w:bCs/>
                <w:color w:val="000000"/>
                <w:sz w:val="20"/>
                <w:szCs w:val="20"/>
                <w:lang w:val="sq-AL" w:eastAsia="en-GB"/>
              </w:rPr>
              <w:t>5,308</w:t>
            </w:r>
          </w:p>
        </w:tc>
        <w:tc>
          <w:tcPr>
            <w:tcW w:w="427" w:type="pct"/>
            <w:tcBorders>
              <w:top w:val="nil"/>
              <w:left w:val="nil"/>
              <w:bottom w:val="nil"/>
              <w:right w:val="nil"/>
            </w:tcBorders>
            <w:shd w:val="clear" w:color="000000" w:fill="DEEAF6"/>
            <w:noWrap/>
            <w:vAlign w:val="center"/>
            <w:hideMark/>
          </w:tcPr>
          <w:p w:rsidR="0075093C" w:rsidRPr="00450894"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450894">
              <w:rPr>
                <w:rFonts w:ascii="Calibri" w:eastAsia="Times New Roman" w:hAnsi="Calibri" w:cs="Times New Roman"/>
                <w:b/>
                <w:bCs/>
                <w:color w:val="000000"/>
                <w:sz w:val="20"/>
                <w:szCs w:val="20"/>
                <w:lang w:val="sq-AL" w:eastAsia="en-GB"/>
              </w:rPr>
              <w:t>5,989</w:t>
            </w:r>
          </w:p>
        </w:tc>
        <w:tc>
          <w:tcPr>
            <w:tcW w:w="432" w:type="pct"/>
            <w:tcBorders>
              <w:top w:val="nil"/>
              <w:left w:val="nil"/>
              <w:bottom w:val="nil"/>
              <w:right w:val="nil"/>
            </w:tcBorders>
            <w:shd w:val="clear" w:color="000000" w:fill="DEEAF6"/>
            <w:noWrap/>
            <w:vAlign w:val="center"/>
            <w:hideMark/>
          </w:tcPr>
          <w:p w:rsidR="0075093C" w:rsidRPr="00450894"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450894">
              <w:rPr>
                <w:rFonts w:ascii="Calibri" w:eastAsia="Times New Roman" w:hAnsi="Calibri" w:cs="Times New Roman"/>
                <w:b/>
                <w:bCs/>
                <w:color w:val="000000"/>
                <w:sz w:val="20"/>
                <w:szCs w:val="20"/>
                <w:lang w:val="sq-AL" w:eastAsia="en-GB"/>
              </w:rPr>
              <w:t>5,473</w:t>
            </w:r>
          </w:p>
        </w:tc>
        <w:tc>
          <w:tcPr>
            <w:tcW w:w="550" w:type="pct"/>
            <w:tcBorders>
              <w:top w:val="nil"/>
              <w:left w:val="nil"/>
              <w:bottom w:val="nil"/>
              <w:right w:val="nil"/>
            </w:tcBorders>
            <w:shd w:val="clear" w:color="000000" w:fill="DEEAF6"/>
            <w:noWrap/>
            <w:vAlign w:val="center"/>
            <w:hideMark/>
          </w:tcPr>
          <w:p w:rsidR="0075093C" w:rsidRPr="00450894" w:rsidRDefault="0075093C" w:rsidP="0075093C">
            <w:pPr>
              <w:spacing w:after="0" w:line="240" w:lineRule="auto"/>
              <w:jc w:val="right"/>
              <w:rPr>
                <w:rFonts w:ascii="Calibri" w:eastAsia="Times New Roman" w:hAnsi="Calibri" w:cs="Times New Roman"/>
                <w:b/>
                <w:bCs/>
                <w:color w:val="000000"/>
                <w:sz w:val="20"/>
                <w:szCs w:val="20"/>
                <w:lang w:val="sq-AL" w:eastAsia="en-GB"/>
              </w:rPr>
            </w:pPr>
            <w:r w:rsidRPr="00450894">
              <w:rPr>
                <w:rFonts w:ascii="Calibri" w:eastAsia="Times New Roman" w:hAnsi="Calibri" w:cs="Times New Roman"/>
                <w:b/>
                <w:bCs/>
                <w:color w:val="000000"/>
                <w:sz w:val="20"/>
                <w:szCs w:val="20"/>
                <w:lang w:val="sq-AL" w:eastAsia="en-GB"/>
              </w:rPr>
              <w:t>5,374</w:t>
            </w:r>
          </w:p>
        </w:tc>
      </w:tr>
    </w:tbl>
    <w:p w:rsidR="0075093C" w:rsidRPr="00CC5249" w:rsidRDefault="0075093C" w:rsidP="0075093C">
      <w:pPr>
        <w:rPr>
          <w:lang w:val="sq-AL"/>
        </w:rPr>
      </w:pPr>
    </w:p>
    <w:p w:rsidR="0075093C" w:rsidRPr="00B26335" w:rsidRDefault="0075093C" w:rsidP="0075093C">
      <w:pPr>
        <w:rPr>
          <w:i/>
          <w:lang w:val="sq-AL"/>
        </w:rPr>
      </w:pPr>
      <w:r w:rsidRPr="00B26335">
        <w:rPr>
          <w:i/>
          <w:lang w:val="sq-AL"/>
        </w:rPr>
        <w:t>* Kjo linjë e shpenzimeve është përjashtuar në kalkulimin e mesatares së periudhës</w:t>
      </w:r>
    </w:p>
    <w:p w:rsidR="0075093C" w:rsidRDefault="0075093C" w:rsidP="00A905B3">
      <w:pPr>
        <w:jc w:val="both"/>
        <w:rPr>
          <w:lang w:val="sq-AL"/>
        </w:rPr>
      </w:pPr>
      <w:r w:rsidRPr="003C06AF">
        <w:rPr>
          <w:lang w:val="sq-AL"/>
        </w:rPr>
        <w:t xml:space="preserve">Nga tabela e mësipërme janë kalkuluar kostot mesatare të OPEX-it të </w:t>
      </w:r>
      <w:r w:rsidR="00A905B3" w:rsidRPr="003C06AF">
        <w:rPr>
          <w:lang w:val="sq-AL"/>
        </w:rPr>
        <w:t>kontrollueshëm</w:t>
      </w:r>
      <w:r w:rsidRPr="003C06AF">
        <w:rPr>
          <w:lang w:val="sq-AL"/>
        </w:rPr>
        <w:t xml:space="preserve"> dhe pa kontrollueshëm, nga t</w:t>
      </w:r>
      <w:r>
        <w:rPr>
          <w:lang w:val="sq-AL"/>
        </w:rPr>
        <w:t>ë</w:t>
      </w:r>
      <w:r w:rsidRPr="003C06AF">
        <w:rPr>
          <w:lang w:val="sq-AL"/>
        </w:rPr>
        <w:t xml:space="preserve"> cilat rezultojn</w:t>
      </w:r>
      <w:r>
        <w:rPr>
          <w:lang w:val="sq-AL"/>
        </w:rPr>
        <w:t>ë</w:t>
      </w:r>
      <w:r w:rsidRPr="003C06AF">
        <w:rPr>
          <w:lang w:val="sq-AL"/>
        </w:rPr>
        <w:t xml:space="preserve"> lejimet e OPEX p</w:t>
      </w:r>
      <w:r>
        <w:rPr>
          <w:lang w:val="sq-AL"/>
        </w:rPr>
        <w:t>ë</w:t>
      </w:r>
      <w:r w:rsidRPr="003C06AF">
        <w:rPr>
          <w:lang w:val="sq-AL"/>
        </w:rPr>
        <w:t>r periudh</w:t>
      </w:r>
      <w:r>
        <w:rPr>
          <w:lang w:val="sq-AL"/>
        </w:rPr>
        <w:t>ë</w:t>
      </w:r>
      <w:r w:rsidRPr="003C06AF">
        <w:rPr>
          <w:lang w:val="sq-AL"/>
        </w:rPr>
        <w:t>n e ardhshme tre-vjeçare si dhe faktori i efikasitetit i propozuar ndaj OPEX. Rezultatet jan</w:t>
      </w:r>
      <w:r>
        <w:rPr>
          <w:lang w:val="sq-AL"/>
        </w:rPr>
        <w:t>ë</w:t>
      </w:r>
      <w:r w:rsidRPr="003C06AF">
        <w:rPr>
          <w:lang w:val="sq-AL"/>
        </w:rPr>
        <w:t xml:space="preserve"> paraqitur n</w:t>
      </w:r>
      <w:r>
        <w:rPr>
          <w:lang w:val="sq-AL"/>
        </w:rPr>
        <w:t>ë</w:t>
      </w:r>
      <w:r w:rsidRPr="003C06AF">
        <w:rPr>
          <w:lang w:val="sq-AL"/>
        </w:rPr>
        <w:t xml:space="preserve"> tabelën e më poshtme.</w:t>
      </w:r>
    </w:p>
    <w:p w:rsidR="0075093C" w:rsidRPr="00A905B3" w:rsidRDefault="0075093C" w:rsidP="0075093C">
      <w:pPr>
        <w:pStyle w:val="Caption"/>
        <w:rPr>
          <w:lang w:val="sq-AL"/>
        </w:rPr>
      </w:pPr>
      <w:r w:rsidRPr="00A905B3">
        <w:rPr>
          <w:lang w:val="sq-AL"/>
        </w:rPr>
        <w:t xml:space="preserve">Tabela  </w:t>
      </w:r>
      <w:r w:rsidRPr="00A905B3">
        <w:rPr>
          <w:lang w:val="sq-AL"/>
        </w:rPr>
        <w:fldChar w:fldCharType="begin"/>
      </w:r>
      <w:r w:rsidRPr="00A905B3">
        <w:rPr>
          <w:lang w:val="sq-AL"/>
        </w:rPr>
        <w:instrText xml:space="preserve"> SEQ Tabela_ \* ARABIC </w:instrText>
      </w:r>
      <w:r w:rsidRPr="00A905B3">
        <w:rPr>
          <w:lang w:val="sq-AL"/>
        </w:rPr>
        <w:fldChar w:fldCharType="separate"/>
      </w:r>
      <w:r w:rsidR="00701D2D">
        <w:rPr>
          <w:noProof/>
          <w:lang w:val="sq-AL"/>
        </w:rPr>
        <w:t>11</w:t>
      </w:r>
      <w:r w:rsidRPr="00A905B3">
        <w:rPr>
          <w:lang w:val="sq-AL"/>
        </w:rPr>
        <w:fldChar w:fldCharType="end"/>
      </w:r>
      <w:r w:rsidRPr="00A905B3">
        <w:rPr>
          <w:lang w:val="sq-AL"/>
        </w:rPr>
        <w:t xml:space="preserve"> OPEX </w:t>
      </w:r>
      <w:r w:rsidR="00A905B3" w:rsidRPr="00A905B3">
        <w:rPr>
          <w:lang w:val="sq-AL"/>
        </w:rPr>
        <w:t>gjithsejtë</w:t>
      </w:r>
      <w:r w:rsidRPr="00A905B3">
        <w:rPr>
          <w:lang w:val="sq-AL"/>
        </w:rPr>
        <w:t xml:space="preserve"> pas </w:t>
      </w:r>
      <w:r w:rsidR="00A905B3" w:rsidRPr="00A905B3">
        <w:rPr>
          <w:lang w:val="sq-AL"/>
        </w:rPr>
        <w:t>aplikimit</w:t>
      </w:r>
      <w:r w:rsidRPr="00A905B3">
        <w:rPr>
          <w:lang w:val="sq-AL"/>
        </w:rPr>
        <w:t xml:space="preserve"> të efikasitetit</w:t>
      </w:r>
    </w:p>
    <w:tbl>
      <w:tblPr>
        <w:tblW w:w="5000" w:type="pct"/>
        <w:jc w:val="center"/>
        <w:tblLook w:val="04A0" w:firstRow="1" w:lastRow="0" w:firstColumn="1" w:lastColumn="0" w:noHBand="0" w:noVBand="1"/>
      </w:tblPr>
      <w:tblGrid>
        <w:gridCol w:w="3937"/>
        <w:gridCol w:w="1730"/>
        <w:gridCol w:w="2117"/>
        <w:gridCol w:w="1576"/>
      </w:tblGrid>
      <w:tr w:rsidR="0075093C" w:rsidRPr="00450894" w:rsidTr="0075093C">
        <w:trPr>
          <w:trHeight w:val="288"/>
          <w:jc w:val="center"/>
        </w:trPr>
        <w:tc>
          <w:tcPr>
            <w:tcW w:w="2103" w:type="pct"/>
            <w:tcBorders>
              <w:top w:val="nil"/>
              <w:left w:val="nil"/>
              <w:bottom w:val="nil"/>
              <w:right w:val="nil"/>
            </w:tcBorders>
            <w:shd w:val="clear" w:color="000000" w:fill="003366"/>
            <w:noWrap/>
            <w:vAlign w:val="center"/>
            <w:hideMark/>
          </w:tcPr>
          <w:p w:rsidR="0075093C" w:rsidRPr="00B1408C" w:rsidRDefault="0075093C" w:rsidP="0075093C">
            <w:pPr>
              <w:spacing w:after="0" w:line="240" w:lineRule="auto"/>
              <w:rPr>
                <w:rFonts w:ascii="Calibri" w:eastAsia="Times New Roman" w:hAnsi="Calibri" w:cs="Times New Roman"/>
                <w:color w:val="FFFFFF"/>
                <w:sz w:val="20"/>
                <w:szCs w:val="20"/>
                <w:lang w:val="sq-AL" w:eastAsia="en-GB"/>
              </w:rPr>
            </w:pPr>
            <w:r w:rsidRPr="00B1408C">
              <w:rPr>
                <w:rFonts w:ascii="Calibri" w:eastAsia="Times New Roman" w:hAnsi="Calibri" w:cs="Times New Roman"/>
                <w:color w:val="FFFFFF"/>
                <w:sz w:val="20"/>
                <w:szCs w:val="20"/>
                <w:lang w:val="sq-AL" w:eastAsia="en-GB"/>
              </w:rPr>
              <w:t> </w:t>
            </w:r>
            <w:r w:rsidR="00A905B3" w:rsidRPr="00B1408C">
              <w:rPr>
                <w:rFonts w:ascii="Calibri" w:eastAsia="Times New Roman" w:hAnsi="Calibri" w:cs="Times New Roman"/>
                <w:color w:val="FFFFFF"/>
                <w:sz w:val="20"/>
                <w:szCs w:val="20"/>
                <w:lang w:val="sq-AL" w:eastAsia="en-GB"/>
              </w:rPr>
              <w:t>Përshkrim</w:t>
            </w:r>
          </w:p>
        </w:tc>
        <w:tc>
          <w:tcPr>
            <w:tcW w:w="924"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eastAsia="en-GB"/>
              </w:rPr>
            </w:pPr>
            <w:r w:rsidRPr="00450894">
              <w:rPr>
                <w:rFonts w:ascii="Calibri" w:eastAsia="Times New Roman" w:hAnsi="Calibri" w:cs="Times New Roman"/>
                <w:color w:val="FFFFFF"/>
                <w:sz w:val="20"/>
                <w:szCs w:val="20"/>
                <w:lang w:val="sq-AL" w:eastAsia="en-GB"/>
              </w:rPr>
              <w:t>2022</w:t>
            </w:r>
          </w:p>
        </w:tc>
        <w:tc>
          <w:tcPr>
            <w:tcW w:w="1131"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eastAsia="en-GB"/>
              </w:rPr>
            </w:pPr>
            <w:r w:rsidRPr="00450894">
              <w:rPr>
                <w:rFonts w:ascii="Calibri" w:eastAsia="Times New Roman" w:hAnsi="Calibri" w:cs="Times New Roman"/>
                <w:color w:val="FFFFFF"/>
                <w:sz w:val="20"/>
                <w:szCs w:val="20"/>
                <w:lang w:val="sq-AL" w:eastAsia="en-GB"/>
              </w:rPr>
              <w:t>2023</w:t>
            </w:r>
          </w:p>
        </w:tc>
        <w:tc>
          <w:tcPr>
            <w:tcW w:w="842" w:type="pct"/>
            <w:tcBorders>
              <w:top w:val="nil"/>
              <w:left w:val="nil"/>
              <w:bottom w:val="nil"/>
              <w:right w:val="nil"/>
            </w:tcBorders>
            <w:shd w:val="clear" w:color="000000" w:fill="003366"/>
            <w:noWrap/>
            <w:vAlign w:val="center"/>
            <w:hideMark/>
          </w:tcPr>
          <w:p w:rsidR="0075093C" w:rsidRPr="00450894" w:rsidRDefault="0075093C" w:rsidP="0075093C">
            <w:pPr>
              <w:spacing w:after="0" w:line="240" w:lineRule="auto"/>
              <w:jc w:val="center"/>
              <w:rPr>
                <w:rFonts w:ascii="Calibri" w:eastAsia="Times New Roman" w:hAnsi="Calibri" w:cs="Times New Roman"/>
                <w:color w:val="FFFFFF"/>
                <w:sz w:val="20"/>
                <w:szCs w:val="20"/>
                <w:lang w:val="sq-AL" w:eastAsia="en-GB"/>
              </w:rPr>
            </w:pPr>
            <w:r w:rsidRPr="00450894">
              <w:rPr>
                <w:rFonts w:ascii="Calibri" w:eastAsia="Times New Roman" w:hAnsi="Calibri" w:cs="Times New Roman"/>
                <w:color w:val="FFFFFF"/>
                <w:sz w:val="20"/>
                <w:szCs w:val="20"/>
                <w:lang w:val="sq-AL" w:eastAsia="en-GB"/>
              </w:rPr>
              <w:t>2024</w:t>
            </w:r>
          </w:p>
        </w:tc>
      </w:tr>
      <w:tr w:rsidR="0075093C" w:rsidRPr="00450894" w:rsidTr="0075093C">
        <w:trPr>
          <w:trHeight w:val="288"/>
          <w:jc w:val="center"/>
        </w:trPr>
        <w:tc>
          <w:tcPr>
            <w:tcW w:w="2103" w:type="pct"/>
            <w:tcBorders>
              <w:top w:val="nil"/>
              <w:left w:val="nil"/>
              <w:bottom w:val="nil"/>
              <w:right w:val="nil"/>
            </w:tcBorders>
            <w:shd w:val="clear" w:color="auto" w:fill="auto"/>
            <w:noWrap/>
            <w:vAlign w:val="bottom"/>
            <w:hideMark/>
          </w:tcPr>
          <w:p w:rsidR="0075093C" w:rsidRPr="00CC5249" w:rsidRDefault="0075093C" w:rsidP="0075093C">
            <w:pPr>
              <w:spacing w:after="0" w:line="240" w:lineRule="auto"/>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Efikasiteti</w:t>
            </w:r>
          </w:p>
        </w:tc>
        <w:tc>
          <w:tcPr>
            <w:tcW w:w="924" w:type="pct"/>
            <w:tcBorders>
              <w:top w:val="nil"/>
              <w:left w:val="nil"/>
              <w:bottom w:val="nil"/>
              <w:right w:val="nil"/>
            </w:tcBorders>
            <w:shd w:val="clear" w:color="auto" w:fill="auto"/>
            <w:noWrap/>
            <w:vAlign w:val="bottom"/>
            <w:hideMark/>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w:t>
            </w:r>
          </w:p>
        </w:tc>
        <w:tc>
          <w:tcPr>
            <w:tcW w:w="1131" w:type="pct"/>
            <w:tcBorders>
              <w:top w:val="nil"/>
              <w:left w:val="nil"/>
              <w:bottom w:val="nil"/>
              <w:right w:val="nil"/>
            </w:tcBorders>
            <w:shd w:val="clear" w:color="auto" w:fill="auto"/>
            <w:noWrap/>
            <w:vAlign w:val="bottom"/>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-0.47%</w:t>
            </w:r>
          </w:p>
        </w:tc>
        <w:tc>
          <w:tcPr>
            <w:tcW w:w="842" w:type="pct"/>
            <w:tcBorders>
              <w:top w:val="nil"/>
              <w:left w:val="nil"/>
              <w:bottom w:val="nil"/>
              <w:right w:val="nil"/>
            </w:tcBorders>
            <w:shd w:val="clear" w:color="auto" w:fill="auto"/>
            <w:noWrap/>
            <w:vAlign w:val="bottom"/>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-0.47%</w:t>
            </w:r>
          </w:p>
        </w:tc>
      </w:tr>
      <w:tr w:rsidR="0075093C" w:rsidRPr="00450894" w:rsidTr="0075093C">
        <w:trPr>
          <w:trHeight w:val="288"/>
          <w:jc w:val="center"/>
        </w:trPr>
        <w:tc>
          <w:tcPr>
            <w:tcW w:w="2103" w:type="pct"/>
            <w:tcBorders>
              <w:top w:val="nil"/>
              <w:left w:val="nil"/>
              <w:bottom w:val="nil"/>
              <w:right w:val="nil"/>
            </w:tcBorders>
            <w:shd w:val="clear" w:color="auto" w:fill="auto"/>
            <w:noWrap/>
            <w:vAlign w:val="bottom"/>
            <w:hideMark/>
          </w:tcPr>
          <w:p w:rsidR="0075093C" w:rsidRPr="00CC5249" w:rsidRDefault="0075093C" w:rsidP="00025E72">
            <w:pPr>
              <w:spacing w:after="0" w:line="240" w:lineRule="auto"/>
              <w:rPr>
                <w:rFonts w:ascii="Calibri" w:eastAsia="Times New Roman" w:hAnsi="Calibri" w:cs="Times New Roman"/>
                <w:color w:val="000000"/>
                <w:lang w:val="sq-AL" w:eastAsia="en-GB"/>
              </w:rPr>
            </w:pPr>
            <w:r w:rsidRPr="00CC5249">
              <w:rPr>
                <w:rFonts w:ascii="Calibri" w:eastAsia="Times New Roman" w:hAnsi="Calibri" w:cs="Times New Roman"/>
                <w:color w:val="000000"/>
                <w:lang w:val="sq-AL" w:eastAsia="en-GB"/>
              </w:rPr>
              <w:t xml:space="preserve">Opex </w:t>
            </w:r>
            <w:r w:rsidR="00025E72">
              <w:rPr>
                <w:rFonts w:ascii="Calibri" w:eastAsia="Times New Roman" w:hAnsi="Calibri" w:cs="Times New Roman"/>
                <w:color w:val="000000"/>
                <w:lang w:val="sq-AL" w:eastAsia="en-GB"/>
              </w:rPr>
              <w:t>i</w:t>
            </w:r>
            <w:r w:rsidRPr="00CC5249">
              <w:rPr>
                <w:rFonts w:ascii="Calibri" w:eastAsia="Times New Roman" w:hAnsi="Calibri" w:cs="Times New Roman"/>
                <w:color w:val="000000"/>
                <w:lang w:val="sq-AL" w:eastAsia="en-GB"/>
              </w:rPr>
              <w:t xml:space="preserve"> </w:t>
            </w:r>
            <w:r w:rsidR="00A905B3" w:rsidRPr="00CC5249">
              <w:rPr>
                <w:rFonts w:ascii="Calibri" w:eastAsia="Times New Roman" w:hAnsi="Calibri" w:cs="Times New Roman"/>
                <w:color w:val="000000"/>
                <w:lang w:val="sq-AL" w:eastAsia="en-GB"/>
              </w:rPr>
              <w:t>kontrollueshëm</w:t>
            </w:r>
          </w:p>
        </w:tc>
        <w:tc>
          <w:tcPr>
            <w:tcW w:w="924" w:type="pct"/>
            <w:tcBorders>
              <w:top w:val="nil"/>
              <w:left w:val="nil"/>
              <w:bottom w:val="nil"/>
              <w:right w:val="nil"/>
            </w:tcBorders>
            <w:shd w:val="clear" w:color="auto" w:fill="auto"/>
            <w:noWrap/>
            <w:vAlign w:val="bottom"/>
            <w:hideMark/>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3,671</w:t>
            </w:r>
          </w:p>
        </w:tc>
        <w:tc>
          <w:tcPr>
            <w:tcW w:w="1131" w:type="pct"/>
            <w:tcBorders>
              <w:top w:val="nil"/>
              <w:left w:val="nil"/>
              <w:bottom w:val="nil"/>
              <w:right w:val="nil"/>
            </w:tcBorders>
            <w:shd w:val="clear" w:color="auto" w:fill="auto"/>
            <w:noWrap/>
            <w:vAlign w:val="bottom"/>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3,688</w:t>
            </w:r>
          </w:p>
        </w:tc>
        <w:tc>
          <w:tcPr>
            <w:tcW w:w="842" w:type="pct"/>
            <w:tcBorders>
              <w:top w:val="nil"/>
              <w:left w:val="nil"/>
              <w:bottom w:val="nil"/>
              <w:right w:val="nil"/>
            </w:tcBorders>
            <w:shd w:val="clear" w:color="auto" w:fill="auto"/>
            <w:noWrap/>
            <w:vAlign w:val="bottom"/>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3,705</w:t>
            </w:r>
          </w:p>
        </w:tc>
      </w:tr>
      <w:tr w:rsidR="0075093C" w:rsidRPr="00450894" w:rsidTr="0075093C">
        <w:trPr>
          <w:trHeight w:val="288"/>
          <w:jc w:val="center"/>
        </w:trPr>
        <w:tc>
          <w:tcPr>
            <w:tcW w:w="2103" w:type="pct"/>
            <w:tcBorders>
              <w:top w:val="nil"/>
              <w:left w:val="nil"/>
              <w:bottom w:val="nil"/>
              <w:right w:val="nil"/>
            </w:tcBorders>
            <w:shd w:val="clear" w:color="auto" w:fill="auto"/>
            <w:noWrap/>
            <w:vAlign w:val="bottom"/>
            <w:hideMark/>
          </w:tcPr>
          <w:p w:rsidR="0075093C" w:rsidRPr="00CC5249" w:rsidRDefault="00025E72" w:rsidP="0075093C">
            <w:pPr>
              <w:spacing w:after="0" w:line="240" w:lineRule="auto"/>
              <w:rPr>
                <w:rFonts w:ascii="Calibri" w:eastAsia="Times New Roman" w:hAnsi="Calibri" w:cs="Times New Roman"/>
                <w:color w:val="000000"/>
                <w:lang w:val="sq-AL" w:eastAsia="en-GB"/>
              </w:rPr>
            </w:pPr>
            <w:r>
              <w:rPr>
                <w:rFonts w:ascii="Calibri" w:eastAsia="Times New Roman" w:hAnsi="Calibri" w:cs="Times New Roman"/>
                <w:color w:val="000000"/>
                <w:lang w:val="sq-AL" w:eastAsia="en-GB"/>
              </w:rPr>
              <w:t>Opex i</w:t>
            </w:r>
            <w:r w:rsidR="0075093C" w:rsidRPr="00CC5249">
              <w:rPr>
                <w:rFonts w:ascii="Calibri" w:eastAsia="Times New Roman" w:hAnsi="Calibri" w:cs="Times New Roman"/>
                <w:color w:val="000000"/>
                <w:lang w:val="sq-AL" w:eastAsia="en-GB"/>
              </w:rPr>
              <w:t xml:space="preserve"> pa-</w:t>
            </w:r>
            <w:r w:rsidR="00A905B3" w:rsidRPr="00CC5249">
              <w:rPr>
                <w:rFonts w:ascii="Calibri" w:eastAsia="Times New Roman" w:hAnsi="Calibri" w:cs="Times New Roman"/>
                <w:color w:val="000000"/>
                <w:lang w:val="sq-AL" w:eastAsia="en-GB"/>
              </w:rPr>
              <w:t>kontrollueshëm</w:t>
            </w:r>
          </w:p>
        </w:tc>
        <w:tc>
          <w:tcPr>
            <w:tcW w:w="924" w:type="pct"/>
            <w:tcBorders>
              <w:top w:val="nil"/>
              <w:left w:val="nil"/>
              <w:bottom w:val="nil"/>
              <w:right w:val="nil"/>
            </w:tcBorders>
            <w:shd w:val="clear" w:color="auto" w:fill="auto"/>
            <w:noWrap/>
            <w:vAlign w:val="bottom"/>
            <w:hideMark/>
          </w:tcPr>
          <w:p w:rsidR="0075093C" w:rsidRPr="00B26335" w:rsidRDefault="0075093C" w:rsidP="0075093C">
            <w:pPr>
              <w:spacing w:after="0" w:line="240" w:lineRule="auto"/>
              <w:jc w:val="center"/>
              <w:rPr>
                <w:rFonts w:ascii="Calibri" w:eastAsia="Times New Roman" w:hAnsi="Calibri" w:cs="Times New Roman"/>
                <w:color w:val="000000"/>
                <w:lang w:val="sq-AL" w:eastAsia="en-GB"/>
              </w:rPr>
            </w:pPr>
            <w:r w:rsidRPr="00B26335">
              <w:rPr>
                <w:rFonts w:ascii="Calibri" w:eastAsia="Times New Roman" w:hAnsi="Calibri" w:cs="Times New Roman"/>
                <w:color w:val="000000"/>
                <w:lang w:val="sq-AL" w:eastAsia="en-GB"/>
              </w:rPr>
              <w:t>1,499</w:t>
            </w:r>
          </w:p>
        </w:tc>
        <w:tc>
          <w:tcPr>
            <w:tcW w:w="1131" w:type="pct"/>
            <w:tcBorders>
              <w:top w:val="nil"/>
              <w:left w:val="nil"/>
              <w:bottom w:val="nil"/>
              <w:right w:val="nil"/>
            </w:tcBorders>
            <w:shd w:val="clear" w:color="auto" w:fill="auto"/>
            <w:noWrap/>
            <w:vAlign w:val="bottom"/>
            <w:hideMark/>
          </w:tcPr>
          <w:p w:rsidR="0075093C" w:rsidRPr="00B1408C" w:rsidRDefault="0075093C" w:rsidP="0075093C">
            <w:pPr>
              <w:spacing w:after="0" w:line="240" w:lineRule="auto"/>
              <w:jc w:val="center"/>
              <w:rPr>
                <w:rFonts w:ascii="Calibri" w:eastAsia="Times New Roman" w:hAnsi="Calibri" w:cs="Times New Roman"/>
                <w:color w:val="000000"/>
                <w:lang w:val="sq-AL" w:eastAsia="en-GB"/>
              </w:rPr>
            </w:pPr>
            <w:r w:rsidRPr="00B1408C">
              <w:rPr>
                <w:rFonts w:ascii="Calibri" w:eastAsia="Times New Roman" w:hAnsi="Calibri" w:cs="Times New Roman"/>
                <w:color w:val="000000"/>
                <w:lang w:val="sq-AL" w:eastAsia="en-GB"/>
              </w:rPr>
              <w:t>1,499</w:t>
            </w:r>
          </w:p>
        </w:tc>
        <w:tc>
          <w:tcPr>
            <w:tcW w:w="842" w:type="pct"/>
            <w:tcBorders>
              <w:top w:val="nil"/>
              <w:left w:val="nil"/>
              <w:bottom w:val="nil"/>
              <w:right w:val="nil"/>
            </w:tcBorders>
            <w:shd w:val="clear" w:color="auto" w:fill="auto"/>
            <w:noWrap/>
            <w:vAlign w:val="bottom"/>
            <w:hideMark/>
          </w:tcPr>
          <w:p w:rsidR="0075093C" w:rsidRPr="00450894" w:rsidRDefault="0075093C" w:rsidP="0075093C">
            <w:pPr>
              <w:spacing w:after="0" w:line="240" w:lineRule="auto"/>
              <w:jc w:val="center"/>
              <w:rPr>
                <w:rFonts w:ascii="Calibri" w:eastAsia="Times New Roman" w:hAnsi="Calibri" w:cs="Times New Roman"/>
                <w:color w:val="000000"/>
                <w:lang w:val="sq-AL" w:eastAsia="en-GB"/>
              </w:rPr>
            </w:pPr>
            <w:r w:rsidRPr="00450894">
              <w:rPr>
                <w:rFonts w:ascii="Calibri" w:eastAsia="Times New Roman" w:hAnsi="Calibri" w:cs="Times New Roman"/>
                <w:color w:val="000000"/>
                <w:lang w:val="sq-AL" w:eastAsia="en-GB"/>
              </w:rPr>
              <w:t>1,499</w:t>
            </w:r>
          </w:p>
        </w:tc>
      </w:tr>
      <w:tr w:rsidR="0075093C" w:rsidRPr="00450894" w:rsidTr="0075093C">
        <w:trPr>
          <w:trHeight w:val="300"/>
          <w:jc w:val="center"/>
        </w:trPr>
        <w:tc>
          <w:tcPr>
            <w:tcW w:w="2103" w:type="pct"/>
            <w:tcBorders>
              <w:top w:val="single" w:sz="4" w:space="0" w:color="auto"/>
              <w:left w:val="nil"/>
              <w:bottom w:val="single" w:sz="8" w:space="0" w:color="auto"/>
              <w:right w:val="nil"/>
            </w:tcBorders>
            <w:shd w:val="clear" w:color="auto" w:fill="DEEAF6" w:themeFill="accent1" w:themeFillTint="33"/>
            <w:noWrap/>
            <w:vAlign w:val="bottom"/>
            <w:hideMark/>
          </w:tcPr>
          <w:p w:rsidR="0075093C" w:rsidRPr="00CC5249" w:rsidRDefault="0075093C" w:rsidP="0075093C">
            <w:pPr>
              <w:spacing w:after="0" w:line="240" w:lineRule="auto"/>
              <w:rPr>
                <w:rFonts w:ascii="Calibri" w:eastAsia="Times New Roman" w:hAnsi="Calibri" w:cs="Times New Roman"/>
                <w:b/>
                <w:bCs/>
                <w:color w:val="000000"/>
                <w:lang w:val="sq-AL" w:eastAsia="en-GB"/>
              </w:rPr>
            </w:pPr>
            <w:r w:rsidRPr="00CC5249">
              <w:rPr>
                <w:rFonts w:ascii="Calibri" w:eastAsia="Times New Roman" w:hAnsi="Calibri" w:cs="Times New Roman"/>
                <w:b/>
                <w:bCs/>
                <w:color w:val="000000"/>
                <w:lang w:val="sq-AL" w:eastAsia="en-GB"/>
              </w:rPr>
              <w:t>Total</w:t>
            </w:r>
          </w:p>
        </w:tc>
        <w:tc>
          <w:tcPr>
            <w:tcW w:w="924" w:type="pct"/>
            <w:tcBorders>
              <w:top w:val="single" w:sz="4" w:space="0" w:color="auto"/>
              <w:left w:val="nil"/>
              <w:bottom w:val="single" w:sz="8" w:space="0" w:color="auto"/>
              <w:right w:val="nil"/>
            </w:tcBorders>
            <w:shd w:val="clear" w:color="auto" w:fill="DEEAF6" w:themeFill="accent1" w:themeFillTint="33"/>
            <w:noWrap/>
            <w:vAlign w:val="bottom"/>
            <w:hideMark/>
          </w:tcPr>
          <w:p w:rsidR="0075093C" w:rsidRPr="007F49D2" w:rsidRDefault="0075093C" w:rsidP="0075093C">
            <w:pPr>
              <w:spacing w:after="0" w:line="240" w:lineRule="auto"/>
              <w:jc w:val="center"/>
              <w:rPr>
                <w:rFonts w:ascii="Calibri" w:eastAsia="Times New Roman" w:hAnsi="Calibri" w:cs="Times New Roman"/>
                <w:b/>
                <w:bCs/>
                <w:color w:val="000000"/>
                <w:lang w:val="sq-AL" w:eastAsia="en-GB"/>
              </w:rPr>
            </w:pPr>
            <w:r w:rsidRPr="00B26335">
              <w:rPr>
                <w:rFonts w:ascii="Calibri" w:eastAsia="Times New Roman" w:hAnsi="Calibri" w:cs="Times New Roman"/>
                <w:b/>
                <w:bCs/>
                <w:color w:val="000000"/>
                <w:lang w:val="sq-AL" w:eastAsia="en-GB"/>
              </w:rPr>
              <w:t>5,169</w:t>
            </w:r>
          </w:p>
        </w:tc>
        <w:tc>
          <w:tcPr>
            <w:tcW w:w="1131" w:type="pct"/>
            <w:tcBorders>
              <w:top w:val="single" w:sz="4" w:space="0" w:color="auto"/>
              <w:left w:val="nil"/>
              <w:bottom w:val="single" w:sz="8" w:space="0" w:color="auto"/>
              <w:right w:val="nil"/>
            </w:tcBorders>
            <w:shd w:val="clear" w:color="auto" w:fill="DEEAF6" w:themeFill="accent1" w:themeFillTint="33"/>
            <w:noWrap/>
            <w:vAlign w:val="bottom"/>
            <w:hideMark/>
          </w:tcPr>
          <w:p w:rsidR="0075093C" w:rsidRPr="00B1408C" w:rsidRDefault="0075093C" w:rsidP="0075093C">
            <w:pPr>
              <w:spacing w:after="0" w:line="240" w:lineRule="auto"/>
              <w:jc w:val="center"/>
              <w:rPr>
                <w:rFonts w:ascii="Calibri" w:eastAsia="Times New Roman" w:hAnsi="Calibri" w:cs="Times New Roman"/>
                <w:b/>
                <w:bCs/>
                <w:color w:val="000000"/>
                <w:lang w:val="sq-AL" w:eastAsia="en-GB"/>
              </w:rPr>
            </w:pPr>
            <w:r w:rsidRPr="00B1408C">
              <w:rPr>
                <w:rFonts w:ascii="Calibri" w:eastAsia="Times New Roman" w:hAnsi="Calibri" w:cs="Times New Roman"/>
                <w:b/>
                <w:bCs/>
                <w:color w:val="000000"/>
                <w:lang w:val="sq-AL" w:eastAsia="en-GB"/>
              </w:rPr>
              <w:t>5,187</w:t>
            </w:r>
          </w:p>
        </w:tc>
        <w:tc>
          <w:tcPr>
            <w:tcW w:w="842" w:type="pct"/>
            <w:tcBorders>
              <w:top w:val="single" w:sz="4" w:space="0" w:color="auto"/>
              <w:left w:val="nil"/>
              <w:bottom w:val="single" w:sz="8" w:space="0" w:color="auto"/>
              <w:right w:val="nil"/>
            </w:tcBorders>
            <w:shd w:val="clear" w:color="auto" w:fill="DEEAF6" w:themeFill="accent1" w:themeFillTint="33"/>
            <w:noWrap/>
            <w:vAlign w:val="bottom"/>
            <w:hideMark/>
          </w:tcPr>
          <w:p w:rsidR="0075093C" w:rsidRPr="00450894" w:rsidRDefault="0075093C" w:rsidP="0075093C">
            <w:pPr>
              <w:spacing w:after="0" w:line="240" w:lineRule="auto"/>
              <w:jc w:val="center"/>
              <w:rPr>
                <w:rFonts w:ascii="Calibri" w:eastAsia="Times New Roman" w:hAnsi="Calibri" w:cs="Times New Roman"/>
                <w:b/>
                <w:bCs/>
                <w:color w:val="000000"/>
                <w:lang w:val="sq-AL" w:eastAsia="en-GB"/>
              </w:rPr>
            </w:pPr>
            <w:r w:rsidRPr="00450894">
              <w:rPr>
                <w:rFonts w:ascii="Calibri" w:eastAsia="Times New Roman" w:hAnsi="Calibri" w:cs="Times New Roman"/>
                <w:b/>
                <w:bCs/>
                <w:color w:val="000000"/>
                <w:lang w:val="sq-AL" w:eastAsia="en-GB"/>
              </w:rPr>
              <w:t>5,204</w:t>
            </w:r>
          </w:p>
        </w:tc>
      </w:tr>
    </w:tbl>
    <w:p w:rsidR="0075093C" w:rsidRDefault="0075093C" w:rsidP="0075093C">
      <w:pPr>
        <w:rPr>
          <w:lang w:val="sq-AL"/>
        </w:rPr>
      </w:pPr>
    </w:p>
    <w:p w:rsidR="0075093C" w:rsidRDefault="0075093C" w:rsidP="0075093C">
      <w:pPr>
        <w:rPr>
          <w:lang w:val="sq-AL"/>
        </w:rPr>
      </w:pPr>
      <w:r w:rsidRPr="00B26335">
        <w:rPr>
          <w:lang w:val="sq-AL"/>
        </w:rPr>
        <w:t>Kalkulimi i faktorit të efikasitetit është paraqitur në tabelën e më poshtme:</w:t>
      </w:r>
    </w:p>
    <w:p w:rsidR="00820A8B" w:rsidRDefault="00820A8B" w:rsidP="0075093C">
      <w:pPr>
        <w:rPr>
          <w:lang w:val="sq-AL"/>
        </w:rPr>
      </w:pPr>
    </w:p>
    <w:p w:rsidR="0075093C" w:rsidRPr="00A905B3" w:rsidRDefault="0075093C" w:rsidP="0075093C">
      <w:pPr>
        <w:pStyle w:val="Caption"/>
        <w:rPr>
          <w:lang w:val="sq-AL"/>
        </w:rPr>
      </w:pPr>
      <w:r w:rsidRPr="00A905B3">
        <w:rPr>
          <w:lang w:val="sq-AL"/>
        </w:rPr>
        <w:lastRenderedPageBreak/>
        <w:t xml:space="preserve">Tabela  </w:t>
      </w:r>
      <w:r w:rsidRPr="00A905B3">
        <w:rPr>
          <w:lang w:val="sq-AL"/>
        </w:rPr>
        <w:fldChar w:fldCharType="begin"/>
      </w:r>
      <w:r w:rsidRPr="00A905B3">
        <w:rPr>
          <w:lang w:val="sq-AL"/>
        </w:rPr>
        <w:instrText xml:space="preserve"> SEQ Tabela_ \* ARABIC </w:instrText>
      </w:r>
      <w:r w:rsidRPr="00A905B3">
        <w:rPr>
          <w:lang w:val="sq-AL"/>
        </w:rPr>
        <w:fldChar w:fldCharType="separate"/>
      </w:r>
      <w:r w:rsidR="00701D2D">
        <w:rPr>
          <w:noProof/>
          <w:lang w:val="sq-AL"/>
        </w:rPr>
        <w:t>12</w:t>
      </w:r>
      <w:r w:rsidRPr="00A905B3">
        <w:rPr>
          <w:lang w:val="sq-AL"/>
        </w:rPr>
        <w:fldChar w:fldCharType="end"/>
      </w:r>
      <w:r w:rsidRPr="00A905B3">
        <w:rPr>
          <w:lang w:val="sq-AL"/>
        </w:rPr>
        <w:t xml:space="preserve"> Faktori i efikasitetit </w:t>
      </w:r>
    </w:p>
    <w:tbl>
      <w:tblPr>
        <w:tblW w:w="9270" w:type="dxa"/>
        <w:tblLayout w:type="fixed"/>
        <w:tblLook w:val="04A0" w:firstRow="1" w:lastRow="0" w:firstColumn="1" w:lastColumn="0" w:noHBand="0" w:noVBand="1"/>
      </w:tblPr>
      <w:tblGrid>
        <w:gridCol w:w="3315"/>
        <w:gridCol w:w="739"/>
        <w:gridCol w:w="993"/>
        <w:gridCol w:w="779"/>
        <w:gridCol w:w="1011"/>
        <w:gridCol w:w="1080"/>
        <w:gridCol w:w="622"/>
        <w:gridCol w:w="731"/>
      </w:tblGrid>
      <w:tr w:rsidR="0075093C" w:rsidRPr="00450894" w:rsidTr="0075093C">
        <w:trPr>
          <w:trHeight w:val="564"/>
        </w:trPr>
        <w:tc>
          <w:tcPr>
            <w:tcW w:w="3315" w:type="dxa"/>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B26335" w:rsidRDefault="00A905B3" w:rsidP="0075093C">
            <w:pPr>
              <w:spacing w:after="0" w:line="240" w:lineRule="auto"/>
              <w:rPr>
                <w:rFonts w:eastAsia="Times New Roman" w:cs="Times New Roman"/>
                <w:bCs/>
                <w:color w:val="FFFFFF" w:themeColor="background1"/>
                <w:sz w:val="20"/>
                <w:szCs w:val="20"/>
                <w:lang w:val="sq-AL" w:eastAsia="en-GB"/>
              </w:rPr>
            </w:pPr>
            <w:r w:rsidRPr="00B26335">
              <w:rPr>
                <w:rFonts w:eastAsia="Times New Roman" w:cs="Times New Roman"/>
                <w:bCs/>
                <w:color w:val="FFFFFF" w:themeColor="background1"/>
                <w:sz w:val="20"/>
                <w:szCs w:val="20"/>
                <w:lang w:val="sq-AL" w:eastAsia="en-GB"/>
              </w:rPr>
              <w:t>Përshkrimi</w:t>
            </w:r>
          </w:p>
        </w:tc>
        <w:tc>
          <w:tcPr>
            <w:tcW w:w="739" w:type="dxa"/>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B1408C" w:rsidRDefault="0075093C" w:rsidP="0075093C">
            <w:pPr>
              <w:spacing w:after="0" w:line="240" w:lineRule="auto"/>
              <w:jc w:val="center"/>
              <w:rPr>
                <w:rFonts w:eastAsia="Times New Roman" w:cs="Times New Roman"/>
                <w:bCs/>
                <w:color w:val="FFFFFF" w:themeColor="background1"/>
                <w:sz w:val="20"/>
                <w:szCs w:val="20"/>
                <w:lang w:val="sq-AL" w:eastAsia="en-GB"/>
              </w:rPr>
            </w:pPr>
            <w:r w:rsidRPr="00B1408C">
              <w:rPr>
                <w:rFonts w:eastAsia="Times New Roman" w:cs="Times New Roman"/>
                <w:bCs/>
                <w:color w:val="FFFFFF" w:themeColor="background1"/>
                <w:sz w:val="20"/>
                <w:szCs w:val="20"/>
                <w:lang w:val="sq-AL" w:eastAsia="en-GB"/>
              </w:rPr>
              <w:t>Trendi</w:t>
            </w:r>
          </w:p>
        </w:tc>
        <w:tc>
          <w:tcPr>
            <w:tcW w:w="993" w:type="dxa"/>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450894" w:rsidRDefault="0075093C" w:rsidP="0075093C">
            <w:pPr>
              <w:spacing w:after="0" w:line="240" w:lineRule="auto"/>
              <w:jc w:val="center"/>
              <w:rPr>
                <w:rFonts w:eastAsia="Times New Roman" w:cs="Times New Roman"/>
                <w:bCs/>
                <w:color w:val="FFFFFF" w:themeColor="background1"/>
                <w:sz w:val="20"/>
                <w:szCs w:val="20"/>
                <w:lang w:val="sq-AL" w:eastAsia="en-GB"/>
              </w:rPr>
            </w:pPr>
            <w:r w:rsidRPr="00450894">
              <w:rPr>
                <w:rFonts w:eastAsia="Times New Roman" w:cs="Times New Roman"/>
                <w:bCs/>
                <w:color w:val="FFFFFF" w:themeColor="background1"/>
                <w:sz w:val="20"/>
                <w:szCs w:val="20"/>
                <w:lang w:val="sq-AL" w:eastAsia="en-GB"/>
              </w:rPr>
              <w:t>Mesatare</w:t>
            </w:r>
          </w:p>
        </w:tc>
        <w:tc>
          <w:tcPr>
            <w:tcW w:w="779" w:type="dxa"/>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450894" w:rsidRDefault="0075093C" w:rsidP="0075093C">
            <w:pPr>
              <w:spacing w:after="0" w:line="240" w:lineRule="auto"/>
              <w:jc w:val="center"/>
              <w:rPr>
                <w:rFonts w:eastAsia="Times New Roman" w:cs="Times New Roman"/>
                <w:bCs/>
                <w:color w:val="FFFFFF" w:themeColor="background1"/>
                <w:sz w:val="20"/>
                <w:szCs w:val="20"/>
                <w:lang w:val="sq-AL" w:eastAsia="en-GB"/>
              </w:rPr>
            </w:pPr>
            <w:r w:rsidRPr="00450894">
              <w:rPr>
                <w:rFonts w:eastAsia="Times New Roman" w:cs="Times New Roman"/>
                <w:bCs/>
                <w:color w:val="FFFFFF" w:themeColor="background1"/>
                <w:sz w:val="20"/>
                <w:szCs w:val="20"/>
                <w:lang w:val="sq-AL" w:eastAsia="en-GB"/>
              </w:rPr>
              <w:t>Dallimi</w:t>
            </w:r>
          </w:p>
        </w:tc>
        <w:tc>
          <w:tcPr>
            <w:tcW w:w="1011" w:type="dxa"/>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450894" w:rsidRDefault="00A905B3" w:rsidP="0075093C">
            <w:pPr>
              <w:spacing w:after="0" w:line="240" w:lineRule="auto"/>
              <w:jc w:val="center"/>
              <w:rPr>
                <w:rFonts w:eastAsia="Times New Roman" w:cs="Times New Roman"/>
                <w:bCs/>
                <w:color w:val="FFFFFF" w:themeColor="background1"/>
                <w:sz w:val="20"/>
                <w:szCs w:val="20"/>
                <w:lang w:val="sq-AL" w:eastAsia="en-GB"/>
              </w:rPr>
            </w:pPr>
            <w:r w:rsidRPr="00450894">
              <w:rPr>
                <w:rFonts w:eastAsia="Times New Roman" w:cs="Times New Roman"/>
                <w:bCs/>
                <w:color w:val="FFFFFF" w:themeColor="background1"/>
                <w:sz w:val="20"/>
                <w:szCs w:val="20"/>
                <w:lang w:val="sq-AL" w:eastAsia="en-GB"/>
              </w:rPr>
              <w:t>Efikasiteti</w:t>
            </w:r>
          </w:p>
        </w:tc>
        <w:tc>
          <w:tcPr>
            <w:tcW w:w="1080" w:type="dxa"/>
            <w:tcBorders>
              <w:top w:val="single" w:sz="4" w:space="0" w:color="auto"/>
              <w:left w:val="nil"/>
              <w:bottom w:val="single" w:sz="8" w:space="0" w:color="auto"/>
              <w:right w:val="nil"/>
            </w:tcBorders>
            <w:shd w:val="clear" w:color="auto" w:fill="1F3864" w:themeFill="accent5" w:themeFillShade="80"/>
            <w:vAlign w:val="center"/>
            <w:hideMark/>
          </w:tcPr>
          <w:p w:rsidR="0075093C" w:rsidRPr="00450894" w:rsidRDefault="0075093C" w:rsidP="0075093C">
            <w:pPr>
              <w:spacing w:after="0" w:line="240" w:lineRule="auto"/>
              <w:jc w:val="center"/>
              <w:rPr>
                <w:rFonts w:eastAsia="Times New Roman" w:cs="Times New Roman"/>
                <w:bCs/>
                <w:color w:val="FFFFFF" w:themeColor="background1"/>
                <w:sz w:val="20"/>
                <w:szCs w:val="20"/>
                <w:lang w:val="sq-AL" w:eastAsia="en-GB"/>
              </w:rPr>
            </w:pPr>
            <w:r w:rsidRPr="00450894">
              <w:rPr>
                <w:rFonts w:eastAsia="Times New Roman" w:cs="Times New Roman"/>
                <w:bCs/>
                <w:color w:val="FFFFFF" w:themeColor="background1"/>
                <w:sz w:val="20"/>
                <w:szCs w:val="20"/>
                <w:lang w:val="sq-AL" w:eastAsia="en-GB"/>
              </w:rPr>
              <w:t>Faktori efikasitetit</w:t>
            </w:r>
          </w:p>
        </w:tc>
        <w:tc>
          <w:tcPr>
            <w:tcW w:w="1353" w:type="dxa"/>
            <w:gridSpan w:val="2"/>
            <w:tcBorders>
              <w:top w:val="single" w:sz="4" w:space="0" w:color="auto"/>
              <w:left w:val="nil"/>
              <w:bottom w:val="single" w:sz="8" w:space="0" w:color="auto"/>
              <w:right w:val="nil"/>
            </w:tcBorders>
            <w:shd w:val="clear" w:color="auto" w:fill="1F3864" w:themeFill="accent5" w:themeFillShade="80"/>
            <w:noWrap/>
            <w:vAlign w:val="center"/>
            <w:hideMark/>
          </w:tcPr>
          <w:p w:rsidR="0075093C" w:rsidRPr="00450894" w:rsidRDefault="0075093C" w:rsidP="0075093C">
            <w:pPr>
              <w:spacing w:after="0" w:line="240" w:lineRule="auto"/>
              <w:jc w:val="center"/>
              <w:rPr>
                <w:rFonts w:eastAsia="Times New Roman" w:cs="Times New Roman"/>
                <w:bCs/>
                <w:color w:val="FFFFFF" w:themeColor="background1"/>
                <w:sz w:val="20"/>
                <w:szCs w:val="20"/>
                <w:lang w:val="sq-AL" w:eastAsia="en-GB"/>
              </w:rPr>
            </w:pPr>
            <w:r w:rsidRPr="00450894">
              <w:rPr>
                <w:rFonts w:eastAsia="Times New Roman" w:cs="Times New Roman"/>
                <w:bCs/>
                <w:color w:val="FFFFFF" w:themeColor="background1"/>
                <w:sz w:val="20"/>
                <w:szCs w:val="20"/>
                <w:lang w:val="sq-AL" w:eastAsia="en-GB"/>
              </w:rPr>
              <w:t>Extrapolimi</w:t>
            </w:r>
          </w:p>
        </w:tc>
      </w:tr>
      <w:tr w:rsidR="0075093C" w:rsidRPr="00450894" w:rsidTr="0075093C">
        <w:trPr>
          <w:trHeight w:val="285"/>
        </w:trPr>
        <w:tc>
          <w:tcPr>
            <w:tcW w:w="3315"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color w:val="000000"/>
                <w:sz w:val="20"/>
                <w:szCs w:val="20"/>
                <w:lang w:val="sq-AL" w:eastAsia="en-GB"/>
              </w:rPr>
            </w:pPr>
            <w:r w:rsidRPr="00CC5249">
              <w:rPr>
                <w:rFonts w:eastAsia="Times New Roman" w:cs="Times New Roman"/>
                <w:color w:val="000000"/>
                <w:sz w:val="20"/>
                <w:szCs w:val="20"/>
                <w:lang w:val="sq-AL" w:eastAsia="en-GB"/>
              </w:rPr>
              <w:t>Shpenzimet e personelit</w:t>
            </w:r>
          </w:p>
        </w:tc>
        <w:tc>
          <w:tcPr>
            <w:tcW w:w="739"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color w:val="000000"/>
                <w:sz w:val="20"/>
                <w:szCs w:val="20"/>
                <w:lang w:val="sq-AL" w:eastAsia="en-GB"/>
              </w:rPr>
            </w:pPr>
            <w:r w:rsidRPr="00B26335">
              <w:rPr>
                <w:rFonts w:eastAsia="Times New Roman" w:cs="Times New Roman"/>
                <w:color w:val="000000"/>
                <w:sz w:val="20"/>
                <w:szCs w:val="20"/>
                <w:lang w:val="sq-AL" w:eastAsia="en-GB"/>
              </w:rPr>
              <w:t>1,945</w:t>
            </w:r>
          </w:p>
        </w:tc>
        <w:tc>
          <w:tcPr>
            <w:tcW w:w="993"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color w:val="000000"/>
                <w:sz w:val="20"/>
                <w:szCs w:val="20"/>
                <w:lang w:val="sq-AL" w:eastAsia="en-GB"/>
              </w:rPr>
            </w:pPr>
            <w:r w:rsidRPr="00B1408C">
              <w:rPr>
                <w:rFonts w:eastAsia="Times New Roman" w:cs="Times New Roman"/>
                <w:color w:val="000000"/>
                <w:sz w:val="20"/>
                <w:szCs w:val="20"/>
                <w:lang w:val="sq-AL" w:eastAsia="en-GB"/>
              </w:rPr>
              <w:t>1,877</w:t>
            </w:r>
          </w:p>
        </w:tc>
        <w:tc>
          <w:tcPr>
            <w:tcW w:w="77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68</w:t>
            </w:r>
          </w:p>
        </w:tc>
        <w:tc>
          <w:tcPr>
            <w:tcW w:w="101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w:t>
            </w:r>
          </w:p>
        </w:tc>
        <w:tc>
          <w:tcPr>
            <w:tcW w:w="1080"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p>
        </w:tc>
        <w:tc>
          <w:tcPr>
            <w:tcW w:w="622"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w:t>
            </w:r>
          </w:p>
        </w:tc>
        <w:tc>
          <w:tcPr>
            <w:tcW w:w="73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3,740</w:t>
            </w:r>
          </w:p>
        </w:tc>
      </w:tr>
      <w:tr w:rsidR="0075093C" w:rsidRPr="00450894" w:rsidTr="0075093C">
        <w:trPr>
          <w:trHeight w:val="288"/>
        </w:trPr>
        <w:tc>
          <w:tcPr>
            <w:tcW w:w="3315"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color w:val="000000"/>
                <w:sz w:val="20"/>
                <w:szCs w:val="20"/>
                <w:lang w:val="sq-AL" w:eastAsia="en-GB"/>
              </w:rPr>
            </w:pPr>
            <w:r w:rsidRPr="00CC5249">
              <w:rPr>
                <w:rFonts w:eastAsia="Times New Roman" w:cs="Times New Roman"/>
                <w:color w:val="000000"/>
                <w:sz w:val="20"/>
                <w:szCs w:val="20"/>
                <w:lang w:val="sq-AL" w:eastAsia="en-GB"/>
              </w:rPr>
              <w:t>Mirëmbajtja, Inventari dhe Furnizimet</w:t>
            </w:r>
          </w:p>
        </w:tc>
        <w:tc>
          <w:tcPr>
            <w:tcW w:w="739"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color w:val="000000"/>
                <w:sz w:val="20"/>
                <w:szCs w:val="20"/>
                <w:lang w:val="sq-AL" w:eastAsia="en-GB"/>
              </w:rPr>
            </w:pPr>
            <w:r w:rsidRPr="00B26335">
              <w:rPr>
                <w:rFonts w:eastAsia="Times New Roman" w:cs="Times New Roman"/>
                <w:color w:val="000000"/>
                <w:sz w:val="20"/>
                <w:szCs w:val="20"/>
                <w:lang w:val="sq-AL" w:eastAsia="en-GB"/>
              </w:rPr>
              <w:t>69</w:t>
            </w:r>
          </w:p>
        </w:tc>
        <w:tc>
          <w:tcPr>
            <w:tcW w:w="993"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color w:val="000000"/>
                <w:sz w:val="20"/>
                <w:szCs w:val="20"/>
                <w:lang w:val="sq-AL" w:eastAsia="en-GB"/>
              </w:rPr>
            </w:pPr>
            <w:r w:rsidRPr="00B1408C">
              <w:rPr>
                <w:rFonts w:eastAsia="Times New Roman" w:cs="Times New Roman"/>
                <w:color w:val="000000"/>
                <w:sz w:val="20"/>
                <w:szCs w:val="20"/>
                <w:lang w:val="sq-AL" w:eastAsia="en-GB"/>
              </w:rPr>
              <w:t>81</w:t>
            </w:r>
          </w:p>
        </w:tc>
        <w:tc>
          <w:tcPr>
            <w:tcW w:w="77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(12)</w:t>
            </w:r>
          </w:p>
        </w:tc>
        <w:tc>
          <w:tcPr>
            <w:tcW w:w="101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12</w:t>
            </w:r>
          </w:p>
        </w:tc>
        <w:tc>
          <w:tcPr>
            <w:tcW w:w="1080"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p>
        </w:tc>
        <w:tc>
          <w:tcPr>
            <w:tcW w:w="622"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2017</w:t>
            </w:r>
          </w:p>
        </w:tc>
        <w:tc>
          <w:tcPr>
            <w:tcW w:w="73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3,723</w:t>
            </w:r>
          </w:p>
        </w:tc>
      </w:tr>
      <w:tr w:rsidR="0075093C" w:rsidRPr="00450894" w:rsidTr="0075093C">
        <w:trPr>
          <w:trHeight w:val="288"/>
        </w:trPr>
        <w:tc>
          <w:tcPr>
            <w:tcW w:w="3315"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color w:val="000000"/>
                <w:sz w:val="20"/>
                <w:szCs w:val="20"/>
                <w:lang w:val="sq-AL" w:eastAsia="en-GB"/>
              </w:rPr>
            </w:pPr>
            <w:r w:rsidRPr="00CC5249">
              <w:rPr>
                <w:rFonts w:eastAsia="Times New Roman" w:cs="Times New Roman"/>
                <w:color w:val="000000"/>
                <w:sz w:val="20"/>
                <w:szCs w:val="20"/>
                <w:lang w:val="sq-AL" w:eastAsia="en-GB"/>
              </w:rPr>
              <w:t>Sigurimi</w:t>
            </w:r>
          </w:p>
        </w:tc>
        <w:tc>
          <w:tcPr>
            <w:tcW w:w="739"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color w:val="000000"/>
                <w:sz w:val="20"/>
                <w:szCs w:val="20"/>
                <w:lang w:val="sq-AL" w:eastAsia="en-GB"/>
              </w:rPr>
            </w:pPr>
            <w:r w:rsidRPr="00B26335">
              <w:rPr>
                <w:rFonts w:eastAsia="Times New Roman" w:cs="Times New Roman"/>
                <w:color w:val="000000"/>
                <w:sz w:val="20"/>
                <w:szCs w:val="20"/>
                <w:lang w:val="sq-AL" w:eastAsia="en-GB"/>
              </w:rPr>
              <w:t>282</w:t>
            </w:r>
          </w:p>
        </w:tc>
        <w:tc>
          <w:tcPr>
            <w:tcW w:w="993"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color w:val="000000"/>
                <w:sz w:val="20"/>
                <w:szCs w:val="20"/>
                <w:lang w:val="sq-AL" w:eastAsia="en-GB"/>
              </w:rPr>
            </w:pPr>
            <w:r w:rsidRPr="00B1408C">
              <w:rPr>
                <w:rFonts w:eastAsia="Times New Roman" w:cs="Times New Roman"/>
                <w:color w:val="000000"/>
                <w:sz w:val="20"/>
                <w:szCs w:val="20"/>
                <w:lang w:val="sq-AL" w:eastAsia="en-GB"/>
              </w:rPr>
              <w:t>340</w:t>
            </w:r>
          </w:p>
        </w:tc>
        <w:tc>
          <w:tcPr>
            <w:tcW w:w="77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(58)</w:t>
            </w:r>
          </w:p>
        </w:tc>
        <w:tc>
          <w:tcPr>
            <w:tcW w:w="101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58</w:t>
            </w:r>
          </w:p>
        </w:tc>
        <w:tc>
          <w:tcPr>
            <w:tcW w:w="1080"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p>
        </w:tc>
        <w:tc>
          <w:tcPr>
            <w:tcW w:w="622"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2018</w:t>
            </w:r>
          </w:p>
        </w:tc>
        <w:tc>
          <w:tcPr>
            <w:tcW w:w="73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3,705</w:t>
            </w:r>
          </w:p>
        </w:tc>
      </w:tr>
      <w:tr w:rsidR="0075093C" w:rsidRPr="00450894" w:rsidTr="0075093C">
        <w:trPr>
          <w:trHeight w:val="288"/>
        </w:trPr>
        <w:tc>
          <w:tcPr>
            <w:tcW w:w="3315" w:type="dxa"/>
            <w:tcBorders>
              <w:top w:val="nil"/>
              <w:left w:val="nil"/>
              <w:bottom w:val="nil"/>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color w:val="000000"/>
                <w:sz w:val="20"/>
                <w:szCs w:val="20"/>
                <w:lang w:val="sq-AL" w:eastAsia="en-GB"/>
              </w:rPr>
            </w:pPr>
            <w:r w:rsidRPr="00CC5249">
              <w:rPr>
                <w:rFonts w:eastAsia="Times New Roman" w:cs="Times New Roman"/>
                <w:color w:val="000000"/>
                <w:sz w:val="20"/>
                <w:szCs w:val="20"/>
                <w:lang w:val="sq-AL" w:eastAsia="en-GB"/>
              </w:rPr>
              <w:t>Kosto të tjera operative</w:t>
            </w:r>
          </w:p>
        </w:tc>
        <w:tc>
          <w:tcPr>
            <w:tcW w:w="739" w:type="dxa"/>
            <w:tcBorders>
              <w:top w:val="nil"/>
              <w:left w:val="nil"/>
              <w:bottom w:val="nil"/>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color w:val="000000"/>
                <w:sz w:val="20"/>
                <w:szCs w:val="20"/>
                <w:lang w:val="sq-AL" w:eastAsia="en-GB"/>
              </w:rPr>
            </w:pPr>
            <w:r w:rsidRPr="00B26335">
              <w:rPr>
                <w:rFonts w:eastAsia="Times New Roman" w:cs="Times New Roman"/>
                <w:color w:val="000000"/>
                <w:sz w:val="20"/>
                <w:szCs w:val="20"/>
                <w:lang w:val="sq-AL" w:eastAsia="en-GB"/>
              </w:rPr>
              <w:t>1,191</w:t>
            </w:r>
          </w:p>
        </w:tc>
        <w:tc>
          <w:tcPr>
            <w:tcW w:w="993" w:type="dxa"/>
            <w:tcBorders>
              <w:top w:val="nil"/>
              <w:left w:val="nil"/>
              <w:bottom w:val="nil"/>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color w:val="000000"/>
                <w:sz w:val="20"/>
                <w:szCs w:val="20"/>
                <w:lang w:val="sq-AL" w:eastAsia="en-GB"/>
              </w:rPr>
            </w:pPr>
            <w:r w:rsidRPr="00B1408C">
              <w:rPr>
                <w:rFonts w:eastAsia="Times New Roman" w:cs="Times New Roman"/>
                <w:color w:val="000000"/>
                <w:sz w:val="20"/>
                <w:szCs w:val="20"/>
                <w:lang w:val="sq-AL" w:eastAsia="en-GB"/>
              </w:rPr>
              <w:t>951</w:t>
            </w:r>
          </w:p>
        </w:tc>
        <w:tc>
          <w:tcPr>
            <w:tcW w:w="779"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240</w:t>
            </w:r>
          </w:p>
        </w:tc>
        <w:tc>
          <w:tcPr>
            <w:tcW w:w="101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w:t>
            </w:r>
          </w:p>
        </w:tc>
        <w:tc>
          <w:tcPr>
            <w:tcW w:w="1080"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p>
        </w:tc>
        <w:tc>
          <w:tcPr>
            <w:tcW w:w="622"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2019</w:t>
            </w:r>
          </w:p>
        </w:tc>
        <w:tc>
          <w:tcPr>
            <w:tcW w:w="731" w:type="dxa"/>
            <w:tcBorders>
              <w:top w:val="nil"/>
              <w:left w:val="nil"/>
              <w:bottom w:val="nil"/>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3,688</w:t>
            </w:r>
          </w:p>
        </w:tc>
      </w:tr>
      <w:tr w:rsidR="0075093C" w:rsidRPr="00450894" w:rsidTr="0075093C">
        <w:trPr>
          <w:trHeight w:val="288"/>
        </w:trPr>
        <w:tc>
          <w:tcPr>
            <w:tcW w:w="3315" w:type="dxa"/>
            <w:tcBorders>
              <w:top w:val="nil"/>
              <w:left w:val="nil"/>
              <w:bottom w:val="single" w:sz="4" w:space="0" w:color="auto"/>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color w:val="000000"/>
                <w:sz w:val="20"/>
                <w:szCs w:val="20"/>
                <w:lang w:val="sq-AL" w:eastAsia="en-GB"/>
              </w:rPr>
            </w:pPr>
            <w:r w:rsidRPr="00CC5249">
              <w:rPr>
                <w:rFonts w:eastAsia="Times New Roman" w:cs="Times New Roman"/>
                <w:color w:val="000000"/>
                <w:sz w:val="20"/>
                <w:szCs w:val="20"/>
                <w:lang w:val="sq-AL" w:eastAsia="en-GB"/>
              </w:rPr>
              <w:t>Shpenzimet financiare</w:t>
            </w:r>
          </w:p>
        </w:tc>
        <w:tc>
          <w:tcPr>
            <w:tcW w:w="739" w:type="dxa"/>
            <w:tcBorders>
              <w:top w:val="nil"/>
              <w:left w:val="nil"/>
              <w:bottom w:val="single" w:sz="4" w:space="0" w:color="auto"/>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color w:val="000000"/>
                <w:sz w:val="20"/>
                <w:szCs w:val="20"/>
                <w:lang w:val="sq-AL" w:eastAsia="en-GB"/>
              </w:rPr>
            </w:pPr>
            <w:r w:rsidRPr="00B26335">
              <w:rPr>
                <w:rFonts w:eastAsia="Times New Roman" w:cs="Times New Roman"/>
                <w:color w:val="000000"/>
                <w:sz w:val="20"/>
                <w:szCs w:val="20"/>
                <w:lang w:val="sq-AL" w:eastAsia="en-GB"/>
              </w:rPr>
              <w:t>567</w:t>
            </w:r>
          </w:p>
        </w:tc>
        <w:tc>
          <w:tcPr>
            <w:tcW w:w="993" w:type="dxa"/>
            <w:tcBorders>
              <w:top w:val="nil"/>
              <w:left w:val="nil"/>
              <w:bottom w:val="single" w:sz="4" w:space="0" w:color="auto"/>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color w:val="000000"/>
                <w:sz w:val="20"/>
                <w:szCs w:val="20"/>
                <w:lang w:val="sq-AL" w:eastAsia="en-GB"/>
              </w:rPr>
            </w:pPr>
            <w:r w:rsidRPr="00B1408C">
              <w:rPr>
                <w:rFonts w:eastAsia="Times New Roman" w:cs="Times New Roman"/>
                <w:color w:val="000000"/>
                <w:sz w:val="20"/>
                <w:szCs w:val="20"/>
                <w:lang w:val="sq-AL" w:eastAsia="en-GB"/>
              </w:rPr>
              <w:t>422</w:t>
            </w:r>
          </w:p>
        </w:tc>
        <w:tc>
          <w:tcPr>
            <w:tcW w:w="779" w:type="dxa"/>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147</w:t>
            </w:r>
          </w:p>
        </w:tc>
        <w:tc>
          <w:tcPr>
            <w:tcW w:w="1011" w:type="dxa"/>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w:t>
            </w:r>
          </w:p>
        </w:tc>
        <w:tc>
          <w:tcPr>
            <w:tcW w:w="1080" w:type="dxa"/>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-0.47%</w:t>
            </w:r>
          </w:p>
        </w:tc>
        <w:tc>
          <w:tcPr>
            <w:tcW w:w="622" w:type="dxa"/>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2020</w:t>
            </w:r>
          </w:p>
        </w:tc>
        <w:tc>
          <w:tcPr>
            <w:tcW w:w="731" w:type="dxa"/>
            <w:tcBorders>
              <w:top w:val="nil"/>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color w:val="000000"/>
                <w:sz w:val="20"/>
                <w:szCs w:val="20"/>
                <w:lang w:val="sq-AL" w:eastAsia="en-GB"/>
              </w:rPr>
            </w:pPr>
            <w:r w:rsidRPr="00450894">
              <w:rPr>
                <w:rFonts w:eastAsia="Times New Roman" w:cs="Times New Roman"/>
                <w:color w:val="000000"/>
                <w:sz w:val="20"/>
                <w:szCs w:val="20"/>
                <w:lang w:val="sq-AL" w:eastAsia="en-GB"/>
              </w:rPr>
              <w:t>3,671</w:t>
            </w:r>
          </w:p>
        </w:tc>
      </w:tr>
      <w:tr w:rsidR="0075093C" w:rsidRPr="00450894" w:rsidTr="0075093C">
        <w:trPr>
          <w:trHeight w:val="288"/>
        </w:trPr>
        <w:tc>
          <w:tcPr>
            <w:tcW w:w="3315" w:type="dxa"/>
            <w:tcBorders>
              <w:top w:val="single" w:sz="4" w:space="0" w:color="auto"/>
              <w:left w:val="nil"/>
              <w:bottom w:val="single" w:sz="4" w:space="0" w:color="auto"/>
              <w:right w:val="nil"/>
            </w:tcBorders>
            <w:shd w:val="clear" w:color="000000" w:fill="FFFFFF"/>
            <w:noWrap/>
            <w:vAlign w:val="center"/>
            <w:hideMark/>
          </w:tcPr>
          <w:p w:rsidR="0075093C" w:rsidRPr="00CC5249" w:rsidRDefault="0075093C" w:rsidP="0075093C">
            <w:pPr>
              <w:spacing w:after="0" w:line="240" w:lineRule="auto"/>
              <w:rPr>
                <w:rFonts w:eastAsia="Times New Roman" w:cs="Times New Roman"/>
                <w:b/>
                <w:bCs/>
                <w:color w:val="000000"/>
                <w:sz w:val="20"/>
                <w:szCs w:val="20"/>
                <w:lang w:val="sq-AL" w:eastAsia="en-GB"/>
              </w:rPr>
            </w:pPr>
            <w:r w:rsidRPr="00CC5249">
              <w:rPr>
                <w:rFonts w:eastAsia="Times New Roman" w:cs="Times New Roman"/>
                <w:b/>
                <w:bCs/>
                <w:color w:val="000000"/>
                <w:sz w:val="20"/>
                <w:szCs w:val="20"/>
                <w:lang w:val="sq-AL" w:eastAsia="en-GB"/>
              </w:rPr>
              <w:t>Total</w:t>
            </w:r>
          </w:p>
        </w:tc>
        <w:tc>
          <w:tcPr>
            <w:tcW w:w="739" w:type="dxa"/>
            <w:tcBorders>
              <w:top w:val="single" w:sz="4" w:space="0" w:color="auto"/>
              <w:left w:val="nil"/>
              <w:bottom w:val="single" w:sz="4" w:space="0" w:color="auto"/>
              <w:right w:val="nil"/>
            </w:tcBorders>
            <w:shd w:val="clear" w:color="000000" w:fill="FFFFFF"/>
            <w:noWrap/>
            <w:vAlign w:val="center"/>
            <w:hideMark/>
          </w:tcPr>
          <w:p w:rsidR="0075093C" w:rsidRPr="00B26335" w:rsidRDefault="0075093C" w:rsidP="0075093C">
            <w:pPr>
              <w:spacing w:after="0" w:line="240" w:lineRule="auto"/>
              <w:jc w:val="center"/>
              <w:rPr>
                <w:rFonts w:eastAsia="Times New Roman" w:cs="Times New Roman"/>
                <w:b/>
                <w:bCs/>
                <w:color w:val="000000"/>
                <w:sz w:val="20"/>
                <w:szCs w:val="20"/>
                <w:lang w:val="sq-AL" w:eastAsia="en-GB"/>
              </w:rPr>
            </w:pPr>
            <w:r w:rsidRPr="00B26335">
              <w:rPr>
                <w:rFonts w:eastAsia="Times New Roman" w:cs="Times New Roman"/>
                <w:b/>
                <w:bCs/>
                <w:color w:val="000000"/>
                <w:sz w:val="20"/>
                <w:szCs w:val="20"/>
                <w:lang w:val="sq-AL" w:eastAsia="en-GB"/>
              </w:rPr>
              <w:t>4,054</w:t>
            </w:r>
          </w:p>
        </w:tc>
        <w:tc>
          <w:tcPr>
            <w:tcW w:w="993" w:type="dxa"/>
            <w:tcBorders>
              <w:top w:val="single" w:sz="4" w:space="0" w:color="auto"/>
              <w:left w:val="nil"/>
              <w:bottom w:val="single" w:sz="4" w:space="0" w:color="auto"/>
              <w:right w:val="nil"/>
            </w:tcBorders>
            <w:shd w:val="clear" w:color="000000" w:fill="FFFFFF"/>
            <w:noWrap/>
            <w:vAlign w:val="center"/>
            <w:hideMark/>
          </w:tcPr>
          <w:p w:rsidR="0075093C" w:rsidRPr="00B1408C" w:rsidRDefault="0075093C" w:rsidP="0075093C">
            <w:pPr>
              <w:spacing w:after="0" w:line="240" w:lineRule="auto"/>
              <w:jc w:val="center"/>
              <w:rPr>
                <w:rFonts w:eastAsia="Times New Roman" w:cs="Times New Roman"/>
                <w:b/>
                <w:bCs/>
                <w:color w:val="000000"/>
                <w:sz w:val="20"/>
                <w:szCs w:val="20"/>
                <w:lang w:val="sq-AL" w:eastAsia="en-GB"/>
              </w:rPr>
            </w:pPr>
            <w:r w:rsidRPr="00B1408C">
              <w:rPr>
                <w:rFonts w:eastAsia="Times New Roman" w:cs="Times New Roman"/>
                <w:b/>
                <w:bCs/>
                <w:color w:val="000000"/>
                <w:sz w:val="20"/>
                <w:szCs w:val="20"/>
                <w:lang w:val="sq-AL" w:eastAsia="en-GB"/>
              </w:rPr>
              <w:t>3,671</w:t>
            </w:r>
          </w:p>
        </w:tc>
        <w:tc>
          <w:tcPr>
            <w:tcW w:w="779" w:type="dxa"/>
            <w:tcBorders>
              <w:top w:val="single" w:sz="4" w:space="0" w:color="auto"/>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b/>
                <w:bCs/>
                <w:color w:val="000000"/>
                <w:sz w:val="20"/>
                <w:szCs w:val="20"/>
                <w:lang w:val="sq-AL" w:eastAsia="en-GB"/>
              </w:rPr>
            </w:pPr>
            <w:r w:rsidRPr="00450894">
              <w:rPr>
                <w:rFonts w:eastAsia="Times New Roman" w:cs="Times New Roman"/>
                <w:b/>
                <w:bCs/>
                <w:color w:val="000000"/>
                <w:sz w:val="20"/>
                <w:szCs w:val="20"/>
                <w:lang w:val="sq-AL" w:eastAsia="en-GB"/>
              </w:rPr>
              <w:t>191</w:t>
            </w:r>
          </w:p>
        </w:tc>
        <w:tc>
          <w:tcPr>
            <w:tcW w:w="1011" w:type="dxa"/>
            <w:tcBorders>
              <w:top w:val="single" w:sz="4" w:space="0" w:color="auto"/>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b/>
                <w:bCs/>
                <w:color w:val="000000"/>
                <w:sz w:val="20"/>
                <w:szCs w:val="20"/>
                <w:lang w:val="sq-AL" w:eastAsia="en-GB"/>
              </w:rPr>
            </w:pPr>
            <w:r w:rsidRPr="00450894">
              <w:rPr>
                <w:rFonts w:eastAsia="Times New Roman" w:cs="Times New Roman"/>
                <w:b/>
                <w:bCs/>
                <w:color w:val="000000"/>
                <w:sz w:val="20"/>
                <w:szCs w:val="20"/>
                <w:lang w:val="sq-AL" w:eastAsia="en-GB"/>
              </w:rPr>
              <w:t>70</w:t>
            </w:r>
          </w:p>
        </w:tc>
        <w:tc>
          <w:tcPr>
            <w:tcW w:w="1080" w:type="dxa"/>
            <w:tcBorders>
              <w:top w:val="single" w:sz="4" w:space="0" w:color="auto"/>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b/>
                <w:bCs/>
                <w:color w:val="000000"/>
                <w:sz w:val="20"/>
                <w:szCs w:val="20"/>
                <w:lang w:val="sq-AL" w:eastAsia="en-GB"/>
              </w:rPr>
            </w:pPr>
            <w:r w:rsidRPr="00450894">
              <w:rPr>
                <w:rFonts w:eastAsia="Times New Roman" w:cs="Times New Roman"/>
                <w:b/>
                <w:bCs/>
                <w:color w:val="000000"/>
                <w:sz w:val="20"/>
                <w:szCs w:val="20"/>
                <w:lang w:val="sq-AL" w:eastAsia="en-GB"/>
              </w:rPr>
              <w:t>-0.47%</w:t>
            </w:r>
          </w:p>
        </w:tc>
        <w:tc>
          <w:tcPr>
            <w:tcW w:w="622" w:type="dxa"/>
            <w:tcBorders>
              <w:top w:val="single" w:sz="4" w:space="0" w:color="auto"/>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b/>
                <w:bCs/>
                <w:color w:val="000000"/>
                <w:sz w:val="20"/>
                <w:szCs w:val="20"/>
                <w:lang w:val="sq-AL" w:eastAsia="en-GB"/>
              </w:rPr>
            </w:pPr>
            <w:r w:rsidRPr="00450894">
              <w:rPr>
                <w:rFonts w:eastAsia="Times New Roman" w:cs="Times New Roman"/>
                <w:b/>
                <w:bCs/>
                <w:color w:val="000000"/>
                <w:sz w:val="20"/>
                <w:szCs w:val="20"/>
                <w:lang w:val="sq-AL" w:eastAsia="en-GB"/>
              </w:rPr>
              <w:t>2021</w:t>
            </w:r>
          </w:p>
        </w:tc>
        <w:tc>
          <w:tcPr>
            <w:tcW w:w="731" w:type="dxa"/>
            <w:tcBorders>
              <w:top w:val="single" w:sz="4" w:space="0" w:color="auto"/>
              <w:left w:val="nil"/>
              <w:bottom w:val="single" w:sz="4" w:space="0" w:color="auto"/>
              <w:right w:val="nil"/>
            </w:tcBorders>
            <w:shd w:val="clear" w:color="000000" w:fill="FFFFFF"/>
            <w:noWrap/>
            <w:vAlign w:val="center"/>
            <w:hideMark/>
          </w:tcPr>
          <w:p w:rsidR="0075093C" w:rsidRPr="00450894" w:rsidRDefault="0075093C" w:rsidP="0075093C">
            <w:pPr>
              <w:spacing w:after="0" w:line="240" w:lineRule="auto"/>
              <w:jc w:val="center"/>
              <w:rPr>
                <w:rFonts w:eastAsia="Times New Roman" w:cs="Times New Roman"/>
                <w:b/>
                <w:bCs/>
                <w:color w:val="000000"/>
                <w:sz w:val="20"/>
                <w:szCs w:val="20"/>
                <w:lang w:val="sq-AL" w:eastAsia="en-GB"/>
              </w:rPr>
            </w:pPr>
            <w:r w:rsidRPr="00450894">
              <w:rPr>
                <w:rFonts w:eastAsia="Times New Roman" w:cs="Times New Roman"/>
                <w:b/>
                <w:bCs/>
                <w:color w:val="000000"/>
                <w:sz w:val="20"/>
                <w:szCs w:val="20"/>
                <w:lang w:val="sq-AL" w:eastAsia="en-GB"/>
              </w:rPr>
              <w:t>3,671</w:t>
            </w:r>
          </w:p>
        </w:tc>
      </w:tr>
    </w:tbl>
    <w:p w:rsidR="0075093C" w:rsidRPr="00CC5249" w:rsidRDefault="0075093C" w:rsidP="0075093C">
      <w:pPr>
        <w:rPr>
          <w:lang w:val="sq-AL"/>
        </w:rPr>
      </w:pPr>
    </w:p>
    <w:p w:rsidR="0075093C" w:rsidRPr="003C06AF" w:rsidRDefault="0075093C" w:rsidP="0075093C">
      <w:pPr>
        <w:rPr>
          <w:lang w:val="sq-AL"/>
        </w:rPr>
      </w:pPr>
      <w:r w:rsidRPr="00B26335">
        <w:rPr>
          <w:lang w:val="sq-AL"/>
        </w:rPr>
        <w:t xml:space="preserve">Faktori i </w:t>
      </w:r>
      <w:r w:rsidR="00A905B3" w:rsidRPr="00B26335">
        <w:rPr>
          <w:lang w:val="sq-AL"/>
        </w:rPr>
        <w:t>efikasitetit</w:t>
      </w:r>
      <w:r w:rsidRPr="00B26335">
        <w:rPr>
          <w:lang w:val="sq-AL"/>
        </w:rPr>
        <w:t xml:space="preserve"> = [</w:t>
      </w:r>
      <w:r w:rsidRPr="007F49D2">
        <w:rPr>
          <w:lang w:val="sq-AL"/>
        </w:rPr>
        <w:t>(3671)/(3671+70)]^(1/4</w:t>
      </w:r>
      <w:r w:rsidRPr="00540B57">
        <w:rPr>
          <w:lang w:val="sq-AL"/>
        </w:rPr>
        <w:t>)-1</w:t>
      </w:r>
      <w:r w:rsidRPr="003C06AF">
        <w:rPr>
          <w:lang w:val="sq-AL"/>
        </w:rPr>
        <w:t xml:space="preserve"> = -0.5%</w:t>
      </w:r>
    </w:p>
    <w:p w:rsidR="0075093C" w:rsidRPr="00450894" w:rsidRDefault="0075093C" w:rsidP="00A905B3">
      <w:pPr>
        <w:jc w:val="both"/>
        <w:rPr>
          <w:lang w:val="sq-AL"/>
        </w:rPr>
      </w:pPr>
      <w:r w:rsidRPr="003C06AF">
        <w:rPr>
          <w:lang w:val="sq-AL"/>
        </w:rPr>
        <w:t>ZRRE thekson se ndikimi i rritjes s</w:t>
      </w:r>
      <w:r>
        <w:rPr>
          <w:lang w:val="sq-AL"/>
        </w:rPr>
        <w:t>ë</w:t>
      </w:r>
      <w:r w:rsidRPr="003C06AF">
        <w:rPr>
          <w:lang w:val="sq-AL"/>
        </w:rPr>
        <w:t xml:space="preserve"> numrit të konsumatorëve ndaj kostove operative nuk </w:t>
      </w:r>
      <w:r>
        <w:rPr>
          <w:lang w:val="sq-AL"/>
        </w:rPr>
        <w:t>ë</w:t>
      </w:r>
      <w:r w:rsidRPr="003C06AF">
        <w:rPr>
          <w:lang w:val="sq-AL"/>
        </w:rPr>
        <w:t>sht</w:t>
      </w:r>
      <w:r>
        <w:rPr>
          <w:lang w:val="sq-AL"/>
        </w:rPr>
        <w:t>ë</w:t>
      </w:r>
      <w:r w:rsidRPr="003C06AF">
        <w:rPr>
          <w:lang w:val="sq-AL"/>
        </w:rPr>
        <w:t xml:space="preserve"> signifikant</w:t>
      </w:r>
      <w:r w:rsidRPr="00B1408C">
        <w:rPr>
          <w:lang w:val="sq-AL"/>
        </w:rPr>
        <w:t>, rrjedhimisht numri i konsumatorëve nuk konsiderohet si shtytës meritor i rritjes së kostove operat</w:t>
      </w:r>
      <w:r w:rsidRPr="00450894">
        <w:rPr>
          <w:lang w:val="sq-AL"/>
        </w:rPr>
        <w:t xml:space="preserve">ive. Kjo nënkupton që shumica e kostove operative të FSHU-së janë fikse, për më tepër nga analizimi i të dhënave të </w:t>
      </w:r>
      <w:r w:rsidR="00A905B3" w:rsidRPr="00450894">
        <w:rPr>
          <w:lang w:val="sq-AL"/>
        </w:rPr>
        <w:t>prezantuara</w:t>
      </w:r>
      <w:r w:rsidRPr="00450894">
        <w:rPr>
          <w:lang w:val="sq-AL"/>
        </w:rPr>
        <w:t xml:space="preserve"> nga FSHU shihet se ka një relacion të </w:t>
      </w:r>
      <w:r w:rsidR="00A905B3" w:rsidRPr="00450894">
        <w:rPr>
          <w:lang w:val="sq-AL"/>
        </w:rPr>
        <w:t>zhdrejtë</w:t>
      </w:r>
      <w:r w:rsidRPr="00450894">
        <w:rPr>
          <w:lang w:val="sq-AL"/>
        </w:rPr>
        <w:t xml:space="preserve"> ndërmjet OPEX-it të realizuar dhe </w:t>
      </w:r>
      <w:r w:rsidR="00A905B3" w:rsidRPr="00450894">
        <w:rPr>
          <w:lang w:val="sq-AL"/>
        </w:rPr>
        <w:t>numrit</w:t>
      </w:r>
      <w:r w:rsidRPr="00450894">
        <w:rPr>
          <w:lang w:val="sq-AL"/>
        </w:rPr>
        <w:t xml:space="preserve"> të konsumatorëve, që nënkupton se FSHU ka mundur të ofrojë shë</w:t>
      </w:r>
      <w:r w:rsidR="00E742CD">
        <w:rPr>
          <w:lang w:val="sq-AL"/>
        </w:rPr>
        <w:t>r</w:t>
      </w:r>
      <w:r w:rsidRPr="00450894">
        <w:rPr>
          <w:lang w:val="sq-AL"/>
        </w:rPr>
        <w:t xml:space="preserve">bime për trendin e rritjes së konsumatorëve duke qenë </w:t>
      </w:r>
      <w:r w:rsidR="00A905B3" w:rsidRPr="00450894">
        <w:rPr>
          <w:lang w:val="sq-AL"/>
        </w:rPr>
        <w:t>efecientë</w:t>
      </w:r>
      <w:r w:rsidRPr="00450894">
        <w:rPr>
          <w:lang w:val="sq-AL"/>
        </w:rPr>
        <w:t>. Për më tepër edhe shërbimet e leximit, faturimit janë aktivitete të OSSh, poashtu edhe automatizimi i proceseve të pagesave nënkupton ulje të kostove operative. Në figurën më poshtë është paraqitur faktori efikasitetit.</w:t>
      </w:r>
    </w:p>
    <w:p w:rsidR="0075093C" w:rsidRPr="00CC5249" w:rsidRDefault="0075093C" w:rsidP="0075093C">
      <w:pPr>
        <w:pStyle w:val="Caption"/>
        <w:jc w:val="left"/>
        <w:rPr>
          <w:lang w:val="sq-AL"/>
        </w:rPr>
      </w:pPr>
      <w:r w:rsidRPr="00724407">
        <w:rPr>
          <w:lang w:val="sq-AL"/>
        </w:rPr>
        <w:t xml:space="preserve">Figura </w:t>
      </w:r>
      <w:r>
        <w:rPr>
          <w:lang w:val="sq-AL"/>
        </w:rPr>
        <w:t>2</w:t>
      </w:r>
      <w:r w:rsidRPr="00CC5249">
        <w:rPr>
          <w:lang w:val="sq-AL"/>
        </w:rPr>
        <w:t xml:space="preserve"> </w:t>
      </w:r>
      <w:r>
        <w:rPr>
          <w:lang w:val="sq-AL"/>
        </w:rPr>
        <w:t>Faktori i efikasitetit</w:t>
      </w:r>
    </w:p>
    <w:p w:rsidR="0075093C" w:rsidRPr="00CC5249" w:rsidRDefault="0075093C" w:rsidP="0075093C">
      <w:pPr>
        <w:rPr>
          <w:lang w:val="sq-AL"/>
        </w:rPr>
      </w:pPr>
      <w:r w:rsidRPr="00450894">
        <w:rPr>
          <w:noProof/>
        </w:rPr>
        <mc:AlternateContent>
          <mc:Choice Requires="wpg">
            <w:drawing>
              <wp:inline distT="0" distB="0" distL="0" distR="0" wp14:anchorId="6110E29A" wp14:editId="5FD22B39">
                <wp:extent cx="4662171" cy="2698114"/>
                <wp:effectExtent l="0" t="0" r="5080" b="7620"/>
                <wp:docPr id="14" name="Group 1"/>
                <wp:cNvGraphicFramePr/>
                <a:graphic xmlns:a="http://schemas.openxmlformats.org/drawingml/2006/main">
                  <a:graphicData uri="http://schemas.microsoft.com/office/word/2010/wordprocessingGroup">
                    <wpg:wgp>
                      <wpg:cNvGrpSpPr/>
                      <wpg:grpSpPr>
                        <a:xfrm>
                          <a:off x="0" y="0"/>
                          <a:ext cx="4662171" cy="2698114"/>
                          <a:chOff x="23857" y="0"/>
                          <a:chExt cx="4662694" cy="2698475"/>
                        </a:xfrm>
                      </wpg:grpSpPr>
                      <wpg:graphicFrame>
                        <wpg:cNvPr id="15" name="Chart 15"/>
                        <wpg:cNvFrPr/>
                        <wpg:xfrm>
                          <a:off x="23857" y="0"/>
                          <a:ext cx="4662694" cy="2698475"/>
                        </wpg:xfrm>
                        <a:graphic>
                          <a:graphicData uri="http://schemas.openxmlformats.org/drawingml/2006/chart">
                            <c:chart xmlns:c="http://schemas.openxmlformats.org/drawingml/2006/chart" xmlns:r="http://schemas.openxmlformats.org/officeDocument/2006/relationships" r:id="rId11"/>
                          </a:graphicData>
                        </a:graphic>
                      </wpg:graphicFrame>
                      <wpg:grpSp>
                        <wpg:cNvPr id="16" name="Group 16"/>
                        <wpg:cNvGrpSpPr/>
                        <wpg:grpSpPr>
                          <a:xfrm>
                            <a:off x="1418463" y="461238"/>
                            <a:ext cx="2087127" cy="853054"/>
                            <a:chOff x="1332494" y="466941"/>
                            <a:chExt cx="2087127" cy="545827"/>
                          </a:xfrm>
                        </wpg:grpSpPr>
                        <wps:wsp>
                          <wps:cNvPr id="17" name="Straight Arrow Connector 17"/>
                          <wps:cNvCnPr/>
                          <wps:spPr>
                            <a:xfrm>
                              <a:off x="3419621" y="601048"/>
                              <a:ext cx="0" cy="2882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332494" y="587167"/>
                              <a:ext cx="2083679" cy="139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1334713" y="585732"/>
                              <a:ext cx="1297" cy="4270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Oval 20"/>
                          <wps:cNvSpPr/>
                          <wps:spPr>
                            <a:xfrm>
                              <a:off x="2249561" y="466941"/>
                              <a:ext cx="593052" cy="223613"/>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85B1F" w:rsidRDefault="00C85B1F" w:rsidP="0075093C">
                                <w:pPr>
                                  <w:pStyle w:val="NormalWeb"/>
                                  <w:spacing w:before="0" w:beforeAutospacing="0" w:after="0" w:afterAutospacing="0"/>
                                </w:pPr>
                                <w:r>
                                  <w:rPr>
                                    <w:rFonts w:asciiTheme="minorHAnsi" w:hAnsi="Calibri" w:cstheme="minorBidi"/>
                                    <w:color w:val="000000" w:themeColor="dark1"/>
                                    <w:sz w:val="18"/>
                                    <w:szCs w:val="18"/>
                                    <w:lang w:val="en-US"/>
                                  </w:rPr>
                                  <w:t>0.5%</w:t>
                                </w:r>
                              </w:p>
                            </w:txbxContent>
                          </wps:txbx>
                          <wps:bodyPr rtlCol="0" anchor="t"/>
                        </wps:wsp>
                      </wpg:grpSp>
                    </wpg:wgp>
                  </a:graphicData>
                </a:graphic>
              </wp:inline>
            </w:drawing>
          </mc:Choice>
          <mc:Fallback>
            <w:pict>
              <v:group w14:anchorId="6110E29A" id="Group 1" o:spid="_x0000_s1026" style="width:367.1pt;height:212.45pt;mso-position-horizontal-relative:char;mso-position-vertical-relative:line" coordorigin="238" coordsize="46626,2698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1MnbXGAQAAOkOAAAOAAAAZHJzL2Uyb0RvYy54bWzsV8tu4zYU3RfoPxDaNzL1sizEGRTO&#10;JC1QdAZN+wEMRVlCJVIgmcj++16+ZI/tZCZZFLOYjSzJvJf3cc491PWH3dCjZyZVJ/g6wleLCDFO&#10;Rd3x7Tr65++7X8oIKU14TXrB2TraMxV9uPn5p+tprFgiWtHXTCJwwlU1jeuo1Xqs4ljRlg1EXYmR&#10;cfizEXIgGh7lNq4lmcD70MfJYlHEk5D1KAVlSsHbW/dndGP9Nw2j+lPTKKZRv44gNm2v0l4fzTW+&#10;uSbVVpKx7agPg7wjioF0HDadXd0STdCT7M5cDR2VQolGX1ExxKJpOspsDpANXpxkcy/F02hz2VbT&#10;dpzLBKU9qdO73dI/nz9L1NXQuyxCnAzQI7stwqY207itYMm9HB/Gz9K/2Lonk+6ukYP5hUTQzlZ1&#10;P1eV7TSi8DIrigQvcYQo/JcUqxLDVrbutIXmGLskLfNlhA62tP14ZF2sILZgnS1zYx2HzWMT4xyS&#10;e7DtvJOQzZxCyDIPWW5aIjXC1plP807OOZ4kdhbgcXIXwzMugxOPr2/Bx9cBT03cAApa2TsPCnoG&#10;iW/15B0AJ04wdcGBw+utoE8D49oRULKeaGC/artRRUhWBkzy99riB7rkkzeMsF2bi+Ebd9or28qz&#10;thWhbR6cxTvQiTNcZkVqcZYVGHrqYBh6mSzKJU4AhwZqZZ4u8lOc4jRNMgNGWACwXmU2SQKdCHD9&#10;wkee5SX4ew2tMPXUgdjqrAlvIvZDS0Zm54UyrA2Qh4wcsR+0JN221ehXKcWENoJzGJBCImyDnEZr&#10;tuGeBapSQPoLNE8zvAJO2zIUMLayk0LCoLVsLcuktCWcyUqqUSp9z8SAzM06Uj6kORYM8ZOKPP+h&#10;tKtbMDCve26umnT9R14jvR9hWmnZEb7tmS+zWQLICrHbO73vYRAY879YA8MOJo7bxsoM2/QSPRMQ&#10;CEIpwDoA1642Zk3X97Phwsb3qqFfb0yZlaC3GM8WdmfB9Ww8dFzIS7vrXQi5cetDBVzepgSPot7b&#10;rtrSAOQMwf4P7IH8n2Bv7jTCFjYmDgDr11F3TL4cmFpY0EKNvVIA9dJiuXLYwynozBfMO4Ne33FD&#10;lhfA9gNDrgLfAYagpS9jaGWa/DqGUNN342+B8/6oAmjKltiJQQ6njzQxjg5owsnKK0GWLBep1ZuX&#10;x9gPLA2HMfodz6MEpMlh6RNMfASPB/TMJ9ygHeGEOR9vExD/vHC6dyz/YQLlKzgzJF78krQAeDkN&#10;CwfBoGVe/FgPwFSvDCEjWWhaRyn2h14DdCfK9u6CsCWXFKL+N8zCy6J2UQ37WQnfKGiH3d4hZgfj&#10;F8VM7x53vm1O15DU/Ua4LzzCaSvgMKtt6U2VrNrBMPNfCVYc7ffU8XH04vH08IV68x8AAAD//wMA&#10;UEsDBBQABgAIAAAAIQC3CV4ASAEAAIUCAAAgAAAAZHJzL2NoYXJ0cy9fcmVscy9jaGFydDEueG1s&#10;LnJlbHOskttKAzEQhu8F32EJeNnN7ioipduCPWAvpMW24MWCxOzsweawJFPZfXunlIqVFm8kkElm&#10;yP/NP2QwarUKPsH52pqUxWHEAjDS5rUpU7ZZz3oPLPAoTC6UNZCyDjwbDa+vBi+gBNIjX9WND0jF&#10;+JRViE2fcy8r0MKHtgFDlcI6LZCuruSNkFtRAk+i6J67nxpseKIZzPOUuXl+y4J11xD5b21bFLWE&#10;iZU7DQbPILhVsHj/AIkkKlwJmLKiVkAt83E/23iaQzZ9Wdwk0Y7O2QT8Fm2TLYUTGtAJpErVOfAU&#10;G3C0z1ZPGwq0kh5td9liOX3tPU72l0PmLQ5b5dsj8dnmZGbaIjgjFOPnXScXXOtaOuttgaG0mh8M&#10;k9E4Pp0ll5VwOLbKuhV2Co7wlMl9zlNL+iI7/g/2L6zfd/FN5SefZ/gF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14cMl3QAAAAUBAAAPAAAAZHJzL2Rvd25yZXYueG1sTI9BS8NAEIXv&#10;gv9hGcGb3SSNWmM2pRT1VARbQXqbZqdJaHY2ZLdJ+u9dvehl4PEe732TLyfTioF611hWEM8iEMSl&#10;1Q1XCj53r3cLEM4ja2wtk4ILOVgW11c5ZtqO/EHD1lcilLDLUEHtfZdJ6cqaDLqZ7YiDd7S9QR9k&#10;X0nd4xjKTSuTKHqQBhsOCzV2tK6pPG3PRsHbiONqHr8Mm9Nxfdnv7t+/NjEpdXszrZ5BeJr8Xxh+&#10;8AM6FIHpYM+snWgVhEf87w3e4zxNQBwUpEn6BLLI5X/64hsAAP//AwBQSwMEFAAGAAgAAAAhANUt&#10;GDHsBAAAwiUAABUAAABkcnMvY2hhcnRzL3N0eWxlMS54bWzsWttu4zYQ/RWBHxDZTp04RhQgTbBA&#10;AacbbBfYZ1qibHYpUiXpdZyv75CSaFHyLfVl42zforFDcc6ZOTMc+jZWw3iKpf5LLxgJXjLGwaAi&#10;NNU6H4ahiqckw+oio7EUSqT6IhZZKNKUxiRMJJ5TPgl7nW4vXK6CymVwaxWREw6vSIXMsFYXQk6q&#10;NTIGq3SuwgxTjgKaRAgWRXe3sD38QtVXqhmxT4x/ISl84SVCHRRaU0oZaxlJmpJYt8yp4EtjRrmQ&#10;8BI8tG6SByaDH5hFSL+Yd+Mhm2VPIilsV/1Ox77Rmj+naWG+rMxhbZW72xA2Xr7L7jEh6ZdnGajX&#10;CHXNOsF3Ijn8DU4bL8zXfT9jrMlEyMU9eH/Ojqv8WVooeTCP0E2/10dBjPMIpQxr+DPLgWvFJyjA&#10;bAKIxLpkRDCafAJmd6SnW/Hg0zOozA16gKz6C6SY8cTwAP/NCzqKjQMvNepuVjPX4srmwr0kOMhE&#10;AsmEGRPzP4Vx5/MPIiVNCLhrbSPKSWUr4v1kEV7GXT1MK7Y8cBrJMZ50bcg2IGQfgeB1uekILZIZ&#10;azzCYwKxCfFxMr6ainRdxbYf8r3K3Aj59Yq0JqwTz0339GAid6ZP53vy/dBqvEuYM70mzK0g1cWj&#10;kR+rtus48alyDDao8lLr7ZoETI9FsoB6I4U2dTJQefyJSqVHWOlnLKEyd1EASqSN9KQgRCC8jOYo&#10;mAr52rSZ70Eph09QMJdGu9U/MywJCtgfHNTt8qp/fYUCbR+6g95ggAJZ/2Rc/wTzGJYqhD4oHh40&#10;PBccq/x+pkEodSlOhR+FIq+MQGN8FpTvFo9lS6FMs+OqPYY3VkW47CVscO/dQjQF1lR5f7/u6fJx&#10;p3x6R/svd+w8MIWs7YO1rIfbaqf9jtfE2cwDsA7OAKxZ5X5Rr3qD/nXVkUieFM3ghuTOpxA2q8rf&#10;2g7CI92B5GB7whJawcMBtwXwo8Z3C13b7m3TyzWQtmTPA7IGWwPKEV5AdQrUIhsLaOVjKmMGUqXo&#10;K4lQ31BXz8JvVJJU4uwMQ7fWS58gcn2gDOZf8fi8z2SVEnDbmENgmOb/455SfM4SMee/4xXCUySI&#10;J8fVQXsvOTZtUbMg1gRj04ljVUf1xuO411F5PG+TpwPMAryXr9a1GhuJFLmrEyc7XGyg5thJ4UYo&#10;fnPsGN7UHOPh5sJbxxIO3kKeNOZN7PxEYB2CPrAO7z2A9bCEA4Q4oZJsQdWTc5PdzrAy9Zabn8Bc&#10;hkEX+4T/fkfuHDv7jjQ4M91aG1BnMZPXdtN7rNqzJWKODXE1kPHT8KYy75GGbTyndCR+qerhZig+&#10;um7isge6PpYEJ0T+UtC6QuFD68rKHtCyBppkQnhyWkGw/f4xLnjWjFPZ0secCX121wNG0auNW6aq&#10;h8vHs7rmqPtRDrEUkZSoc79q235R1fCzePxf0iJ0CElroKk/0pX1b+bic2yvEmoX1+ZawdrGWBHT&#10;OZd38ibDlu5rCdJuPm3Lu7W8eTp8kHHETi1h96bTB8ftffVeM7Yc7l4esZoWvxlQC/UodDlF9u+b&#10;LXQeYA6+d3Dj6NLEbwhcn9BoCCAM6pfL2/Vpha+z/KQn9j2mVGsvDN1I8b+MmvY5ngEd7ehaAgo/&#10;dZmRj1/0fDfncHvdFqKfdPB0k4mCqG2jimLvRiKWP7a6+xcAAP//AwBQSwMEFAAGAAgAAAAhAG3r&#10;cD+yCAAAhCIAABUAAABkcnMvY2hhcnRzL2NoYXJ0MS54bWzsWtty28gRfU9V/gGB920XJO4gWSa3&#10;KFDackVeqSx5k8rbEBhSiAYXDwYS5a19yffsV+VL0j0zAEGakilXlC2n/GAac2vM9HSfPt3Q6x83&#10;OTPuKK+zspiazsA2DVokZZoV66n5/vrMGplGLUiRElYWdGo+0Nr8cfbnP71OJskN4eKqIgk1QEhR&#10;T5KpeSNENRkO6+SG5qQelBUtYGxV8pwIaPL1MOXkHoTnbOjadjiUQkwtgHyBgJxkRbueH7O+XK2y&#10;hC7KpMlpIdQuOGVEgAbqm6yqW2mJE3L3E4l5lvCyLldikJT5UAlrDwXCnGDYnWoGSkqJoM7Y9o07&#10;wqambQ6xk5FirTpoYb2/Up28bIqUpnHJC7iO3vw8mcyZoLwAUXFZCNi11ld+lMZzwm+byoLtVnDI&#10;ZcYy8SCPbc5eg+z4pgR9GO/ohybjtJ6aieNvVeA/VwF2NBwNXX2vcFjHn9TigVF1IMd28bTD7r1y&#10;C2eEsSVJblE3vcnd1O04LtxXBq6SZoQPIhOMyocN/vIsuZm9JpNlmT5ccoOXAi/BqKvkLOO1OCe1&#10;uCQc7M4x0QvEBfysWHk/NSljYAsZWAP2gxZK/tE07jmppmb9oSGcmgYpEugGjQneNmIBbQfPSCas&#10;Fld4dNmosKe65PhfSlfvYDf1R5jq27CfpdxVJn+bqVmAq6Hb8ewWXK4or+STadyCEcAScBx5BDl9&#10;SWrKMnRNG+6TTOqSZelZxphsoB/SmHGlfbFx5BzW5G/LVPWFgQ3i1H6b/GK1Ut1e2z0Eka0UuLi9&#10;F6DbFIZ4qOgKcGBqfp8XFhNKHCV7A5SogaTeG0hqHADZSjHyUatK6ouDstBn4FZafyETMTsjt6Lk&#10;mZEZdJXdkjqDy6fwDyUJKUStRk3sizD6epOnFzNjbyEtUjQOvKq9t8ML4D6HrX3Bg5DmxshD2QgQ&#10;l0xKMBtoKm1qv6/1oYoSL0jpvMDddR0gmMkeulrRRJzXKAzEq5X4GmVB3+wZ4fQrtOcjbErdMdpU&#10;i2WkEeU1NhaUUUG152qjqlgp5pwSNDplf/iUk6Ih7Fza43bkmvA1FcomswLiDPpdMtkAGmiApuma&#10;qs6HQ50btXY0CN1R6HiRZ4+jYOwF4akl0TqZtBY/cH0c80eOY4+dwLElKCaTe+0Rg1EU2SNv5IZ2&#10;aLu2Nw7Va2/a8TBwIjt0AtfxPXsUeHIctLJ7MujYHnpJeIykBM8Ez4tM415SMiV8DUG2Avah3pGw&#10;poa4SlM1eEf4Q1yycif4gutRQJFkkqX67FrtJU+pFq97FAQAar+jK1yxml1cnv79L98tvgv9Cf4G&#10;6MlyCCbFBFAVp1UihsivL0UrsRIGvE9BejK5m11UdGOsADMocDGOYu4kLFTyqO1sBPdudk5r8slc&#10;WLh9tWrIzcKj3r1GqKeiCEkSoCDyOgGudmYq7DoazbICY+ub1c90DXHkTpugVmd6vmQ1HuhlUNMK&#10;IPJi6HseGdglAOxNAYTJGzkoR8gGkL0AGrw/suyPPE4aZMSu5uDsZ5nE/Za34MAxZGKM2wAuAWTm&#10;WVyiHwvlJp7gEMv14Zt/aSJwNHAC5wbLuSw1hU6Am0mQq2/K+3O6Bjl/pS1IbUd+IZAGYUzRMIWz&#10;YyJ+JvmuVWL/FeUH+y8pR8/QALaVfdIsl4xeZR8/FXVOCcDIOfC3PuNPJnSDsR+tH56MhsN1/hqf&#10;hoEXzR1rEZ7Flr8KA2u8GDtW5Lp+7I/9YHRy8tuWuQfPZe5On7UHGlZRdU4wUcrb26tSFYyy7Sn6&#10;DssKA4j0OHAD00iQN6+ALsJjXqXAoYs1cGa2BkKLV/Q5szsU6juOCt7Ro64do0V0epy6ynwL2dWT&#10;lGuIp985H2Al3ImE3/aWoKtDq4TIawOY/SrDgN4+uALeZNHke6c4lcEMfrfBDCZ1wUxl+jHQidmr&#10;H169smXEk9m/7AORx4Q7L/LtgeeOImAHvu27YfS5kOeFkT2IHl8BN7Tdpmq0gU8ftb3LHY/zvJEd&#10;x74VLIDgAJ+JrZNTz7VOI3fhjiMv8OK453Hhsz3O7+XJ4aQpsg8NfaPp3a8yPMGPZZ9EruV7o7k1&#10;j+3QWiwWceiMT5w4CH5DlDlskZq3dIZ5JP7p6Pvi+Nf3mTWp/palQlM/1xkr7FQpVKXw1HIj1Us2&#10;rYZCxw89O4g0c9wbGI0UpYQX9XkhGPhc5mp707dy6oRAQr1G+4fsEgAdQltZqF3kWfGWbLTSexNT&#10;Scx3kJ9suhi0VDsHCzzLhbH1kan5EwUSThiQkLKB4AGB4JYCOOoglJN/lvw6S27fQglHCZelARnP&#10;YCuPDwpY1I+CBZj3dam2cZBPvSxSO201YRepR233fwOpDyfHVqjd6Jk870WLPi1PA7b2YjztUMDs&#10;IuPuNXRx9OlrePFazzMoHtZg67nOyCQOtO4OtUAca/kUps7/oFybPraUH2kPY0s2Bw6i+jqqCL1Q&#10;CKvbTBnZvXS5onzbMJGd3zHwrZ6zA8R0sALh5CC+bPfXg40n8AUTXX0+CEJ6A+Dz6rWep7rgzT1x&#10;T6OQzoG7qoLK+A5VSL8wN3pRn4FLUMnNN6eBegR46qMF0p9O0FqxBPrvf/0OWtupauJCyRjUvYP9&#10;9CuXGPN26ytfVBxyItcJbSfyPW/sw3+nlqccqM27Bnibvu+5kRuMoQzkyLoHbGb35dCxLe787wqq&#10;38z/6/k+cHTMQEtv66kHiJjMVv54GoZ+e3T57NDHgG985//QdjWn2eE723zlCb4jh06ouKdUE4el&#10;aig4lvnF+yLTJSvNc8BTOhJzMFd4hpGCrP73CXz+JasvCqYjgaZhaVZXJ/CN7bae6zoYpIRqj5iI&#10;LoBu1fhpFnKvPdrVlvvbje6Uo7vqj1r0WOnyhctUf0TyIwnAZ0rGMGdLI47GUVkfwT9GYAv4vmBw&#10;+DAyNfmb1JMfH5Bgv6/wjx527wnSz26NpB/bPx6Z/Qc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BAi0AFAAGAAgAAAAhAPD83I86AQAALAMAABMAAAAAAAAAAAAAAAAAAAAAAFtDb250&#10;ZW50X1R5cGVzXS54bWxQSwECLQAUAAYACAAAACEAOP0h/9YAAACUAQAACwAAAAAAAAAAAAAAAABr&#10;AQAAX3JlbHMvLnJlbHNQSwECLQAUAAYACAAAACEANTJ21xgEAADpDgAADgAAAAAAAAAAAAAAAABq&#10;AgAAZHJzL2Uyb0RvYy54bWxQSwECLQAUAAYACAAAACEAtwleAEgBAACFAgAAIAAAAAAAAAAAAAAA&#10;AACuBgAAZHJzL2NoYXJ0cy9fcmVscy9jaGFydDEueG1sLnJlbHNQSwECLQAUAAYACAAAACEAqxbN&#10;RrkAAAAiAQAAGQAAAAAAAAAAAAAAAAA0CAAAZHJzL19yZWxzL2Uyb0RvYy54bWwucmVsc1BLAQIt&#10;ABQABgAIAAAAIQD14cMl3QAAAAUBAAAPAAAAAAAAAAAAAAAAACQJAABkcnMvZG93bnJldi54bWxQ&#10;SwECLQAUAAYACAAAACEA1S0YMewEAADCJQAAFQAAAAAAAAAAAAAAAAAuCgAAZHJzL2NoYXJ0cy9z&#10;dHlsZTEueG1sUEsBAi0AFAAGAAgAAAAhAG3rcD+yCAAAhCIAABUAAAAAAAAAAAAAAAAATQ8AAGRy&#10;cy9jaGFydHMvY2hhcnQxLnhtbFBLAQItABQABgAIAAAAIQAcFKeoAgEAAG4DAAAWAAAAAAAAAAAA&#10;AAAAADIYAABkcnMvY2hhcnRzL2NvbG9yczEueG1sUEsFBgAAAAAJAAkAUgIAAG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5" o:spid="_x0000_s1027" type="#_x0000_t75" style="position:absolute;left:177;top:-60;width:46762;height:270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EtwQAAANsAAAAPAAAAZHJzL2Rvd25yZXYueG1sRE9La8JA&#10;EL4X/A/LCL3VTQsViW5CEYXebKMEvE2zkwfNzsbdNcZ/3y0UepuP7zmbfDK9GMn5zrKC50UCgriy&#10;uuNGwem4f1qB8AFZY2+ZFNzJQ57NHjaYanvjTxqL0IgYwj5FBW0IQyqlr1oy6Bd2II5cbZ3BEKFr&#10;pHZ4i+Gmly9JspQGO44NLQ60ban6Lq5GgSmWU709XM7lKD/qL+cv93KHSj3Op7c1iEBT+Bf/ud91&#10;nP8Kv7/EA2T2AwAA//8DAFBLAQItABQABgAIAAAAIQDb4fbL7gAAAIUBAAATAAAAAAAAAAAAAAAA&#10;AAAAAABbQ29udGVudF9UeXBlc10ueG1sUEsBAi0AFAAGAAgAAAAhAFr0LFu/AAAAFQEAAAsAAAAA&#10;AAAAAAAAAAAAHwEAAF9yZWxzLy5yZWxzUEsBAi0AFAAGAAgAAAAhAGu2ES3BAAAA2wAAAA8AAAAA&#10;AAAAAAAAAAAABwIAAGRycy9kb3ducmV2LnhtbFBLBQYAAAAAAwADALcAAAD1AgAAAAA=&#10;">
                  <v:imagedata r:id="rId12" o:title=""/>
                  <o:lock v:ext="edit" aspectratio="f"/>
                </v:shape>
                <v:group id="Group 16" o:spid="_x0000_s1028" style="position:absolute;left:14184;top:4612;width:20871;height:8530" coordorigin="13324,4669" coordsize="20871,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17" o:spid="_x0000_s1029" type="#_x0000_t32" style="position:absolute;left:34196;top:6010;width:0;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line id="Straight Connector 18" o:spid="_x0000_s1030" style="position:absolute;visibility:visible;mso-wrap-style:square" from="13324,5871" to="34161,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line id="Straight Connector 19" o:spid="_x0000_s1031" style="position:absolute;flip:x;visibility:visible;mso-wrap-style:square" from="13347,5857" to="13360,1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WvwQAAANsAAAAPAAAAZHJzL2Rvd25yZXYueG1sRE9Ni8Iw&#10;EL0L+x/CLHjTdAVFq2mRRUEQF9T1sLexGdtqMylN1PrvzYLgbR7vc2Zpaypxo8aVlhV89SMQxJnV&#10;JecKfvfL3hiE88gaK8uk4EEO0uSjM8NY2ztv6bbzuQgh7GJUUHhfx1K6rCCDrm9r4sCdbGPQB9jk&#10;Ujd4D+GmkoMoGkmDJYeGAmv6Lii77K5GwVJvjjyeuJ+/gy1H69W5PiyGQ6W6n+18CsJT69/il3ul&#10;w/wJ/P8SDpDJEwAA//8DAFBLAQItABQABgAIAAAAIQDb4fbL7gAAAIUBAAATAAAAAAAAAAAAAAAA&#10;AAAAAABbQ29udGVudF9UeXBlc10ueG1sUEsBAi0AFAAGAAgAAAAhAFr0LFu/AAAAFQEAAAsAAAAA&#10;AAAAAAAAAAAAHwEAAF9yZWxzLy5yZWxzUEsBAi0AFAAGAAgAAAAhALW1ta/BAAAA2wAAAA8AAAAA&#10;AAAAAAAAAAAABwIAAGRycy9kb3ducmV2LnhtbFBLBQYAAAAAAwADALcAAAD1AgAAAAA=&#10;" strokecolor="#5b9bd5 [3204]" strokeweight=".5pt">
                    <v:stroke joinstyle="miter"/>
                  </v:line>
                  <v:oval id="Oval 20" o:spid="_x0000_s1032" style="position:absolute;left:22495;top:4669;width:5931;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nCwAAAANsAAAAPAAAAZHJzL2Rvd25yZXYueG1sRE+7TsMw&#10;FN2R+g/WRepGHDqgEuJWfQhRBRbSdr+Nb5Oo8XVkmyT9ezwgMR6dd76eTCcGcr61rOA5SUEQV1a3&#10;XCs4Hd+fliB8QNbYWSYFd/KwXs0ecsy0HfmbhjLUIoawz1BBE0KfSemrhgz6xPbEkbtaZzBE6Gqp&#10;HY4x3HRykaYv0mDLsaHBnnYNVbfyxygoXpE+9rtiOh9pLL9O7Lbm86LU/HHavIEINIV/8Z/7oBUs&#10;4vr4Jf4AufoFAAD//wMAUEsBAi0AFAAGAAgAAAAhANvh9svuAAAAhQEAABMAAAAAAAAAAAAAAAAA&#10;AAAAAFtDb250ZW50X1R5cGVzXS54bWxQSwECLQAUAAYACAAAACEAWvQsW78AAAAVAQAACwAAAAAA&#10;AAAAAAAAAAAfAQAAX3JlbHMvLnJlbHNQSwECLQAUAAYACAAAACEAMfcZwsAAAADbAAAADwAAAAAA&#10;AAAAAAAAAAAHAgAAZHJzL2Rvd25yZXYueG1sUEsFBgAAAAADAAMAtwAAAPQCAAAAAA==&#10;" fillcolor="white [3201]" strokecolor="black [3200]" strokeweight=".25pt">
                    <v:stroke joinstyle="miter"/>
                    <v:textbox>
                      <w:txbxContent>
                        <w:p w:rsidR="00C85B1F" w:rsidRDefault="00C85B1F" w:rsidP="0075093C">
                          <w:pPr>
                            <w:pStyle w:val="NormalWeb"/>
                            <w:spacing w:before="0" w:beforeAutospacing="0" w:after="0" w:afterAutospacing="0"/>
                          </w:pPr>
                          <w:r>
                            <w:rPr>
                              <w:rFonts w:asciiTheme="minorHAnsi" w:hAnsi="Calibri" w:cstheme="minorBidi"/>
                              <w:color w:val="000000" w:themeColor="dark1"/>
                              <w:sz w:val="18"/>
                              <w:szCs w:val="18"/>
                              <w:lang w:val="en-US"/>
                            </w:rPr>
                            <w:t>0.5%</w:t>
                          </w:r>
                        </w:p>
                      </w:txbxContent>
                    </v:textbox>
                  </v:oval>
                </v:group>
                <w10:anchorlock/>
              </v:group>
            </w:pict>
          </mc:Fallback>
        </mc:AlternateContent>
      </w:r>
    </w:p>
    <w:p w:rsidR="0075093C" w:rsidRPr="00450894" w:rsidRDefault="0075093C" w:rsidP="005F0EEB">
      <w:pPr>
        <w:jc w:val="both"/>
        <w:rPr>
          <w:lang w:val="sq-AL"/>
        </w:rPr>
      </w:pPr>
      <w:r w:rsidRPr="00B26335">
        <w:rPr>
          <w:lang w:val="sq-AL"/>
        </w:rPr>
        <w:t>Përcaktimi i fundit i ZRRE-së për pritjet e efiç</w:t>
      </w:r>
      <w:r w:rsidR="005F0EEB">
        <w:rPr>
          <w:lang w:val="sq-AL"/>
        </w:rPr>
        <w:t>i</w:t>
      </w:r>
      <w:r w:rsidRPr="00B26335">
        <w:rPr>
          <w:lang w:val="sq-AL"/>
        </w:rPr>
        <w:t>encës së ndërmarrjeve të rregulluara që operojnë në tregun e Kosovës u ndërmor gjatë Shqyrtimit të fundit Periodik të Operatorit të Sistemit të Transmetim</w:t>
      </w:r>
      <w:r w:rsidRPr="00B1408C">
        <w:rPr>
          <w:lang w:val="sq-AL"/>
        </w:rPr>
        <w:t xml:space="preserve">it dhe Operatorit të Sistemit të Shpërndarjes. Faktori i efikasitetit i vendosur gjatë këtij përcaktimi i zbatueshëm </w:t>
      </w:r>
      <w:r w:rsidRPr="00B1408C">
        <w:rPr>
          <w:lang w:val="sq-AL"/>
        </w:rPr>
        <w:lastRenderedPageBreak/>
        <w:t xml:space="preserve">për kostot operative dhe të mirëmbajtjes ishte 1.5%. Nuk ka provë të dukshme që do të sugjeronte që përmirësimi i performancës së FSHU të jetë i </w:t>
      </w:r>
      <w:r w:rsidR="005F0EEB" w:rsidRPr="00B1408C">
        <w:rPr>
          <w:lang w:val="sq-AL"/>
        </w:rPr>
        <w:t>njëjtë</w:t>
      </w:r>
      <w:r w:rsidRPr="00B1408C">
        <w:rPr>
          <w:lang w:val="sq-AL"/>
        </w:rPr>
        <w:t xml:space="preserve"> sikurse tek </w:t>
      </w:r>
      <w:r w:rsidRPr="00450894">
        <w:rPr>
          <w:lang w:val="sq-AL"/>
        </w:rPr>
        <w:t>OSSH dhe OST/OT. Bazuar në efikasitetin e arritur të FSHU-së  sipas të dhënave historike, ZRRE propozon që një faktor efikasiteti 0.5% të zbatohet për FSHU-në për vitet 2023-2024. Faktori i efikasitetit do të zbatohet vetëm për Opex-in e kontrollueshëm.</w:t>
      </w:r>
    </w:p>
    <w:p w:rsidR="0075093C" w:rsidRPr="00450894" w:rsidRDefault="0075093C" w:rsidP="0075093C">
      <w:pPr>
        <w:pStyle w:val="Heading2"/>
        <w:ind w:left="720"/>
        <w:rPr>
          <w:lang w:val="sq-AL"/>
        </w:rPr>
      </w:pPr>
      <w:bookmarkStart w:id="22" w:name="_Toc88226464"/>
      <w:r w:rsidRPr="00450894">
        <w:rPr>
          <w:lang w:val="sq-AL"/>
        </w:rPr>
        <w:t>Kategorizimi dhe jetëgjatësia e aseteve</w:t>
      </w:r>
      <w:bookmarkEnd w:id="22"/>
    </w:p>
    <w:p w:rsidR="0075093C" w:rsidRPr="00450894" w:rsidRDefault="0075093C" w:rsidP="005F0EEB">
      <w:pPr>
        <w:jc w:val="both"/>
        <w:rPr>
          <w:lang w:val="sq-AL"/>
        </w:rPr>
      </w:pPr>
      <w:r w:rsidRPr="00450894">
        <w:rPr>
          <w:lang w:val="sq-AL"/>
        </w:rPr>
        <w:t>Në përputhje me Rregullën për Çmimet, zhvlerësimi i RAB llogaritet në baza lineare, duke përdorur Jetëgjatësinë Ekonomike të Aseteve, të përcaktuara për klasa të ndryshme të aseteve. Jetëgjatësia ekonomike e asetit për secilën klasë të aseteve konsiderohet se përfaqëson jetëgjatësinë teknike të asetit (d.m.th., periudha para se të kërkohet zëvendësimi për shkak të konsumimit) përveç nëse ka arsye të mjaftueshme për të konsideruar se aseti është bërë i tepërt para kësaj date.</w:t>
      </w:r>
    </w:p>
    <w:p w:rsidR="0075093C" w:rsidRPr="00450894" w:rsidRDefault="0075093C" w:rsidP="0075093C">
      <w:pPr>
        <w:pStyle w:val="Heading3"/>
        <w:rPr>
          <w:lang w:val="sq-AL"/>
        </w:rPr>
      </w:pPr>
      <w:bookmarkStart w:id="23" w:name="_Toc88226465"/>
      <w:r w:rsidRPr="00450894">
        <w:rPr>
          <w:lang w:val="sq-AL"/>
        </w:rPr>
        <w:t>Aplikacioni i KESCO</w:t>
      </w:r>
      <w:bookmarkEnd w:id="23"/>
    </w:p>
    <w:p w:rsidR="0075093C" w:rsidRDefault="0075093C" w:rsidP="005F0EEB">
      <w:pPr>
        <w:jc w:val="both"/>
        <w:rPr>
          <w:lang w:val="sq-AL"/>
        </w:rPr>
      </w:pPr>
      <w:r w:rsidRPr="00450894">
        <w:rPr>
          <w:lang w:val="sq-AL"/>
        </w:rPr>
        <w:t>Duke marrë parasysh jetëgjatësinë aktuale të aseteve dhe zhvillimet në sektorin e IT-së, ne besojmë se ZRRE</w:t>
      </w:r>
      <w:r w:rsidR="00E742CD">
        <w:rPr>
          <w:lang w:val="sq-AL"/>
        </w:rPr>
        <w:t>-</w:t>
      </w:r>
      <w:r w:rsidRPr="00450894">
        <w:rPr>
          <w:lang w:val="sq-AL"/>
        </w:rPr>
        <w:t>ja duhet të caktojë jetëgjatësinë e pajisjeve të zyrës për 5 vite, ngjashëm me operatorët e shpërndarjes dhe transmetimit. Sidoqoftë, sa i përket pajisjeve të IT dhe programeve kompjuterike, KESCO propozon që jetëgjatësia të përcaktohet për 3 vjet, për t’iu përgjigjur kërkesave bashkëkohore të sistemeve elektroenergjetike. Tabela në vijim tregon mesataren e viteve që kompanitë e ndryshme ndërkombëtare përdorin për zhvlerësimin e softuerëve:</w:t>
      </w:r>
    </w:p>
    <w:p w:rsidR="0075093C" w:rsidRPr="005F0EEB" w:rsidRDefault="0075093C" w:rsidP="0075093C">
      <w:pPr>
        <w:pStyle w:val="Caption"/>
        <w:rPr>
          <w:lang w:val="sq-AL"/>
        </w:rPr>
      </w:pPr>
      <w:r w:rsidRPr="005F0EEB">
        <w:rPr>
          <w:lang w:val="sq-AL"/>
        </w:rPr>
        <w:t xml:space="preserve">Tabela  </w:t>
      </w:r>
      <w:r w:rsidRPr="005F0EEB">
        <w:rPr>
          <w:lang w:val="sq-AL"/>
        </w:rPr>
        <w:fldChar w:fldCharType="begin"/>
      </w:r>
      <w:r w:rsidRPr="005F0EEB">
        <w:rPr>
          <w:lang w:val="sq-AL"/>
        </w:rPr>
        <w:instrText xml:space="preserve"> SEQ Tabela_ \* ARABIC </w:instrText>
      </w:r>
      <w:r w:rsidRPr="005F0EEB">
        <w:rPr>
          <w:lang w:val="sq-AL"/>
        </w:rPr>
        <w:fldChar w:fldCharType="separate"/>
      </w:r>
      <w:r w:rsidR="00701D2D">
        <w:rPr>
          <w:noProof/>
          <w:lang w:val="sq-AL"/>
        </w:rPr>
        <w:t>13</w:t>
      </w:r>
      <w:r w:rsidRPr="005F0EEB">
        <w:rPr>
          <w:lang w:val="sq-AL"/>
        </w:rPr>
        <w:fldChar w:fldCharType="end"/>
      </w:r>
      <w:r w:rsidRPr="005F0EEB">
        <w:rPr>
          <w:lang w:val="sq-AL"/>
        </w:rPr>
        <w:t xml:space="preserve"> Mesatarja e jetëgjatësisë se aseteve për </w:t>
      </w:r>
      <w:r w:rsidR="005F0EEB" w:rsidRPr="005F0EEB">
        <w:rPr>
          <w:lang w:val="sq-AL"/>
        </w:rPr>
        <w:t>llogaritjen</w:t>
      </w:r>
      <w:r w:rsidRPr="005F0EEB">
        <w:rPr>
          <w:lang w:val="sq-AL"/>
        </w:rPr>
        <w:t xml:space="preserve"> e zhvlerësimit</w:t>
      </w:r>
    </w:p>
    <w:tbl>
      <w:tblPr>
        <w:tblW w:w="0" w:type="auto"/>
        <w:jc w:val="center"/>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5975"/>
        <w:gridCol w:w="2459"/>
      </w:tblGrid>
      <w:tr w:rsidR="0075093C" w:rsidRPr="00450894" w:rsidTr="00C85B1F">
        <w:trPr>
          <w:trHeight w:val="340"/>
          <w:jc w:val="center"/>
        </w:trPr>
        <w:tc>
          <w:tcPr>
            <w:tcW w:w="8434" w:type="dxa"/>
            <w:gridSpan w:val="2"/>
            <w:tcBorders>
              <w:top w:val="nil"/>
              <w:left w:val="nil"/>
              <w:bottom w:val="nil"/>
              <w:right w:val="nil"/>
            </w:tcBorders>
            <w:shd w:val="clear" w:color="auto" w:fill="5B9BD4"/>
          </w:tcPr>
          <w:p w:rsidR="0075093C" w:rsidRPr="00450894" w:rsidRDefault="0075093C" w:rsidP="0075093C">
            <w:pPr>
              <w:pStyle w:val="TableParagraph"/>
              <w:spacing w:before="9"/>
              <w:ind w:left="1868" w:right="1867"/>
              <w:jc w:val="center"/>
              <w:rPr>
                <w:b/>
                <w:lang w:val="sq-AL"/>
              </w:rPr>
            </w:pPr>
            <w:r w:rsidRPr="00450894">
              <w:rPr>
                <w:b/>
                <w:color w:val="FFFFFF"/>
                <w:lang w:val="sq-AL"/>
              </w:rPr>
              <w:t>Mesatarja</w:t>
            </w:r>
            <w:r w:rsidRPr="00450894">
              <w:rPr>
                <w:b/>
                <w:color w:val="FFFFFF"/>
                <w:spacing w:val="-4"/>
                <w:lang w:val="sq-AL"/>
              </w:rPr>
              <w:t xml:space="preserve"> </w:t>
            </w:r>
            <w:r w:rsidRPr="00450894">
              <w:rPr>
                <w:b/>
                <w:color w:val="FFFFFF"/>
                <w:lang w:val="sq-AL"/>
              </w:rPr>
              <w:t>e</w:t>
            </w:r>
            <w:r w:rsidRPr="00450894">
              <w:rPr>
                <w:b/>
                <w:color w:val="FFFFFF"/>
                <w:spacing w:val="-4"/>
                <w:lang w:val="sq-AL"/>
              </w:rPr>
              <w:t xml:space="preserve"> </w:t>
            </w:r>
            <w:r w:rsidRPr="00450894">
              <w:rPr>
                <w:b/>
                <w:color w:val="FFFFFF"/>
                <w:lang w:val="sq-AL"/>
              </w:rPr>
              <w:t>zhvlerësimit</w:t>
            </w:r>
            <w:r w:rsidRPr="00450894">
              <w:rPr>
                <w:b/>
                <w:color w:val="FFFFFF"/>
                <w:spacing w:val="-3"/>
                <w:lang w:val="sq-AL"/>
              </w:rPr>
              <w:t xml:space="preserve"> </w:t>
            </w:r>
            <w:r w:rsidRPr="00450894">
              <w:rPr>
                <w:b/>
                <w:color w:val="FFFFFF"/>
                <w:lang w:val="sq-AL"/>
              </w:rPr>
              <w:t>të</w:t>
            </w:r>
            <w:r w:rsidRPr="00450894">
              <w:rPr>
                <w:b/>
                <w:color w:val="FFFFFF"/>
                <w:spacing w:val="45"/>
                <w:lang w:val="sq-AL"/>
              </w:rPr>
              <w:t xml:space="preserve"> </w:t>
            </w:r>
            <w:r w:rsidRPr="00450894">
              <w:rPr>
                <w:b/>
                <w:color w:val="FFFFFF"/>
                <w:lang w:val="sq-AL"/>
              </w:rPr>
              <w:t>programeve</w:t>
            </w:r>
            <w:r w:rsidRPr="00450894">
              <w:rPr>
                <w:b/>
                <w:color w:val="FFFFFF"/>
                <w:spacing w:val="-4"/>
                <w:lang w:val="sq-AL"/>
              </w:rPr>
              <w:t xml:space="preserve"> </w:t>
            </w:r>
            <w:r w:rsidRPr="00450894">
              <w:rPr>
                <w:b/>
                <w:color w:val="FFFFFF"/>
                <w:lang w:val="sq-AL"/>
              </w:rPr>
              <w:t>softuerike</w:t>
            </w:r>
          </w:p>
        </w:tc>
      </w:tr>
      <w:tr w:rsidR="0075093C" w:rsidRPr="00450894" w:rsidTr="00C85B1F">
        <w:trPr>
          <w:trHeight w:val="318"/>
          <w:jc w:val="center"/>
        </w:trPr>
        <w:tc>
          <w:tcPr>
            <w:tcW w:w="5975" w:type="dxa"/>
            <w:tcBorders>
              <w:top w:val="nil"/>
            </w:tcBorders>
            <w:shd w:val="clear" w:color="auto" w:fill="DEEAF6"/>
          </w:tcPr>
          <w:p w:rsidR="0075093C" w:rsidRPr="00CC5249" w:rsidRDefault="0075093C" w:rsidP="0075093C">
            <w:pPr>
              <w:pStyle w:val="TableParagraph"/>
              <w:spacing w:line="268" w:lineRule="exact"/>
              <w:rPr>
                <w:b/>
                <w:lang w:val="sq-AL"/>
              </w:rPr>
            </w:pPr>
            <w:r w:rsidRPr="00CC5249">
              <w:rPr>
                <w:b/>
                <w:lang w:val="sq-AL"/>
              </w:rPr>
              <w:t>Kompania</w:t>
            </w:r>
          </w:p>
        </w:tc>
        <w:tc>
          <w:tcPr>
            <w:tcW w:w="2459" w:type="dxa"/>
            <w:tcBorders>
              <w:top w:val="nil"/>
            </w:tcBorders>
            <w:shd w:val="clear" w:color="auto" w:fill="DEEAF6"/>
          </w:tcPr>
          <w:p w:rsidR="0075093C" w:rsidRPr="007F49D2" w:rsidRDefault="0075093C" w:rsidP="0075093C">
            <w:pPr>
              <w:pStyle w:val="TableParagraph"/>
              <w:spacing w:line="268" w:lineRule="exact"/>
              <w:rPr>
                <w:b/>
                <w:lang w:val="sq-AL"/>
              </w:rPr>
            </w:pPr>
            <w:r w:rsidRPr="00B26335">
              <w:rPr>
                <w:b/>
                <w:lang w:val="sq-AL"/>
              </w:rPr>
              <w:t>Jetëgjatësia</w:t>
            </w:r>
            <w:r w:rsidRPr="00B26335">
              <w:rPr>
                <w:b/>
                <w:spacing w:val="-1"/>
                <w:lang w:val="sq-AL"/>
              </w:rPr>
              <w:t xml:space="preserve"> </w:t>
            </w:r>
            <w:r w:rsidRPr="007F49D2">
              <w:rPr>
                <w:b/>
                <w:lang w:val="sq-AL"/>
              </w:rPr>
              <w:t>e</w:t>
            </w:r>
            <w:r w:rsidRPr="007F49D2">
              <w:rPr>
                <w:b/>
                <w:spacing w:val="-3"/>
                <w:lang w:val="sq-AL"/>
              </w:rPr>
              <w:t xml:space="preserve"> </w:t>
            </w:r>
            <w:r w:rsidRPr="007F49D2">
              <w:rPr>
                <w:b/>
                <w:lang w:val="sq-AL"/>
              </w:rPr>
              <w:t>aseteve</w:t>
            </w:r>
          </w:p>
        </w:tc>
      </w:tr>
      <w:tr w:rsidR="0075093C" w:rsidRPr="00450894" w:rsidTr="00C85B1F">
        <w:trPr>
          <w:trHeight w:val="321"/>
          <w:jc w:val="center"/>
        </w:trPr>
        <w:tc>
          <w:tcPr>
            <w:tcW w:w="5975" w:type="dxa"/>
          </w:tcPr>
          <w:p w:rsidR="0075093C" w:rsidRPr="00CC5249" w:rsidRDefault="0075093C" w:rsidP="0075093C">
            <w:pPr>
              <w:pStyle w:val="TableParagraph"/>
              <w:spacing w:line="268" w:lineRule="exact"/>
              <w:rPr>
                <w:lang w:val="sq-AL"/>
              </w:rPr>
            </w:pPr>
            <w:r w:rsidRPr="00CC5249">
              <w:rPr>
                <w:lang w:val="sq-AL"/>
              </w:rPr>
              <w:t>Apple</w:t>
            </w:r>
          </w:p>
        </w:tc>
        <w:tc>
          <w:tcPr>
            <w:tcW w:w="2459" w:type="dxa"/>
          </w:tcPr>
          <w:p w:rsidR="0075093C" w:rsidRPr="007F49D2" w:rsidRDefault="0075093C" w:rsidP="0075093C">
            <w:pPr>
              <w:pStyle w:val="TableParagraph"/>
              <w:spacing w:line="268" w:lineRule="exact"/>
              <w:rPr>
                <w:lang w:val="sq-AL"/>
              </w:rPr>
            </w:pPr>
            <w:r w:rsidRPr="00B26335">
              <w:rPr>
                <w:lang w:val="sq-AL"/>
              </w:rPr>
              <w:t>3-5</w:t>
            </w:r>
            <w:r w:rsidRPr="00B26335">
              <w:rPr>
                <w:spacing w:val="-3"/>
                <w:lang w:val="sq-AL"/>
              </w:rPr>
              <w:t xml:space="preserve"> </w:t>
            </w:r>
            <w:r w:rsidRPr="007F49D2">
              <w:rPr>
                <w:lang w:val="sq-AL"/>
              </w:rPr>
              <w:t>vite</w:t>
            </w:r>
          </w:p>
        </w:tc>
      </w:tr>
      <w:tr w:rsidR="0075093C" w:rsidRPr="00450894" w:rsidTr="00C85B1F">
        <w:trPr>
          <w:trHeight w:val="318"/>
          <w:jc w:val="center"/>
        </w:trPr>
        <w:tc>
          <w:tcPr>
            <w:tcW w:w="5975" w:type="dxa"/>
            <w:shd w:val="clear" w:color="auto" w:fill="DEEAF6"/>
          </w:tcPr>
          <w:p w:rsidR="0075093C" w:rsidRPr="00CC5249" w:rsidRDefault="0075093C" w:rsidP="0075093C">
            <w:pPr>
              <w:pStyle w:val="TableParagraph"/>
              <w:spacing w:line="268" w:lineRule="exact"/>
              <w:rPr>
                <w:lang w:val="sq-AL"/>
              </w:rPr>
            </w:pPr>
            <w:r w:rsidRPr="00CC5249">
              <w:rPr>
                <w:lang w:val="sq-AL"/>
              </w:rPr>
              <w:t>Microsoft</w:t>
            </w:r>
          </w:p>
        </w:tc>
        <w:tc>
          <w:tcPr>
            <w:tcW w:w="2459" w:type="dxa"/>
            <w:shd w:val="clear" w:color="auto" w:fill="DEEAF6"/>
          </w:tcPr>
          <w:p w:rsidR="0075093C" w:rsidRPr="007F49D2" w:rsidRDefault="0075093C" w:rsidP="0075093C">
            <w:pPr>
              <w:pStyle w:val="TableParagraph"/>
              <w:spacing w:line="268" w:lineRule="exact"/>
              <w:rPr>
                <w:lang w:val="sq-AL"/>
              </w:rPr>
            </w:pPr>
            <w:r w:rsidRPr="00B26335">
              <w:rPr>
                <w:lang w:val="sq-AL"/>
              </w:rPr>
              <w:t>3-7</w:t>
            </w:r>
            <w:r w:rsidRPr="00B26335">
              <w:rPr>
                <w:spacing w:val="-3"/>
                <w:lang w:val="sq-AL"/>
              </w:rPr>
              <w:t xml:space="preserve"> </w:t>
            </w:r>
            <w:r w:rsidRPr="007F49D2">
              <w:rPr>
                <w:lang w:val="sq-AL"/>
              </w:rPr>
              <w:t>vite</w:t>
            </w:r>
          </w:p>
        </w:tc>
      </w:tr>
      <w:tr w:rsidR="0075093C" w:rsidRPr="00450894" w:rsidTr="00C85B1F">
        <w:trPr>
          <w:trHeight w:val="321"/>
          <w:jc w:val="center"/>
        </w:trPr>
        <w:tc>
          <w:tcPr>
            <w:tcW w:w="5975" w:type="dxa"/>
          </w:tcPr>
          <w:p w:rsidR="0075093C" w:rsidRPr="00CC5249" w:rsidRDefault="0075093C" w:rsidP="0075093C">
            <w:pPr>
              <w:pStyle w:val="TableParagraph"/>
              <w:spacing w:line="268" w:lineRule="exact"/>
              <w:rPr>
                <w:lang w:val="sq-AL"/>
              </w:rPr>
            </w:pPr>
            <w:r w:rsidRPr="00CC5249">
              <w:rPr>
                <w:lang w:val="sq-AL"/>
              </w:rPr>
              <w:t>Facebook</w:t>
            </w:r>
          </w:p>
        </w:tc>
        <w:tc>
          <w:tcPr>
            <w:tcW w:w="2459" w:type="dxa"/>
          </w:tcPr>
          <w:p w:rsidR="0075093C" w:rsidRPr="007F49D2" w:rsidRDefault="0075093C" w:rsidP="0075093C">
            <w:pPr>
              <w:pStyle w:val="TableParagraph"/>
              <w:spacing w:line="268" w:lineRule="exact"/>
              <w:rPr>
                <w:lang w:val="sq-AL"/>
              </w:rPr>
            </w:pPr>
            <w:r w:rsidRPr="00B26335">
              <w:rPr>
                <w:lang w:val="sq-AL"/>
              </w:rPr>
              <w:t>2-5</w:t>
            </w:r>
            <w:r w:rsidRPr="00B26335">
              <w:rPr>
                <w:spacing w:val="-3"/>
                <w:lang w:val="sq-AL"/>
              </w:rPr>
              <w:t xml:space="preserve"> </w:t>
            </w:r>
            <w:r w:rsidRPr="007F49D2">
              <w:rPr>
                <w:lang w:val="sq-AL"/>
              </w:rPr>
              <w:t>vite</w:t>
            </w:r>
          </w:p>
        </w:tc>
      </w:tr>
      <w:tr w:rsidR="0075093C" w:rsidRPr="00450894" w:rsidTr="00C85B1F">
        <w:trPr>
          <w:trHeight w:val="318"/>
          <w:jc w:val="center"/>
        </w:trPr>
        <w:tc>
          <w:tcPr>
            <w:tcW w:w="5975" w:type="dxa"/>
            <w:shd w:val="clear" w:color="auto" w:fill="DEEAF6"/>
          </w:tcPr>
          <w:p w:rsidR="0075093C" w:rsidRPr="00CC5249" w:rsidRDefault="0075093C" w:rsidP="0075093C">
            <w:pPr>
              <w:pStyle w:val="TableParagraph"/>
              <w:spacing w:line="268" w:lineRule="exact"/>
              <w:rPr>
                <w:lang w:val="sq-AL"/>
              </w:rPr>
            </w:pPr>
            <w:r w:rsidRPr="00CC5249">
              <w:rPr>
                <w:lang w:val="sq-AL"/>
              </w:rPr>
              <w:t>Johnson&amp;Johnson</w:t>
            </w:r>
          </w:p>
        </w:tc>
        <w:tc>
          <w:tcPr>
            <w:tcW w:w="2459" w:type="dxa"/>
            <w:shd w:val="clear" w:color="auto" w:fill="DEEAF6"/>
          </w:tcPr>
          <w:p w:rsidR="0075093C" w:rsidRPr="007F49D2" w:rsidRDefault="0075093C" w:rsidP="0075093C">
            <w:pPr>
              <w:pStyle w:val="TableParagraph"/>
              <w:spacing w:line="268" w:lineRule="exact"/>
              <w:rPr>
                <w:lang w:val="sq-AL"/>
              </w:rPr>
            </w:pPr>
            <w:r w:rsidRPr="00B26335">
              <w:rPr>
                <w:lang w:val="sq-AL"/>
              </w:rPr>
              <w:t>3-8</w:t>
            </w:r>
            <w:r w:rsidRPr="00B26335">
              <w:rPr>
                <w:spacing w:val="-3"/>
                <w:lang w:val="sq-AL"/>
              </w:rPr>
              <w:t xml:space="preserve"> </w:t>
            </w:r>
            <w:r w:rsidRPr="007F49D2">
              <w:rPr>
                <w:lang w:val="sq-AL"/>
              </w:rPr>
              <w:t>vite</w:t>
            </w:r>
          </w:p>
        </w:tc>
      </w:tr>
      <w:tr w:rsidR="0075093C" w:rsidRPr="00450894" w:rsidTr="00C85B1F">
        <w:trPr>
          <w:trHeight w:val="321"/>
          <w:jc w:val="center"/>
        </w:trPr>
        <w:tc>
          <w:tcPr>
            <w:tcW w:w="5975" w:type="dxa"/>
          </w:tcPr>
          <w:p w:rsidR="0075093C" w:rsidRPr="00EF4D5D" w:rsidRDefault="0075093C" w:rsidP="0075093C">
            <w:pPr>
              <w:pStyle w:val="TableParagraph"/>
              <w:spacing w:line="268" w:lineRule="exact"/>
              <w:rPr>
                <w:lang w:val="sq-AL"/>
              </w:rPr>
            </w:pPr>
            <w:r w:rsidRPr="00CC5249">
              <w:rPr>
                <w:lang w:val="sq-AL"/>
              </w:rPr>
              <w:t>Proctor</w:t>
            </w:r>
            <w:r w:rsidRPr="00CC5249">
              <w:rPr>
                <w:spacing w:val="-1"/>
                <w:lang w:val="sq-AL"/>
              </w:rPr>
              <w:t xml:space="preserve"> </w:t>
            </w:r>
            <w:r w:rsidRPr="00CC5249">
              <w:rPr>
                <w:lang w:val="sq-AL"/>
              </w:rPr>
              <w:t>and</w:t>
            </w:r>
            <w:r w:rsidRPr="00CC5249">
              <w:rPr>
                <w:spacing w:val="-2"/>
                <w:lang w:val="sq-AL"/>
              </w:rPr>
              <w:t xml:space="preserve"> </w:t>
            </w:r>
            <w:r w:rsidRPr="00EF4D5D">
              <w:rPr>
                <w:lang w:val="sq-AL"/>
              </w:rPr>
              <w:t>Gamble</w:t>
            </w:r>
          </w:p>
        </w:tc>
        <w:tc>
          <w:tcPr>
            <w:tcW w:w="2459" w:type="dxa"/>
          </w:tcPr>
          <w:p w:rsidR="0075093C" w:rsidRPr="007F49D2" w:rsidRDefault="0075093C" w:rsidP="0075093C">
            <w:pPr>
              <w:pStyle w:val="TableParagraph"/>
              <w:spacing w:line="268" w:lineRule="exact"/>
              <w:rPr>
                <w:lang w:val="sq-AL"/>
              </w:rPr>
            </w:pPr>
            <w:r w:rsidRPr="00B26335">
              <w:rPr>
                <w:lang w:val="sq-AL"/>
              </w:rPr>
              <w:t>3-5</w:t>
            </w:r>
            <w:r w:rsidRPr="00B26335">
              <w:rPr>
                <w:spacing w:val="-3"/>
                <w:lang w:val="sq-AL"/>
              </w:rPr>
              <w:t xml:space="preserve"> </w:t>
            </w:r>
            <w:r w:rsidRPr="007F49D2">
              <w:rPr>
                <w:lang w:val="sq-AL"/>
              </w:rPr>
              <w:t>vite</w:t>
            </w:r>
          </w:p>
        </w:tc>
      </w:tr>
      <w:tr w:rsidR="0075093C" w:rsidRPr="00450894" w:rsidTr="00C85B1F">
        <w:trPr>
          <w:trHeight w:val="319"/>
          <w:jc w:val="center"/>
        </w:trPr>
        <w:tc>
          <w:tcPr>
            <w:tcW w:w="5975" w:type="dxa"/>
            <w:shd w:val="clear" w:color="auto" w:fill="DEEAF6"/>
          </w:tcPr>
          <w:p w:rsidR="0075093C" w:rsidRPr="00CC5249" w:rsidRDefault="0075093C" w:rsidP="0075093C">
            <w:pPr>
              <w:pStyle w:val="TableParagraph"/>
              <w:spacing w:line="268" w:lineRule="exact"/>
              <w:rPr>
                <w:lang w:val="sq-AL"/>
              </w:rPr>
            </w:pPr>
            <w:r w:rsidRPr="00CC5249">
              <w:rPr>
                <w:lang w:val="sq-AL"/>
              </w:rPr>
              <w:t>NVIDIA</w:t>
            </w:r>
          </w:p>
        </w:tc>
        <w:tc>
          <w:tcPr>
            <w:tcW w:w="2459" w:type="dxa"/>
            <w:shd w:val="clear" w:color="auto" w:fill="DEEAF6"/>
          </w:tcPr>
          <w:p w:rsidR="0075093C" w:rsidRPr="007F49D2" w:rsidRDefault="0075093C" w:rsidP="0075093C">
            <w:pPr>
              <w:pStyle w:val="TableParagraph"/>
              <w:spacing w:line="268" w:lineRule="exact"/>
              <w:rPr>
                <w:lang w:val="sq-AL"/>
              </w:rPr>
            </w:pPr>
            <w:r w:rsidRPr="00B26335">
              <w:rPr>
                <w:lang w:val="sq-AL"/>
              </w:rPr>
              <w:t>3-5</w:t>
            </w:r>
            <w:r w:rsidRPr="00B26335">
              <w:rPr>
                <w:spacing w:val="-3"/>
                <w:lang w:val="sq-AL"/>
              </w:rPr>
              <w:t xml:space="preserve"> </w:t>
            </w:r>
            <w:r w:rsidRPr="007F49D2">
              <w:rPr>
                <w:lang w:val="sq-AL"/>
              </w:rPr>
              <w:t>vite</w:t>
            </w:r>
          </w:p>
        </w:tc>
      </w:tr>
      <w:tr w:rsidR="0075093C" w:rsidRPr="00450894" w:rsidTr="00C85B1F">
        <w:trPr>
          <w:trHeight w:val="317"/>
          <w:jc w:val="center"/>
        </w:trPr>
        <w:tc>
          <w:tcPr>
            <w:tcW w:w="5975" w:type="dxa"/>
            <w:tcBorders>
              <w:bottom w:val="single" w:sz="36" w:space="0" w:color="DEEAF6"/>
            </w:tcBorders>
          </w:tcPr>
          <w:p w:rsidR="0075093C" w:rsidRPr="00CC5249" w:rsidRDefault="0075093C" w:rsidP="0075093C">
            <w:pPr>
              <w:pStyle w:val="TableParagraph"/>
              <w:spacing w:line="268" w:lineRule="exact"/>
              <w:rPr>
                <w:lang w:val="sq-AL"/>
              </w:rPr>
            </w:pPr>
            <w:r w:rsidRPr="00CC5249">
              <w:rPr>
                <w:lang w:val="sq-AL"/>
              </w:rPr>
              <w:t>Home</w:t>
            </w:r>
            <w:r w:rsidRPr="00CC5249">
              <w:rPr>
                <w:spacing w:val="-3"/>
                <w:lang w:val="sq-AL"/>
              </w:rPr>
              <w:t xml:space="preserve"> </w:t>
            </w:r>
            <w:r w:rsidRPr="00CC5249">
              <w:rPr>
                <w:lang w:val="sq-AL"/>
              </w:rPr>
              <w:t>Depot</w:t>
            </w:r>
          </w:p>
        </w:tc>
        <w:tc>
          <w:tcPr>
            <w:tcW w:w="2459" w:type="dxa"/>
            <w:tcBorders>
              <w:bottom w:val="single" w:sz="36" w:space="0" w:color="DEEAF6"/>
            </w:tcBorders>
          </w:tcPr>
          <w:p w:rsidR="0075093C" w:rsidRPr="007F49D2" w:rsidRDefault="0075093C" w:rsidP="0075093C">
            <w:pPr>
              <w:pStyle w:val="TableParagraph"/>
              <w:spacing w:line="268" w:lineRule="exact"/>
              <w:rPr>
                <w:lang w:val="sq-AL"/>
              </w:rPr>
            </w:pPr>
            <w:r w:rsidRPr="00B26335">
              <w:rPr>
                <w:lang w:val="sq-AL"/>
              </w:rPr>
              <w:t>3-6</w:t>
            </w:r>
            <w:r w:rsidRPr="00B26335">
              <w:rPr>
                <w:spacing w:val="-3"/>
                <w:lang w:val="sq-AL"/>
              </w:rPr>
              <w:t xml:space="preserve"> </w:t>
            </w:r>
            <w:r w:rsidRPr="007F49D2">
              <w:rPr>
                <w:lang w:val="sq-AL"/>
              </w:rPr>
              <w:t>vite</w:t>
            </w:r>
          </w:p>
        </w:tc>
      </w:tr>
      <w:tr w:rsidR="0075093C" w:rsidRPr="00450894" w:rsidTr="00C85B1F">
        <w:trPr>
          <w:trHeight w:val="533"/>
          <w:jc w:val="center"/>
        </w:trPr>
        <w:tc>
          <w:tcPr>
            <w:tcW w:w="8434" w:type="dxa"/>
            <w:gridSpan w:val="2"/>
            <w:tcBorders>
              <w:top w:val="single" w:sz="36" w:space="0" w:color="DEEAF6"/>
            </w:tcBorders>
          </w:tcPr>
          <w:p w:rsidR="0075093C" w:rsidRPr="003C06AF" w:rsidRDefault="0075093C" w:rsidP="0075093C">
            <w:pPr>
              <w:pStyle w:val="TableParagraph"/>
              <w:spacing w:line="264" w:lineRule="exact"/>
              <w:rPr>
                <w:lang w:val="sq-AL"/>
              </w:rPr>
            </w:pPr>
            <w:r w:rsidRPr="00CC5249">
              <w:rPr>
                <w:lang w:val="sq-AL"/>
              </w:rPr>
              <w:t>Burimi:</w:t>
            </w:r>
            <w:r w:rsidRPr="00CC5249">
              <w:rPr>
                <w:spacing w:val="-4"/>
                <w:lang w:val="sq-AL"/>
              </w:rPr>
              <w:t xml:space="preserve"> </w:t>
            </w:r>
            <w:r w:rsidRPr="00CC5249">
              <w:rPr>
                <w:lang w:val="sq-AL"/>
              </w:rPr>
              <w:t>Të</w:t>
            </w:r>
            <w:r w:rsidRPr="00CC5249">
              <w:rPr>
                <w:spacing w:val="-2"/>
                <w:lang w:val="sq-AL"/>
              </w:rPr>
              <w:t xml:space="preserve"> </w:t>
            </w:r>
            <w:r w:rsidRPr="00EF4D5D">
              <w:rPr>
                <w:lang w:val="sq-AL"/>
              </w:rPr>
              <w:t>dhënat</w:t>
            </w:r>
            <w:r w:rsidRPr="00EF4D5D">
              <w:rPr>
                <w:spacing w:val="-2"/>
                <w:lang w:val="sq-AL"/>
              </w:rPr>
              <w:t xml:space="preserve"> </w:t>
            </w:r>
            <w:r w:rsidRPr="00B26335">
              <w:rPr>
                <w:lang w:val="sq-AL"/>
              </w:rPr>
              <w:t>nga</w:t>
            </w:r>
            <w:r w:rsidRPr="00B26335">
              <w:rPr>
                <w:spacing w:val="-2"/>
                <w:lang w:val="sq-AL"/>
              </w:rPr>
              <w:t xml:space="preserve"> </w:t>
            </w:r>
            <w:r w:rsidRPr="007F49D2">
              <w:rPr>
                <w:lang w:val="sq-AL"/>
              </w:rPr>
              <w:t>kompanitë</w:t>
            </w:r>
            <w:r w:rsidRPr="007F49D2">
              <w:rPr>
                <w:spacing w:val="-1"/>
                <w:lang w:val="sq-AL"/>
              </w:rPr>
              <w:t xml:space="preserve"> </w:t>
            </w:r>
            <w:r w:rsidRPr="007F49D2">
              <w:rPr>
                <w:lang w:val="sq-AL"/>
              </w:rPr>
              <w:t>sipas</w:t>
            </w:r>
            <w:r w:rsidRPr="007F49D2">
              <w:rPr>
                <w:spacing w:val="-2"/>
                <w:lang w:val="sq-AL"/>
              </w:rPr>
              <w:t xml:space="preserve"> </w:t>
            </w:r>
            <w:r w:rsidRPr="007F49D2">
              <w:rPr>
                <w:lang w:val="sq-AL"/>
              </w:rPr>
              <w:t>hulumtimit</w:t>
            </w:r>
            <w:r w:rsidRPr="007F49D2">
              <w:rPr>
                <w:spacing w:val="1"/>
                <w:lang w:val="sq-AL"/>
              </w:rPr>
              <w:t xml:space="preserve"> </w:t>
            </w:r>
            <w:r w:rsidRPr="00540B57">
              <w:rPr>
                <w:lang w:val="sq-AL"/>
              </w:rPr>
              <w:t>të</w:t>
            </w:r>
            <w:r w:rsidRPr="003C06AF">
              <w:rPr>
                <w:spacing w:val="-4"/>
                <w:lang w:val="sq-AL"/>
              </w:rPr>
              <w:t xml:space="preserve"> </w:t>
            </w:r>
            <w:r w:rsidRPr="003C06AF">
              <w:rPr>
                <w:lang w:val="sq-AL"/>
              </w:rPr>
              <w:t>Andre</w:t>
            </w:r>
            <w:r w:rsidR="005F0EEB">
              <w:rPr>
                <w:lang w:val="sq-AL"/>
              </w:rPr>
              <w:t>w</w:t>
            </w:r>
            <w:r w:rsidRPr="003C06AF">
              <w:rPr>
                <w:spacing w:val="-2"/>
                <w:lang w:val="sq-AL"/>
              </w:rPr>
              <w:t xml:space="preserve"> </w:t>
            </w:r>
            <w:r w:rsidRPr="003C06AF">
              <w:rPr>
                <w:lang w:val="sq-AL"/>
              </w:rPr>
              <w:t>Sather</w:t>
            </w:r>
          </w:p>
          <w:p w:rsidR="0075093C" w:rsidRPr="00CC5249" w:rsidRDefault="0075093C" w:rsidP="0075093C">
            <w:pPr>
              <w:pStyle w:val="TableParagraph"/>
              <w:spacing w:line="249" w:lineRule="exact"/>
              <w:rPr>
                <w:lang w:val="sq-AL"/>
              </w:rPr>
            </w:pPr>
            <w:r w:rsidRPr="003C06AF">
              <w:rPr>
                <w:lang w:val="sq-AL"/>
              </w:rPr>
              <w:t>Linku:</w:t>
            </w:r>
            <w:r w:rsidRPr="003C06AF">
              <w:rPr>
                <w:spacing w:val="-11"/>
                <w:lang w:val="sq-AL"/>
              </w:rPr>
              <w:t xml:space="preserve"> </w:t>
            </w:r>
            <w:hyperlink r:id="rId13" w:history="1">
              <w:r w:rsidRPr="00AC02E5">
                <w:rPr>
                  <w:rStyle w:val="Hyperlink"/>
                  <w:lang w:val="sq-AL"/>
                </w:rPr>
                <w:t>https://einvestingforbeginners.com/computer-soft</w:t>
              </w:r>
              <w:r>
                <w:rPr>
                  <w:rStyle w:val="Hyperlink"/>
                  <w:lang w:val="sq-AL"/>
                </w:rPr>
                <w:t>ë</w:t>
              </w:r>
              <w:r w:rsidRPr="00AC02E5">
                <w:rPr>
                  <w:rStyle w:val="Hyperlink"/>
                  <w:lang w:val="sq-AL"/>
                </w:rPr>
                <w:t>are-depreciation-accounting/</w:t>
              </w:r>
            </w:hyperlink>
            <w:r w:rsidRPr="00CC5249">
              <w:rPr>
                <w:lang w:val="sq-AL"/>
              </w:rPr>
              <w:t xml:space="preserve"> </w:t>
            </w:r>
          </w:p>
        </w:tc>
      </w:tr>
    </w:tbl>
    <w:p w:rsidR="0075093C" w:rsidRPr="00CC5249" w:rsidRDefault="0075093C" w:rsidP="0075093C">
      <w:pPr>
        <w:rPr>
          <w:lang w:val="sq-AL"/>
        </w:rPr>
      </w:pPr>
    </w:p>
    <w:p w:rsidR="0075093C" w:rsidRDefault="0075093C" w:rsidP="005F0EEB">
      <w:pPr>
        <w:jc w:val="both"/>
        <w:rPr>
          <w:lang w:val="sq-AL"/>
        </w:rPr>
      </w:pPr>
      <w:r w:rsidRPr="00B26335">
        <w:rPr>
          <w:lang w:val="sq-AL"/>
        </w:rPr>
        <w:t>KESCO në aplik</w:t>
      </w:r>
      <w:r w:rsidRPr="007F49D2">
        <w:rPr>
          <w:lang w:val="sq-AL"/>
        </w:rPr>
        <w:t>acionin e saj kërkon nga ZRRE të shqyrtoj ndarjen e jetëgjatësisë së aseteve të FSHU-së në dy grupe, siç është paraqitur në tabelën në vijim:</w:t>
      </w:r>
    </w:p>
    <w:p w:rsidR="00820A8B" w:rsidRDefault="00820A8B" w:rsidP="005F0EEB">
      <w:pPr>
        <w:jc w:val="both"/>
        <w:rPr>
          <w:lang w:val="sq-AL"/>
        </w:rPr>
      </w:pPr>
    </w:p>
    <w:p w:rsidR="0075093C" w:rsidRPr="005F0EEB" w:rsidRDefault="0075093C" w:rsidP="0075093C">
      <w:pPr>
        <w:pStyle w:val="Caption"/>
        <w:rPr>
          <w:lang w:val="sq-AL"/>
        </w:rPr>
      </w:pPr>
      <w:r w:rsidRPr="005F0EEB">
        <w:rPr>
          <w:lang w:val="sq-AL"/>
        </w:rPr>
        <w:lastRenderedPageBreak/>
        <w:t xml:space="preserve">Tabela  </w:t>
      </w:r>
      <w:r w:rsidRPr="005F0EEB">
        <w:rPr>
          <w:lang w:val="sq-AL"/>
        </w:rPr>
        <w:fldChar w:fldCharType="begin"/>
      </w:r>
      <w:r w:rsidRPr="005F0EEB">
        <w:rPr>
          <w:lang w:val="sq-AL"/>
        </w:rPr>
        <w:instrText xml:space="preserve"> SEQ Tabela_ \* ARABIC </w:instrText>
      </w:r>
      <w:r w:rsidRPr="005F0EEB">
        <w:rPr>
          <w:lang w:val="sq-AL"/>
        </w:rPr>
        <w:fldChar w:fldCharType="separate"/>
      </w:r>
      <w:r w:rsidR="00701D2D">
        <w:rPr>
          <w:noProof/>
          <w:lang w:val="sq-AL"/>
        </w:rPr>
        <w:t>14</w:t>
      </w:r>
      <w:r w:rsidRPr="005F0EEB">
        <w:rPr>
          <w:lang w:val="sq-AL"/>
        </w:rPr>
        <w:fldChar w:fldCharType="end"/>
      </w:r>
      <w:r w:rsidRPr="005F0EEB">
        <w:rPr>
          <w:lang w:val="sq-AL"/>
        </w:rPr>
        <w:t xml:space="preserve"> Kategorizimi dhe jetëgjatësia e aseteve</w:t>
      </w:r>
    </w:p>
    <w:tbl>
      <w:tblPr>
        <w:tblW w:w="0" w:type="auto"/>
        <w:tblInd w:w="174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4249"/>
        <w:gridCol w:w="2230"/>
      </w:tblGrid>
      <w:tr w:rsidR="0075093C" w:rsidRPr="00450894" w:rsidTr="0075093C">
        <w:trPr>
          <w:trHeight w:val="319"/>
        </w:trPr>
        <w:tc>
          <w:tcPr>
            <w:tcW w:w="4249" w:type="dxa"/>
            <w:tcBorders>
              <w:top w:val="nil"/>
              <w:left w:val="nil"/>
              <w:bottom w:val="nil"/>
              <w:right w:val="nil"/>
            </w:tcBorders>
            <w:shd w:val="clear" w:color="auto" w:fill="5B9BD4"/>
          </w:tcPr>
          <w:p w:rsidR="0075093C" w:rsidRPr="00450894" w:rsidRDefault="0075093C" w:rsidP="0075093C">
            <w:pPr>
              <w:pStyle w:val="TableParagraph"/>
              <w:spacing w:before="23"/>
              <w:ind w:left="112"/>
              <w:rPr>
                <w:b/>
                <w:lang w:val="sq-AL"/>
              </w:rPr>
            </w:pPr>
            <w:r w:rsidRPr="00B1408C">
              <w:rPr>
                <w:b/>
                <w:color w:val="FFFFFF"/>
                <w:lang w:val="sq-AL"/>
              </w:rPr>
              <w:t>Grupet</w:t>
            </w:r>
            <w:r w:rsidRPr="00B1408C">
              <w:rPr>
                <w:b/>
                <w:color w:val="FFFFFF"/>
                <w:spacing w:val="-2"/>
                <w:lang w:val="sq-AL"/>
              </w:rPr>
              <w:t xml:space="preserve"> </w:t>
            </w:r>
            <w:r w:rsidRPr="00B1408C">
              <w:rPr>
                <w:b/>
                <w:color w:val="FFFFFF"/>
                <w:lang w:val="sq-AL"/>
              </w:rPr>
              <w:t>e</w:t>
            </w:r>
            <w:r w:rsidRPr="00B1408C">
              <w:rPr>
                <w:b/>
                <w:color w:val="FFFFFF"/>
                <w:spacing w:val="-5"/>
                <w:lang w:val="sq-AL"/>
              </w:rPr>
              <w:t xml:space="preserve"> </w:t>
            </w:r>
            <w:r w:rsidRPr="00B1408C">
              <w:rPr>
                <w:b/>
                <w:color w:val="FFFFFF"/>
                <w:lang w:val="sq-AL"/>
              </w:rPr>
              <w:t>zhvlerësimit</w:t>
            </w:r>
          </w:p>
        </w:tc>
        <w:tc>
          <w:tcPr>
            <w:tcW w:w="2230" w:type="dxa"/>
            <w:tcBorders>
              <w:top w:val="nil"/>
              <w:left w:val="nil"/>
              <w:bottom w:val="nil"/>
              <w:right w:val="nil"/>
            </w:tcBorders>
            <w:shd w:val="clear" w:color="auto" w:fill="5B9BD4"/>
          </w:tcPr>
          <w:p w:rsidR="0075093C" w:rsidRPr="00450894" w:rsidRDefault="0075093C" w:rsidP="0075093C">
            <w:pPr>
              <w:pStyle w:val="TableParagraph"/>
              <w:spacing w:before="9"/>
              <w:ind w:left="122"/>
              <w:rPr>
                <w:b/>
                <w:lang w:val="sq-AL"/>
              </w:rPr>
            </w:pPr>
            <w:r w:rsidRPr="00450894">
              <w:rPr>
                <w:b/>
                <w:color w:val="FFFFFF"/>
                <w:lang w:val="sq-AL"/>
              </w:rPr>
              <w:t>Jetëgjatësia</w:t>
            </w:r>
            <w:r w:rsidRPr="00450894">
              <w:rPr>
                <w:b/>
                <w:color w:val="FFFFFF"/>
                <w:spacing w:val="-1"/>
                <w:lang w:val="sq-AL"/>
              </w:rPr>
              <w:t xml:space="preserve"> </w:t>
            </w:r>
            <w:r w:rsidRPr="00450894">
              <w:rPr>
                <w:b/>
                <w:color w:val="FFFFFF"/>
                <w:lang w:val="sq-AL"/>
              </w:rPr>
              <w:t>e</w:t>
            </w:r>
            <w:r w:rsidRPr="00450894">
              <w:rPr>
                <w:b/>
                <w:color w:val="FFFFFF"/>
                <w:spacing w:val="-3"/>
                <w:lang w:val="sq-AL"/>
              </w:rPr>
              <w:t xml:space="preserve"> </w:t>
            </w:r>
            <w:r w:rsidRPr="00450894">
              <w:rPr>
                <w:b/>
                <w:color w:val="FFFFFF"/>
                <w:lang w:val="sq-AL"/>
              </w:rPr>
              <w:t>aseteve</w:t>
            </w:r>
          </w:p>
        </w:tc>
      </w:tr>
      <w:tr w:rsidR="0075093C" w:rsidRPr="00450894" w:rsidTr="0075093C">
        <w:trPr>
          <w:trHeight w:val="297"/>
        </w:trPr>
        <w:tc>
          <w:tcPr>
            <w:tcW w:w="4249" w:type="dxa"/>
            <w:tcBorders>
              <w:top w:val="nil"/>
            </w:tcBorders>
            <w:shd w:val="clear" w:color="auto" w:fill="DEEAF6"/>
          </w:tcPr>
          <w:p w:rsidR="0075093C" w:rsidRPr="00EF4D5D" w:rsidRDefault="0075093C" w:rsidP="0075093C">
            <w:pPr>
              <w:pStyle w:val="TableParagraph"/>
              <w:spacing w:before="13" w:line="264" w:lineRule="exact"/>
              <w:rPr>
                <w:lang w:val="sq-AL"/>
              </w:rPr>
            </w:pPr>
            <w:r w:rsidRPr="00CC5249">
              <w:rPr>
                <w:lang w:val="sq-AL"/>
              </w:rPr>
              <w:t>Pajisjet</w:t>
            </w:r>
            <w:r w:rsidRPr="00CC5249">
              <w:rPr>
                <w:spacing w:val="-1"/>
                <w:lang w:val="sq-AL"/>
              </w:rPr>
              <w:t xml:space="preserve"> </w:t>
            </w:r>
            <w:r w:rsidRPr="00CC5249">
              <w:rPr>
                <w:lang w:val="sq-AL"/>
              </w:rPr>
              <w:t>e</w:t>
            </w:r>
            <w:r w:rsidRPr="00EF4D5D">
              <w:rPr>
                <w:spacing w:val="-3"/>
                <w:lang w:val="sq-AL"/>
              </w:rPr>
              <w:t xml:space="preserve"> </w:t>
            </w:r>
            <w:r w:rsidRPr="00EF4D5D">
              <w:rPr>
                <w:lang w:val="sq-AL"/>
              </w:rPr>
              <w:t>Zyrës</w:t>
            </w:r>
          </w:p>
        </w:tc>
        <w:tc>
          <w:tcPr>
            <w:tcW w:w="2230" w:type="dxa"/>
            <w:tcBorders>
              <w:top w:val="nil"/>
            </w:tcBorders>
            <w:shd w:val="clear" w:color="auto" w:fill="DEEAF6"/>
          </w:tcPr>
          <w:p w:rsidR="0075093C" w:rsidRPr="007F49D2" w:rsidRDefault="0075093C" w:rsidP="0075093C">
            <w:pPr>
              <w:pStyle w:val="TableParagraph"/>
              <w:spacing w:before="13" w:line="264" w:lineRule="exact"/>
              <w:rPr>
                <w:lang w:val="sq-AL"/>
              </w:rPr>
            </w:pPr>
            <w:r w:rsidRPr="00B26335">
              <w:rPr>
                <w:lang w:val="sq-AL"/>
              </w:rPr>
              <w:t>5</w:t>
            </w:r>
            <w:r w:rsidRPr="00B26335">
              <w:rPr>
                <w:spacing w:val="-1"/>
                <w:lang w:val="sq-AL"/>
              </w:rPr>
              <w:t xml:space="preserve"> </w:t>
            </w:r>
            <w:r w:rsidRPr="007F49D2">
              <w:rPr>
                <w:lang w:val="sq-AL"/>
              </w:rPr>
              <w:t>vite</w:t>
            </w:r>
          </w:p>
        </w:tc>
      </w:tr>
      <w:tr w:rsidR="0075093C" w:rsidRPr="00450894" w:rsidTr="0075093C">
        <w:trPr>
          <w:trHeight w:val="297"/>
        </w:trPr>
        <w:tc>
          <w:tcPr>
            <w:tcW w:w="4249" w:type="dxa"/>
          </w:tcPr>
          <w:p w:rsidR="0075093C" w:rsidRPr="00CC5249" w:rsidRDefault="0075093C" w:rsidP="0075093C">
            <w:pPr>
              <w:pStyle w:val="TableParagraph"/>
              <w:spacing w:before="14" w:line="264" w:lineRule="exact"/>
              <w:rPr>
                <w:lang w:val="sq-AL"/>
              </w:rPr>
            </w:pPr>
            <w:r w:rsidRPr="00CC5249">
              <w:rPr>
                <w:lang w:val="sq-AL"/>
              </w:rPr>
              <w:t>Programet</w:t>
            </w:r>
            <w:r w:rsidRPr="00CC5249">
              <w:rPr>
                <w:spacing w:val="-4"/>
                <w:lang w:val="sq-AL"/>
              </w:rPr>
              <w:t xml:space="preserve"> </w:t>
            </w:r>
            <w:r w:rsidRPr="00CC5249">
              <w:rPr>
                <w:lang w:val="sq-AL"/>
              </w:rPr>
              <w:t>kompjuterike</w:t>
            </w:r>
          </w:p>
        </w:tc>
        <w:tc>
          <w:tcPr>
            <w:tcW w:w="2230" w:type="dxa"/>
          </w:tcPr>
          <w:p w:rsidR="0075093C" w:rsidRPr="007F49D2" w:rsidRDefault="0075093C" w:rsidP="0075093C">
            <w:pPr>
              <w:pStyle w:val="TableParagraph"/>
              <w:spacing w:before="14" w:line="264" w:lineRule="exact"/>
              <w:rPr>
                <w:lang w:val="sq-AL"/>
              </w:rPr>
            </w:pPr>
            <w:r w:rsidRPr="00B26335">
              <w:rPr>
                <w:lang w:val="sq-AL"/>
              </w:rPr>
              <w:t>3</w:t>
            </w:r>
            <w:r w:rsidRPr="00B26335">
              <w:rPr>
                <w:spacing w:val="-1"/>
                <w:lang w:val="sq-AL"/>
              </w:rPr>
              <w:t xml:space="preserve"> </w:t>
            </w:r>
            <w:r w:rsidRPr="007F49D2">
              <w:rPr>
                <w:lang w:val="sq-AL"/>
              </w:rPr>
              <w:t>vite</w:t>
            </w:r>
          </w:p>
        </w:tc>
      </w:tr>
    </w:tbl>
    <w:p w:rsidR="0075093C" w:rsidRPr="00CC5249" w:rsidRDefault="0075093C" w:rsidP="0075093C">
      <w:pPr>
        <w:rPr>
          <w:lang w:val="sq-AL"/>
        </w:rPr>
      </w:pPr>
    </w:p>
    <w:p w:rsidR="0075093C" w:rsidRPr="00B26335" w:rsidRDefault="0075093C" w:rsidP="0075093C">
      <w:pPr>
        <w:pStyle w:val="Heading3"/>
        <w:rPr>
          <w:lang w:val="sq-AL"/>
        </w:rPr>
      </w:pPr>
      <w:bookmarkStart w:id="24" w:name="_Toc88226466"/>
      <w:r w:rsidRPr="00B26335">
        <w:rPr>
          <w:lang w:val="sq-AL"/>
        </w:rPr>
        <w:t>Shqyrtimi dhe propozimi i ZRRE-së</w:t>
      </w:r>
      <w:bookmarkEnd w:id="24"/>
    </w:p>
    <w:p w:rsidR="0075093C" w:rsidRPr="00CC5249" w:rsidRDefault="0075093C" w:rsidP="005F0EEB">
      <w:pPr>
        <w:jc w:val="both"/>
        <w:rPr>
          <w:lang w:val="sq-AL"/>
        </w:rPr>
      </w:pPr>
      <w:r w:rsidRPr="00B1408C">
        <w:rPr>
          <w:lang w:val="sq-AL"/>
        </w:rPr>
        <w:t xml:space="preserve">Vendimi i fundit i ZRRE-së për jetëgjatësinë e aseteve në lidhje me pajisjet e zyrës dhe infrastrukturën e TI-së u ndërmor në procesin e shqyrtimit periodik të OST-së dhe OSSh-së për Periudhën Rregullative 2018-2022 </w:t>
      </w:r>
      <w:r w:rsidRPr="00CC5249">
        <w:rPr>
          <w:rStyle w:val="FootnoteReference"/>
          <w:lang w:val="sq-AL"/>
        </w:rPr>
        <w:footnoteReference w:id="7"/>
      </w:r>
      <w:r w:rsidRPr="00CC5249">
        <w:rPr>
          <w:lang w:val="sq-AL"/>
        </w:rPr>
        <w:t xml:space="preserve">. Jetëgjatësia mesatare e ponderuar e aseteve për pajisjet IT, </w:t>
      </w:r>
      <w:r w:rsidR="005F0EEB" w:rsidRPr="00CC5249">
        <w:rPr>
          <w:lang w:val="sq-AL"/>
        </w:rPr>
        <w:t>softuerë</w:t>
      </w:r>
      <w:r w:rsidRPr="00CC5249">
        <w:rPr>
          <w:lang w:val="sq-AL"/>
        </w:rPr>
        <w:t xml:space="preserve">, licencat dhe patentat u caktua për 5 vjet ndërsa ajo e </w:t>
      </w:r>
      <w:r w:rsidR="005F0EEB" w:rsidRPr="00CC5249">
        <w:rPr>
          <w:lang w:val="sq-AL"/>
        </w:rPr>
        <w:t>mobileve</w:t>
      </w:r>
      <w:r w:rsidRPr="00CC5249">
        <w:rPr>
          <w:lang w:val="sq-AL"/>
        </w:rPr>
        <w:t xml:space="preserve"> dhe pajisjeve të zyrës u caktua për 7 vjet.</w:t>
      </w:r>
    </w:p>
    <w:p w:rsidR="0075093C" w:rsidRPr="00CC5249" w:rsidRDefault="0075093C" w:rsidP="005F0EEB">
      <w:pPr>
        <w:jc w:val="both"/>
        <w:rPr>
          <w:lang w:val="sq-AL"/>
        </w:rPr>
      </w:pPr>
      <w:r w:rsidRPr="00B26335">
        <w:rPr>
          <w:lang w:val="sq-AL"/>
        </w:rPr>
        <w:t>Vendimi i ZRRE-së gjatë Shqyrtimit Periodik u mor bazuar në Raportin e Kushteve të Investimit të Këshillit të Rregullatorëve Evr</w:t>
      </w:r>
      <w:r w:rsidRPr="00B1408C">
        <w:rPr>
          <w:lang w:val="sq-AL"/>
        </w:rPr>
        <w:t>opian të Energjisë (CEER) 2016 përfshirë edhe studimin e vitit 2019 të ERRA rreth Përcaktues</w:t>
      </w:r>
      <w:r w:rsidRPr="00450894">
        <w:rPr>
          <w:lang w:val="sq-AL"/>
        </w:rPr>
        <w:t>ve të të Hyrave të OST dhe OSSH</w:t>
      </w:r>
      <w:r w:rsidRPr="00CC5249">
        <w:rPr>
          <w:rStyle w:val="FootnoteReference"/>
          <w:lang w:val="sq-AL"/>
        </w:rPr>
        <w:footnoteReference w:id="8"/>
      </w:r>
      <w:r w:rsidRPr="00CC5249">
        <w:rPr>
          <w:lang w:val="sq-AL"/>
        </w:rPr>
        <w:t xml:space="preserve"> dhe publikimin e CEER për Kornizat Rregullative për Rrjetet Evropiane të Energjisë</w:t>
      </w:r>
      <w:r w:rsidRPr="00CC5249">
        <w:rPr>
          <w:rStyle w:val="FootnoteReference"/>
          <w:lang w:val="sq-AL"/>
        </w:rPr>
        <w:t xml:space="preserve"> </w:t>
      </w:r>
      <w:r w:rsidRPr="00CC5249">
        <w:rPr>
          <w:rStyle w:val="FootnoteReference"/>
          <w:lang w:val="sq-AL"/>
        </w:rPr>
        <w:footnoteReference w:id="9"/>
      </w:r>
      <w:r w:rsidRPr="00CC5249">
        <w:rPr>
          <w:lang w:val="sq-AL"/>
        </w:rPr>
        <w:t xml:space="preserve"> botuar në të njëjtin vit. Përderisa ZRRE e kupton pretendimin se efekti i përparimit teknologjik ndikon në jetëgjatësinë e aseteve, nuk janë gjetur prova bindëse në shembujt rregullativë të përmendur më lart që rregullatorët kanë zvogëluar jetëgjatësinë e aseteve të IT për të pasqyruar këtë zhvillim.</w:t>
      </w:r>
    </w:p>
    <w:p w:rsidR="0075093C" w:rsidRDefault="0075093C" w:rsidP="005F0EEB">
      <w:pPr>
        <w:jc w:val="both"/>
        <w:rPr>
          <w:lang w:val="sq-AL"/>
        </w:rPr>
      </w:pPr>
      <w:r w:rsidRPr="00B26335">
        <w:rPr>
          <w:lang w:val="sq-AL"/>
        </w:rPr>
        <w:t xml:space="preserve">Në vlerësimin e saj për kategorizimin e aseteve dhe propozimin e për jetëgjatësinë e tyre, ekzistojnë pak informata të krahasueshme për këtë segment të industrisë (furnizimin me shërbim universal). </w:t>
      </w:r>
      <w:r w:rsidRPr="00B1408C">
        <w:rPr>
          <w:lang w:val="sq-AL"/>
        </w:rPr>
        <w:t xml:space="preserve">Prandaj, si burim kryesor për klasifikimin e aseteve në grupe dhe propozimin për jetëgjatësinë e tyre, ZRRE ka marrë në </w:t>
      </w:r>
      <w:r w:rsidR="005F0EEB" w:rsidRPr="00B1408C">
        <w:rPr>
          <w:lang w:val="sq-AL"/>
        </w:rPr>
        <w:t>konsideratë</w:t>
      </w:r>
      <w:r w:rsidRPr="00B1408C">
        <w:rPr>
          <w:lang w:val="sq-AL"/>
        </w:rPr>
        <w:t xml:space="preserve"> shqyrtimin e fundit që ka të bëjë me kategorizimin dhe </w:t>
      </w:r>
      <w:r w:rsidR="005F0EEB" w:rsidRPr="00B1408C">
        <w:rPr>
          <w:lang w:val="sq-AL"/>
        </w:rPr>
        <w:t>jetëgjatësinë</w:t>
      </w:r>
      <w:r w:rsidRPr="00B1408C">
        <w:rPr>
          <w:lang w:val="sq-AL"/>
        </w:rPr>
        <w:t xml:space="preserve"> e as</w:t>
      </w:r>
      <w:r w:rsidRPr="00450894">
        <w:rPr>
          <w:lang w:val="sq-AL"/>
        </w:rPr>
        <w:t>eteve të Operatorit të Sistemit të Transmetimit dhe Operatorit të Sistemit të Shpërndarjes. Gjatë këtij shqyrtimi, ZRRE ka marrë në konsideratë asetet që kanë analogji me kategoritë e aseteve të Furnizuesit.  Bazuar në atë që u theksuar më sipër ZRRE propozon kategorizimin dhe jetëgja</w:t>
      </w:r>
      <w:r w:rsidR="005F0EEB">
        <w:rPr>
          <w:lang w:val="sq-AL"/>
        </w:rPr>
        <w:t>të</w:t>
      </w:r>
      <w:r w:rsidRPr="00450894">
        <w:rPr>
          <w:lang w:val="sq-AL"/>
        </w:rPr>
        <w:t>sinë si në tabelën në vijim:</w:t>
      </w:r>
    </w:p>
    <w:p w:rsidR="0075093C" w:rsidRPr="005F0EEB" w:rsidRDefault="0075093C" w:rsidP="0075093C">
      <w:pPr>
        <w:pStyle w:val="Caption"/>
        <w:rPr>
          <w:lang w:val="sq-AL"/>
        </w:rPr>
      </w:pPr>
      <w:r w:rsidRPr="005F0EEB">
        <w:rPr>
          <w:lang w:val="sq-AL"/>
        </w:rPr>
        <w:t xml:space="preserve">Tabela  </w:t>
      </w:r>
      <w:r w:rsidRPr="005F0EEB">
        <w:rPr>
          <w:lang w:val="sq-AL"/>
        </w:rPr>
        <w:fldChar w:fldCharType="begin"/>
      </w:r>
      <w:r w:rsidRPr="005F0EEB">
        <w:rPr>
          <w:lang w:val="sq-AL"/>
        </w:rPr>
        <w:instrText xml:space="preserve"> SEQ Tabela_ \* ARABIC </w:instrText>
      </w:r>
      <w:r w:rsidRPr="005F0EEB">
        <w:rPr>
          <w:lang w:val="sq-AL"/>
        </w:rPr>
        <w:fldChar w:fldCharType="separate"/>
      </w:r>
      <w:r w:rsidR="00701D2D">
        <w:rPr>
          <w:noProof/>
          <w:lang w:val="sq-AL"/>
        </w:rPr>
        <w:t>15</w:t>
      </w:r>
      <w:r w:rsidRPr="005F0EEB">
        <w:rPr>
          <w:lang w:val="sq-AL"/>
        </w:rPr>
        <w:fldChar w:fldCharType="end"/>
      </w:r>
      <w:r w:rsidRPr="005F0EEB">
        <w:rPr>
          <w:lang w:val="sq-AL"/>
        </w:rPr>
        <w:t xml:space="preserve"> Propozimi i ZRRE-së për Kategorizimin dhe jetëgjatësinë e aseteve</w:t>
      </w:r>
    </w:p>
    <w:tbl>
      <w:tblPr>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67"/>
        <w:gridCol w:w="7158"/>
        <w:gridCol w:w="1294"/>
      </w:tblGrid>
      <w:tr w:rsidR="0075093C" w:rsidRPr="00450894" w:rsidTr="0075093C">
        <w:tc>
          <w:tcPr>
            <w:tcW w:w="567" w:type="dxa"/>
            <w:shd w:val="clear" w:color="auto" w:fill="003366"/>
          </w:tcPr>
          <w:p w:rsidR="0075093C" w:rsidRPr="00450894" w:rsidRDefault="0075093C" w:rsidP="0075093C">
            <w:pPr>
              <w:spacing w:before="60" w:after="60"/>
              <w:jc w:val="center"/>
              <w:rPr>
                <w:lang w:val="sq-AL"/>
              </w:rPr>
            </w:pPr>
          </w:p>
        </w:tc>
        <w:tc>
          <w:tcPr>
            <w:tcW w:w="7158" w:type="dxa"/>
            <w:shd w:val="clear" w:color="auto" w:fill="003366"/>
          </w:tcPr>
          <w:p w:rsidR="0075093C" w:rsidRPr="00450894" w:rsidRDefault="0075093C" w:rsidP="0075093C">
            <w:pPr>
              <w:spacing w:before="60" w:after="60"/>
              <w:jc w:val="center"/>
              <w:rPr>
                <w:lang w:val="sq-AL"/>
              </w:rPr>
            </w:pPr>
            <w:r w:rsidRPr="00450894">
              <w:rPr>
                <w:lang w:val="sq-AL"/>
              </w:rPr>
              <w:t>Asetet</w:t>
            </w:r>
          </w:p>
        </w:tc>
        <w:tc>
          <w:tcPr>
            <w:tcW w:w="1294" w:type="dxa"/>
            <w:shd w:val="clear" w:color="auto" w:fill="003366"/>
          </w:tcPr>
          <w:p w:rsidR="0075093C" w:rsidRPr="00450894" w:rsidRDefault="0075093C" w:rsidP="0075093C">
            <w:pPr>
              <w:spacing w:before="60" w:after="60"/>
              <w:jc w:val="center"/>
              <w:rPr>
                <w:lang w:val="sq-AL"/>
              </w:rPr>
            </w:pPr>
            <w:r w:rsidRPr="00450894">
              <w:rPr>
                <w:lang w:val="sq-AL"/>
              </w:rPr>
              <w:t>Jetëgjatësia e asetit (vjet)</w:t>
            </w:r>
          </w:p>
        </w:tc>
      </w:tr>
      <w:tr w:rsidR="0075093C" w:rsidRPr="00450894" w:rsidTr="0075093C">
        <w:tc>
          <w:tcPr>
            <w:tcW w:w="567" w:type="dxa"/>
            <w:shd w:val="clear" w:color="auto" w:fill="auto"/>
          </w:tcPr>
          <w:p w:rsidR="0075093C" w:rsidRPr="00CC5249" w:rsidRDefault="0075093C" w:rsidP="0075093C">
            <w:pPr>
              <w:spacing w:before="60" w:after="60"/>
              <w:rPr>
                <w:lang w:val="sq-AL"/>
              </w:rPr>
            </w:pPr>
            <w:r w:rsidRPr="00CC5249">
              <w:rPr>
                <w:lang w:val="sq-AL"/>
              </w:rPr>
              <w:t>I</w:t>
            </w:r>
          </w:p>
        </w:tc>
        <w:tc>
          <w:tcPr>
            <w:tcW w:w="7158" w:type="dxa"/>
            <w:shd w:val="clear" w:color="auto" w:fill="auto"/>
          </w:tcPr>
          <w:p w:rsidR="0075093C" w:rsidRPr="00B26335" w:rsidRDefault="0075093C" w:rsidP="0075093C">
            <w:pPr>
              <w:spacing w:before="60" w:after="60"/>
              <w:rPr>
                <w:lang w:val="sq-AL"/>
              </w:rPr>
            </w:pPr>
            <w:r w:rsidRPr="00B26335">
              <w:rPr>
                <w:lang w:val="sq-AL"/>
              </w:rPr>
              <w:t>Mobilet, pajisjet për zyrë</w:t>
            </w:r>
          </w:p>
        </w:tc>
        <w:tc>
          <w:tcPr>
            <w:tcW w:w="1294" w:type="dxa"/>
            <w:shd w:val="clear" w:color="auto" w:fill="auto"/>
          </w:tcPr>
          <w:p w:rsidR="0075093C" w:rsidRPr="00B1408C" w:rsidRDefault="0075093C" w:rsidP="0075093C">
            <w:pPr>
              <w:spacing w:before="60" w:after="60"/>
              <w:jc w:val="center"/>
              <w:rPr>
                <w:lang w:val="sq-AL"/>
              </w:rPr>
            </w:pPr>
            <w:r w:rsidRPr="00B1408C">
              <w:rPr>
                <w:lang w:val="sq-AL"/>
              </w:rPr>
              <w:t>7</w:t>
            </w:r>
          </w:p>
        </w:tc>
      </w:tr>
      <w:tr w:rsidR="0075093C" w:rsidRPr="00450894" w:rsidTr="0075093C">
        <w:tc>
          <w:tcPr>
            <w:tcW w:w="567" w:type="dxa"/>
            <w:shd w:val="clear" w:color="auto" w:fill="auto"/>
          </w:tcPr>
          <w:p w:rsidR="0075093C" w:rsidRPr="00CC5249" w:rsidRDefault="0075093C" w:rsidP="0075093C">
            <w:pPr>
              <w:spacing w:before="60" w:after="60"/>
              <w:rPr>
                <w:lang w:val="sq-AL"/>
              </w:rPr>
            </w:pPr>
            <w:r w:rsidRPr="00CC5249">
              <w:rPr>
                <w:lang w:val="sq-AL"/>
              </w:rPr>
              <w:t>II</w:t>
            </w:r>
          </w:p>
        </w:tc>
        <w:tc>
          <w:tcPr>
            <w:tcW w:w="7158" w:type="dxa"/>
            <w:shd w:val="clear" w:color="auto" w:fill="auto"/>
          </w:tcPr>
          <w:p w:rsidR="0075093C" w:rsidRPr="00B26335" w:rsidRDefault="0075093C" w:rsidP="0075093C">
            <w:pPr>
              <w:spacing w:before="60" w:after="60"/>
              <w:rPr>
                <w:lang w:val="sq-AL"/>
              </w:rPr>
            </w:pPr>
            <w:r w:rsidRPr="00B26335">
              <w:rPr>
                <w:lang w:val="sq-AL"/>
              </w:rPr>
              <w:t>Pajisjet e punës, aparatet e pajisjet lexuese, veturat, Kompjuterët , pajisjet TI dhe softuerë</w:t>
            </w:r>
          </w:p>
        </w:tc>
        <w:tc>
          <w:tcPr>
            <w:tcW w:w="1294" w:type="dxa"/>
            <w:shd w:val="clear" w:color="auto" w:fill="auto"/>
          </w:tcPr>
          <w:p w:rsidR="0075093C" w:rsidRPr="00B1408C" w:rsidRDefault="0075093C" w:rsidP="0075093C">
            <w:pPr>
              <w:spacing w:before="60" w:after="60"/>
              <w:jc w:val="center"/>
              <w:rPr>
                <w:lang w:val="sq-AL"/>
              </w:rPr>
            </w:pPr>
            <w:r w:rsidRPr="00B1408C">
              <w:rPr>
                <w:lang w:val="sq-AL"/>
              </w:rPr>
              <w:t>5</w:t>
            </w:r>
          </w:p>
        </w:tc>
      </w:tr>
    </w:tbl>
    <w:p w:rsidR="0075093C" w:rsidRDefault="0075093C" w:rsidP="0075093C">
      <w:pPr>
        <w:pStyle w:val="Heading1"/>
        <w:rPr>
          <w:lang w:val="sq-AL"/>
        </w:rPr>
      </w:pPr>
      <w:bookmarkStart w:id="25" w:name="_Toc88226467"/>
      <w:r>
        <w:rPr>
          <w:lang w:val="sq-AL"/>
        </w:rPr>
        <w:lastRenderedPageBreak/>
        <w:t>Propozimi</w:t>
      </w:r>
      <w:r w:rsidRPr="00450894">
        <w:rPr>
          <w:lang w:val="sq-AL"/>
        </w:rPr>
        <w:t xml:space="preserve"> për Vlerat Hyrëse dhe Shpenzimet Operative</w:t>
      </w:r>
      <w:bookmarkEnd w:id="25"/>
      <w:r w:rsidRPr="00450894">
        <w:rPr>
          <w:lang w:val="sq-AL"/>
        </w:rPr>
        <w:t xml:space="preserve"> </w:t>
      </w:r>
    </w:p>
    <w:p w:rsidR="0075093C" w:rsidRDefault="0075093C" w:rsidP="005F0EEB">
      <w:pPr>
        <w:jc w:val="both"/>
        <w:rPr>
          <w:lang w:val="sq-AL"/>
        </w:rPr>
      </w:pPr>
      <w:r>
        <w:rPr>
          <w:lang w:val="sq-AL"/>
        </w:rPr>
        <w:t>Në tab</w:t>
      </w:r>
      <w:r w:rsidR="005F0EEB">
        <w:rPr>
          <w:lang w:val="sq-AL"/>
        </w:rPr>
        <w:t>el</w:t>
      </w:r>
      <w:r>
        <w:rPr>
          <w:lang w:val="sq-AL"/>
        </w:rPr>
        <w:t>ën e mëposhtme është paraqitur përmbledhja e propozimit të ZRRE-së për Vlerat Hyrëse dhe Shpenzimet Operative.</w:t>
      </w:r>
    </w:p>
    <w:p w:rsidR="0075093C" w:rsidRPr="005F0EEB" w:rsidRDefault="0075093C" w:rsidP="0075093C">
      <w:pPr>
        <w:pStyle w:val="Caption"/>
        <w:rPr>
          <w:lang w:val="sq-AL"/>
        </w:rPr>
      </w:pPr>
      <w:r w:rsidRPr="005F0EEB">
        <w:rPr>
          <w:lang w:val="sq-AL"/>
        </w:rPr>
        <w:t xml:space="preserve">Tabela  </w:t>
      </w:r>
      <w:r w:rsidRPr="005F0EEB">
        <w:rPr>
          <w:lang w:val="sq-AL"/>
        </w:rPr>
        <w:fldChar w:fldCharType="begin"/>
      </w:r>
      <w:r w:rsidRPr="005F0EEB">
        <w:rPr>
          <w:lang w:val="sq-AL"/>
        </w:rPr>
        <w:instrText xml:space="preserve"> SEQ Tabela_ \* ARABIC </w:instrText>
      </w:r>
      <w:r w:rsidRPr="005F0EEB">
        <w:rPr>
          <w:lang w:val="sq-AL"/>
        </w:rPr>
        <w:fldChar w:fldCharType="separate"/>
      </w:r>
      <w:r w:rsidR="00701D2D">
        <w:rPr>
          <w:noProof/>
          <w:lang w:val="sq-AL"/>
        </w:rPr>
        <w:t>16</w:t>
      </w:r>
      <w:r w:rsidRPr="005F0EEB">
        <w:rPr>
          <w:lang w:val="sq-AL"/>
        </w:rPr>
        <w:fldChar w:fldCharType="end"/>
      </w:r>
      <w:r w:rsidRPr="005F0EEB">
        <w:rPr>
          <w:lang w:val="sq-AL"/>
        </w:rPr>
        <w:t xml:space="preserve"> Propozimi i ZRRE-së për Vlerat Hyrëse dhe Shpenzimet Operative</w:t>
      </w:r>
    </w:p>
    <w:tbl>
      <w:tblPr>
        <w:tblW w:w="5000" w:type="pct"/>
        <w:jc w:val="center"/>
        <w:tblLook w:val="04A0" w:firstRow="1" w:lastRow="0" w:firstColumn="1" w:lastColumn="0" w:noHBand="0" w:noVBand="1"/>
      </w:tblPr>
      <w:tblGrid>
        <w:gridCol w:w="6307"/>
        <w:gridCol w:w="805"/>
        <w:gridCol w:w="743"/>
        <w:gridCol w:w="743"/>
        <w:gridCol w:w="742"/>
      </w:tblGrid>
      <w:tr w:rsidR="0075093C" w:rsidRPr="00756146" w:rsidTr="00AF6D35">
        <w:trPr>
          <w:trHeight w:val="269"/>
          <w:jc w:val="center"/>
        </w:trPr>
        <w:tc>
          <w:tcPr>
            <w:tcW w:w="3376"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rsidR="0075093C" w:rsidRPr="00756146" w:rsidRDefault="0075093C" w:rsidP="0075093C">
            <w:pPr>
              <w:spacing w:after="0" w:line="240" w:lineRule="auto"/>
              <w:rPr>
                <w:rFonts w:eastAsia="Times New Roman" w:cstheme="minorHAnsi"/>
                <w:b/>
                <w:bCs/>
                <w:i/>
                <w:iCs/>
                <w:color w:val="FFFFFF"/>
                <w:sz w:val="20"/>
                <w:szCs w:val="20"/>
                <w:lang w:val="sq-AL" w:eastAsia="en-GB"/>
              </w:rPr>
            </w:pPr>
            <w:r w:rsidRPr="00756146">
              <w:rPr>
                <w:rFonts w:eastAsia="Times New Roman" w:cstheme="minorHAnsi"/>
                <w:b/>
                <w:bCs/>
                <w:i/>
                <w:iCs/>
                <w:color w:val="FFFFFF"/>
                <w:sz w:val="20"/>
                <w:szCs w:val="20"/>
                <w:lang w:val="sq-AL" w:eastAsia="en-GB"/>
              </w:rPr>
              <w:t xml:space="preserve">Propozimi i ZRRE-së për Vlerat </w:t>
            </w:r>
            <w:r w:rsidR="005F0EEB" w:rsidRPr="00756146">
              <w:rPr>
                <w:rFonts w:eastAsia="Times New Roman" w:cstheme="minorHAnsi"/>
                <w:b/>
                <w:bCs/>
                <w:i/>
                <w:iCs/>
                <w:color w:val="FFFFFF"/>
                <w:sz w:val="20"/>
                <w:szCs w:val="20"/>
                <w:lang w:val="sq-AL" w:eastAsia="en-GB"/>
              </w:rPr>
              <w:t>Hyrëse</w:t>
            </w:r>
            <w:r w:rsidRPr="00756146">
              <w:rPr>
                <w:rFonts w:eastAsia="Times New Roman" w:cstheme="minorHAnsi"/>
                <w:b/>
                <w:bCs/>
                <w:i/>
                <w:iCs/>
                <w:color w:val="FFFFFF"/>
                <w:sz w:val="20"/>
                <w:szCs w:val="20"/>
                <w:lang w:val="sq-AL" w:eastAsia="en-GB"/>
              </w:rPr>
              <w:t xml:space="preserve"> dhe Shpenzime Operative për FSHU</w:t>
            </w:r>
          </w:p>
        </w:tc>
        <w:tc>
          <w:tcPr>
            <w:tcW w:w="431"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rsidR="0075093C" w:rsidRPr="00756146" w:rsidRDefault="0075093C" w:rsidP="0075093C">
            <w:pPr>
              <w:spacing w:after="0" w:line="240" w:lineRule="auto"/>
              <w:rPr>
                <w:rFonts w:eastAsia="Times New Roman" w:cstheme="minorHAnsi"/>
                <w:b/>
                <w:bCs/>
                <w:color w:val="FFFFFF"/>
                <w:sz w:val="20"/>
                <w:szCs w:val="20"/>
                <w:lang w:val="sq-AL" w:eastAsia="en-GB"/>
              </w:rPr>
            </w:pPr>
            <w:r w:rsidRPr="00756146">
              <w:rPr>
                <w:rFonts w:eastAsia="Times New Roman" w:cstheme="minorHAnsi"/>
                <w:b/>
                <w:bCs/>
                <w:color w:val="FFFFFF"/>
                <w:sz w:val="20"/>
                <w:szCs w:val="20"/>
                <w:lang w:val="sq-AL" w:eastAsia="en-GB"/>
              </w:rPr>
              <w:t>Njësia</w:t>
            </w:r>
          </w:p>
        </w:tc>
        <w:tc>
          <w:tcPr>
            <w:tcW w:w="398"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r w:rsidRPr="00756146">
              <w:rPr>
                <w:rFonts w:eastAsia="Times New Roman" w:cstheme="minorHAnsi"/>
                <w:b/>
                <w:bCs/>
                <w:color w:val="FFFFFF"/>
                <w:sz w:val="20"/>
                <w:szCs w:val="20"/>
                <w:lang w:val="sq-AL" w:eastAsia="en-GB"/>
              </w:rPr>
              <w:t>2022</w:t>
            </w:r>
          </w:p>
        </w:tc>
        <w:tc>
          <w:tcPr>
            <w:tcW w:w="398"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r w:rsidRPr="00756146">
              <w:rPr>
                <w:rFonts w:eastAsia="Times New Roman" w:cstheme="minorHAnsi"/>
                <w:b/>
                <w:bCs/>
                <w:color w:val="FFFFFF"/>
                <w:sz w:val="20"/>
                <w:szCs w:val="20"/>
                <w:lang w:val="sq-AL" w:eastAsia="en-GB"/>
              </w:rPr>
              <w:t>2023</w:t>
            </w:r>
          </w:p>
        </w:tc>
        <w:tc>
          <w:tcPr>
            <w:tcW w:w="397" w:type="pct"/>
            <w:vMerge w:val="restart"/>
            <w:tcBorders>
              <w:top w:val="single" w:sz="8" w:space="0" w:color="FFFFFF"/>
              <w:left w:val="single" w:sz="8" w:space="0" w:color="FFFFFF"/>
              <w:bottom w:val="single" w:sz="8" w:space="0" w:color="FFFFFF"/>
              <w:right w:val="single" w:sz="8" w:space="0" w:color="FFFFFF"/>
            </w:tcBorders>
            <w:shd w:val="clear" w:color="000000" w:fill="244061"/>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r w:rsidRPr="00756146">
              <w:rPr>
                <w:rFonts w:eastAsia="Times New Roman" w:cstheme="minorHAnsi"/>
                <w:b/>
                <w:bCs/>
                <w:color w:val="FFFFFF"/>
                <w:sz w:val="20"/>
                <w:szCs w:val="20"/>
                <w:lang w:val="sq-AL" w:eastAsia="en-GB"/>
              </w:rPr>
              <w:t>2024</w:t>
            </w:r>
          </w:p>
        </w:tc>
      </w:tr>
      <w:tr w:rsidR="0075093C" w:rsidRPr="00756146" w:rsidTr="00AF6D35">
        <w:trPr>
          <w:trHeight w:val="269"/>
          <w:jc w:val="center"/>
        </w:trPr>
        <w:tc>
          <w:tcPr>
            <w:tcW w:w="3376" w:type="pct"/>
            <w:vMerge/>
            <w:tcBorders>
              <w:top w:val="single" w:sz="8" w:space="0" w:color="FFFFFF"/>
              <w:left w:val="single" w:sz="8" w:space="0" w:color="FFFFFF"/>
              <w:bottom w:val="single" w:sz="8" w:space="0" w:color="FFFFFF"/>
              <w:right w:val="single" w:sz="8" w:space="0" w:color="FFFFFF"/>
            </w:tcBorders>
            <w:vAlign w:val="center"/>
            <w:hideMark/>
          </w:tcPr>
          <w:p w:rsidR="0075093C" w:rsidRPr="00756146" w:rsidRDefault="0075093C" w:rsidP="0075093C">
            <w:pPr>
              <w:spacing w:after="0" w:line="240" w:lineRule="auto"/>
              <w:rPr>
                <w:rFonts w:eastAsia="Times New Roman" w:cstheme="minorHAnsi"/>
                <w:b/>
                <w:bCs/>
                <w:i/>
                <w:iCs/>
                <w:color w:val="FFFFFF"/>
                <w:sz w:val="20"/>
                <w:szCs w:val="20"/>
                <w:lang w:val="sq-AL" w:eastAsia="en-GB"/>
              </w:rPr>
            </w:pPr>
          </w:p>
        </w:tc>
        <w:tc>
          <w:tcPr>
            <w:tcW w:w="431" w:type="pct"/>
            <w:vMerge/>
            <w:tcBorders>
              <w:top w:val="single" w:sz="8" w:space="0" w:color="FFFFFF"/>
              <w:left w:val="single" w:sz="8" w:space="0" w:color="FFFFFF"/>
              <w:bottom w:val="single" w:sz="8" w:space="0" w:color="FFFFFF"/>
              <w:right w:val="single" w:sz="8" w:space="0" w:color="FFFFFF"/>
            </w:tcBorders>
            <w:vAlign w:val="center"/>
            <w:hideMark/>
          </w:tcPr>
          <w:p w:rsidR="0075093C" w:rsidRPr="00756146" w:rsidRDefault="0075093C" w:rsidP="0075093C">
            <w:pPr>
              <w:spacing w:after="0" w:line="240" w:lineRule="auto"/>
              <w:rPr>
                <w:rFonts w:eastAsia="Times New Roman" w:cstheme="minorHAnsi"/>
                <w:b/>
                <w:bCs/>
                <w:color w:val="FFFFFF"/>
                <w:sz w:val="20"/>
                <w:szCs w:val="20"/>
                <w:lang w:val="sq-AL" w:eastAsia="en-GB"/>
              </w:rPr>
            </w:pPr>
          </w:p>
        </w:tc>
        <w:tc>
          <w:tcPr>
            <w:tcW w:w="398" w:type="pct"/>
            <w:vMerge/>
            <w:tcBorders>
              <w:top w:val="single" w:sz="8" w:space="0" w:color="FFFFFF"/>
              <w:left w:val="single" w:sz="8" w:space="0" w:color="FFFFFF"/>
              <w:bottom w:val="single" w:sz="8" w:space="0" w:color="FFFFFF"/>
              <w:right w:val="single" w:sz="8" w:space="0" w:color="FFFFFF"/>
            </w:tcBorders>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p>
        </w:tc>
        <w:tc>
          <w:tcPr>
            <w:tcW w:w="398" w:type="pct"/>
            <w:vMerge/>
            <w:tcBorders>
              <w:top w:val="single" w:sz="8" w:space="0" w:color="FFFFFF"/>
              <w:left w:val="single" w:sz="8" w:space="0" w:color="FFFFFF"/>
              <w:bottom w:val="single" w:sz="8" w:space="0" w:color="FFFFFF"/>
              <w:right w:val="single" w:sz="8" w:space="0" w:color="FFFFFF"/>
            </w:tcBorders>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p>
        </w:tc>
        <w:tc>
          <w:tcPr>
            <w:tcW w:w="397" w:type="pct"/>
            <w:vMerge/>
            <w:tcBorders>
              <w:top w:val="single" w:sz="8" w:space="0" w:color="FFFFFF"/>
              <w:left w:val="single" w:sz="8" w:space="0" w:color="FFFFFF"/>
              <w:bottom w:val="single" w:sz="8" w:space="0" w:color="FFFFFF"/>
              <w:right w:val="single" w:sz="8" w:space="0" w:color="FFFFFF"/>
            </w:tcBorders>
            <w:vAlign w:val="center"/>
            <w:hideMark/>
          </w:tcPr>
          <w:p w:rsidR="0075093C" w:rsidRPr="00756146" w:rsidRDefault="0075093C" w:rsidP="0075093C">
            <w:pPr>
              <w:spacing w:after="0" w:line="240" w:lineRule="auto"/>
              <w:jc w:val="center"/>
              <w:rPr>
                <w:rFonts w:eastAsia="Times New Roman" w:cstheme="minorHAnsi"/>
                <w:b/>
                <w:bCs/>
                <w:color w:val="FFFFFF"/>
                <w:sz w:val="20"/>
                <w:szCs w:val="20"/>
                <w:lang w:val="sq-AL" w:eastAsia="en-GB"/>
              </w:rPr>
            </w:pPr>
          </w:p>
        </w:tc>
      </w:tr>
      <w:tr w:rsidR="0075093C" w:rsidRPr="00756146"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Marzha me pakicë</w:t>
            </w:r>
          </w:p>
        </w:tc>
        <w:tc>
          <w:tcPr>
            <w:tcW w:w="431"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2.54</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2.54</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2.54</w:t>
            </w:r>
          </w:p>
        </w:tc>
      </w:tr>
      <w:tr w:rsidR="0075093C" w:rsidRPr="00756146"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sz w:val="20"/>
                <w:szCs w:val="20"/>
                <w:lang w:val="sq-AL" w:eastAsia="en-GB"/>
              </w:rPr>
            </w:pPr>
            <w:r w:rsidRPr="00756146">
              <w:rPr>
                <w:rFonts w:eastAsia="Times New Roman" w:cstheme="minorHAnsi"/>
                <w:sz w:val="20"/>
                <w:szCs w:val="20"/>
                <w:lang w:val="sq-AL" w:eastAsia="en-GB"/>
              </w:rPr>
              <w:t>Borxhi i keq</w:t>
            </w:r>
          </w:p>
        </w:tc>
        <w:tc>
          <w:tcPr>
            <w:tcW w:w="431"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sz w:val="20"/>
                <w:szCs w:val="20"/>
                <w:lang w:val="sq-AL" w:eastAsia="en-GB"/>
              </w:rPr>
            </w:pPr>
            <w:r w:rsidRPr="00756146">
              <w:rPr>
                <w:rFonts w:eastAsia="Times New Roman" w:cstheme="minorHAnsi"/>
                <w:sz w:val="20"/>
                <w:szCs w:val="20"/>
                <w:lang w:val="sq-AL" w:eastAsia="en-GB"/>
              </w:rPr>
              <w:t>%</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sz w:val="20"/>
                <w:szCs w:val="20"/>
                <w:lang w:val="sq-AL" w:eastAsia="en-GB"/>
              </w:rPr>
            </w:pPr>
            <w:r w:rsidRPr="00756146">
              <w:rPr>
                <w:rFonts w:eastAsia="Times New Roman" w:cstheme="minorHAnsi"/>
                <w:sz w:val="20"/>
                <w:szCs w:val="20"/>
                <w:lang w:val="sq-AL" w:eastAsia="en-GB"/>
              </w:rPr>
              <w:t>2.4</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sz w:val="20"/>
                <w:szCs w:val="20"/>
                <w:lang w:val="sq-AL" w:eastAsia="en-GB"/>
              </w:rPr>
            </w:pPr>
            <w:r w:rsidRPr="00756146">
              <w:rPr>
                <w:rFonts w:eastAsia="Times New Roman" w:cstheme="minorHAnsi"/>
                <w:sz w:val="20"/>
                <w:szCs w:val="20"/>
                <w:lang w:val="sq-AL" w:eastAsia="en-GB"/>
              </w:rPr>
              <w:t>2.2</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sz w:val="20"/>
                <w:szCs w:val="20"/>
                <w:lang w:val="sq-AL" w:eastAsia="en-GB"/>
              </w:rPr>
            </w:pPr>
            <w:r w:rsidRPr="00756146">
              <w:rPr>
                <w:rFonts w:eastAsia="Times New Roman" w:cstheme="minorHAnsi"/>
                <w:sz w:val="20"/>
                <w:szCs w:val="20"/>
                <w:lang w:val="sq-AL" w:eastAsia="en-GB"/>
              </w:rPr>
              <w:t>2.0</w:t>
            </w:r>
          </w:p>
        </w:tc>
      </w:tr>
      <w:tr w:rsidR="0075093C" w:rsidRPr="00756146"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bookmarkStart w:id="26" w:name="RANGE!B6"/>
            <w:r w:rsidRPr="00756146">
              <w:rPr>
                <w:rFonts w:eastAsia="Calibri" w:cstheme="minorHAnsi"/>
                <w:color w:val="000000"/>
                <w:sz w:val="20"/>
                <w:szCs w:val="20"/>
                <w:lang w:val="sq-AL" w:eastAsia="en-GB"/>
              </w:rPr>
              <w:t>Faktori ndarës i jobalanceve</w:t>
            </w:r>
            <w:bookmarkEnd w:id="26"/>
          </w:p>
        </w:tc>
        <w:tc>
          <w:tcPr>
            <w:tcW w:w="431"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100</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100</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100</w:t>
            </w:r>
          </w:p>
        </w:tc>
      </w:tr>
      <w:tr w:rsidR="0075093C" w:rsidRPr="00756146"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Shpenzimet operative me efikasitet €</w:t>
            </w:r>
          </w:p>
        </w:tc>
        <w:tc>
          <w:tcPr>
            <w:tcW w:w="431"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€000</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5,167</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5,187</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5,204</w:t>
            </w:r>
          </w:p>
        </w:tc>
      </w:tr>
      <w:tr w:rsidR="0075093C" w:rsidRPr="00756146" w:rsidTr="00AF6D35">
        <w:trPr>
          <w:trHeight w:val="164"/>
          <w:jc w:val="center"/>
        </w:trPr>
        <w:tc>
          <w:tcPr>
            <w:tcW w:w="3376" w:type="pc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5F0EEB"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Faktori i</w:t>
            </w:r>
            <w:r w:rsidR="0075093C" w:rsidRPr="00756146">
              <w:rPr>
                <w:rFonts w:eastAsia="Times New Roman" w:cstheme="minorHAnsi"/>
                <w:color w:val="000000"/>
                <w:sz w:val="20"/>
                <w:szCs w:val="20"/>
                <w:lang w:val="sq-AL" w:eastAsia="en-GB"/>
              </w:rPr>
              <w:t xml:space="preserve"> efikasitetit</w:t>
            </w:r>
          </w:p>
        </w:tc>
        <w:tc>
          <w:tcPr>
            <w:tcW w:w="431"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0</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0.5</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0.5</w:t>
            </w:r>
          </w:p>
        </w:tc>
      </w:tr>
      <w:tr w:rsidR="0075093C" w:rsidRPr="00756146" w:rsidTr="00AF6D35">
        <w:trPr>
          <w:trHeight w:val="502"/>
          <w:jc w:val="center"/>
        </w:trPr>
        <w:tc>
          <w:tcPr>
            <w:tcW w:w="3376" w:type="pct"/>
            <w:vMerge w:val="restar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 xml:space="preserve">Kategorizimi dhe </w:t>
            </w:r>
            <w:r w:rsidR="005F0EEB" w:rsidRPr="00756146">
              <w:rPr>
                <w:rFonts w:eastAsia="Times New Roman" w:cstheme="minorHAnsi"/>
                <w:color w:val="000000"/>
                <w:sz w:val="20"/>
                <w:szCs w:val="20"/>
                <w:lang w:val="sq-AL" w:eastAsia="en-GB"/>
              </w:rPr>
              <w:t>jetëgjatësia</w:t>
            </w:r>
            <w:r w:rsidRPr="00756146">
              <w:rPr>
                <w:rFonts w:eastAsia="Times New Roman" w:cstheme="minorHAnsi"/>
                <w:color w:val="000000"/>
                <w:sz w:val="20"/>
                <w:szCs w:val="20"/>
                <w:lang w:val="sq-AL" w:eastAsia="en-GB"/>
              </w:rPr>
              <w:t xml:space="preserve"> e Aseteve:</w:t>
            </w:r>
          </w:p>
          <w:p w:rsidR="0075093C" w:rsidRPr="00756146" w:rsidRDefault="0075093C" w:rsidP="0075093C">
            <w:pPr>
              <w:pStyle w:val="ListParagraph"/>
              <w:numPr>
                <w:ilvl w:val="0"/>
                <w:numId w:val="18"/>
              </w:numPr>
              <w:spacing w:after="0" w:line="240" w:lineRule="auto"/>
              <w:ind w:left="420" w:hanging="270"/>
              <w:jc w:val="left"/>
              <w:rPr>
                <w:rFonts w:asciiTheme="minorHAnsi" w:hAnsiTheme="minorHAnsi" w:cstheme="minorHAnsi"/>
                <w:color w:val="000000"/>
                <w:sz w:val="20"/>
                <w:szCs w:val="20"/>
                <w:lang w:val="sq-AL" w:eastAsia="en-GB"/>
              </w:rPr>
            </w:pPr>
            <w:r w:rsidRPr="00756146">
              <w:rPr>
                <w:rFonts w:asciiTheme="minorHAnsi" w:hAnsiTheme="minorHAnsi" w:cstheme="minorHAnsi"/>
                <w:color w:val="000000"/>
                <w:sz w:val="20"/>
                <w:szCs w:val="20"/>
                <w:lang w:val="sq-AL" w:eastAsia="en-GB"/>
              </w:rPr>
              <w:t xml:space="preserve">Mobilet, pajisjet për zyrë; </w:t>
            </w:r>
          </w:p>
          <w:p w:rsidR="0075093C" w:rsidRPr="00756146" w:rsidRDefault="0075093C" w:rsidP="0075093C">
            <w:pPr>
              <w:pStyle w:val="ListParagraph"/>
              <w:numPr>
                <w:ilvl w:val="0"/>
                <w:numId w:val="18"/>
              </w:numPr>
              <w:spacing w:after="0" w:line="240" w:lineRule="auto"/>
              <w:ind w:left="420" w:hanging="270"/>
              <w:jc w:val="left"/>
              <w:rPr>
                <w:rFonts w:asciiTheme="minorHAnsi" w:hAnsiTheme="minorHAnsi" w:cstheme="minorHAnsi"/>
                <w:color w:val="000000"/>
                <w:sz w:val="20"/>
                <w:szCs w:val="20"/>
                <w:lang w:val="sq-AL" w:eastAsia="en-GB"/>
              </w:rPr>
            </w:pPr>
            <w:r w:rsidRPr="00756146">
              <w:rPr>
                <w:rFonts w:asciiTheme="minorHAnsi" w:hAnsiTheme="minorHAnsi" w:cstheme="minorHAnsi"/>
                <w:color w:val="000000"/>
                <w:sz w:val="20"/>
                <w:szCs w:val="20"/>
                <w:lang w:val="sq-AL" w:eastAsia="en-GB"/>
              </w:rPr>
              <w:t>Pajisjet e punës, aparatet e pajisjet lexuese, veturat, Kompjuterët , pajisjet TI dhe softuerë</w:t>
            </w:r>
          </w:p>
        </w:tc>
        <w:tc>
          <w:tcPr>
            <w:tcW w:w="431" w:type="pct"/>
            <w:vMerge w:val="restart"/>
            <w:tcBorders>
              <w:top w:val="nil"/>
              <w:left w:val="single" w:sz="8" w:space="0" w:color="003366"/>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Vite</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7</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7</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7</w:t>
            </w:r>
          </w:p>
        </w:tc>
      </w:tr>
      <w:tr w:rsidR="0075093C" w:rsidRPr="00756146" w:rsidTr="00AF6D35">
        <w:trPr>
          <w:trHeight w:val="251"/>
          <w:jc w:val="center"/>
        </w:trPr>
        <w:tc>
          <w:tcPr>
            <w:tcW w:w="3376" w:type="pct"/>
            <w:vMerge/>
            <w:tcBorders>
              <w:top w:val="nil"/>
              <w:left w:val="single" w:sz="8" w:space="0" w:color="003366"/>
              <w:bottom w:val="single" w:sz="8" w:space="0" w:color="003366"/>
              <w:right w:val="single" w:sz="8" w:space="0" w:color="003366"/>
            </w:tcBorders>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p>
        </w:tc>
        <w:tc>
          <w:tcPr>
            <w:tcW w:w="431" w:type="pct"/>
            <w:vMerge/>
            <w:tcBorders>
              <w:top w:val="nil"/>
              <w:left w:val="single" w:sz="8" w:space="0" w:color="003366"/>
              <w:bottom w:val="single" w:sz="8" w:space="0" w:color="003366"/>
              <w:right w:val="single" w:sz="8" w:space="0" w:color="003366"/>
            </w:tcBorders>
            <w:vAlign w:val="center"/>
            <w:hideMark/>
          </w:tcPr>
          <w:p w:rsidR="0075093C" w:rsidRPr="00756146" w:rsidRDefault="0075093C" w:rsidP="0075093C">
            <w:pPr>
              <w:spacing w:after="0" w:line="240" w:lineRule="auto"/>
              <w:rPr>
                <w:rFonts w:eastAsia="Times New Roman" w:cstheme="minorHAnsi"/>
                <w:color w:val="000000"/>
                <w:sz w:val="20"/>
                <w:szCs w:val="20"/>
                <w:lang w:val="sq-AL" w:eastAsia="en-GB"/>
              </w:rPr>
            </w:pP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w:t>
            </w:r>
          </w:p>
        </w:tc>
        <w:tc>
          <w:tcPr>
            <w:tcW w:w="398"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w:t>
            </w:r>
          </w:p>
        </w:tc>
        <w:tc>
          <w:tcPr>
            <w:tcW w:w="397" w:type="pct"/>
            <w:tcBorders>
              <w:top w:val="nil"/>
              <w:left w:val="nil"/>
              <w:bottom w:val="single" w:sz="8" w:space="0" w:color="003366"/>
              <w:right w:val="single" w:sz="8" w:space="0" w:color="003366"/>
            </w:tcBorders>
            <w:shd w:val="clear" w:color="auto" w:fill="auto"/>
            <w:vAlign w:val="center"/>
            <w:hideMark/>
          </w:tcPr>
          <w:p w:rsidR="0075093C" w:rsidRPr="00756146" w:rsidRDefault="0075093C" w:rsidP="0075093C">
            <w:pPr>
              <w:spacing w:after="0" w:line="240" w:lineRule="auto"/>
              <w:jc w:val="center"/>
              <w:rPr>
                <w:rFonts w:eastAsia="Times New Roman" w:cstheme="minorHAnsi"/>
                <w:color w:val="000000"/>
                <w:sz w:val="20"/>
                <w:szCs w:val="20"/>
                <w:lang w:val="sq-AL" w:eastAsia="en-GB"/>
              </w:rPr>
            </w:pPr>
            <w:r w:rsidRPr="00756146">
              <w:rPr>
                <w:rFonts w:eastAsia="Times New Roman" w:cstheme="minorHAnsi"/>
                <w:color w:val="000000"/>
                <w:sz w:val="20"/>
                <w:szCs w:val="20"/>
                <w:lang w:val="sq-AL" w:eastAsia="en-GB"/>
              </w:rPr>
              <w:t>5</w:t>
            </w:r>
          </w:p>
        </w:tc>
      </w:tr>
    </w:tbl>
    <w:p w:rsidR="0075093C" w:rsidRPr="00450894" w:rsidRDefault="0075093C" w:rsidP="0075093C">
      <w:pPr>
        <w:rPr>
          <w:lang w:val="sq-AL"/>
        </w:rPr>
      </w:pPr>
    </w:p>
    <w:p w:rsidR="0075093C" w:rsidRPr="0075093C" w:rsidRDefault="0075093C">
      <w:pPr>
        <w:rPr>
          <w:lang w:val="sq-AL"/>
        </w:rPr>
      </w:pPr>
    </w:p>
    <w:sectPr w:rsidR="0075093C" w:rsidRPr="0075093C" w:rsidSect="00C85B1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5E" w:rsidRDefault="003F625E" w:rsidP="0075093C">
      <w:pPr>
        <w:spacing w:after="0" w:line="240" w:lineRule="auto"/>
      </w:pPr>
      <w:r>
        <w:separator/>
      </w:r>
    </w:p>
  </w:endnote>
  <w:endnote w:type="continuationSeparator" w:id="0">
    <w:p w:rsidR="003F625E" w:rsidRDefault="003F625E" w:rsidP="0075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q-AL"/>
      </w:rPr>
      <w:id w:val="2085035100"/>
      <w:docPartObj>
        <w:docPartGallery w:val="Page Numbers (Bottom of Page)"/>
        <w:docPartUnique/>
      </w:docPartObj>
    </w:sdtPr>
    <w:sdtEndPr/>
    <w:sdtContent>
      <w:sdt>
        <w:sdtPr>
          <w:rPr>
            <w:lang w:val="sq-AL"/>
          </w:rPr>
          <w:id w:val="-1769616900"/>
          <w:docPartObj>
            <w:docPartGallery w:val="Page Numbers (Top of Page)"/>
            <w:docPartUnique/>
          </w:docPartObj>
        </w:sdtPr>
        <w:sdtEndPr/>
        <w:sdtContent>
          <w:p w:rsidR="00C85B1F" w:rsidRPr="00C85B1F" w:rsidRDefault="00C85B1F">
            <w:pPr>
              <w:pStyle w:val="Footer"/>
              <w:jc w:val="right"/>
              <w:rPr>
                <w:lang w:val="sq-AL"/>
              </w:rPr>
            </w:pPr>
            <w:r w:rsidRPr="00C85B1F">
              <w:rPr>
                <w:rFonts w:asciiTheme="minorHAnsi" w:hAnsiTheme="minorHAnsi" w:cstheme="minorHAnsi"/>
                <w:szCs w:val="22"/>
                <w:lang w:val="sq-AL"/>
              </w:rPr>
              <w:t xml:space="preserve">Faqe </w:t>
            </w:r>
            <w:r w:rsidRPr="00C85B1F">
              <w:rPr>
                <w:rFonts w:asciiTheme="minorHAnsi" w:hAnsiTheme="minorHAnsi" w:cstheme="minorHAnsi"/>
                <w:bCs/>
                <w:szCs w:val="22"/>
                <w:lang w:val="sq-AL"/>
              </w:rPr>
              <w:fldChar w:fldCharType="begin"/>
            </w:r>
            <w:r w:rsidRPr="00C85B1F">
              <w:rPr>
                <w:rFonts w:asciiTheme="minorHAnsi" w:hAnsiTheme="minorHAnsi" w:cstheme="minorHAnsi"/>
                <w:bCs/>
                <w:szCs w:val="22"/>
                <w:lang w:val="sq-AL"/>
              </w:rPr>
              <w:instrText xml:space="preserve"> PAGE </w:instrText>
            </w:r>
            <w:r w:rsidRPr="00C85B1F">
              <w:rPr>
                <w:rFonts w:asciiTheme="minorHAnsi" w:hAnsiTheme="minorHAnsi" w:cstheme="minorHAnsi"/>
                <w:bCs/>
                <w:szCs w:val="22"/>
                <w:lang w:val="sq-AL"/>
              </w:rPr>
              <w:fldChar w:fldCharType="separate"/>
            </w:r>
            <w:r w:rsidR="00D53B34">
              <w:rPr>
                <w:rFonts w:asciiTheme="minorHAnsi" w:hAnsiTheme="minorHAnsi" w:cstheme="minorHAnsi"/>
                <w:bCs/>
                <w:noProof/>
                <w:szCs w:val="22"/>
                <w:lang w:val="sq-AL"/>
              </w:rPr>
              <w:t>22</w:t>
            </w:r>
            <w:r w:rsidRPr="00C85B1F">
              <w:rPr>
                <w:rFonts w:asciiTheme="minorHAnsi" w:hAnsiTheme="minorHAnsi" w:cstheme="minorHAnsi"/>
                <w:bCs/>
                <w:szCs w:val="22"/>
                <w:lang w:val="sq-AL"/>
              </w:rPr>
              <w:fldChar w:fldCharType="end"/>
            </w:r>
            <w:r w:rsidRPr="00C85B1F">
              <w:rPr>
                <w:rFonts w:asciiTheme="minorHAnsi" w:hAnsiTheme="minorHAnsi" w:cstheme="minorHAnsi"/>
                <w:szCs w:val="22"/>
                <w:lang w:val="sq-AL"/>
              </w:rPr>
              <w:t xml:space="preserve"> nga </w:t>
            </w:r>
            <w:r w:rsidRPr="00C85B1F">
              <w:rPr>
                <w:rFonts w:asciiTheme="minorHAnsi" w:hAnsiTheme="minorHAnsi" w:cstheme="minorHAnsi"/>
                <w:bCs/>
                <w:szCs w:val="22"/>
                <w:lang w:val="sq-AL"/>
              </w:rPr>
              <w:fldChar w:fldCharType="begin"/>
            </w:r>
            <w:r w:rsidRPr="00C85B1F">
              <w:rPr>
                <w:rFonts w:asciiTheme="minorHAnsi" w:hAnsiTheme="minorHAnsi" w:cstheme="minorHAnsi"/>
                <w:bCs/>
                <w:szCs w:val="22"/>
                <w:lang w:val="sq-AL"/>
              </w:rPr>
              <w:instrText xml:space="preserve"> NUMPAGES  </w:instrText>
            </w:r>
            <w:r w:rsidRPr="00C85B1F">
              <w:rPr>
                <w:rFonts w:asciiTheme="minorHAnsi" w:hAnsiTheme="minorHAnsi" w:cstheme="minorHAnsi"/>
                <w:bCs/>
                <w:szCs w:val="22"/>
                <w:lang w:val="sq-AL"/>
              </w:rPr>
              <w:fldChar w:fldCharType="separate"/>
            </w:r>
            <w:r w:rsidR="00D53B34">
              <w:rPr>
                <w:rFonts w:asciiTheme="minorHAnsi" w:hAnsiTheme="minorHAnsi" w:cstheme="minorHAnsi"/>
                <w:bCs/>
                <w:noProof/>
                <w:szCs w:val="22"/>
                <w:lang w:val="sq-AL"/>
              </w:rPr>
              <w:t>23</w:t>
            </w:r>
            <w:r w:rsidRPr="00C85B1F">
              <w:rPr>
                <w:rFonts w:asciiTheme="minorHAnsi" w:hAnsiTheme="minorHAnsi" w:cstheme="minorHAnsi"/>
                <w:bCs/>
                <w:szCs w:val="22"/>
                <w:lang w:val="sq-AL"/>
              </w:rPr>
              <w:fldChar w:fldCharType="end"/>
            </w:r>
          </w:p>
        </w:sdtContent>
      </w:sdt>
    </w:sdtContent>
  </w:sdt>
  <w:p w:rsidR="00C85B1F" w:rsidRDefault="00C85B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1F" w:rsidRDefault="00C85B1F" w:rsidP="00C85B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C85B1F" w:rsidRPr="00C85B1F" w:rsidRDefault="00C85B1F" w:rsidP="00C85B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5E" w:rsidRDefault="003F625E" w:rsidP="0075093C">
      <w:pPr>
        <w:spacing w:after="0" w:line="240" w:lineRule="auto"/>
      </w:pPr>
      <w:r>
        <w:separator/>
      </w:r>
    </w:p>
  </w:footnote>
  <w:footnote w:type="continuationSeparator" w:id="0">
    <w:p w:rsidR="003F625E" w:rsidRDefault="003F625E" w:rsidP="0075093C">
      <w:pPr>
        <w:spacing w:after="0" w:line="240" w:lineRule="auto"/>
      </w:pPr>
      <w:r>
        <w:continuationSeparator/>
      </w:r>
    </w:p>
  </w:footnote>
  <w:footnote w:id="1">
    <w:p w:rsidR="00C85B1F" w:rsidRPr="001401E6" w:rsidRDefault="00C85B1F" w:rsidP="0075093C">
      <w:pPr>
        <w:pStyle w:val="FootnoteText"/>
        <w:rPr>
          <w:lang w:val="en-US"/>
        </w:rPr>
      </w:pPr>
      <w:r>
        <w:rPr>
          <w:rStyle w:val="FootnoteReference"/>
        </w:rPr>
        <w:footnoteRef/>
      </w:r>
      <w:r>
        <w:t xml:space="preserve"> </w:t>
      </w:r>
      <w:hyperlink r:id="rId1" w:history="1">
        <w:r>
          <w:rPr>
            <w:rStyle w:val="Hyperlink"/>
          </w:rPr>
          <w:t>Metodologjia_FSHU-1.pdf (ere.gov.al)</w:t>
        </w:r>
      </w:hyperlink>
      <w:r>
        <w:t xml:space="preserve"> </w:t>
      </w:r>
    </w:p>
  </w:footnote>
  <w:footnote w:id="2">
    <w:p w:rsidR="00C85B1F" w:rsidRPr="00FC34BF" w:rsidRDefault="00C85B1F" w:rsidP="0075093C">
      <w:pPr>
        <w:pStyle w:val="FootnoteText"/>
        <w:tabs>
          <w:tab w:val="clear" w:pos="288"/>
          <w:tab w:val="left" w:pos="180"/>
        </w:tabs>
        <w:rPr>
          <w:lang w:val="en-US"/>
        </w:rPr>
      </w:pPr>
      <w:r>
        <w:rPr>
          <w:rStyle w:val="FootnoteReference"/>
        </w:rPr>
        <w:footnoteRef/>
      </w:r>
      <w:r>
        <w:t xml:space="preserve"> </w:t>
      </w:r>
      <w:r>
        <w:tab/>
        <w:t xml:space="preserve">Komisioni për Shërbime Rregullative. 2017. </w:t>
      </w:r>
      <w:hyperlink r:id="rId2" w:history="1">
        <w:r>
          <w:rPr>
            <w:rStyle w:val="Hyperlink"/>
          </w:rPr>
          <w:t>Energy Supply Costs: Information Paper</w:t>
        </w:r>
      </w:hyperlink>
      <w:r>
        <w:t xml:space="preserve"> (Kostot e Furnizimit me Energji: Raport Informativ)</w:t>
      </w:r>
    </w:p>
  </w:footnote>
  <w:footnote w:id="3">
    <w:p w:rsidR="00C85B1F" w:rsidRPr="005C4984" w:rsidRDefault="00C85B1F" w:rsidP="0075093C">
      <w:pPr>
        <w:pStyle w:val="FootnoteText"/>
        <w:rPr>
          <w:lang w:val="en-US"/>
        </w:rPr>
      </w:pPr>
      <w:r>
        <w:rPr>
          <w:rStyle w:val="FootnoteReference"/>
        </w:rPr>
        <w:footnoteRef/>
      </w:r>
      <w:r>
        <w:t xml:space="preserve"> </w:t>
      </w:r>
      <w:hyperlink r:id="rId3" w:history="1">
        <w:r>
          <w:rPr>
            <w:rStyle w:val="Hyperlink"/>
          </w:rPr>
          <w:t>EPDK | Enerji Piyasası Düzenleme Kurumu</w:t>
        </w:r>
      </w:hyperlink>
      <w:r>
        <w:t xml:space="preserve">; </w:t>
      </w:r>
      <w:hyperlink r:id="rId4" w:history="1">
        <w:r w:rsidRPr="00307BB2">
          <w:rPr>
            <w:rStyle w:val="Hyperlink"/>
          </w:rPr>
          <w:t>https://www.epdk.gov.tr/Detay/SiteSearch?st=2021-2025</w:t>
        </w:r>
      </w:hyperlink>
      <w:r>
        <w:t xml:space="preserve"> </w:t>
      </w:r>
    </w:p>
  </w:footnote>
  <w:footnote w:id="4">
    <w:p w:rsidR="00C85B1F" w:rsidRPr="009324DA" w:rsidRDefault="00C85B1F" w:rsidP="0075093C">
      <w:pPr>
        <w:pStyle w:val="FootnoteText"/>
        <w:tabs>
          <w:tab w:val="clear" w:pos="288"/>
        </w:tabs>
        <w:rPr>
          <w:lang w:val="en-US"/>
        </w:rPr>
      </w:pPr>
      <w:r>
        <w:rPr>
          <w:rStyle w:val="FootnoteReference"/>
        </w:rPr>
        <w:footnoteRef/>
      </w:r>
      <w:hyperlink r:id="rId5" w:history="1">
        <w:r>
          <w:rPr>
            <w:rStyle w:val="Hyperlink"/>
          </w:rPr>
          <w:t>USS TARIFF SETTING METHODOLOGY-12.21.2020 (approved).pdf (gnerc.org)</w:t>
        </w:r>
      </w:hyperlink>
      <w:r>
        <w:t xml:space="preserve">; </w:t>
      </w:r>
      <w:hyperlink r:id="rId6" w:history="1">
        <w:r w:rsidRPr="0008623B">
          <w:rPr>
            <w:rStyle w:val="Hyperlink"/>
          </w:rPr>
          <w:t>https://gnerc.org/files/Legal%20Acts%20in%20english/USS%20TARIFF%20SETTING%20METHODOLOGY-12.21.2020%20(approved).pdf</w:t>
        </w:r>
      </w:hyperlink>
      <w:r>
        <w:t xml:space="preserve"> </w:t>
      </w:r>
    </w:p>
  </w:footnote>
  <w:footnote w:id="5">
    <w:p w:rsidR="00C85B1F" w:rsidRPr="00993D06" w:rsidRDefault="00C85B1F" w:rsidP="0075093C">
      <w:pPr>
        <w:pStyle w:val="FootnoteText"/>
        <w:rPr>
          <w:lang w:val="en-US"/>
        </w:rPr>
      </w:pPr>
      <w:r>
        <w:rPr>
          <w:rStyle w:val="FootnoteReference"/>
        </w:rPr>
        <w:footnoteRef/>
      </w:r>
      <w:r>
        <w:t xml:space="preserve"> </w:t>
      </w:r>
      <w:hyperlink r:id="rId7" w:history="1">
        <w:r>
          <w:rPr>
            <w:rStyle w:val="Hyperlink"/>
          </w:rPr>
          <w:t>HANRE65/2018 (legis.md)</w:t>
        </w:r>
      </w:hyperlink>
      <w:r>
        <w:t xml:space="preserve">; </w:t>
      </w:r>
      <w:hyperlink r:id="rId8" w:history="1">
        <w:r w:rsidRPr="0008623B">
          <w:rPr>
            <w:rStyle w:val="Hyperlink"/>
          </w:rPr>
          <w:t>https://www.legis.md/cautare/getResults?doc_id=103740&amp;lang=ro</w:t>
        </w:r>
      </w:hyperlink>
      <w:r>
        <w:t xml:space="preserve"> </w:t>
      </w:r>
    </w:p>
  </w:footnote>
  <w:footnote w:id="6">
    <w:p w:rsidR="00C85B1F" w:rsidRPr="00665ED7" w:rsidRDefault="00C85B1F" w:rsidP="0075093C">
      <w:pPr>
        <w:pStyle w:val="FootnoteText"/>
        <w:rPr>
          <w:lang w:val="en-US"/>
        </w:rPr>
      </w:pPr>
      <w:r>
        <w:rPr>
          <w:rStyle w:val="FootnoteReference"/>
        </w:rPr>
        <w:footnoteRef/>
      </w:r>
      <w:r>
        <w:rPr>
          <w:sz w:val="18"/>
        </w:rPr>
        <w:t xml:space="preserve"> </w:t>
      </w:r>
      <w:hyperlink r:id="rId9" w:history="1">
        <w:r w:rsidRPr="00665ED7">
          <w:rPr>
            <w:rStyle w:val="Hyperlink"/>
            <w:sz w:val="18"/>
          </w:rPr>
          <w:t>https://www.energy-community.org/dam/jcr:f0feeb6e-96c9-48fd-b72e-d6cc7d8b0ef1/ECRB_revenue_determination.pdf</w:t>
        </w:r>
      </w:hyperlink>
      <w:r w:rsidRPr="00665ED7">
        <w:rPr>
          <w:sz w:val="18"/>
        </w:rPr>
        <w:t xml:space="preserve"> </w:t>
      </w:r>
    </w:p>
  </w:footnote>
  <w:footnote w:id="7">
    <w:p w:rsidR="00C85B1F" w:rsidRPr="00CA414A" w:rsidRDefault="00C85B1F" w:rsidP="0075093C">
      <w:pPr>
        <w:pStyle w:val="FootnoteText"/>
        <w:rPr>
          <w:lang w:val="en-US"/>
        </w:rPr>
      </w:pPr>
      <w:r>
        <w:rPr>
          <w:rStyle w:val="FootnoteReference"/>
        </w:rPr>
        <w:footnoteRef/>
      </w:r>
      <w:r>
        <w:t xml:space="preserve"> </w:t>
      </w:r>
      <w:hyperlink r:id="rId10" w:history="1">
        <w:r w:rsidRPr="00A12683">
          <w:rPr>
            <w:rStyle w:val="Hyperlink"/>
          </w:rPr>
          <w:t>http://ero-ks.org/2017/Tarifat/Raport_Konsultativ_per_jetegjatesine_e_aseteve_04072017.pdf</w:t>
        </w:r>
      </w:hyperlink>
      <w:r>
        <w:t xml:space="preserve"> </w:t>
      </w:r>
    </w:p>
  </w:footnote>
  <w:footnote w:id="8">
    <w:p w:rsidR="00C85B1F" w:rsidRPr="00CA414A" w:rsidRDefault="00C85B1F" w:rsidP="0075093C">
      <w:pPr>
        <w:pStyle w:val="FootnoteText"/>
        <w:rPr>
          <w:lang w:val="en-US"/>
        </w:rPr>
      </w:pPr>
      <w:r>
        <w:rPr>
          <w:rStyle w:val="FootnoteReference"/>
        </w:rPr>
        <w:footnoteRef/>
      </w:r>
      <w:r>
        <w:t xml:space="preserve"> </w:t>
      </w:r>
      <w:hyperlink r:id="rId11" w:history="1">
        <w:r w:rsidRPr="00A12683">
          <w:rPr>
            <w:rStyle w:val="Hyperlink"/>
          </w:rPr>
          <w:t>https://erranet.org/electricity-tso-dso-revenue-study-published/#</w:t>
        </w:r>
      </w:hyperlink>
      <w:r>
        <w:t xml:space="preserve"> </w:t>
      </w:r>
    </w:p>
  </w:footnote>
  <w:footnote w:id="9">
    <w:p w:rsidR="00C85B1F" w:rsidRPr="00CA414A" w:rsidRDefault="00C85B1F" w:rsidP="0075093C">
      <w:pPr>
        <w:pStyle w:val="FootnoteText"/>
        <w:rPr>
          <w:lang w:val="en-US"/>
        </w:rPr>
      </w:pPr>
      <w:r>
        <w:rPr>
          <w:rStyle w:val="FootnoteReference"/>
        </w:rPr>
        <w:footnoteRef/>
      </w:r>
      <w:r>
        <w:t xml:space="preserve"> </w:t>
      </w:r>
      <w:hyperlink r:id="rId12" w:history="1">
        <w:r w:rsidRPr="00A12683">
          <w:rPr>
            <w:rStyle w:val="Hyperlink"/>
          </w:rPr>
          <w:t>https://www.ceer.eu/documents/104400/-/-/9665e39a-3d8b-25dd-7545-09a247f9c2ff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1F" w:rsidRDefault="00C85B1F">
    <w:pPr>
      <w:pStyle w:val="Header"/>
    </w:pPr>
    <w:r>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75pt">
          <v:imagedata r:id="rId1" o:title=""/>
        </v:shape>
        <o:OLEObject Type="Embed" ProgID="CorelDRAW.Graphic.14" ShapeID="_x0000_i1025" DrawAspect="Content" ObjectID="_1699351255"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1F" w:rsidRDefault="00C85B1F">
    <w:pPr>
      <w:pStyle w:val="Header"/>
    </w:pPr>
    <w:r>
      <w:rPr>
        <w:noProof/>
        <w:lang w:val="en-US"/>
      </w:rPr>
      <w:drawing>
        <wp:inline distT="0" distB="0" distL="0" distR="0" wp14:anchorId="2359749D" wp14:editId="39DB6D6C">
          <wp:extent cx="5739130" cy="11734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B12BA"/>
    <w:multiLevelType w:val="hybridMultilevel"/>
    <w:tmpl w:val="E83CF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94D40"/>
    <w:multiLevelType w:val="hybridMultilevel"/>
    <w:tmpl w:val="6FC2F7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E5E54"/>
    <w:multiLevelType w:val="hybridMultilevel"/>
    <w:tmpl w:val="15B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C8D"/>
    <w:multiLevelType w:val="hybridMultilevel"/>
    <w:tmpl w:val="5228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F64CE"/>
    <w:multiLevelType w:val="hybridMultilevel"/>
    <w:tmpl w:val="EFE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45C8E"/>
    <w:multiLevelType w:val="hybridMultilevel"/>
    <w:tmpl w:val="1A8264B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40303057"/>
    <w:multiLevelType w:val="hybridMultilevel"/>
    <w:tmpl w:val="680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5C8C"/>
    <w:multiLevelType w:val="hybridMultilevel"/>
    <w:tmpl w:val="6EBE0F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810"/>
        </w:tabs>
        <w:ind w:left="810" w:hanging="720"/>
      </w:pPr>
      <w:rPr>
        <w:rFonts w:ascii="Calibri" w:hAnsi="Calibri" w:hint="default"/>
        <w:b/>
        <w:i w:val="0"/>
        <w:sz w:val="24"/>
      </w:rPr>
    </w:lvl>
    <w:lvl w:ilvl="2">
      <w:start w:val="1"/>
      <w:numFmt w:val="decimal"/>
      <w:pStyle w:val="Heading3"/>
      <w:lvlText w:val="%1.%2.%3"/>
      <w:lvlJc w:val="left"/>
      <w:pPr>
        <w:tabs>
          <w:tab w:val="num" w:pos="2700"/>
        </w:tabs>
        <w:ind w:left="241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E334D9F"/>
    <w:multiLevelType w:val="hybridMultilevel"/>
    <w:tmpl w:val="2D1E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5ABF"/>
    <w:multiLevelType w:val="hybridMultilevel"/>
    <w:tmpl w:val="41D0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946EF"/>
    <w:multiLevelType w:val="hybridMultilevel"/>
    <w:tmpl w:val="1B2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94401"/>
    <w:multiLevelType w:val="hybridMultilevel"/>
    <w:tmpl w:val="424C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E2EF3"/>
    <w:multiLevelType w:val="hybridMultilevel"/>
    <w:tmpl w:val="97867788"/>
    <w:lvl w:ilvl="0" w:tplc="D8BC65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77C4F"/>
    <w:multiLevelType w:val="hybridMultilevel"/>
    <w:tmpl w:val="7F1C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7" w15:restartNumberingAfterBreak="0">
    <w:nsid w:val="7D074505"/>
    <w:multiLevelType w:val="hybridMultilevel"/>
    <w:tmpl w:val="0786F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5"/>
  </w:num>
  <w:num w:numId="5">
    <w:abstractNumId w:val="7"/>
  </w:num>
  <w:num w:numId="6">
    <w:abstractNumId w:val="3"/>
  </w:num>
  <w:num w:numId="7">
    <w:abstractNumId w:val="12"/>
  </w:num>
  <w:num w:numId="8">
    <w:abstractNumId w:val="6"/>
  </w:num>
  <w:num w:numId="9">
    <w:abstractNumId w:val="11"/>
  </w:num>
  <w:num w:numId="10">
    <w:abstractNumId w:val="2"/>
  </w:num>
  <w:num w:numId="11">
    <w:abstractNumId w:val="10"/>
  </w:num>
  <w:num w:numId="12">
    <w:abstractNumId w:val="4"/>
  </w:num>
  <w:num w:numId="13">
    <w:abstractNumId w:val="17"/>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C"/>
    <w:rsid w:val="00025E72"/>
    <w:rsid w:val="000C63F1"/>
    <w:rsid w:val="000F4234"/>
    <w:rsid w:val="00297252"/>
    <w:rsid w:val="002E3BD0"/>
    <w:rsid w:val="003F625E"/>
    <w:rsid w:val="004B2C8B"/>
    <w:rsid w:val="004F1254"/>
    <w:rsid w:val="00596A23"/>
    <w:rsid w:val="005B074B"/>
    <w:rsid w:val="005F0EEB"/>
    <w:rsid w:val="006C04F5"/>
    <w:rsid w:val="00701D2D"/>
    <w:rsid w:val="00737CA4"/>
    <w:rsid w:val="0075093C"/>
    <w:rsid w:val="00756146"/>
    <w:rsid w:val="0076105B"/>
    <w:rsid w:val="0077018B"/>
    <w:rsid w:val="007C2BEF"/>
    <w:rsid w:val="007C6E9C"/>
    <w:rsid w:val="00820A8B"/>
    <w:rsid w:val="00840B82"/>
    <w:rsid w:val="00895741"/>
    <w:rsid w:val="009277F3"/>
    <w:rsid w:val="009C0FBD"/>
    <w:rsid w:val="00A63F9B"/>
    <w:rsid w:val="00A905B3"/>
    <w:rsid w:val="00AA737B"/>
    <w:rsid w:val="00AF6D35"/>
    <w:rsid w:val="00B511EA"/>
    <w:rsid w:val="00B57801"/>
    <w:rsid w:val="00C67C10"/>
    <w:rsid w:val="00C85B1F"/>
    <w:rsid w:val="00D470D3"/>
    <w:rsid w:val="00D53B34"/>
    <w:rsid w:val="00D80ABE"/>
    <w:rsid w:val="00E742CD"/>
    <w:rsid w:val="00EB07F2"/>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CDAE"/>
  <w15:chartTrackingRefBased/>
  <w15:docId w15:val="{88DB52E4-165B-443F-A097-E547F05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5093C"/>
    <w:pPr>
      <w:keepNext/>
      <w:numPr>
        <w:numId w:val="1"/>
      </w:numPr>
      <w:spacing w:before="360" w:after="200" w:line="276" w:lineRule="auto"/>
      <w:jc w:val="both"/>
      <w:outlineLvl w:val="0"/>
    </w:pPr>
    <w:rPr>
      <w:rFonts w:ascii="Calibri" w:eastAsia="Times New Roman" w:hAnsi="Calibri" w:cs="Arial"/>
      <w:b/>
      <w:bCs/>
      <w:color w:val="003366"/>
      <w:sz w:val="28"/>
      <w:szCs w:val="24"/>
      <w:lang w:val="en-GB"/>
    </w:rPr>
  </w:style>
  <w:style w:type="paragraph" w:styleId="Heading2">
    <w:name w:val="heading 2"/>
    <w:basedOn w:val="Normal"/>
    <w:next w:val="Normal"/>
    <w:link w:val="Heading2Char"/>
    <w:qFormat/>
    <w:rsid w:val="0075093C"/>
    <w:pPr>
      <w:keepNext/>
      <w:numPr>
        <w:ilvl w:val="1"/>
        <w:numId w:val="1"/>
      </w:numPr>
      <w:autoSpaceDE w:val="0"/>
      <w:autoSpaceDN w:val="0"/>
      <w:adjustRightInd w:val="0"/>
      <w:spacing w:after="200" w:line="276" w:lineRule="auto"/>
      <w:jc w:val="both"/>
      <w:outlineLvl w:val="1"/>
    </w:pPr>
    <w:rPr>
      <w:rFonts w:ascii="Calibri" w:eastAsia="Times New Roman" w:hAnsi="Calibri" w:cs="Arial"/>
      <w:b/>
      <w:bCs/>
      <w:color w:val="003366"/>
      <w:sz w:val="24"/>
      <w:lang w:val="en-GB"/>
    </w:rPr>
  </w:style>
  <w:style w:type="paragraph" w:styleId="Heading3">
    <w:name w:val="heading 3"/>
    <w:basedOn w:val="Heading2"/>
    <w:next w:val="Normal"/>
    <w:link w:val="Heading3Char"/>
    <w:uiPriority w:val="99"/>
    <w:qFormat/>
    <w:rsid w:val="0075093C"/>
    <w:pPr>
      <w:numPr>
        <w:ilvl w:val="2"/>
      </w:numPr>
      <w:tabs>
        <w:tab w:val="left" w:pos="2160"/>
      </w:tabs>
      <w:spacing w:after="120"/>
      <w:outlineLvl w:val="2"/>
    </w:pPr>
    <w:rPr>
      <w:i/>
      <w:sz w:val="22"/>
      <w:szCs w:val="20"/>
    </w:rPr>
  </w:style>
  <w:style w:type="paragraph" w:styleId="Heading4">
    <w:name w:val="heading 4"/>
    <w:basedOn w:val="Normal"/>
    <w:next w:val="Normal"/>
    <w:link w:val="Heading4Char"/>
    <w:uiPriority w:val="9"/>
    <w:unhideWhenUsed/>
    <w:qFormat/>
    <w:rsid w:val="0075093C"/>
    <w:pPr>
      <w:keepNext/>
      <w:keepLines/>
      <w:spacing w:before="40" w:after="0" w:line="276"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5093C"/>
    <w:pPr>
      <w:keepNext/>
      <w:keepLines/>
      <w:spacing w:before="40" w:after="0" w:line="276" w:lineRule="auto"/>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93C"/>
    <w:rPr>
      <w:rFonts w:ascii="Calibri" w:eastAsia="Times New Roman" w:hAnsi="Calibri" w:cs="Arial"/>
      <w:b/>
      <w:bCs/>
      <w:color w:val="003366"/>
      <w:sz w:val="28"/>
      <w:szCs w:val="24"/>
      <w:lang w:val="en-GB"/>
    </w:rPr>
  </w:style>
  <w:style w:type="character" w:customStyle="1" w:styleId="Heading2Char">
    <w:name w:val="Heading 2 Char"/>
    <w:basedOn w:val="DefaultParagraphFont"/>
    <w:link w:val="Heading2"/>
    <w:rsid w:val="0075093C"/>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75093C"/>
    <w:rPr>
      <w:rFonts w:ascii="Calibri" w:eastAsia="Times New Roman" w:hAnsi="Calibri" w:cs="Arial"/>
      <w:b/>
      <w:bCs/>
      <w:i/>
      <w:color w:val="003366"/>
      <w:szCs w:val="20"/>
      <w:lang w:val="en-GB"/>
    </w:rPr>
  </w:style>
  <w:style w:type="character" w:customStyle="1" w:styleId="Heading4Char">
    <w:name w:val="Heading 4 Char"/>
    <w:basedOn w:val="DefaultParagraphFont"/>
    <w:link w:val="Heading4"/>
    <w:uiPriority w:val="9"/>
    <w:rsid w:val="007509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5093C"/>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rsid w:val="0075093C"/>
    <w:pPr>
      <w:tabs>
        <w:tab w:val="center" w:pos="4320"/>
        <w:tab w:val="right" w:pos="8640"/>
      </w:tabs>
      <w:spacing w:after="0" w:line="240" w:lineRule="auto"/>
      <w:jc w:val="both"/>
    </w:pPr>
    <w:rPr>
      <w:rFonts w:ascii="Calibri" w:eastAsia="Times New Roman" w:hAnsi="Calibri" w:cs="Arial"/>
      <w:b/>
      <w:color w:val="FFCC00"/>
      <w:szCs w:val="24"/>
      <w:lang w:val="en-GB"/>
    </w:rPr>
  </w:style>
  <w:style w:type="character" w:customStyle="1" w:styleId="HeaderChar">
    <w:name w:val="Header Char"/>
    <w:basedOn w:val="DefaultParagraphFont"/>
    <w:link w:val="Header"/>
    <w:uiPriority w:val="99"/>
    <w:rsid w:val="0075093C"/>
    <w:rPr>
      <w:rFonts w:ascii="Calibri" w:eastAsia="Times New Roman" w:hAnsi="Calibri" w:cs="Arial"/>
      <w:b/>
      <w:color w:val="FFCC00"/>
      <w:szCs w:val="24"/>
      <w:lang w:val="en-GB"/>
    </w:rPr>
  </w:style>
  <w:style w:type="paragraph" w:styleId="Footer">
    <w:name w:val="footer"/>
    <w:basedOn w:val="Normal"/>
    <w:link w:val="FooterChar"/>
    <w:uiPriority w:val="99"/>
    <w:rsid w:val="0075093C"/>
    <w:pPr>
      <w:tabs>
        <w:tab w:val="center" w:pos="4320"/>
        <w:tab w:val="right" w:pos="8640"/>
      </w:tabs>
      <w:spacing w:after="200" w:line="276" w:lineRule="auto"/>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75093C"/>
    <w:rPr>
      <w:rFonts w:ascii="Arial" w:eastAsia="Times New Roman" w:hAnsi="Arial" w:cs="Arial"/>
      <w:szCs w:val="24"/>
      <w:lang w:val="en-GB"/>
    </w:rPr>
  </w:style>
  <w:style w:type="character" w:styleId="PageNumber">
    <w:name w:val="page number"/>
    <w:basedOn w:val="DefaultParagraphFont"/>
    <w:uiPriority w:val="99"/>
    <w:rsid w:val="0075093C"/>
    <w:rPr>
      <w:rFonts w:ascii="Calibri" w:hAnsi="Calibri"/>
      <w:sz w:val="18"/>
    </w:rPr>
  </w:style>
  <w:style w:type="paragraph" w:styleId="Title">
    <w:name w:val="Title"/>
    <w:basedOn w:val="Normal"/>
    <w:link w:val="TitleChar"/>
    <w:uiPriority w:val="99"/>
    <w:qFormat/>
    <w:rsid w:val="0075093C"/>
    <w:pPr>
      <w:shd w:val="clear" w:color="auto" w:fill="002060"/>
      <w:tabs>
        <w:tab w:val="center" w:pos="4320"/>
      </w:tabs>
      <w:spacing w:before="240" w:after="200" w:line="276" w:lineRule="auto"/>
      <w:jc w:val="both"/>
    </w:pPr>
    <w:rPr>
      <w:rFonts w:ascii="Calibri" w:eastAsia="Times New Roman" w:hAnsi="Calibri" w:cs="Arial Bold"/>
      <w:b/>
      <w:bCs/>
      <w:color w:val="FFC000"/>
      <w:sz w:val="48"/>
      <w:szCs w:val="24"/>
      <w:lang w:val="sq-AL"/>
    </w:rPr>
  </w:style>
  <w:style w:type="character" w:customStyle="1" w:styleId="TitleChar">
    <w:name w:val="Title Char"/>
    <w:basedOn w:val="DefaultParagraphFont"/>
    <w:link w:val="Title"/>
    <w:uiPriority w:val="99"/>
    <w:rsid w:val="0075093C"/>
    <w:rPr>
      <w:rFonts w:ascii="Calibri" w:eastAsia="Times New Roman" w:hAnsi="Calibri" w:cs="Arial Bold"/>
      <w:b/>
      <w:bCs/>
      <w:color w:val="FFC000"/>
      <w:sz w:val="48"/>
      <w:szCs w:val="24"/>
      <w:shd w:val="clear" w:color="auto" w:fill="002060"/>
      <w:lang w:val="sq-AL"/>
    </w:rPr>
  </w:style>
  <w:style w:type="paragraph" w:styleId="Caption">
    <w:name w:val="caption"/>
    <w:aliases w:val="Tabellen"/>
    <w:basedOn w:val="Normal"/>
    <w:next w:val="Normal"/>
    <w:qFormat/>
    <w:rsid w:val="0075093C"/>
    <w:pPr>
      <w:keepNext/>
      <w:spacing w:after="200" w:line="276" w:lineRule="auto"/>
      <w:jc w:val="both"/>
    </w:pPr>
    <w:rPr>
      <w:rFonts w:ascii="Calibri" w:eastAsia="Times New Roman" w:hAnsi="Calibri" w:cs="Arial"/>
      <w:b/>
      <w:bCs/>
      <w:i/>
      <w:color w:val="003366"/>
      <w:szCs w:val="24"/>
      <w:lang w:val="en-GB"/>
    </w:rPr>
  </w:style>
  <w:style w:type="paragraph" w:styleId="FootnoteText">
    <w:name w:val="footnote text"/>
    <w:basedOn w:val="Normal"/>
    <w:link w:val="FootnoteTextChar"/>
    <w:semiHidden/>
    <w:rsid w:val="0075093C"/>
    <w:pPr>
      <w:tabs>
        <w:tab w:val="left" w:pos="288"/>
      </w:tabs>
      <w:spacing w:after="60" w:line="276" w:lineRule="auto"/>
      <w:ind w:left="288" w:hanging="288"/>
      <w:jc w:val="both"/>
    </w:pPr>
    <w:rPr>
      <w:rFonts w:ascii="Calibri" w:eastAsia="Times New Roman" w:hAnsi="Calibri" w:cs="Arial"/>
      <w:sz w:val="20"/>
      <w:szCs w:val="24"/>
      <w:lang w:val="en-GB"/>
    </w:rPr>
  </w:style>
  <w:style w:type="character" w:customStyle="1" w:styleId="FootnoteTextChar">
    <w:name w:val="Footnote Text Char"/>
    <w:basedOn w:val="DefaultParagraphFont"/>
    <w:link w:val="FootnoteText"/>
    <w:semiHidden/>
    <w:rsid w:val="0075093C"/>
    <w:rPr>
      <w:rFonts w:ascii="Calibri" w:eastAsia="Times New Roman" w:hAnsi="Calibri" w:cs="Arial"/>
      <w:sz w:val="20"/>
      <w:szCs w:val="24"/>
      <w:lang w:val="en-GB"/>
    </w:rPr>
  </w:style>
  <w:style w:type="character" w:styleId="FootnoteReference">
    <w:name w:val="footnote reference"/>
    <w:basedOn w:val="DefaultParagraphFont"/>
    <w:semiHidden/>
    <w:rsid w:val="0075093C"/>
    <w:rPr>
      <w:vertAlign w:val="superscript"/>
    </w:rPr>
  </w:style>
  <w:style w:type="character" w:styleId="Hyperlink">
    <w:name w:val="Hyperlink"/>
    <w:basedOn w:val="DefaultParagraphFont"/>
    <w:uiPriority w:val="99"/>
    <w:rsid w:val="0075093C"/>
    <w:rPr>
      <w:color w:val="0000FF"/>
      <w:u w:val="single"/>
    </w:rPr>
  </w:style>
  <w:style w:type="paragraph" w:styleId="ListBullet">
    <w:name w:val="List Bullet"/>
    <w:basedOn w:val="Normal"/>
    <w:uiPriority w:val="99"/>
    <w:rsid w:val="0075093C"/>
    <w:pPr>
      <w:numPr>
        <w:numId w:val="2"/>
      </w:numPr>
      <w:tabs>
        <w:tab w:val="clear" w:pos="360"/>
        <w:tab w:val="num" w:pos="720"/>
      </w:tabs>
      <w:spacing w:after="200" w:line="276" w:lineRule="auto"/>
      <w:ind w:left="720"/>
      <w:jc w:val="both"/>
    </w:pPr>
    <w:rPr>
      <w:rFonts w:ascii="Calibri" w:eastAsia="Times New Roman" w:hAnsi="Calibri" w:cs="Arial"/>
      <w:szCs w:val="24"/>
      <w:lang w:val="en-GB"/>
    </w:rPr>
  </w:style>
  <w:style w:type="paragraph" w:styleId="TOC1">
    <w:name w:val="toc 1"/>
    <w:basedOn w:val="Normal"/>
    <w:next w:val="Normal"/>
    <w:autoRedefine/>
    <w:uiPriority w:val="39"/>
    <w:rsid w:val="0075093C"/>
    <w:pPr>
      <w:spacing w:before="200" w:after="200" w:line="276" w:lineRule="auto"/>
      <w:jc w:val="both"/>
    </w:pPr>
    <w:rPr>
      <w:rFonts w:ascii="Calibri" w:eastAsia="Times New Roman" w:hAnsi="Calibri" w:cs="Arial"/>
      <w:b/>
      <w:szCs w:val="24"/>
      <w:lang w:val="en-GB"/>
    </w:rPr>
  </w:style>
  <w:style w:type="paragraph" w:styleId="TOC2">
    <w:name w:val="toc 2"/>
    <w:basedOn w:val="Normal"/>
    <w:next w:val="Normal"/>
    <w:autoRedefine/>
    <w:uiPriority w:val="39"/>
    <w:rsid w:val="0075093C"/>
    <w:pPr>
      <w:spacing w:after="100" w:line="276" w:lineRule="auto"/>
      <w:ind w:left="245"/>
      <w:jc w:val="both"/>
    </w:pPr>
    <w:rPr>
      <w:rFonts w:ascii="Calibri" w:eastAsia="Times New Roman" w:hAnsi="Calibri" w:cs="Arial"/>
      <w:szCs w:val="24"/>
      <w:lang w:val="en-GB"/>
    </w:rPr>
  </w:style>
  <w:style w:type="paragraph" w:styleId="TOC3">
    <w:name w:val="toc 3"/>
    <w:basedOn w:val="Normal"/>
    <w:next w:val="Normal"/>
    <w:autoRedefine/>
    <w:uiPriority w:val="39"/>
    <w:rsid w:val="0075093C"/>
    <w:pPr>
      <w:spacing w:after="120" w:line="276" w:lineRule="auto"/>
      <w:ind w:left="475"/>
      <w:jc w:val="both"/>
    </w:pPr>
    <w:rPr>
      <w:rFonts w:ascii="Calibri" w:eastAsia="Times New Roman" w:hAnsi="Calibri" w:cs="Arial"/>
      <w:sz w:val="20"/>
      <w:szCs w:val="24"/>
      <w:lang w:val="en-GB"/>
    </w:rPr>
  </w:style>
  <w:style w:type="character" w:customStyle="1" w:styleId="BalloonTextChar">
    <w:name w:val="Balloon Text Char"/>
    <w:basedOn w:val="DefaultParagraphFont"/>
    <w:link w:val="BalloonText"/>
    <w:uiPriority w:val="99"/>
    <w:semiHidden/>
    <w:rsid w:val="0075093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75093C"/>
    <w:pPr>
      <w:spacing w:after="0" w:line="240" w:lineRule="auto"/>
      <w:jc w:val="both"/>
    </w:pPr>
    <w:rPr>
      <w:rFonts w:ascii="Tahoma" w:eastAsia="Times New Roman" w:hAnsi="Tahoma" w:cs="Tahoma"/>
      <w:sz w:val="16"/>
      <w:szCs w:val="16"/>
      <w:lang w:val="en-GB"/>
    </w:rPr>
  </w:style>
  <w:style w:type="character" w:customStyle="1" w:styleId="CommentTextChar">
    <w:name w:val="Comment Text Char"/>
    <w:basedOn w:val="DefaultParagraphFont"/>
    <w:link w:val="CommentText"/>
    <w:uiPriority w:val="99"/>
    <w:semiHidden/>
    <w:rsid w:val="0075093C"/>
    <w:rPr>
      <w:rFonts w:ascii="Calibri" w:eastAsia="Times New Roman" w:hAnsi="Calibri" w:cs="Arial"/>
      <w:sz w:val="20"/>
      <w:szCs w:val="20"/>
      <w:lang w:val="en-GB"/>
    </w:rPr>
  </w:style>
  <w:style w:type="paragraph" w:styleId="CommentText">
    <w:name w:val="annotation text"/>
    <w:basedOn w:val="Normal"/>
    <w:link w:val="CommentTextChar"/>
    <w:uiPriority w:val="99"/>
    <w:semiHidden/>
    <w:unhideWhenUsed/>
    <w:rsid w:val="0075093C"/>
    <w:pPr>
      <w:spacing w:after="200" w:line="240" w:lineRule="auto"/>
      <w:jc w:val="both"/>
    </w:pPr>
    <w:rPr>
      <w:rFonts w:ascii="Calibri" w:eastAsia="Times New Roman" w:hAnsi="Calibri" w:cs="Arial"/>
      <w:sz w:val="20"/>
      <w:szCs w:val="20"/>
      <w:lang w:val="en-GB"/>
    </w:rPr>
  </w:style>
  <w:style w:type="character" w:customStyle="1" w:styleId="CommentTextChar1">
    <w:name w:val="Comment Text Char1"/>
    <w:basedOn w:val="DefaultParagraphFont"/>
    <w:uiPriority w:val="99"/>
    <w:semiHidden/>
    <w:rsid w:val="0075093C"/>
    <w:rPr>
      <w:sz w:val="20"/>
      <w:szCs w:val="20"/>
    </w:rPr>
  </w:style>
  <w:style w:type="character" w:customStyle="1" w:styleId="CommentSubjectChar">
    <w:name w:val="Comment Subject Char"/>
    <w:basedOn w:val="CommentTextChar"/>
    <w:link w:val="CommentSubject"/>
    <w:uiPriority w:val="99"/>
    <w:semiHidden/>
    <w:rsid w:val="0075093C"/>
    <w:rPr>
      <w:rFonts w:ascii="Calibri" w:eastAsia="Times New Roman" w:hAnsi="Calibri" w:cs="Arial"/>
      <w:b/>
      <w:bCs/>
      <w:sz w:val="20"/>
      <w:szCs w:val="20"/>
      <w:lang w:val="en-GB"/>
    </w:rPr>
  </w:style>
  <w:style w:type="paragraph" w:styleId="CommentSubject">
    <w:name w:val="annotation subject"/>
    <w:basedOn w:val="CommentText"/>
    <w:next w:val="CommentText"/>
    <w:link w:val="CommentSubjectChar"/>
    <w:uiPriority w:val="99"/>
    <w:semiHidden/>
    <w:unhideWhenUsed/>
    <w:rsid w:val="0075093C"/>
    <w:rPr>
      <w:b/>
      <w:bCs/>
    </w:rPr>
  </w:style>
  <w:style w:type="character" w:customStyle="1" w:styleId="CommentSubjectChar1">
    <w:name w:val="Comment Subject Char1"/>
    <w:basedOn w:val="CommentTextChar1"/>
    <w:uiPriority w:val="99"/>
    <w:semiHidden/>
    <w:rsid w:val="0075093C"/>
    <w:rPr>
      <w:b/>
      <w:bCs/>
      <w:sz w:val="20"/>
      <w:szCs w:val="20"/>
    </w:rPr>
  </w:style>
  <w:style w:type="character" w:customStyle="1" w:styleId="hps">
    <w:name w:val="hps"/>
    <w:basedOn w:val="DefaultParagraphFont"/>
    <w:uiPriority w:val="99"/>
    <w:rsid w:val="0075093C"/>
    <w:rPr>
      <w:rFonts w:cs="Times New Roman"/>
    </w:rPr>
  </w:style>
  <w:style w:type="paragraph" w:styleId="ListParagraph">
    <w:name w:val="List Paragraph"/>
    <w:aliases w:val="Bullets,Medium Grid 1 - Accent 22,List Paragraph1"/>
    <w:basedOn w:val="Normal"/>
    <w:link w:val="ListParagraphChar"/>
    <w:uiPriority w:val="34"/>
    <w:qFormat/>
    <w:rsid w:val="0075093C"/>
    <w:pPr>
      <w:spacing w:after="200" w:line="276" w:lineRule="auto"/>
      <w:ind w:left="720"/>
      <w:jc w:val="both"/>
    </w:pPr>
    <w:rPr>
      <w:rFonts w:ascii="Calibri" w:eastAsia="Times New Roman" w:hAnsi="Calibri" w:cs="Arial"/>
      <w:szCs w:val="24"/>
      <w:lang w:val="en-GB"/>
    </w:rPr>
  </w:style>
  <w:style w:type="character" w:customStyle="1" w:styleId="ListParagraphChar">
    <w:name w:val="List Paragraph Char"/>
    <w:aliases w:val="Bullets Char,Medium Grid 1 - Accent 22 Char,List Paragraph1 Char"/>
    <w:basedOn w:val="DefaultParagraphFont"/>
    <w:link w:val="ListParagraph"/>
    <w:uiPriority w:val="34"/>
    <w:locked/>
    <w:rsid w:val="0075093C"/>
    <w:rPr>
      <w:rFonts w:ascii="Calibri" w:eastAsia="Times New Roman" w:hAnsi="Calibri" w:cs="Arial"/>
      <w:szCs w:val="24"/>
      <w:lang w:val="en-GB"/>
    </w:rPr>
  </w:style>
  <w:style w:type="paragraph" w:customStyle="1" w:styleId="HeadingS">
    <w:name w:val="Heading S"/>
    <w:basedOn w:val="Heading1"/>
    <w:next w:val="TextS"/>
    <w:qFormat/>
    <w:rsid w:val="0075093C"/>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customStyle="1" w:styleId="TextS">
    <w:name w:val="TextS"/>
    <w:basedOn w:val="Normal"/>
    <w:link w:val="TextSChar"/>
    <w:qFormat/>
    <w:rsid w:val="0075093C"/>
    <w:pPr>
      <w:spacing w:before="240" w:after="240" w:line="240" w:lineRule="auto"/>
      <w:ind w:left="720" w:hanging="720"/>
      <w:jc w:val="both"/>
    </w:pPr>
    <w:rPr>
      <w:rFonts w:ascii="Calibri" w:eastAsia="Times New Roman" w:hAnsi="Calibri" w:cs="Times New Roman"/>
      <w:szCs w:val="24"/>
      <w:lang w:val="en-AU" w:eastAsia="en-GB"/>
    </w:rPr>
  </w:style>
  <w:style w:type="character" w:customStyle="1" w:styleId="TextSChar">
    <w:name w:val="TextS Char"/>
    <w:basedOn w:val="DefaultParagraphFont"/>
    <w:link w:val="TextS"/>
    <w:rsid w:val="0075093C"/>
    <w:rPr>
      <w:rFonts w:ascii="Calibri" w:eastAsia="Times New Roman" w:hAnsi="Calibri" w:cs="Times New Roman"/>
      <w:szCs w:val="24"/>
      <w:lang w:val="en-AU" w:eastAsia="en-GB"/>
    </w:rPr>
  </w:style>
  <w:style w:type="paragraph" w:customStyle="1" w:styleId="Equation">
    <w:name w:val="Equation"/>
    <w:basedOn w:val="TextS"/>
    <w:link w:val="EquationChar"/>
    <w:qFormat/>
    <w:rsid w:val="0075093C"/>
    <w:pPr>
      <w:ind w:left="2160" w:hanging="1440"/>
    </w:pPr>
    <w:rPr>
      <w:i/>
      <w:lang w:val="en-GB"/>
    </w:rPr>
  </w:style>
  <w:style w:type="character" w:customStyle="1" w:styleId="EquationChar">
    <w:name w:val="Equation Char"/>
    <w:basedOn w:val="TextSChar"/>
    <w:link w:val="Equation"/>
    <w:rsid w:val="0075093C"/>
    <w:rPr>
      <w:rFonts w:ascii="Calibri" w:eastAsia="Times New Roman" w:hAnsi="Calibri" w:cs="Times New Roman"/>
      <w:i/>
      <w:szCs w:val="24"/>
      <w:lang w:val="en-GB" w:eastAsia="en-GB"/>
    </w:rPr>
  </w:style>
  <w:style w:type="character" w:customStyle="1" w:styleId="spelle">
    <w:name w:val="spelle"/>
    <w:basedOn w:val="DefaultParagraphFont"/>
    <w:rsid w:val="0075093C"/>
  </w:style>
  <w:style w:type="paragraph" w:styleId="Subtitle">
    <w:name w:val="Subtitle"/>
    <w:basedOn w:val="Normal"/>
    <w:next w:val="Normal"/>
    <w:link w:val="SubtitleChar"/>
    <w:uiPriority w:val="11"/>
    <w:qFormat/>
    <w:rsid w:val="0075093C"/>
    <w:pPr>
      <w:numPr>
        <w:ilvl w:val="1"/>
      </w:numPr>
      <w:shd w:val="clear" w:color="auto" w:fill="002060"/>
      <w:spacing w:before="240" w:after="200" w:line="276" w:lineRule="auto"/>
      <w:jc w:val="center"/>
    </w:pPr>
    <w:rPr>
      <w:rFonts w:ascii="Calibri" w:eastAsiaTheme="majorEastAsia" w:hAnsi="Calibri" w:cstheme="majorBidi"/>
      <w:iCs/>
      <w:color w:val="FFC000"/>
      <w:spacing w:val="15"/>
      <w:sz w:val="48"/>
      <w:szCs w:val="24"/>
    </w:rPr>
  </w:style>
  <w:style w:type="character" w:customStyle="1" w:styleId="SubtitleChar">
    <w:name w:val="Subtitle Char"/>
    <w:basedOn w:val="DefaultParagraphFont"/>
    <w:link w:val="Subtitle"/>
    <w:uiPriority w:val="11"/>
    <w:rsid w:val="0075093C"/>
    <w:rPr>
      <w:rFonts w:ascii="Calibri" w:eastAsiaTheme="majorEastAsia" w:hAnsi="Calibri" w:cstheme="majorBidi"/>
      <w:iCs/>
      <w:color w:val="FFC000"/>
      <w:spacing w:val="15"/>
      <w:sz w:val="48"/>
      <w:szCs w:val="24"/>
      <w:shd w:val="clear" w:color="auto" w:fill="002060"/>
    </w:rPr>
  </w:style>
  <w:style w:type="paragraph" w:customStyle="1" w:styleId="ReportDate">
    <w:name w:val="Report Date"/>
    <w:basedOn w:val="Normal"/>
    <w:link w:val="ReportDateChar"/>
    <w:qFormat/>
    <w:rsid w:val="0075093C"/>
    <w:pPr>
      <w:tabs>
        <w:tab w:val="left" w:pos="2175"/>
      </w:tabs>
      <w:spacing w:after="200" w:line="276" w:lineRule="auto"/>
      <w:jc w:val="center"/>
    </w:pPr>
    <w:rPr>
      <w:b/>
      <w:bCs/>
      <w:color w:val="005D97"/>
      <w:sz w:val="36"/>
      <w:szCs w:val="36"/>
    </w:rPr>
  </w:style>
  <w:style w:type="character" w:customStyle="1" w:styleId="ReportDateChar">
    <w:name w:val="Report Date Char"/>
    <w:basedOn w:val="DefaultParagraphFont"/>
    <w:link w:val="ReportDate"/>
    <w:rsid w:val="0075093C"/>
    <w:rPr>
      <w:b/>
      <w:bCs/>
      <w:color w:val="005D97"/>
      <w:sz w:val="36"/>
      <w:szCs w:val="36"/>
    </w:rPr>
  </w:style>
  <w:style w:type="paragraph" w:customStyle="1" w:styleId="Bullet1">
    <w:name w:val="Bullet 1"/>
    <w:basedOn w:val="Normal"/>
    <w:rsid w:val="0075093C"/>
    <w:pPr>
      <w:numPr>
        <w:numId w:val="3"/>
      </w:numPr>
      <w:spacing w:before="100" w:after="0" w:line="312" w:lineRule="auto"/>
      <w:jc w:val="both"/>
    </w:pPr>
    <w:rPr>
      <w:rFonts w:ascii="Arial" w:eastAsia="Cambria" w:hAnsi="Arial" w:cs="Arial"/>
      <w:sz w:val="20"/>
      <w:szCs w:val="20"/>
      <w:lang w:val="en-AU" w:eastAsia="en-GB"/>
    </w:rPr>
  </w:style>
  <w:style w:type="table" w:styleId="LightShading-Accent5">
    <w:name w:val="Light Shading Accent 5"/>
    <w:basedOn w:val="TableNormal"/>
    <w:uiPriority w:val="60"/>
    <w:rsid w:val="0075093C"/>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Grid">
    <w:name w:val="Table Grid"/>
    <w:basedOn w:val="TableNormal"/>
    <w:rsid w:val="0075093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093C"/>
    <w:pPr>
      <w:autoSpaceDE w:val="0"/>
      <w:autoSpaceDN w:val="0"/>
      <w:adjustRightInd w:val="0"/>
      <w:spacing w:after="0" w:line="240" w:lineRule="auto"/>
    </w:pPr>
    <w:rPr>
      <w:rFonts w:ascii="Calibri" w:hAnsi="Calibri" w:cs="Calibri"/>
      <w:color w:val="000000"/>
      <w:sz w:val="24"/>
      <w:szCs w:val="24"/>
      <w:lang w:bidi="th-TH"/>
    </w:rPr>
  </w:style>
  <w:style w:type="paragraph" w:customStyle="1" w:styleId="Text">
    <w:name w:val="Text"/>
    <w:basedOn w:val="Normal"/>
    <w:link w:val="TextChar"/>
    <w:qFormat/>
    <w:rsid w:val="0075093C"/>
    <w:pPr>
      <w:spacing w:before="240" w:after="240" w:line="240" w:lineRule="auto"/>
      <w:ind w:left="720" w:hanging="720"/>
      <w:jc w:val="both"/>
    </w:pPr>
    <w:rPr>
      <w:rFonts w:ascii="Calibri" w:eastAsia="Times New Roman" w:hAnsi="Calibri" w:cs="Times New Roman"/>
      <w:lang w:val="en-GB"/>
    </w:rPr>
  </w:style>
  <w:style w:type="character" w:customStyle="1" w:styleId="TextChar">
    <w:name w:val="Text Char"/>
    <w:link w:val="Text"/>
    <w:rsid w:val="0075093C"/>
    <w:rPr>
      <w:rFonts w:ascii="Calibri" w:eastAsia="Times New Roman" w:hAnsi="Calibri" w:cs="Times New Roman"/>
      <w:lang w:val="en-GB"/>
    </w:rPr>
  </w:style>
  <w:style w:type="paragraph" w:styleId="Revision">
    <w:name w:val="Revision"/>
    <w:hidden/>
    <w:uiPriority w:val="99"/>
    <w:semiHidden/>
    <w:rsid w:val="0075093C"/>
    <w:pPr>
      <w:spacing w:after="0" w:line="240" w:lineRule="auto"/>
    </w:pPr>
  </w:style>
  <w:style w:type="paragraph" w:styleId="NormalWeb">
    <w:name w:val="Normal (Web)"/>
    <w:basedOn w:val="Normal"/>
    <w:uiPriority w:val="99"/>
    <w:semiHidden/>
    <w:unhideWhenUsed/>
    <w:rsid w:val="0075093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TableParagraph">
    <w:name w:val="Table Paragraph"/>
    <w:basedOn w:val="Normal"/>
    <w:uiPriority w:val="1"/>
    <w:qFormat/>
    <w:rsid w:val="0075093C"/>
    <w:pPr>
      <w:widowControl w:val="0"/>
      <w:autoSpaceDE w:val="0"/>
      <w:autoSpaceDN w:val="0"/>
      <w:spacing w:after="0" w:line="240" w:lineRule="auto"/>
      <w:ind w:left="107"/>
    </w:pPr>
    <w:rPr>
      <w:rFonts w:ascii="Calibri" w:eastAsia="Calibri" w:hAnsi="Calibri" w:cs="Calibri"/>
    </w:rPr>
  </w:style>
  <w:style w:type="table" w:customStyle="1" w:styleId="GridTable4-Accent51">
    <w:name w:val="Grid Table 4 - Accent 51"/>
    <w:basedOn w:val="TableNormal"/>
    <w:uiPriority w:val="49"/>
    <w:rsid w:val="007509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4">
    <w:name w:val="toc 4"/>
    <w:basedOn w:val="Normal"/>
    <w:next w:val="Normal"/>
    <w:autoRedefine/>
    <w:uiPriority w:val="39"/>
    <w:unhideWhenUsed/>
    <w:rsid w:val="0075093C"/>
    <w:pPr>
      <w:spacing w:after="100" w:line="276" w:lineRule="auto"/>
      <w:ind w:left="660"/>
      <w:jc w:val="both"/>
    </w:pPr>
  </w:style>
  <w:style w:type="paragraph" w:styleId="TOC5">
    <w:name w:val="toc 5"/>
    <w:basedOn w:val="Normal"/>
    <w:next w:val="Normal"/>
    <w:autoRedefine/>
    <w:uiPriority w:val="39"/>
    <w:unhideWhenUsed/>
    <w:rsid w:val="0075093C"/>
    <w:pPr>
      <w:spacing w:after="100" w:line="276" w:lineRule="auto"/>
      <w:ind w:left="880"/>
      <w:jc w:val="both"/>
    </w:pPr>
  </w:style>
  <w:style w:type="character" w:styleId="FollowedHyperlink">
    <w:name w:val="FollowedHyperlink"/>
    <w:basedOn w:val="DefaultParagraphFont"/>
    <w:uiPriority w:val="99"/>
    <w:semiHidden/>
    <w:unhideWhenUsed/>
    <w:rsid w:val="00AA7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o-ks.org/2017/Rregullat/USS%20Pricing%20Rule.pdf" TargetMode="External"/><Relationship Id="rId13" Type="http://schemas.openxmlformats.org/officeDocument/2006/relationships/hyperlink" Target="https://einvestingforbeginners.com/computer-software-depreciation-accoun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o-ks.org/2016/Ligjet/LIGJI_PER_RREGULLATORIN_E_ENERGJISEang.pdf"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ro-ks.org/zrre/sites/default/files/Publikimet/Pjesemarresit%20ne%20Treg/Furnizim/Propozimi%20per%20Vlerat%20Hyrese%202022-2024%20per%20FSHU_KESCO.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md/cautare/getResults?doc_id=103740&amp;lang=ro" TargetMode="External"/><Relationship Id="rId3" Type="http://schemas.openxmlformats.org/officeDocument/2006/relationships/hyperlink" Target="https://www.epdk.gov.tr/Detay/SiteSearch?st=2021-2025" TargetMode="External"/><Relationship Id="rId7" Type="http://schemas.openxmlformats.org/officeDocument/2006/relationships/hyperlink" Target="https://www.legis.md/cautare/getResults?doc_id=103740&amp;lang=ro" TargetMode="External"/><Relationship Id="rId12" Type="http://schemas.openxmlformats.org/officeDocument/2006/relationships/hyperlink" Target="https://www.ceer.eu/documents/104400/-/-/9665e39a-3d8b-25dd-7545-09a247f9c2ff" TargetMode="External"/><Relationship Id="rId2" Type="http://schemas.openxmlformats.org/officeDocument/2006/relationships/hyperlink" Target="https://www.cru.ie/wp-content/uploads/2017/10/CRU17291-RFI-Information-paper.pdf" TargetMode="External"/><Relationship Id="rId1" Type="http://schemas.openxmlformats.org/officeDocument/2006/relationships/hyperlink" Target="http://ere.gov.al/doc/Metodologjia_FSHU-1.pdf" TargetMode="External"/><Relationship Id="rId6" Type="http://schemas.openxmlformats.org/officeDocument/2006/relationships/hyperlink" Target="https://gnerc.org/files/Legal%20Acts%20in%20english/USS%20TARIFF%20SETTING%20METHODOLOGY-12.21.2020%20(approved).pdf" TargetMode="External"/><Relationship Id="rId11" Type="http://schemas.openxmlformats.org/officeDocument/2006/relationships/hyperlink" Target="https://erranet.org/electricity-tso-dso-revenue-study-published/" TargetMode="External"/><Relationship Id="rId5" Type="http://schemas.openxmlformats.org/officeDocument/2006/relationships/hyperlink" Target="https://gnerc.org/files/Legal%20Acts%20in%20english/USS%20TARIFF%20SETTING%20METHODOLOGY-12.21.2020%20(approved).pdf" TargetMode="External"/><Relationship Id="rId10" Type="http://schemas.openxmlformats.org/officeDocument/2006/relationships/hyperlink" Target="http://ero-ks.org/2017/Tarifat/Raport_Konsultativ_per_jetegjatesine_e_aseteve_04072017.pdf" TargetMode="External"/><Relationship Id="rId4" Type="http://schemas.openxmlformats.org/officeDocument/2006/relationships/hyperlink" Target="https://www.epdk.gov.tr/Detay/SiteSearch?st=2021-2025" TargetMode="External"/><Relationship Id="rId9" Type="http://schemas.openxmlformats.org/officeDocument/2006/relationships/hyperlink" Target="https://www.energy-community.org/dam/jcr:f0feeb6e-96c9-48fd-b72e-d6cc7d8b0ef1/ECRB_revenue_determination.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yrudari\Desktop\OPEX-BD-2022-2024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O%20user\Desktop\Parametrat%20hyres%20per%20FSHU%202022-2024\OPEX-BD-2022-2024_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Kostot aktuale të operimit dhe mirëmbajtjes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00214678528627"/>
          <c:y val="0.13588569335043049"/>
          <c:w val="0.84112158880633925"/>
          <c:h val="0.62524733409972411"/>
        </c:manualLayout>
      </c:layout>
      <c:barChart>
        <c:barDir val="col"/>
        <c:grouping val="stacked"/>
        <c:varyColors val="0"/>
        <c:ser>
          <c:idx val="0"/>
          <c:order val="0"/>
          <c:tx>
            <c:strRef>
              <c:f>OPEX!$B$4</c:f>
              <c:strCache>
                <c:ptCount val="1"/>
                <c:pt idx="0">
                  <c:v>Shpenzimet e personelit</c:v>
                </c:pt>
              </c:strCache>
            </c:strRef>
          </c:tx>
          <c:spPr>
            <a:solidFill>
              <a:schemeClr val="accent1"/>
            </a:solidFill>
            <a:ln>
              <a:noFill/>
            </a:ln>
            <a:effectLst/>
          </c:spPr>
          <c:invertIfNegative val="0"/>
          <c:cat>
            <c:strRef>
              <c:f>OPEX!$C$2:$G$2</c:f>
              <c:strCache>
                <c:ptCount val="5"/>
                <c:pt idx="0">
                  <c:v>2016</c:v>
                </c:pt>
                <c:pt idx="1">
                  <c:v>2017</c:v>
                </c:pt>
                <c:pt idx="2">
                  <c:v>2018</c:v>
                </c:pt>
                <c:pt idx="3">
                  <c:v>2019</c:v>
                </c:pt>
                <c:pt idx="4">
                  <c:v>2020</c:v>
                </c:pt>
              </c:strCache>
            </c:strRef>
          </c:cat>
          <c:val>
            <c:numRef>
              <c:f>OPEX!$C$4:$G$4</c:f>
              <c:numCache>
                <c:formatCode>#,##0</c:formatCode>
                <c:ptCount val="5"/>
                <c:pt idx="0">
                  <c:v>1784.2326460782738</c:v>
                </c:pt>
                <c:pt idx="1">
                  <c:v>2035.9496807022385</c:v>
                </c:pt>
                <c:pt idx="2">
                  <c:v>1670.44852692162</c:v>
                </c:pt>
                <c:pt idx="3">
                  <c:v>1952.9720594999999</c:v>
                </c:pt>
                <c:pt idx="4">
                  <c:v>1939.0283999999999</c:v>
                </c:pt>
              </c:numCache>
            </c:numRef>
          </c:val>
          <c:extLst>
            <c:ext xmlns:c16="http://schemas.microsoft.com/office/drawing/2014/chart" uri="{C3380CC4-5D6E-409C-BE32-E72D297353CC}">
              <c16:uniqueId val="{00000000-9850-467F-9596-432D95B38B29}"/>
            </c:ext>
          </c:extLst>
        </c:ser>
        <c:ser>
          <c:idx val="1"/>
          <c:order val="1"/>
          <c:tx>
            <c:strRef>
              <c:f>OPEX!$B$5</c:f>
              <c:strCache>
                <c:ptCount val="1"/>
                <c:pt idx="0">
                  <c:v>Mirëmbajtja, Inventari dhe Furnizimet</c:v>
                </c:pt>
              </c:strCache>
            </c:strRef>
          </c:tx>
          <c:spPr>
            <a:solidFill>
              <a:schemeClr val="accent2"/>
            </a:solidFill>
            <a:ln>
              <a:noFill/>
            </a:ln>
            <a:effectLst/>
          </c:spPr>
          <c:invertIfNegative val="0"/>
          <c:cat>
            <c:strRef>
              <c:f>OPEX!$C$2:$G$2</c:f>
              <c:strCache>
                <c:ptCount val="5"/>
                <c:pt idx="0">
                  <c:v>2016</c:v>
                </c:pt>
                <c:pt idx="1">
                  <c:v>2017</c:v>
                </c:pt>
                <c:pt idx="2">
                  <c:v>2018</c:v>
                </c:pt>
                <c:pt idx="3">
                  <c:v>2019</c:v>
                </c:pt>
                <c:pt idx="4">
                  <c:v>2020</c:v>
                </c:pt>
              </c:strCache>
            </c:strRef>
          </c:cat>
          <c:val>
            <c:numRef>
              <c:f>OPEX!$C$5:$G$5</c:f>
              <c:numCache>
                <c:formatCode>General</c:formatCode>
                <c:ptCount val="5"/>
                <c:pt idx="0">
                  <c:v>90</c:v>
                </c:pt>
                <c:pt idx="1">
                  <c:v>80</c:v>
                </c:pt>
                <c:pt idx="2">
                  <c:v>81</c:v>
                </c:pt>
                <c:pt idx="3">
                  <c:v>88</c:v>
                </c:pt>
                <c:pt idx="4">
                  <c:v>66</c:v>
                </c:pt>
              </c:numCache>
            </c:numRef>
          </c:val>
          <c:extLst>
            <c:ext xmlns:c16="http://schemas.microsoft.com/office/drawing/2014/chart" uri="{C3380CC4-5D6E-409C-BE32-E72D297353CC}">
              <c16:uniqueId val="{00000001-9850-467F-9596-432D95B38B29}"/>
            </c:ext>
          </c:extLst>
        </c:ser>
        <c:ser>
          <c:idx val="2"/>
          <c:order val="2"/>
          <c:tx>
            <c:strRef>
              <c:f>OPEX!$B$6</c:f>
              <c:strCache>
                <c:ptCount val="1"/>
                <c:pt idx="0">
                  <c:v>Sigurimi</c:v>
                </c:pt>
              </c:strCache>
            </c:strRef>
          </c:tx>
          <c:spPr>
            <a:solidFill>
              <a:schemeClr val="accent3"/>
            </a:solidFill>
            <a:ln>
              <a:noFill/>
            </a:ln>
            <a:effectLst/>
          </c:spPr>
          <c:invertIfNegative val="0"/>
          <c:cat>
            <c:strRef>
              <c:f>OPEX!$C$2:$G$2</c:f>
              <c:strCache>
                <c:ptCount val="5"/>
                <c:pt idx="0">
                  <c:v>2016</c:v>
                </c:pt>
                <c:pt idx="1">
                  <c:v>2017</c:v>
                </c:pt>
                <c:pt idx="2">
                  <c:v>2018</c:v>
                </c:pt>
                <c:pt idx="3">
                  <c:v>2019</c:v>
                </c:pt>
                <c:pt idx="4">
                  <c:v>2020</c:v>
                </c:pt>
              </c:strCache>
            </c:strRef>
          </c:cat>
          <c:val>
            <c:numRef>
              <c:f>OPEX!$C$6:$G$6</c:f>
              <c:numCache>
                <c:formatCode>General</c:formatCode>
                <c:ptCount val="5"/>
                <c:pt idx="0">
                  <c:v>377</c:v>
                </c:pt>
                <c:pt idx="1">
                  <c:v>364</c:v>
                </c:pt>
                <c:pt idx="2">
                  <c:v>340</c:v>
                </c:pt>
                <c:pt idx="3">
                  <c:v>312</c:v>
                </c:pt>
                <c:pt idx="4">
                  <c:v>307</c:v>
                </c:pt>
              </c:numCache>
            </c:numRef>
          </c:val>
          <c:extLst>
            <c:ext xmlns:c16="http://schemas.microsoft.com/office/drawing/2014/chart" uri="{C3380CC4-5D6E-409C-BE32-E72D297353CC}">
              <c16:uniqueId val="{00000002-9850-467F-9596-432D95B38B29}"/>
            </c:ext>
          </c:extLst>
        </c:ser>
        <c:ser>
          <c:idx val="3"/>
          <c:order val="3"/>
          <c:tx>
            <c:strRef>
              <c:f>OPEX!$B$7</c:f>
              <c:strCache>
                <c:ptCount val="1"/>
                <c:pt idx="0">
                  <c:v>Kosto të tjera operative</c:v>
                </c:pt>
              </c:strCache>
            </c:strRef>
          </c:tx>
          <c:spPr>
            <a:solidFill>
              <a:schemeClr val="accent4"/>
            </a:solidFill>
            <a:ln>
              <a:noFill/>
            </a:ln>
            <a:effectLst/>
          </c:spPr>
          <c:invertIfNegative val="0"/>
          <c:cat>
            <c:strRef>
              <c:f>OPEX!$C$2:$G$2</c:f>
              <c:strCache>
                <c:ptCount val="5"/>
                <c:pt idx="0">
                  <c:v>2016</c:v>
                </c:pt>
                <c:pt idx="1">
                  <c:v>2017</c:v>
                </c:pt>
                <c:pt idx="2">
                  <c:v>2018</c:v>
                </c:pt>
                <c:pt idx="3">
                  <c:v>2019</c:v>
                </c:pt>
                <c:pt idx="4">
                  <c:v>2020</c:v>
                </c:pt>
              </c:strCache>
            </c:strRef>
          </c:cat>
          <c:val>
            <c:numRef>
              <c:f>OPEX!$C$7:$G$7</c:f>
              <c:numCache>
                <c:formatCode>#,##0</c:formatCode>
                <c:ptCount val="5"/>
                <c:pt idx="0" formatCode="General">
                  <c:v>747</c:v>
                </c:pt>
                <c:pt idx="1">
                  <c:v>1157</c:v>
                </c:pt>
                <c:pt idx="2">
                  <c:v>1930</c:v>
                </c:pt>
                <c:pt idx="3">
                  <c:v>999</c:v>
                </c:pt>
                <c:pt idx="4">
                  <c:v>900</c:v>
                </c:pt>
              </c:numCache>
            </c:numRef>
          </c:val>
          <c:extLst>
            <c:ext xmlns:c16="http://schemas.microsoft.com/office/drawing/2014/chart" uri="{C3380CC4-5D6E-409C-BE32-E72D297353CC}">
              <c16:uniqueId val="{00000003-9850-467F-9596-432D95B38B29}"/>
            </c:ext>
          </c:extLst>
        </c:ser>
        <c:ser>
          <c:idx val="4"/>
          <c:order val="4"/>
          <c:tx>
            <c:strRef>
              <c:f>OPEX!$B$8</c:f>
              <c:strCache>
                <c:ptCount val="1"/>
                <c:pt idx="0">
                  <c:v>Kostot e përbashkëta dhe qiraja</c:v>
                </c:pt>
              </c:strCache>
            </c:strRef>
          </c:tx>
          <c:spPr>
            <a:solidFill>
              <a:schemeClr val="accent5"/>
            </a:solidFill>
            <a:ln>
              <a:noFill/>
            </a:ln>
            <a:effectLst/>
          </c:spPr>
          <c:invertIfNegative val="0"/>
          <c:cat>
            <c:strRef>
              <c:f>OPEX!$C$2:$G$2</c:f>
              <c:strCache>
                <c:ptCount val="5"/>
                <c:pt idx="0">
                  <c:v>2016</c:v>
                </c:pt>
                <c:pt idx="1">
                  <c:v>2017</c:v>
                </c:pt>
                <c:pt idx="2">
                  <c:v>2018</c:v>
                </c:pt>
                <c:pt idx="3">
                  <c:v>2019</c:v>
                </c:pt>
                <c:pt idx="4">
                  <c:v>2020</c:v>
                </c:pt>
              </c:strCache>
            </c:strRef>
          </c:cat>
          <c:val>
            <c:numRef>
              <c:f>OPEX!$C$8:$G$8</c:f>
              <c:numCache>
                <c:formatCode>#,##0</c:formatCode>
                <c:ptCount val="5"/>
                <c:pt idx="0">
                  <c:v>1063</c:v>
                </c:pt>
                <c:pt idx="1">
                  <c:v>991</c:v>
                </c:pt>
                <c:pt idx="2">
                  <c:v>1044</c:v>
                </c:pt>
                <c:pt idx="3">
                  <c:v>1147</c:v>
                </c:pt>
                <c:pt idx="4">
                  <c:v>1165</c:v>
                </c:pt>
              </c:numCache>
            </c:numRef>
          </c:val>
          <c:extLst>
            <c:ext xmlns:c16="http://schemas.microsoft.com/office/drawing/2014/chart" uri="{C3380CC4-5D6E-409C-BE32-E72D297353CC}">
              <c16:uniqueId val="{00000004-9850-467F-9596-432D95B38B29}"/>
            </c:ext>
          </c:extLst>
        </c:ser>
        <c:ser>
          <c:idx val="5"/>
          <c:order val="5"/>
          <c:tx>
            <c:strRef>
              <c:f>OPEX!$B$9</c:f>
              <c:strCache>
                <c:ptCount val="1"/>
                <c:pt idx="0">
                  <c:v>E drejta e përdorimit</c:v>
                </c:pt>
              </c:strCache>
            </c:strRef>
          </c:tx>
          <c:spPr>
            <a:solidFill>
              <a:schemeClr val="accent6"/>
            </a:solidFill>
            <a:ln>
              <a:noFill/>
            </a:ln>
            <a:effectLst/>
          </c:spPr>
          <c:invertIfNegative val="0"/>
          <c:cat>
            <c:strRef>
              <c:f>OPEX!$C$2:$G$2</c:f>
              <c:strCache>
                <c:ptCount val="5"/>
                <c:pt idx="0">
                  <c:v>2016</c:v>
                </c:pt>
                <c:pt idx="1">
                  <c:v>2017</c:v>
                </c:pt>
                <c:pt idx="2">
                  <c:v>2018</c:v>
                </c:pt>
                <c:pt idx="3">
                  <c:v>2019</c:v>
                </c:pt>
                <c:pt idx="4">
                  <c:v>2020</c:v>
                </c:pt>
              </c:strCache>
            </c:strRef>
          </c:cat>
          <c:val>
            <c:numRef>
              <c:f>OPEX!$C$9:$G$9</c:f>
              <c:numCache>
                <c:formatCode>General</c:formatCode>
                <c:ptCount val="5"/>
                <c:pt idx="0">
                  <c:v>473</c:v>
                </c:pt>
                <c:pt idx="1">
                  <c:v>473</c:v>
                </c:pt>
                <c:pt idx="2">
                  <c:v>473</c:v>
                </c:pt>
                <c:pt idx="3">
                  <c:v>473</c:v>
                </c:pt>
                <c:pt idx="4">
                  <c:v>473</c:v>
                </c:pt>
              </c:numCache>
            </c:numRef>
          </c:val>
          <c:extLst>
            <c:ext xmlns:c16="http://schemas.microsoft.com/office/drawing/2014/chart" uri="{C3380CC4-5D6E-409C-BE32-E72D297353CC}">
              <c16:uniqueId val="{00000005-9850-467F-9596-432D95B38B29}"/>
            </c:ext>
          </c:extLst>
        </c:ser>
        <c:ser>
          <c:idx val="6"/>
          <c:order val="6"/>
          <c:tx>
            <c:strRef>
              <c:f>OPEX!$B$10</c:f>
              <c:strCache>
                <c:ptCount val="1"/>
                <c:pt idx="0">
                  <c:v>Shpenzimet financiare</c:v>
                </c:pt>
              </c:strCache>
            </c:strRef>
          </c:tx>
          <c:spPr>
            <a:solidFill>
              <a:schemeClr val="accent1">
                <a:lumMod val="60000"/>
              </a:schemeClr>
            </a:solidFill>
            <a:ln>
              <a:noFill/>
            </a:ln>
            <a:effectLst/>
          </c:spPr>
          <c:invertIfNegative val="0"/>
          <c:val>
            <c:numRef>
              <c:f>OPEX!$C$10:$G$10</c:f>
              <c:numCache>
                <c:formatCode>0</c:formatCode>
                <c:ptCount val="5"/>
                <c:pt idx="0">
                  <c:v>420.65274999999997</c:v>
                </c:pt>
                <c:pt idx="1">
                  <c:v>207.08799999999999</c:v>
                </c:pt>
                <c:pt idx="2">
                  <c:v>450.58100000000002</c:v>
                </c:pt>
                <c:pt idx="3">
                  <c:v>500.77</c:v>
                </c:pt>
                <c:pt idx="4">
                  <c:v>524.17200000000003</c:v>
                </c:pt>
              </c:numCache>
            </c:numRef>
          </c:val>
          <c:extLst>
            <c:ext xmlns:c16="http://schemas.microsoft.com/office/drawing/2014/chart" uri="{C3380CC4-5D6E-409C-BE32-E72D297353CC}">
              <c16:uniqueId val="{00000006-9850-467F-9596-432D95B38B29}"/>
            </c:ext>
          </c:extLst>
        </c:ser>
        <c:dLbls>
          <c:showLegendKey val="0"/>
          <c:showVal val="0"/>
          <c:showCatName val="0"/>
          <c:showSerName val="0"/>
          <c:showPercent val="0"/>
          <c:showBubbleSize val="0"/>
        </c:dLbls>
        <c:gapWidth val="150"/>
        <c:overlap val="100"/>
        <c:axId val="1628466160"/>
        <c:axId val="1628461168"/>
      </c:barChart>
      <c:catAx>
        <c:axId val="162846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461168"/>
        <c:crosses val="autoZero"/>
        <c:auto val="1"/>
        <c:lblAlgn val="ctr"/>
        <c:lblOffset val="100"/>
        <c:noMultiLvlLbl val="0"/>
      </c:catAx>
      <c:valAx>
        <c:axId val="162846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a:t>
                </a:r>
                <a:r>
                  <a:rPr lang="en-US" baseline="0"/>
                  <a:t> EUR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466160"/>
        <c:crosses val="autoZero"/>
        <c:crossBetween val="between"/>
      </c:valAx>
      <c:spPr>
        <a:noFill/>
        <a:ln>
          <a:noFill/>
        </a:ln>
        <a:effectLst/>
      </c:spPr>
    </c:plotArea>
    <c:legend>
      <c:legendPos val="b"/>
      <c:layout>
        <c:manualLayout>
          <c:xMode val="edge"/>
          <c:yMode val="edge"/>
          <c:x val="4.9281595622706646E-3"/>
          <c:y val="0.81982105689802143"/>
          <c:w val="0.98801465549152379"/>
          <c:h val="0.168590641209426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Faktori i efikasititetit</a:t>
            </a:r>
            <a:r>
              <a:rPr lang="en-US" baseline="0"/>
              <a:t>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6286137309759356E-2"/>
          <c:y val="0.24097548110915101"/>
          <c:w val="0.87708382606020396"/>
          <c:h val="0.65170615214308536"/>
        </c:manualLayout>
      </c:layout>
      <c:barChart>
        <c:barDir val="col"/>
        <c:grouping val="clustered"/>
        <c:varyColors val="0"/>
        <c:ser>
          <c:idx val="0"/>
          <c:order val="0"/>
          <c:tx>
            <c:strRef>
              <c:f>OPEX!$D$64:$D$65</c:f>
              <c:strCache>
                <c:ptCount val="2"/>
                <c:pt idx="0">
                  <c:v>Opex fillestar</c:v>
                </c:pt>
                <c:pt idx="1">
                  <c:v>Opex mesatar</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OPEX!$D$64:$D$65</c:f>
              <c:strCache>
                <c:ptCount val="2"/>
                <c:pt idx="0">
                  <c:v>Opex fillestar</c:v>
                </c:pt>
                <c:pt idx="1">
                  <c:v>Opex mesatar</c:v>
                </c:pt>
              </c:strCache>
            </c:strRef>
          </c:cat>
          <c:val>
            <c:numRef>
              <c:f>OPEX!$E$64:$E$65</c:f>
              <c:numCache>
                <c:formatCode>#,##0</c:formatCode>
                <c:ptCount val="2"/>
                <c:pt idx="0">
                  <c:v>3740.3287826404267</c:v>
                </c:pt>
                <c:pt idx="1">
                  <c:v>3670.7287826404267</c:v>
                </c:pt>
              </c:numCache>
            </c:numRef>
          </c:val>
          <c:extLst>
            <c:ext xmlns:c16="http://schemas.microsoft.com/office/drawing/2014/chart" uri="{C3380CC4-5D6E-409C-BE32-E72D297353CC}">
              <c16:uniqueId val="{00000000-0B72-438A-AC06-DDDC619B1C55}"/>
            </c:ext>
          </c:extLst>
        </c:ser>
        <c:dLbls>
          <c:showLegendKey val="0"/>
          <c:showVal val="0"/>
          <c:showCatName val="0"/>
          <c:showSerName val="0"/>
          <c:showPercent val="0"/>
          <c:showBubbleSize val="0"/>
        </c:dLbls>
        <c:gapWidth val="219"/>
        <c:overlap val="-27"/>
        <c:axId val="614630576"/>
        <c:axId val="614638896"/>
      </c:barChart>
      <c:catAx>
        <c:axId val="61463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638896"/>
        <c:crosses val="autoZero"/>
        <c:auto val="1"/>
        <c:lblAlgn val="ctr"/>
        <c:lblOffset val="100"/>
        <c:noMultiLvlLbl val="0"/>
      </c:catAx>
      <c:valAx>
        <c:axId val="614638896"/>
        <c:scaling>
          <c:orientation val="minMax"/>
          <c:max val="3800"/>
          <c:min val="33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€000</a:t>
                </a:r>
              </a:p>
            </c:rich>
          </c:tx>
          <c:layout>
            <c:manualLayout>
              <c:xMode val="edge"/>
              <c:yMode val="edge"/>
              <c:x val="8.1721601743394174E-3"/>
              <c:y val="0.100044327259708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63057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7661</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Ymer Rudari</dc:creator>
  <cp:keywords/>
  <dc:description/>
  <cp:lastModifiedBy>Adelina Murtezaj</cp:lastModifiedBy>
  <cp:revision>3</cp:revision>
  <cp:lastPrinted>2021-11-22T08:44:00Z</cp:lastPrinted>
  <dcterms:created xsi:type="dcterms:W3CDTF">2021-11-25T10:31:00Z</dcterms:created>
  <dcterms:modified xsi:type="dcterms:W3CDTF">2021-11-25T12:14:00Z</dcterms:modified>
</cp:coreProperties>
</file>