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FCEAF" w14:textId="77777777" w:rsidR="002F09BD" w:rsidRPr="001471C5" w:rsidRDefault="002F09BD" w:rsidP="002F09BD"/>
    <w:p w14:paraId="20F8E6A5" w14:textId="77777777" w:rsidR="00470E9F" w:rsidRPr="001471C5" w:rsidRDefault="00470E9F" w:rsidP="002F09BD"/>
    <w:p w14:paraId="07B514F9" w14:textId="77777777" w:rsidR="00470E9F" w:rsidRPr="001471C5" w:rsidRDefault="00470E9F" w:rsidP="00470E9F">
      <w:pPr>
        <w:pStyle w:val="Title"/>
        <w:shd w:val="clear" w:color="auto" w:fill="005D97"/>
        <w:spacing w:before="0" w:after="0"/>
        <w:jc w:val="center"/>
        <w:rPr>
          <w:color w:val="DF8D1D"/>
          <w:sz w:val="48"/>
          <w:szCs w:val="40"/>
        </w:rPr>
      </w:pPr>
    </w:p>
    <w:p w14:paraId="48F23D71" w14:textId="55B1E26D" w:rsidR="00470E9F" w:rsidRPr="001471C5" w:rsidRDefault="00355D35" w:rsidP="00470E9F">
      <w:pPr>
        <w:pStyle w:val="Title"/>
        <w:shd w:val="clear" w:color="auto" w:fill="005D97"/>
        <w:spacing w:before="0" w:after="0"/>
        <w:jc w:val="center"/>
        <w:rPr>
          <w:color w:val="DF8D1D"/>
          <w:sz w:val="48"/>
          <w:szCs w:val="40"/>
        </w:rPr>
      </w:pPr>
      <w:r w:rsidRPr="00355D35">
        <w:rPr>
          <w:color w:val="DF8D1D"/>
          <w:sz w:val="48"/>
          <w:szCs w:val="40"/>
        </w:rPr>
        <w:t>Konsultativni Izveštaj</w:t>
      </w:r>
    </w:p>
    <w:p w14:paraId="102BFF9B" w14:textId="77777777" w:rsidR="00470E9F" w:rsidRPr="001471C5" w:rsidRDefault="00470E9F" w:rsidP="00470E9F">
      <w:pPr>
        <w:pStyle w:val="Title"/>
        <w:shd w:val="clear" w:color="auto" w:fill="005D97"/>
        <w:spacing w:before="0" w:after="0"/>
        <w:jc w:val="center"/>
        <w:rPr>
          <w:color w:val="DF8D1D"/>
          <w:sz w:val="28"/>
        </w:rPr>
      </w:pPr>
    </w:p>
    <w:p w14:paraId="3B5C7EE2" w14:textId="10749783" w:rsidR="00CB03CA" w:rsidRPr="001471C5" w:rsidRDefault="00D92A57" w:rsidP="00CB03CA">
      <w:pPr>
        <w:pStyle w:val="Title"/>
        <w:shd w:val="clear" w:color="auto" w:fill="005D97"/>
        <w:spacing w:before="0" w:after="0"/>
        <w:jc w:val="center"/>
        <w:rPr>
          <w:color w:val="F79646"/>
          <w:sz w:val="28"/>
        </w:rPr>
      </w:pPr>
      <w:r>
        <w:rPr>
          <w:color w:val="F79646"/>
          <w:sz w:val="28"/>
        </w:rPr>
        <w:t>Godišnja</w:t>
      </w:r>
      <w:r w:rsidR="00E1702F">
        <w:rPr>
          <w:color w:val="F79646"/>
          <w:sz w:val="28"/>
        </w:rPr>
        <w:t xml:space="preserve"> usklađi</w:t>
      </w:r>
      <w:r w:rsidR="00355D35">
        <w:rPr>
          <w:color w:val="F79646"/>
          <w:sz w:val="28"/>
        </w:rPr>
        <w:t>vanje Maksimalno Dozvoljenih P</w:t>
      </w:r>
      <w:r w:rsidR="00355D35" w:rsidRPr="00355D35">
        <w:rPr>
          <w:color w:val="F79646"/>
          <w:sz w:val="28"/>
        </w:rPr>
        <w:t>rihoda za KOSTT</w:t>
      </w:r>
    </w:p>
    <w:p w14:paraId="4433CC7A" w14:textId="4853A7E8" w:rsidR="00B93A16" w:rsidRPr="0050005A" w:rsidRDefault="00355D35" w:rsidP="00B93A16">
      <w:pPr>
        <w:pStyle w:val="Title"/>
        <w:shd w:val="clear" w:color="auto" w:fill="005D97"/>
        <w:spacing w:before="0" w:after="0"/>
        <w:jc w:val="center"/>
        <w:rPr>
          <w:color w:val="F79646"/>
          <w:sz w:val="28"/>
        </w:rPr>
      </w:pPr>
      <w:r>
        <w:rPr>
          <w:color w:val="F79646"/>
          <w:sz w:val="28"/>
        </w:rPr>
        <w:t>(Relevantna Tarifna</w:t>
      </w:r>
      <w:r w:rsidR="0001441A">
        <w:rPr>
          <w:color w:val="F79646"/>
          <w:sz w:val="28"/>
        </w:rPr>
        <w:t xml:space="preserve"> 2021</w:t>
      </w:r>
      <w:r>
        <w:rPr>
          <w:color w:val="F79646"/>
          <w:sz w:val="28"/>
        </w:rPr>
        <w:t xml:space="preserve"> Godina</w:t>
      </w:r>
      <w:r w:rsidR="00B93A16" w:rsidRPr="0050005A">
        <w:rPr>
          <w:color w:val="F79646"/>
          <w:sz w:val="28"/>
        </w:rPr>
        <w:t>)</w:t>
      </w:r>
    </w:p>
    <w:p w14:paraId="4E01915E" w14:textId="77777777" w:rsidR="00470E9F" w:rsidRPr="001471C5" w:rsidRDefault="00470E9F" w:rsidP="00470E9F">
      <w:pPr>
        <w:pStyle w:val="Title"/>
        <w:shd w:val="clear" w:color="auto" w:fill="005D97"/>
        <w:spacing w:before="0" w:after="0"/>
        <w:jc w:val="center"/>
        <w:rPr>
          <w:color w:val="DF8D1D"/>
          <w:sz w:val="27"/>
          <w:szCs w:val="27"/>
        </w:rPr>
      </w:pPr>
    </w:p>
    <w:p w14:paraId="2D32A143" w14:textId="77777777" w:rsidR="00470E9F" w:rsidRPr="001471C5" w:rsidRDefault="00470E9F" w:rsidP="00470E9F">
      <w:pPr>
        <w:pStyle w:val="Title"/>
        <w:shd w:val="clear" w:color="auto" w:fill="005D97"/>
        <w:spacing w:before="0" w:after="0"/>
        <w:jc w:val="center"/>
        <w:rPr>
          <w:color w:val="DF8D1D"/>
          <w:sz w:val="28"/>
        </w:rPr>
      </w:pPr>
    </w:p>
    <w:p w14:paraId="0A614037" w14:textId="77777777" w:rsidR="00470E9F" w:rsidRPr="001471C5" w:rsidRDefault="00470E9F" w:rsidP="002F09BD"/>
    <w:p w14:paraId="4FE92C49" w14:textId="77777777" w:rsidR="00470E9F" w:rsidRPr="001471C5" w:rsidRDefault="00470E9F" w:rsidP="002F09BD"/>
    <w:p w14:paraId="3F54D019" w14:textId="77777777" w:rsidR="002F09BD" w:rsidRPr="001471C5" w:rsidRDefault="002F09BD" w:rsidP="002F09BD"/>
    <w:p w14:paraId="33C03848" w14:textId="77777777" w:rsidR="00366EF2" w:rsidRPr="001471C5" w:rsidRDefault="00366EF2" w:rsidP="002F09BD"/>
    <w:p w14:paraId="703BFCE4" w14:textId="77777777" w:rsidR="002F09BD" w:rsidRPr="001471C5" w:rsidRDefault="002F09BD" w:rsidP="002F09BD"/>
    <w:p w14:paraId="4861B5C2" w14:textId="77777777" w:rsidR="002F09BD" w:rsidRPr="001471C5" w:rsidRDefault="002F09BD" w:rsidP="002F09BD"/>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9"/>
      </w:tblGrid>
      <w:tr w:rsidR="002F09BD" w:rsidRPr="001471C5" w14:paraId="77278F16" w14:textId="77777777" w:rsidTr="002F09BD">
        <w:tc>
          <w:tcPr>
            <w:tcW w:w="9198" w:type="dxa"/>
            <w:shd w:val="clear" w:color="auto" w:fill="E0E0E0"/>
          </w:tcPr>
          <w:p w14:paraId="6786A1ED" w14:textId="70B2E85B" w:rsidR="00925225" w:rsidRPr="001471C5" w:rsidRDefault="00764E48" w:rsidP="00925225">
            <w:pPr>
              <w:spacing w:before="120"/>
              <w:jc w:val="center"/>
              <w:rPr>
                <w:b/>
                <w:color w:val="005D97"/>
              </w:rPr>
            </w:pPr>
            <w:r w:rsidRPr="00764E48">
              <w:rPr>
                <w:b/>
                <w:color w:val="005D97"/>
              </w:rPr>
              <w:t>IZJAVA</w:t>
            </w:r>
          </w:p>
          <w:p w14:paraId="32FEE1C2" w14:textId="3BBEADA2" w:rsidR="0001441A" w:rsidRPr="0001441A" w:rsidRDefault="00764E48" w:rsidP="0001441A">
            <w:pPr>
              <w:keepNext/>
              <w:rPr>
                <w:b/>
                <w:color w:val="005D97"/>
                <w:u w:val="single"/>
              </w:rPr>
            </w:pPr>
            <w:r w:rsidRPr="00764E48">
              <w:rPr>
                <w:b/>
                <w:color w:val="005D97"/>
              </w:rPr>
              <w:t>Ovaj</w:t>
            </w:r>
            <w:r w:rsidR="0001441A">
              <w:rPr>
                <w:b/>
                <w:color w:val="005D97"/>
              </w:rPr>
              <w:t xml:space="preserve"> Konsultativni </w:t>
            </w:r>
            <w:r w:rsidR="0001441A" w:rsidRPr="00764E48">
              <w:rPr>
                <w:b/>
                <w:color w:val="005D97"/>
              </w:rPr>
              <w:t>izveštaj</w:t>
            </w:r>
            <w:r w:rsidR="0001441A">
              <w:rPr>
                <w:b/>
                <w:color w:val="005D97"/>
              </w:rPr>
              <w:t xml:space="preserve"> je pripremljen od strane</w:t>
            </w:r>
            <w:r w:rsidRPr="00764E48">
              <w:rPr>
                <w:b/>
                <w:color w:val="005D97"/>
              </w:rPr>
              <w:t xml:space="preserve"> RUE</w:t>
            </w:r>
            <w:r w:rsidR="0001441A">
              <w:rPr>
                <w:b/>
                <w:color w:val="005D97"/>
              </w:rPr>
              <w:t>-a</w:t>
            </w:r>
            <w:r w:rsidRPr="00764E48">
              <w:rPr>
                <w:b/>
                <w:color w:val="005D97"/>
              </w:rPr>
              <w:t xml:space="preserve"> u ci</w:t>
            </w:r>
            <w:r w:rsidR="0001441A">
              <w:rPr>
                <w:b/>
                <w:color w:val="005D97"/>
              </w:rPr>
              <w:t>lju informisanja interesnih</w:t>
            </w:r>
            <w:r w:rsidRPr="00764E48">
              <w:rPr>
                <w:b/>
                <w:color w:val="005D97"/>
              </w:rPr>
              <w:t xml:space="preserve"> strana</w:t>
            </w:r>
            <w:r w:rsidR="00925225" w:rsidRPr="001471C5">
              <w:rPr>
                <w:b/>
                <w:color w:val="005D97"/>
              </w:rPr>
              <w:t xml:space="preserve">. </w:t>
            </w:r>
            <w:r w:rsidRPr="00764E48">
              <w:rPr>
                <w:b/>
                <w:color w:val="005D97"/>
                <w:u w:val="single"/>
              </w:rPr>
              <w:t xml:space="preserve">Izveštaj ne predstavlja </w:t>
            </w:r>
            <w:r w:rsidR="0001441A">
              <w:rPr>
                <w:b/>
                <w:color w:val="005D97"/>
                <w:u w:val="single"/>
              </w:rPr>
              <w:t>o</w:t>
            </w:r>
            <w:r w:rsidRPr="00764E48">
              <w:rPr>
                <w:b/>
                <w:color w:val="005D97"/>
                <w:u w:val="single"/>
              </w:rPr>
              <w:t>dluku RUE-a</w:t>
            </w:r>
            <w:r w:rsidR="0001441A">
              <w:rPr>
                <w:b/>
                <w:color w:val="005D97"/>
                <w:u w:val="single"/>
              </w:rPr>
              <w:t xml:space="preserve"> i ne treba se</w:t>
            </w:r>
            <w:r w:rsidRPr="00764E48">
              <w:rPr>
                <w:b/>
                <w:color w:val="005D97"/>
                <w:u w:val="single"/>
              </w:rPr>
              <w:t xml:space="preserve"> smatrati takvim.</w:t>
            </w:r>
            <w:r w:rsidR="0001441A">
              <w:rPr>
                <w:b/>
                <w:color w:val="005D97"/>
                <w:u w:val="single"/>
              </w:rPr>
              <w:t xml:space="preserve"> </w:t>
            </w:r>
          </w:p>
        </w:tc>
      </w:tr>
    </w:tbl>
    <w:p w14:paraId="43A9475D" w14:textId="77777777" w:rsidR="002F09BD" w:rsidRPr="001471C5" w:rsidRDefault="002F09BD" w:rsidP="002F09BD"/>
    <w:p w14:paraId="502384BD" w14:textId="77777777" w:rsidR="002F09BD" w:rsidRPr="001471C5" w:rsidRDefault="002F09BD" w:rsidP="002F09BD"/>
    <w:p w14:paraId="7DA82B36" w14:textId="77777777" w:rsidR="002F09BD" w:rsidRPr="001471C5" w:rsidRDefault="002F09BD" w:rsidP="002F09BD"/>
    <w:p w14:paraId="378EADAE" w14:textId="77777777" w:rsidR="002F09BD" w:rsidRPr="001471C5" w:rsidRDefault="002F09BD" w:rsidP="002F09BD"/>
    <w:p w14:paraId="77A9B7CF" w14:textId="77777777" w:rsidR="002F09BD" w:rsidRPr="001471C5" w:rsidRDefault="002F09BD" w:rsidP="002F09BD"/>
    <w:p w14:paraId="44FD8AF7" w14:textId="3A06E1AA" w:rsidR="002F09BD" w:rsidRPr="001471C5" w:rsidRDefault="0001441A" w:rsidP="002F09BD">
      <w:pPr>
        <w:tabs>
          <w:tab w:val="left" w:pos="2175"/>
        </w:tabs>
        <w:jc w:val="center"/>
        <w:rPr>
          <w:sz w:val="24"/>
          <w:szCs w:val="24"/>
        </w:rPr>
      </w:pPr>
      <w:r>
        <w:rPr>
          <w:b/>
          <w:bCs/>
          <w:color w:val="005D97"/>
          <w:sz w:val="24"/>
          <w:szCs w:val="24"/>
        </w:rPr>
        <w:t>A</w:t>
      </w:r>
      <w:r w:rsidR="005C1E00">
        <w:rPr>
          <w:b/>
          <w:bCs/>
          <w:color w:val="005D97"/>
          <w:sz w:val="24"/>
          <w:szCs w:val="24"/>
        </w:rPr>
        <w:t>vgust</w:t>
      </w:r>
      <w:r w:rsidR="00FA362F" w:rsidRPr="001471C5">
        <w:rPr>
          <w:b/>
          <w:bCs/>
          <w:color w:val="005D97"/>
          <w:sz w:val="24"/>
          <w:szCs w:val="24"/>
        </w:rPr>
        <w:t xml:space="preserve">  </w:t>
      </w:r>
      <w:r w:rsidR="00CB03CA" w:rsidRPr="001471C5">
        <w:rPr>
          <w:b/>
          <w:bCs/>
          <w:color w:val="005D97"/>
          <w:sz w:val="24"/>
          <w:szCs w:val="24"/>
        </w:rPr>
        <w:t>20</w:t>
      </w:r>
      <w:r w:rsidR="0089662A" w:rsidRPr="001471C5">
        <w:rPr>
          <w:b/>
          <w:bCs/>
          <w:color w:val="005D97"/>
          <w:sz w:val="24"/>
          <w:szCs w:val="24"/>
        </w:rPr>
        <w:t>2</w:t>
      </w:r>
      <w:r w:rsidR="00FA362F">
        <w:rPr>
          <w:b/>
          <w:bCs/>
          <w:color w:val="005D97"/>
          <w:sz w:val="24"/>
          <w:szCs w:val="24"/>
        </w:rPr>
        <w:t>1</w:t>
      </w:r>
    </w:p>
    <w:p w14:paraId="4DC90EDB" w14:textId="77777777" w:rsidR="002F09BD" w:rsidRPr="001471C5" w:rsidRDefault="002F09BD" w:rsidP="002F09BD">
      <w:pPr>
        <w:sectPr w:rsidR="002F09BD" w:rsidRPr="001471C5" w:rsidSect="00366EF2">
          <w:headerReference w:type="first" r:id="rId8"/>
          <w:footerReference w:type="first" r:id="rId9"/>
          <w:pgSz w:w="11909" w:h="16834" w:code="9"/>
          <w:pgMar w:top="1440" w:right="1440" w:bottom="1440" w:left="1440" w:header="630" w:footer="403" w:gutter="0"/>
          <w:pgNumType w:fmt="lowerRoman" w:start="1"/>
          <w:cols w:space="720"/>
          <w:titlePg/>
          <w:docGrid w:linePitch="360"/>
        </w:sectPr>
      </w:pPr>
    </w:p>
    <w:p w14:paraId="354BBB54" w14:textId="5D2BB703" w:rsidR="002F09BD" w:rsidRPr="001471C5" w:rsidRDefault="005C1E00" w:rsidP="002F09BD">
      <w:pPr>
        <w:rPr>
          <w:b/>
          <w:bCs/>
          <w:sz w:val="28"/>
          <w:szCs w:val="28"/>
        </w:rPr>
      </w:pPr>
      <w:r w:rsidRPr="005C1E00">
        <w:rPr>
          <w:b/>
          <w:bCs/>
          <w:sz w:val="28"/>
          <w:szCs w:val="28"/>
        </w:rPr>
        <w:lastRenderedPageBreak/>
        <w:t>Sadržaj</w:t>
      </w:r>
    </w:p>
    <w:p w14:paraId="1C4775FD" w14:textId="189FB809" w:rsidR="008B226A" w:rsidRDefault="00093103">
      <w:pPr>
        <w:pStyle w:val="TOC1"/>
        <w:tabs>
          <w:tab w:val="left" w:pos="440"/>
          <w:tab w:val="right" w:leader="dot" w:pos="9019"/>
        </w:tabs>
        <w:rPr>
          <w:rFonts w:asciiTheme="minorHAnsi" w:eastAsiaTheme="minorEastAsia" w:hAnsiTheme="minorHAnsi" w:cstheme="minorBidi"/>
          <w:b w:val="0"/>
          <w:noProof/>
          <w:szCs w:val="22"/>
          <w:lang w:val="en-US"/>
        </w:rPr>
      </w:pPr>
      <w:r w:rsidRPr="001471C5">
        <w:rPr>
          <w:lang w:val="sq-AL"/>
        </w:rPr>
        <w:fldChar w:fldCharType="begin"/>
      </w:r>
      <w:r w:rsidR="002F09BD" w:rsidRPr="001471C5">
        <w:rPr>
          <w:lang w:val="sq-AL"/>
        </w:rPr>
        <w:instrText xml:space="preserve"> TOC \o "1-3" \h \z \u </w:instrText>
      </w:r>
      <w:r w:rsidRPr="001471C5">
        <w:rPr>
          <w:lang w:val="sq-AL"/>
        </w:rPr>
        <w:fldChar w:fldCharType="separate"/>
      </w:r>
      <w:hyperlink w:anchor="_Toc71118710" w:history="1">
        <w:r w:rsidR="008B226A" w:rsidRPr="007E0397">
          <w:rPr>
            <w:rStyle w:val="Hyperlink"/>
            <w:noProof/>
            <w:lang w:val="sq-AL"/>
          </w:rPr>
          <w:t>1</w:t>
        </w:r>
        <w:r w:rsidR="008B226A">
          <w:rPr>
            <w:rFonts w:asciiTheme="minorHAnsi" w:eastAsiaTheme="minorEastAsia" w:hAnsiTheme="minorHAnsi" w:cstheme="minorBidi"/>
            <w:b w:val="0"/>
            <w:noProof/>
            <w:szCs w:val="22"/>
            <w:lang w:val="en-US"/>
          </w:rPr>
          <w:tab/>
        </w:r>
        <w:r w:rsidR="005C1E00">
          <w:rPr>
            <w:rStyle w:val="Hyperlink"/>
            <w:noProof/>
            <w:lang w:val="sq-AL"/>
          </w:rPr>
          <w:t>Uvod</w:t>
        </w:r>
        <w:r w:rsidR="008B226A">
          <w:rPr>
            <w:noProof/>
            <w:webHidden/>
          </w:rPr>
          <w:tab/>
        </w:r>
        <w:r w:rsidR="008B226A">
          <w:rPr>
            <w:noProof/>
            <w:webHidden/>
          </w:rPr>
          <w:fldChar w:fldCharType="begin"/>
        </w:r>
        <w:r w:rsidR="008B226A">
          <w:rPr>
            <w:noProof/>
            <w:webHidden/>
          </w:rPr>
          <w:instrText xml:space="preserve"> PAGEREF _Toc71118710 \h </w:instrText>
        </w:r>
        <w:r w:rsidR="008B226A">
          <w:rPr>
            <w:noProof/>
            <w:webHidden/>
          </w:rPr>
        </w:r>
        <w:r w:rsidR="008B226A">
          <w:rPr>
            <w:noProof/>
            <w:webHidden/>
          </w:rPr>
          <w:fldChar w:fldCharType="separate"/>
        </w:r>
        <w:r w:rsidR="008B226A">
          <w:rPr>
            <w:noProof/>
            <w:webHidden/>
          </w:rPr>
          <w:t>3</w:t>
        </w:r>
        <w:r w:rsidR="008B226A">
          <w:rPr>
            <w:noProof/>
            <w:webHidden/>
          </w:rPr>
          <w:fldChar w:fldCharType="end"/>
        </w:r>
      </w:hyperlink>
    </w:p>
    <w:p w14:paraId="7C861FE2" w14:textId="23987368" w:rsidR="008B226A" w:rsidRDefault="003A1262">
      <w:pPr>
        <w:pStyle w:val="TOC1"/>
        <w:tabs>
          <w:tab w:val="left" w:pos="440"/>
          <w:tab w:val="right" w:leader="dot" w:pos="9019"/>
        </w:tabs>
        <w:rPr>
          <w:rFonts w:asciiTheme="minorHAnsi" w:eastAsiaTheme="minorEastAsia" w:hAnsiTheme="minorHAnsi" w:cstheme="minorBidi"/>
          <w:b w:val="0"/>
          <w:noProof/>
          <w:szCs w:val="22"/>
          <w:lang w:val="en-US"/>
        </w:rPr>
      </w:pPr>
      <w:hyperlink w:anchor="_Toc71118711" w:history="1">
        <w:r w:rsidR="008B226A" w:rsidRPr="007E0397">
          <w:rPr>
            <w:rStyle w:val="Hyperlink"/>
            <w:noProof/>
            <w:lang w:val="sq-AL"/>
          </w:rPr>
          <w:t>2</w:t>
        </w:r>
        <w:r w:rsidR="008B226A">
          <w:rPr>
            <w:rFonts w:asciiTheme="minorHAnsi" w:eastAsiaTheme="minorEastAsia" w:hAnsiTheme="minorHAnsi" w:cstheme="minorBidi"/>
            <w:b w:val="0"/>
            <w:noProof/>
            <w:szCs w:val="22"/>
            <w:lang w:val="en-US"/>
          </w:rPr>
          <w:tab/>
        </w:r>
        <w:r w:rsidR="008A09D4">
          <w:rPr>
            <w:rFonts w:asciiTheme="minorHAnsi" w:eastAsiaTheme="minorEastAsia" w:hAnsiTheme="minorHAnsi" w:cstheme="minorBidi"/>
            <w:noProof/>
            <w:szCs w:val="22"/>
            <w:lang w:val="en-US"/>
          </w:rPr>
          <w:t>Usklađi</w:t>
        </w:r>
        <w:r w:rsidR="005C1E00" w:rsidRPr="005C1E00">
          <w:rPr>
            <w:rFonts w:asciiTheme="minorHAnsi" w:eastAsiaTheme="minorEastAsia" w:hAnsiTheme="minorHAnsi" w:cstheme="minorBidi"/>
            <w:noProof/>
            <w:szCs w:val="22"/>
            <w:lang w:val="en-US"/>
          </w:rPr>
          <w:t>vanje Maksimalno Dozvoljenih Prihoda</w:t>
        </w:r>
        <w:r w:rsidR="008B226A">
          <w:rPr>
            <w:noProof/>
            <w:webHidden/>
          </w:rPr>
          <w:tab/>
        </w:r>
        <w:r w:rsidR="008B226A">
          <w:rPr>
            <w:noProof/>
            <w:webHidden/>
          </w:rPr>
          <w:fldChar w:fldCharType="begin"/>
        </w:r>
        <w:r w:rsidR="008B226A">
          <w:rPr>
            <w:noProof/>
            <w:webHidden/>
          </w:rPr>
          <w:instrText xml:space="preserve"> PAGEREF _Toc71118711 \h </w:instrText>
        </w:r>
        <w:r w:rsidR="008B226A">
          <w:rPr>
            <w:noProof/>
            <w:webHidden/>
          </w:rPr>
        </w:r>
        <w:r w:rsidR="008B226A">
          <w:rPr>
            <w:noProof/>
            <w:webHidden/>
          </w:rPr>
          <w:fldChar w:fldCharType="separate"/>
        </w:r>
        <w:r w:rsidR="008B226A">
          <w:rPr>
            <w:noProof/>
            <w:webHidden/>
          </w:rPr>
          <w:t>4</w:t>
        </w:r>
        <w:r w:rsidR="008B226A">
          <w:rPr>
            <w:noProof/>
            <w:webHidden/>
          </w:rPr>
          <w:fldChar w:fldCharType="end"/>
        </w:r>
      </w:hyperlink>
    </w:p>
    <w:p w14:paraId="40820B0D" w14:textId="345B3BBB" w:rsidR="008B226A" w:rsidRDefault="003A1262">
      <w:pPr>
        <w:pStyle w:val="TOC1"/>
        <w:tabs>
          <w:tab w:val="left" w:pos="440"/>
          <w:tab w:val="right" w:leader="dot" w:pos="9019"/>
        </w:tabs>
        <w:rPr>
          <w:rFonts w:asciiTheme="minorHAnsi" w:eastAsiaTheme="minorEastAsia" w:hAnsiTheme="minorHAnsi" w:cstheme="minorBidi"/>
          <w:b w:val="0"/>
          <w:noProof/>
          <w:szCs w:val="22"/>
          <w:lang w:val="en-US"/>
        </w:rPr>
      </w:pPr>
      <w:hyperlink w:anchor="_Toc71118712" w:history="1">
        <w:r w:rsidR="008B226A" w:rsidRPr="007E0397">
          <w:rPr>
            <w:rStyle w:val="Hyperlink"/>
            <w:noProof/>
            <w:lang w:val="sq-AL"/>
          </w:rPr>
          <w:t>3</w:t>
        </w:r>
        <w:r w:rsidR="008B226A">
          <w:rPr>
            <w:rFonts w:asciiTheme="minorHAnsi" w:eastAsiaTheme="minorEastAsia" w:hAnsiTheme="minorHAnsi" w:cstheme="minorBidi"/>
            <w:b w:val="0"/>
            <w:noProof/>
            <w:szCs w:val="22"/>
            <w:lang w:val="en-US"/>
          </w:rPr>
          <w:tab/>
        </w:r>
        <w:r w:rsidR="00FE282D">
          <w:rPr>
            <w:rStyle w:val="Hyperlink"/>
            <w:noProof/>
            <w:lang w:val="sq-AL"/>
          </w:rPr>
          <w:t>Energetski Bilans</w:t>
        </w:r>
        <w:r w:rsidR="008B226A">
          <w:rPr>
            <w:noProof/>
            <w:webHidden/>
          </w:rPr>
          <w:tab/>
        </w:r>
        <w:r w:rsidR="008B226A">
          <w:rPr>
            <w:noProof/>
            <w:webHidden/>
          </w:rPr>
          <w:fldChar w:fldCharType="begin"/>
        </w:r>
        <w:r w:rsidR="008B226A">
          <w:rPr>
            <w:noProof/>
            <w:webHidden/>
          </w:rPr>
          <w:instrText xml:space="preserve"> PAGEREF _Toc71118712 \h </w:instrText>
        </w:r>
        <w:r w:rsidR="008B226A">
          <w:rPr>
            <w:noProof/>
            <w:webHidden/>
          </w:rPr>
        </w:r>
        <w:r w:rsidR="008B226A">
          <w:rPr>
            <w:noProof/>
            <w:webHidden/>
          </w:rPr>
          <w:fldChar w:fldCharType="separate"/>
        </w:r>
        <w:r w:rsidR="008B226A">
          <w:rPr>
            <w:noProof/>
            <w:webHidden/>
          </w:rPr>
          <w:t>4</w:t>
        </w:r>
        <w:r w:rsidR="008B226A">
          <w:rPr>
            <w:noProof/>
            <w:webHidden/>
          </w:rPr>
          <w:fldChar w:fldCharType="end"/>
        </w:r>
      </w:hyperlink>
    </w:p>
    <w:p w14:paraId="57EEC591" w14:textId="50220EAA"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13" w:history="1">
        <w:r w:rsidR="008B226A" w:rsidRPr="007E0397">
          <w:rPr>
            <w:rStyle w:val="Hyperlink"/>
            <w:noProof/>
          </w:rPr>
          <w:t>3.1</w:t>
        </w:r>
        <w:r w:rsidR="008B226A">
          <w:rPr>
            <w:rFonts w:asciiTheme="minorHAnsi" w:eastAsiaTheme="minorEastAsia" w:hAnsiTheme="minorHAnsi" w:cstheme="minorBidi"/>
            <w:noProof/>
            <w:szCs w:val="22"/>
            <w:lang w:val="en-US"/>
          </w:rPr>
          <w:tab/>
        </w:r>
        <w:r w:rsidR="005C1E00">
          <w:rPr>
            <w:rFonts w:asciiTheme="minorHAnsi" w:eastAsiaTheme="minorEastAsia" w:hAnsiTheme="minorHAnsi" w:cstheme="minorBidi"/>
            <w:noProof/>
            <w:szCs w:val="22"/>
            <w:lang w:val="en-US"/>
          </w:rPr>
          <w:t xml:space="preserve">Procena </w:t>
        </w:r>
        <w:r w:rsidR="00AC36E1">
          <w:rPr>
            <w:rFonts w:asciiTheme="minorHAnsi" w:eastAsiaTheme="minorEastAsia" w:hAnsiTheme="minorHAnsi" w:cstheme="minorBidi"/>
            <w:noProof/>
            <w:szCs w:val="22"/>
            <w:lang w:val="en-US"/>
          </w:rPr>
          <w:t xml:space="preserve">Bilansa Realizovane </w:t>
        </w:r>
        <w:r w:rsidR="005C1E00">
          <w:rPr>
            <w:rFonts w:asciiTheme="minorHAnsi" w:eastAsiaTheme="minorEastAsia" w:hAnsiTheme="minorHAnsi" w:cstheme="minorBidi"/>
            <w:noProof/>
            <w:szCs w:val="22"/>
            <w:lang w:val="en-US"/>
          </w:rPr>
          <w:t>i P</w:t>
        </w:r>
        <w:r w:rsidR="00AC36E1">
          <w:rPr>
            <w:rFonts w:asciiTheme="minorHAnsi" w:eastAsiaTheme="minorEastAsia" w:hAnsiTheme="minorHAnsi" w:cstheme="minorBidi"/>
            <w:noProof/>
            <w:szCs w:val="22"/>
            <w:lang w:val="en-US"/>
          </w:rPr>
          <w:t>redviđene</w:t>
        </w:r>
        <w:r w:rsidR="005C1E00">
          <w:rPr>
            <w:rFonts w:asciiTheme="minorHAnsi" w:eastAsiaTheme="minorEastAsia" w:hAnsiTheme="minorHAnsi" w:cstheme="minorBidi"/>
            <w:noProof/>
            <w:szCs w:val="22"/>
            <w:lang w:val="en-US"/>
          </w:rPr>
          <w:t xml:space="preserve"> Električne Energije</w:t>
        </w:r>
        <w:r w:rsidR="008B226A">
          <w:rPr>
            <w:noProof/>
            <w:webHidden/>
          </w:rPr>
          <w:tab/>
        </w:r>
        <w:r w:rsidR="008B226A">
          <w:rPr>
            <w:noProof/>
            <w:webHidden/>
          </w:rPr>
          <w:fldChar w:fldCharType="begin"/>
        </w:r>
        <w:r w:rsidR="008B226A">
          <w:rPr>
            <w:noProof/>
            <w:webHidden/>
          </w:rPr>
          <w:instrText xml:space="preserve"> PAGEREF _Toc71118713 \h </w:instrText>
        </w:r>
        <w:r w:rsidR="008B226A">
          <w:rPr>
            <w:noProof/>
            <w:webHidden/>
          </w:rPr>
        </w:r>
        <w:r w:rsidR="008B226A">
          <w:rPr>
            <w:noProof/>
            <w:webHidden/>
          </w:rPr>
          <w:fldChar w:fldCharType="separate"/>
        </w:r>
        <w:r w:rsidR="008B226A">
          <w:rPr>
            <w:noProof/>
            <w:webHidden/>
          </w:rPr>
          <w:t>5</w:t>
        </w:r>
        <w:r w:rsidR="008B226A">
          <w:rPr>
            <w:noProof/>
            <w:webHidden/>
          </w:rPr>
          <w:fldChar w:fldCharType="end"/>
        </w:r>
      </w:hyperlink>
    </w:p>
    <w:p w14:paraId="7E1E2F54" w14:textId="4CDCA64C" w:rsidR="008B226A" w:rsidRDefault="003A1262">
      <w:pPr>
        <w:pStyle w:val="TOC1"/>
        <w:tabs>
          <w:tab w:val="left" w:pos="440"/>
          <w:tab w:val="right" w:leader="dot" w:pos="9019"/>
        </w:tabs>
        <w:rPr>
          <w:rFonts w:asciiTheme="minorHAnsi" w:eastAsiaTheme="minorEastAsia" w:hAnsiTheme="minorHAnsi" w:cstheme="minorBidi"/>
          <w:b w:val="0"/>
          <w:noProof/>
          <w:szCs w:val="22"/>
          <w:lang w:val="en-US"/>
        </w:rPr>
      </w:pPr>
      <w:hyperlink w:anchor="_Toc71118714" w:history="1">
        <w:r w:rsidR="008B226A" w:rsidRPr="007E0397">
          <w:rPr>
            <w:rStyle w:val="Hyperlink"/>
            <w:noProof/>
            <w:lang w:val="sq-AL"/>
          </w:rPr>
          <w:t>4</w:t>
        </w:r>
        <w:r w:rsidR="008B226A">
          <w:rPr>
            <w:rFonts w:asciiTheme="minorHAnsi" w:eastAsiaTheme="minorEastAsia" w:hAnsiTheme="minorHAnsi" w:cstheme="minorBidi"/>
            <w:b w:val="0"/>
            <w:noProof/>
            <w:szCs w:val="22"/>
            <w:lang w:val="en-US"/>
          </w:rPr>
          <w:tab/>
        </w:r>
        <w:r w:rsidR="003654E7">
          <w:rPr>
            <w:rFonts w:asciiTheme="minorHAnsi" w:eastAsiaTheme="minorEastAsia" w:hAnsiTheme="minorHAnsi" w:cstheme="minorBidi"/>
            <w:noProof/>
            <w:szCs w:val="22"/>
            <w:lang w:val="en-US"/>
          </w:rPr>
          <w:t>Redovna usklađi</w:t>
        </w:r>
        <w:r w:rsidR="005C1E00" w:rsidRPr="005C1E00">
          <w:rPr>
            <w:rFonts w:asciiTheme="minorHAnsi" w:eastAsiaTheme="minorEastAsia" w:hAnsiTheme="minorHAnsi" w:cstheme="minorBidi"/>
            <w:noProof/>
            <w:szCs w:val="22"/>
            <w:lang w:val="en-US"/>
          </w:rPr>
          <w:t>vanja</w:t>
        </w:r>
        <w:r w:rsidR="008B226A">
          <w:rPr>
            <w:noProof/>
            <w:webHidden/>
          </w:rPr>
          <w:tab/>
        </w:r>
        <w:r w:rsidR="008B226A">
          <w:rPr>
            <w:noProof/>
            <w:webHidden/>
          </w:rPr>
          <w:fldChar w:fldCharType="begin"/>
        </w:r>
        <w:r w:rsidR="008B226A">
          <w:rPr>
            <w:noProof/>
            <w:webHidden/>
          </w:rPr>
          <w:instrText xml:space="preserve"> PAGEREF _Toc71118714 \h </w:instrText>
        </w:r>
        <w:r w:rsidR="008B226A">
          <w:rPr>
            <w:noProof/>
            <w:webHidden/>
          </w:rPr>
        </w:r>
        <w:r w:rsidR="008B226A">
          <w:rPr>
            <w:noProof/>
            <w:webHidden/>
          </w:rPr>
          <w:fldChar w:fldCharType="separate"/>
        </w:r>
        <w:r w:rsidR="008B226A">
          <w:rPr>
            <w:noProof/>
            <w:webHidden/>
          </w:rPr>
          <w:t>6</w:t>
        </w:r>
        <w:r w:rsidR="008B226A">
          <w:rPr>
            <w:noProof/>
            <w:webHidden/>
          </w:rPr>
          <w:fldChar w:fldCharType="end"/>
        </w:r>
      </w:hyperlink>
    </w:p>
    <w:p w14:paraId="670A99AE" w14:textId="45821C52"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15" w:history="1">
        <w:r w:rsidR="008B226A" w:rsidRPr="007E0397">
          <w:rPr>
            <w:rStyle w:val="Hyperlink"/>
            <w:noProof/>
          </w:rPr>
          <w:t>4.1</w:t>
        </w:r>
        <w:r w:rsidR="008B226A">
          <w:rPr>
            <w:rFonts w:asciiTheme="minorHAnsi" w:eastAsiaTheme="minorEastAsia" w:hAnsiTheme="minorHAnsi" w:cstheme="minorBidi"/>
            <w:noProof/>
            <w:szCs w:val="22"/>
            <w:lang w:val="en-US"/>
          </w:rPr>
          <w:tab/>
        </w:r>
        <w:r w:rsidR="008A09D4">
          <w:rPr>
            <w:rFonts w:asciiTheme="minorHAnsi" w:eastAsiaTheme="minorEastAsia" w:hAnsiTheme="minorHAnsi" w:cstheme="minorBidi"/>
            <w:noProof/>
            <w:szCs w:val="22"/>
            <w:lang w:val="en-US"/>
          </w:rPr>
          <w:t>Usklađi</w:t>
        </w:r>
        <w:r w:rsidR="00566ADE">
          <w:rPr>
            <w:rFonts w:asciiTheme="minorHAnsi" w:eastAsiaTheme="minorEastAsia" w:hAnsiTheme="minorHAnsi" w:cstheme="minorBidi"/>
            <w:noProof/>
            <w:szCs w:val="22"/>
            <w:lang w:val="en-US"/>
          </w:rPr>
          <w:t>vanje</w:t>
        </w:r>
        <w:r w:rsidR="005C1E00" w:rsidRPr="005C1E00">
          <w:rPr>
            <w:rFonts w:asciiTheme="minorHAnsi" w:eastAsiaTheme="minorEastAsia" w:hAnsiTheme="minorHAnsi" w:cstheme="minorBidi"/>
            <w:noProof/>
            <w:szCs w:val="22"/>
            <w:lang w:val="en-US"/>
          </w:rPr>
          <w:t xml:space="preserve"> </w:t>
        </w:r>
        <w:r w:rsidR="00CA60CC">
          <w:rPr>
            <w:rFonts w:asciiTheme="minorHAnsi" w:eastAsiaTheme="minorEastAsia" w:hAnsiTheme="minorHAnsi" w:cstheme="minorBidi"/>
            <w:noProof/>
            <w:szCs w:val="22"/>
            <w:lang w:val="en-US"/>
          </w:rPr>
          <w:t>za stopu</w:t>
        </w:r>
        <w:r w:rsidR="005C1E00" w:rsidRPr="005C1E00">
          <w:rPr>
            <w:rFonts w:asciiTheme="minorHAnsi" w:eastAsiaTheme="minorEastAsia" w:hAnsiTheme="minorHAnsi" w:cstheme="minorBidi"/>
            <w:noProof/>
            <w:szCs w:val="22"/>
            <w:lang w:val="en-US"/>
          </w:rPr>
          <w:t xml:space="preserve"> inflacije</w:t>
        </w:r>
        <w:r w:rsidR="008B226A">
          <w:rPr>
            <w:noProof/>
            <w:webHidden/>
          </w:rPr>
          <w:tab/>
        </w:r>
        <w:r w:rsidR="008B226A">
          <w:rPr>
            <w:noProof/>
            <w:webHidden/>
          </w:rPr>
          <w:fldChar w:fldCharType="begin"/>
        </w:r>
        <w:r w:rsidR="008B226A">
          <w:rPr>
            <w:noProof/>
            <w:webHidden/>
          </w:rPr>
          <w:instrText xml:space="preserve"> PAGEREF _Toc71118715 \h </w:instrText>
        </w:r>
        <w:r w:rsidR="008B226A">
          <w:rPr>
            <w:noProof/>
            <w:webHidden/>
          </w:rPr>
        </w:r>
        <w:r w:rsidR="008B226A">
          <w:rPr>
            <w:noProof/>
            <w:webHidden/>
          </w:rPr>
          <w:fldChar w:fldCharType="separate"/>
        </w:r>
        <w:r w:rsidR="008B226A">
          <w:rPr>
            <w:noProof/>
            <w:webHidden/>
          </w:rPr>
          <w:t>6</w:t>
        </w:r>
        <w:r w:rsidR="008B226A">
          <w:rPr>
            <w:noProof/>
            <w:webHidden/>
          </w:rPr>
          <w:fldChar w:fldCharType="end"/>
        </w:r>
      </w:hyperlink>
    </w:p>
    <w:p w14:paraId="1CB6A545" w14:textId="792B5FA5"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16" w:history="1">
        <w:r w:rsidR="008B226A" w:rsidRPr="007E0397">
          <w:rPr>
            <w:rStyle w:val="Hyperlink"/>
            <w:noProof/>
          </w:rPr>
          <w:t>4.2</w:t>
        </w:r>
        <w:r w:rsidR="008B226A">
          <w:rPr>
            <w:rFonts w:asciiTheme="minorHAnsi" w:eastAsiaTheme="minorEastAsia" w:hAnsiTheme="minorHAnsi" w:cstheme="minorBidi"/>
            <w:noProof/>
            <w:szCs w:val="22"/>
            <w:lang w:val="en-US"/>
          </w:rPr>
          <w:tab/>
        </w:r>
        <w:r w:rsidR="005C1E00">
          <w:rPr>
            <w:rStyle w:val="Hyperlink"/>
            <w:noProof/>
          </w:rPr>
          <w:t xml:space="preserve">Ostalo </w:t>
        </w:r>
        <w:r w:rsidR="008A09D4">
          <w:rPr>
            <w:rStyle w:val="Hyperlink"/>
            <w:noProof/>
          </w:rPr>
          <w:t>Usklađi</w:t>
        </w:r>
        <w:r w:rsidR="005C1E00">
          <w:rPr>
            <w:rStyle w:val="Hyperlink"/>
            <w:noProof/>
          </w:rPr>
          <w:t>vanje u</w:t>
        </w:r>
        <w:r w:rsidR="008B226A" w:rsidRPr="007E0397">
          <w:rPr>
            <w:rStyle w:val="Hyperlink"/>
            <w:noProof/>
          </w:rPr>
          <w:t xml:space="preserve"> OPEX</w:t>
        </w:r>
        <w:r w:rsidR="008B226A">
          <w:rPr>
            <w:noProof/>
            <w:webHidden/>
          </w:rPr>
          <w:tab/>
        </w:r>
        <w:r w:rsidR="008B226A">
          <w:rPr>
            <w:noProof/>
            <w:webHidden/>
          </w:rPr>
          <w:fldChar w:fldCharType="begin"/>
        </w:r>
        <w:r w:rsidR="008B226A">
          <w:rPr>
            <w:noProof/>
            <w:webHidden/>
          </w:rPr>
          <w:instrText xml:space="preserve"> PAGEREF _Toc71118716 \h </w:instrText>
        </w:r>
        <w:r w:rsidR="008B226A">
          <w:rPr>
            <w:noProof/>
            <w:webHidden/>
          </w:rPr>
        </w:r>
        <w:r w:rsidR="008B226A">
          <w:rPr>
            <w:noProof/>
            <w:webHidden/>
          </w:rPr>
          <w:fldChar w:fldCharType="separate"/>
        </w:r>
        <w:r w:rsidR="008B226A">
          <w:rPr>
            <w:noProof/>
            <w:webHidden/>
          </w:rPr>
          <w:t>6</w:t>
        </w:r>
        <w:r w:rsidR="008B226A">
          <w:rPr>
            <w:noProof/>
            <w:webHidden/>
          </w:rPr>
          <w:fldChar w:fldCharType="end"/>
        </w:r>
      </w:hyperlink>
    </w:p>
    <w:p w14:paraId="25EF019D" w14:textId="32A6A272"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17" w:history="1">
        <w:r w:rsidR="008B226A" w:rsidRPr="007E0397">
          <w:rPr>
            <w:rStyle w:val="Hyperlink"/>
            <w:noProof/>
          </w:rPr>
          <w:t>4.3</w:t>
        </w:r>
        <w:r w:rsidR="008B226A">
          <w:rPr>
            <w:rFonts w:asciiTheme="minorHAnsi" w:eastAsiaTheme="minorEastAsia" w:hAnsiTheme="minorHAnsi" w:cstheme="minorBidi"/>
            <w:noProof/>
            <w:szCs w:val="22"/>
            <w:lang w:val="en-US"/>
          </w:rPr>
          <w:tab/>
        </w:r>
        <w:r w:rsidR="005C1E00">
          <w:rPr>
            <w:rStyle w:val="Hyperlink"/>
            <w:noProof/>
          </w:rPr>
          <w:t>Kapitalne Investicije</w:t>
        </w:r>
        <w:r w:rsidR="008B226A">
          <w:rPr>
            <w:noProof/>
            <w:webHidden/>
          </w:rPr>
          <w:tab/>
        </w:r>
        <w:r w:rsidR="008B226A">
          <w:rPr>
            <w:noProof/>
            <w:webHidden/>
          </w:rPr>
          <w:fldChar w:fldCharType="begin"/>
        </w:r>
        <w:r w:rsidR="008B226A">
          <w:rPr>
            <w:noProof/>
            <w:webHidden/>
          </w:rPr>
          <w:instrText xml:space="preserve"> PAGEREF _Toc71118717 \h </w:instrText>
        </w:r>
        <w:r w:rsidR="008B226A">
          <w:rPr>
            <w:noProof/>
            <w:webHidden/>
          </w:rPr>
        </w:r>
        <w:r w:rsidR="008B226A">
          <w:rPr>
            <w:noProof/>
            <w:webHidden/>
          </w:rPr>
          <w:fldChar w:fldCharType="separate"/>
        </w:r>
        <w:r w:rsidR="008B226A">
          <w:rPr>
            <w:noProof/>
            <w:webHidden/>
          </w:rPr>
          <w:t>7</w:t>
        </w:r>
        <w:r w:rsidR="008B226A">
          <w:rPr>
            <w:noProof/>
            <w:webHidden/>
          </w:rPr>
          <w:fldChar w:fldCharType="end"/>
        </w:r>
      </w:hyperlink>
    </w:p>
    <w:p w14:paraId="5D1DAAB1" w14:textId="19037998"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18" w:history="1">
        <w:r w:rsidR="008B226A" w:rsidRPr="007E0397">
          <w:rPr>
            <w:rStyle w:val="Hyperlink"/>
            <w:noProof/>
          </w:rPr>
          <w:t>4.4</w:t>
        </w:r>
        <w:r w:rsidR="008B226A">
          <w:rPr>
            <w:rFonts w:asciiTheme="minorHAnsi" w:eastAsiaTheme="minorEastAsia" w:hAnsiTheme="minorHAnsi" w:cstheme="minorBidi"/>
            <w:noProof/>
            <w:szCs w:val="22"/>
            <w:lang w:val="en-US"/>
          </w:rPr>
          <w:tab/>
        </w:r>
        <w:r w:rsidR="00D92A57">
          <w:rPr>
            <w:rFonts w:asciiTheme="minorHAnsi" w:eastAsiaTheme="minorEastAsia" w:hAnsiTheme="minorHAnsi" w:cstheme="minorBidi"/>
            <w:noProof/>
            <w:szCs w:val="22"/>
            <w:lang w:val="en-US"/>
          </w:rPr>
          <w:t>Faktor podele</w:t>
        </w:r>
        <w:r w:rsidR="001D34E3">
          <w:rPr>
            <w:rFonts w:asciiTheme="minorHAnsi" w:eastAsiaTheme="minorEastAsia" w:hAnsiTheme="minorHAnsi" w:cstheme="minorBidi"/>
            <w:noProof/>
            <w:szCs w:val="22"/>
            <w:lang w:val="en-US"/>
          </w:rPr>
          <w:t xml:space="preserve"> </w:t>
        </w:r>
        <w:r w:rsidR="00D92A57">
          <w:rPr>
            <w:rFonts w:asciiTheme="minorHAnsi" w:eastAsiaTheme="minorEastAsia" w:hAnsiTheme="minorHAnsi" w:cstheme="minorBidi"/>
            <w:noProof/>
            <w:szCs w:val="22"/>
            <w:lang w:val="en-US"/>
          </w:rPr>
          <w:t>uštede</w:t>
        </w:r>
        <w:r w:rsidR="008B226A">
          <w:rPr>
            <w:noProof/>
            <w:webHidden/>
          </w:rPr>
          <w:tab/>
        </w:r>
        <w:r w:rsidR="008B226A">
          <w:rPr>
            <w:noProof/>
            <w:webHidden/>
          </w:rPr>
          <w:fldChar w:fldCharType="begin"/>
        </w:r>
        <w:r w:rsidR="008B226A">
          <w:rPr>
            <w:noProof/>
            <w:webHidden/>
          </w:rPr>
          <w:instrText xml:space="preserve"> PAGEREF _Toc71118718 \h </w:instrText>
        </w:r>
        <w:r w:rsidR="008B226A">
          <w:rPr>
            <w:noProof/>
            <w:webHidden/>
          </w:rPr>
        </w:r>
        <w:r w:rsidR="008B226A">
          <w:rPr>
            <w:noProof/>
            <w:webHidden/>
          </w:rPr>
          <w:fldChar w:fldCharType="separate"/>
        </w:r>
        <w:r w:rsidR="008B226A">
          <w:rPr>
            <w:noProof/>
            <w:webHidden/>
          </w:rPr>
          <w:t>7</w:t>
        </w:r>
        <w:r w:rsidR="008B226A">
          <w:rPr>
            <w:noProof/>
            <w:webHidden/>
          </w:rPr>
          <w:fldChar w:fldCharType="end"/>
        </w:r>
      </w:hyperlink>
    </w:p>
    <w:p w14:paraId="562A2D27" w14:textId="19E89592"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19" w:history="1">
        <w:r w:rsidR="008B226A" w:rsidRPr="007E0397">
          <w:rPr>
            <w:rStyle w:val="Hyperlink"/>
            <w:noProof/>
          </w:rPr>
          <w:t>4.1</w:t>
        </w:r>
        <w:r w:rsidR="008B226A">
          <w:rPr>
            <w:rFonts w:asciiTheme="minorHAnsi" w:eastAsiaTheme="minorEastAsia" w:hAnsiTheme="minorHAnsi" w:cstheme="minorBidi"/>
            <w:noProof/>
            <w:szCs w:val="22"/>
            <w:lang w:val="en-US"/>
          </w:rPr>
          <w:tab/>
        </w:r>
        <w:r w:rsidR="001D34E3">
          <w:rPr>
            <w:rStyle w:val="Hyperlink"/>
            <w:noProof/>
          </w:rPr>
          <w:t>Fond za OIE</w:t>
        </w:r>
        <w:r w:rsidR="008B226A">
          <w:rPr>
            <w:noProof/>
            <w:webHidden/>
          </w:rPr>
          <w:tab/>
        </w:r>
        <w:r w:rsidR="008B226A">
          <w:rPr>
            <w:noProof/>
            <w:webHidden/>
          </w:rPr>
          <w:fldChar w:fldCharType="begin"/>
        </w:r>
        <w:r w:rsidR="008B226A">
          <w:rPr>
            <w:noProof/>
            <w:webHidden/>
          </w:rPr>
          <w:instrText xml:space="preserve"> PAGEREF _Toc71118719 \h </w:instrText>
        </w:r>
        <w:r w:rsidR="008B226A">
          <w:rPr>
            <w:noProof/>
            <w:webHidden/>
          </w:rPr>
        </w:r>
        <w:r w:rsidR="008B226A">
          <w:rPr>
            <w:noProof/>
            <w:webHidden/>
          </w:rPr>
          <w:fldChar w:fldCharType="separate"/>
        </w:r>
        <w:r w:rsidR="008B226A">
          <w:rPr>
            <w:noProof/>
            <w:webHidden/>
          </w:rPr>
          <w:t>7</w:t>
        </w:r>
        <w:r w:rsidR="008B226A">
          <w:rPr>
            <w:noProof/>
            <w:webHidden/>
          </w:rPr>
          <w:fldChar w:fldCharType="end"/>
        </w:r>
      </w:hyperlink>
    </w:p>
    <w:p w14:paraId="2B131DBE" w14:textId="095EAE49"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20" w:history="1">
        <w:r w:rsidR="008B226A" w:rsidRPr="007E0397">
          <w:rPr>
            <w:rStyle w:val="Hyperlink"/>
            <w:noProof/>
          </w:rPr>
          <w:t>4.2</w:t>
        </w:r>
        <w:r w:rsidR="008B226A">
          <w:rPr>
            <w:rFonts w:asciiTheme="minorHAnsi" w:eastAsiaTheme="minorEastAsia" w:hAnsiTheme="minorHAnsi" w:cstheme="minorBidi"/>
            <w:noProof/>
            <w:szCs w:val="22"/>
            <w:lang w:val="en-US"/>
          </w:rPr>
          <w:tab/>
        </w:r>
        <w:r w:rsidR="0001441A" w:rsidRPr="0001441A">
          <w:rPr>
            <w:rFonts w:asciiTheme="minorHAnsi" w:eastAsiaTheme="minorEastAsia" w:hAnsiTheme="minorHAnsi" w:cstheme="minorBidi"/>
            <w:noProof/>
            <w:szCs w:val="22"/>
            <w:lang w:val="en-US"/>
          </w:rPr>
          <w:t>Korekcije troškova gubitka</w:t>
        </w:r>
        <w:r w:rsidR="008B226A">
          <w:rPr>
            <w:noProof/>
            <w:webHidden/>
          </w:rPr>
          <w:tab/>
        </w:r>
        <w:r w:rsidR="008B226A">
          <w:rPr>
            <w:noProof/>
            <w:webHidden/>
          </w:rPr>
          <w:fldChar w:fldCharType="begin"/>
        </w:r>
        <w:r w:rsidR="008B226A">
          <w:rPr>
            <w:noProof/>
            <w:webHidden/>
          </w:rPr>
          <w:instrText xml:space="preserve"> PAGEREF _Toc71118720 \h </w:instrText>
        </w:r>
        <w:r w:rsidR="008B226A">
          <w:rPr>
            <w:noProof/>
            <w:webHidden/>
          </w:rPr>
        </w:r>
        <w:r w:rsidR="008B226A">
          <w:rPr>
            <w:noProof/>
            <w:webHidden/>
          </w:rPr>
          <w:fldChar w:fldCharType="separate"/>
        </w:r>
        <w:r w:rsidR="008B226A">
          <w:rPr>
            <w:noProof/>
            <w:webHidden/>
          </w:rPr>
          <w:t>8</w:t>
        </w:r>
        <w:r w:rsidR="008B226A">
          <w:rPr>
            <w:noProof/>
            <w:webHidden/>
          </w:rPr>
          <w:fldChar w:fldCharType="end"/>
        </w:r>
      </w:hyperlink>
    </w:p>
    <w:p w14:paraId="1768BD12" w14:textId="0013184B"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21" w:history="1">
        <w:r w:rsidR="008B226A" w:rsidRPr="007E0397">
          <w:rPr>
            <w:rStyle w:val="Hyperlink"/>
            <w:noProof/>
          </w:rPr>
          <w:t>4.3</w:t>
        </w:r>
        <w:r w:rsidR="008B226A">
          <w:rPr>
            <w:rFonts w:asciiTheme="minorHAnsi" w:eastAsiaTheme="minorEastAsia" w:hAnsiTheme="minorHAnsi" w:cstheme="minorBidi"/>
            <w:noProof/>
            <w:szCs w:val="22"/>
            <w:lang w:val="en-US"/>
          </w:rPr>
          <w:tab/>
        </w:r>
        <w:r w:rsidR="008A09D4">
          <w:rPr>
            <w:rStyle w:val="Hyperlink"/>
            <w:noProof/>
          </w:rPr>
          <w:t>Usklađi</w:t>
        </w:r>
        <w:r w:rsidR="00CA60CC">
          <w:rPr>
            <w:rStyle w:val="Hyperlink"/>
            <w:noProof/>
          </w:rPr>
          <w:t>vanje netarifnih</w:t>
        </w:r>
        <w:r w:rsidR="0001441A">
          <w:rPr>
            <w:rStyle w:val="Hyperlink"/>
            <w:noProof/>
          </w:rPr>
          <w:t xml:space="preserve"> </w:t>
        </w:r>
        <w:r w:rsidR="00CA60CC">
          <w:rPr>
            <w:rStyle w:val="Hyperlink"/>
            <w:noProof/>
          </w:rPr>
          <w:t>prihoda</w:t>
        </w:r>
        <w:r w:rsidR="008B226A">
          <w:rPr>
            <w:noProof/>
            <w:webHidden/>
          </w:rPr>
          <w:tab/>
        </w:r>
        <w:r w:rsidR="008B226A">
          <w:rPr>
            <w:noProof/>
            <w:webHidden/>
          </w:rPr>
          <w:fldChar w:fldCharType="begin"/>
        </w:r>
        <w:r w:rsidR="008B226A">
          <w:rPr>
            <w:noProof/>
            <w:webHidden/>
          </w:rPr>
          <w:instrText xml:space="preserve"> PAGEREF _Toc71118721 \h </w:instrText>
        </w:r>
        <w:r w:rsidR="008B226A">
          <w:rPr>
            <w:noProof/>
            <w:webHidden/>
          </w:rPr>
        </w:r>
        <w:r w:rsidR="008B226A">
          <w:rPr>
            <w:noProof/>
            <w:webHidden/>
          </w:rPr>
          <w:fldChar w:fldCharType="separate"/>
        </w:r>
        <w:r w:rsidR="008B226A">
          <w:rPr>
            <w:noProof/>
            <w:webHidden/>
          </w:rPr>
          <w:t>9</w:t>
        </w:r>
        <w:r w:rsidR="008B226A">
          <w:rPr>
            <w:noProof/>
            <w:webHidden/>
          </w:rPr>
          <w:fldChar w:fldCharType="end"/>
        </w:r>
      </w:hyperlink>
    </w:p>
    <w:p w14:paraId="282A141D" w14:textId="5611F22A"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22" w:history="1">
        <w:r w:rsidR="008B226A" w:rsidRPr="007E0397">
          <w:rPr>
            <w:rStyle w:val="Hyperlink"/>
            <w:noProof/>
          </w:rPr>
          <w:t>4.4</w:t>
        </w:r>
        <w:r w:rsidR="008B226A">
          <w:rPr>
            <w:rFonts w:asciiTheme="minorHAnsi" w:eastAsiaTheme="minorEastAsia" w:hAnsiTheme="minorHAnsi" w:cstheme="minorBidi"/>
            <w:noProof/>
            <w:szCs w:val="22"/>
            <w:lang w:val="en-US"/>
          </w:rPr>
          <w:tab/>
        </w:r>
        <w:r w:rsidR="008A09D4" w:rsidRPr="008A09D4">
          <w:rPr>
            <w:rStyle w:val="Hyperlink"/>
            <w:noProof/>
          </w:rPr>
          <w:t>Usklađivanja</w:t>
        </w:r>
        <w:r w:rsidR="00CA60CC">
          <w:rPr>
            <w:rStyle w:val="Hyperlink"/>
            <w:noProof/>
          </w:rPr>
          <w:t xml:space="preserve"> korektivnog</w:t>
        </w:r>
        <w:r w:rsidR="0001441A">
          <w:rPr>
            <w:rStyle w:val="Hyperlink"/>
            <w:noProof/>
          </w:rPr>
          <w:t xml:space="preserve"> </w:t>
        </w:r>
        <w:r w:rsidR="00CA60CC">
          <w:rPr>
            <w:rStyle w:val="Hyperlink"/>
            <w:noProof/>
          </w:rPr>
          <w:t>faktora</w:t>
        </w:r>
        <w:r w:rsidR="0001441A" w:rsidRPr="0001441A">
          <w:rPr>
            <w:rStyle w:val="Hyperlink"/>
            <w:noProof/>
          </w:rPr>
          <w:t xml:space="preserve"> prihoda</w:t>
        </w:r>
        <w:r w:rsidR="008B226A">
          <w:rPr>
            <w:noProof/>
            <w:webHidden/>
          </w:rPr>
          <w:tab/>
        </w:r>
        <w:r w:rsidR="008B226A">
          <w:rPr>
            <w:noProof/>
            <w:webHidden/>
          </w:rPr>
          <w:fldChar w:fldCharType="begin"/>
        </w:r>
        <w:r w:rsidR="008B226A">
          <w:rPr>
            <w:noProof/>
            <w:webHidden/>
          </w:rPr>
          <w:instrText xml:space="preserve"> PAGEREF _Toc71118722 \h </w:instrText>
        </w:r>
        <w:r w:rsidR="008B226A">
          <w:rPr>
            <w:noProof/>
            <w:webHidden/>
          </w:rPr>
        </w:r>
        <w:r w:rsidR="008B226A">
          <w:rPr>
            <w:noProof/>
            <w:webHidden/>
          </w:rPr>
          <w:fldChar w:fldCharType="separate"/>
        </w:r>
        <w:r w:rsidR="008B226A">
          <w:rPr>
            <w:noProof/>
            <w:webHidden/>
          </w:rPr>
          <w:t>9</w:t>
        </w:r>
        <w:r w:rsidR="008B226A">
          <w:rPr>
            <w:noProof/>
            <w:webHidden/>
          </w:rPr>
          <w:fldChar w:fldCharType="end"/>
        </w:r>
      </w:hyperlink>
    </w:p>
    <w:p w14:paraId="71525554" w14:textId="37059CE0" w:rsidR="008B226A" w:rsidRDefault="003A1262">
      <w:pPr>
        <w:pStyle w:val="TOC2"/>
        <w:tabs>
          <w:tab w:val="left" w:pos="880"/>
          <w:tab w:val="right" w:leader="dot" w:pos="9019"/>
        </w:tabs>
        <w:rPr>
          <w:rFonts w:asciiTheme="minorHAnsi" w:eastAsiaTheme="minorEastAsia" w:hAnsiTheme="minorHAnsi" w:cstheme="minorBidi"/>
          <w:noProof/>
          <w:szCs w:val="22"/>
          <w:lang w:val="en-US"/>
        </w:rPr>
      </w:pPr>
      <w:hyperlink w:anchor="_Toc71118723" w:history="1">
        <w:r w:rsidR="008B226A" w:rsidRPr="007E0397">
          <w:rPr>
            <w:rStyle w:val="Hyperlink"/>
            <w:noProof/>
            <w:lang w:val="sq-AL"/>
          </w:rPr>
          <w:t>4.5</w:t>
        </w:r>
        <w:r w:rsidR="008B226A">
          <w:rPr>
            <w:rFonts w:asciiTheme="minorHAnsi" w:eastAsiaTheme="minorEastAsia" w:hAnsiTheme="minorHAnsi" w:cstheme="minorBidi"/>
            <w:noProof/>
            <w:szCs w:val="22"/>
            <w:lang w:val="en-US"/>
          </w:rPr>
          <w:tab/>
        </w:r>
        <w:r w:rsidR="0001441A" w:rsidRPr="0001441A">
          <w:rPr>
            <w:rFonts w:asciiTheme="minorHAnsi" w:eastAsiaTheme="minorEastAsia" w:hAnsiTheme="minorHAnsi" w:cstheme="minorBidi"/>
            <w:noProof/>
            <w:szCs w:val="22"/>
            <w:lang w:val="en-US"/>
          </w:rPr>
          <w:t>Troškovi pomoćnih usluga</w:t>
        </w:r>
        <w:r w:rsidR="008B226A">
          <w:rPr>
            <w:noProof/>
            <w:webHidden/>
          </w:rPr>
          <w:tab/>
        </w:r>
        <w:r w:rsidR="008B226A">
          <w:rPr>
            <w:noProof/>
            <w:webHidden/>
          </w:rPr>
          <w:fldChar w:fldCharType="begin"/>
        </w:r>
        <w:r w:rsidR="008B226A">
          <w:rPr>
            <w:noProof/>
            <w:webHidden/>
          </w:rPr>
          <w:instrText xml:space="preserve"> PAGEREF _Toc71118723 \h </w:instrText>
        </w:r>
        <w:r w:rsidR="008B226A">
          <w:rPr>
            <w:noProof/>
            <w:webHidden/>
          </w:rPr>
        </w:r>
        <w:r w:rsidR="008B226A">
          <w:rPr>
            <w:noProof/>
            <w:webHidden/>
          </w:rPr>
          <w:fldChar w:fldCharType="separate"/>
        </w:r>
        <w:r w:rsidR="008B226A">
          <w:rPr>
            <w:noProof/>
            <w:webHidden/>
          </w:rPr>
          <w:t>10</w:t>
        </w:r>
        <w:r w:rsidR="008B226A">
          <w:rPr>
            <w:noProof/>
            <w:webHidden/>
          </w:rPr>
          <w:fldChar w:fldCharType="end"/>
        </w:r>
      </w:hyperlink>
    </w:p>
    <w:p w14:paraId="7EA06B93" w14:textId="2D617C7E" w:rsidR="008B226A" w:rsidRDefault="003A1262">
      <w:pPr>
        <w:pStyle w:val="TOC1"/>
        <w:tabs>
          <w:tab w:val="left" w:pos="440"/>
          <w:tab w:val="right" w:leader="dot" w:pos="9019"/>
        </w:tabs>
        <w:rPr>
          <w:rFonts w:asciiTheme="minorHAnsi" w:eastAsiaTheme="minorEastAsia" w:hAnsiTheme="minorHAnsi" w:cstheme="minorBidi"/>
          <w:b w:val="0"/>
          <w:noProof/>
          <w:szCs w:val="22"/>
          <w:lang w:val="en-US"/>
        </w:rPr>
      </w:pPr>
      <w:hyperlink w:anchor="_Toc71118724" w:history="1">
        <w:r w:rsidR="008B226A" w:rsidRPr="007E0397">
          <w:rPr>
            <w:rStyle w:val="Hyperlink"/>
            <w:noProof/>
            <w:lang w:val="sq-AL"/>
          </w:rPr>
          <w:t>5</w:t>
        </w:r>
        <w:r w:rsidR="008B226A">
          <w:rPr>
            <w:rFonts w:asciiTheme="minorHAnsi" w:eastAsiaTheme="minorEastAsia" w:hAnsiTheme="minorHAnsi" w:cstheme="minorBidi"/>
            <w:b w:val="0"/>
            <w:noProof/>
            <w:szCs w:val="22"/>
            <w:lang w:val="en-US"/>
          </w:rPr>
          <w:tab/>
        </w:r>
        <w:r w:rsidR="0001441A" w:rsidRPr="0001441A">
          <w:rPr>
            <w:rFonts w:asciiTheme="minorHAnsi" w:eastAsiaTheme="minorEastAsia" w:hAnsiTheme="minorHAnsi" w:cstheme="minorBidi"/>
            <w:b w:val="0"/>
            <w:noProof/>
            <w:szCs w:val="22"/>
            <w:lang w:val="en-US"/>
          </w:rPr>
          <w:t>Predlog za Maksimalno Dozvoljene Prihode</w:t>
        </w:r>
        <w:r w:rsidR="008B226A" w:rsidRPr="007E0397">
          <w:rPr>
            <w:rStyle w:val="Hyperlink"/>
            <w:noProof/>
            <w:lang w:val="sq-AL"/>
          </w:rPr>
          <w:t xml:space="preserve"> </w:t>
        </w:r>
        <w:r w:rsidR="00CA60CC">
          <w:rPr>
            <w:rStyle w:val="Hyperlink"/>
            <w:noProof/>
            <w:lang w:val="sq-AL"/>
          </w:rPr>
          <w:t>OPS/OT</w:t>
        </w:r>
        <w:r w:rsidR="008B226A">
          <w:rPr>
            <w:noProof/>
            <w:webHidden/>
          </w:rPr>
          <w:tab/>
        </w:r>
        <w:r w:rsidR="008B226A">
          <w:rPr>
            <w:noProof/>
            <w:webHidden/>
          </w:rPr>
          <w:fldChar w:fldCharType="begin"/>
        </w:r>
        <w:r w:rsidR="008B226A">
          <w:rPr>
            <w:noProof/>
            <w:webHidden/>
          </w:rPr>
          <w:instrText xml:space="preserve"> PAGEREF _Toc71118724 \h </w:instrText>
        </w:r>
        <w:r w:rsidR="008B226A">
          <w:rPr>
            <w:noProof/>
            <w:webHidden/>
          </w:rPr>
        </w:r>
        <w:r w:rsidR="008B226A">
          <w:rPr>
            <w:noProof/>
            <w:webHidden/>
          </w:rPr>
          <w:fldChar w:fldCharType="separate"/>
        </w:r>
        <w:r w:rsidR="008B226A">
          <w:rPr>
            <w:noProof/>
            <w:webHidden/>
          </w:rPr>
          <w:t>11</w:t>
        </w:r>
        <w:r w:rsidR="008B226A">
          <w:rPr>
            <w:noProof/>
            <w:webHidden/>
          </w:rPr>
          <w:fldChar w:fldCharType="end"/>
        </w:r>
      </w:hyperlink>
    </w:p>
    <w:p w14:paraId="5D744B25" w14:textId="398AC8D5" w:rsidR="00D93C26" w:rsidRPr="001471C5" w:rsidRDefault="00093103" w:rsidP="002F09BD">
      <w:r w:rsidRPr="001471C5">
        <w:fldChar w:fldCharType="end"/>
      </w:r>
    </w:p>
    <w:p w14:paraId="5173AFAB" w14:textId="77777777" w:rsidR="00D93C26" w:rsidRPr="001471C5" w:rsidRDefault="00D93C26" w:rsidP="00D93C26"/>
    <w:p w14:paraId="5E271C2B" w14:textId="77777777" w:rsidR="00D93C26" w:rsidRPr="001471C5" w:rsidRDefault="00D93C26" w:rsidP="00D93C26"/>
    <w:p w14:paraId="1D7090CA" w14:textId="77777777" w:rsidR="00D93C26" w:rsidRPr="001471C5" w:rsidRDefault="00D93C26" w:rsidP="00D93C26"/>
    <w:p w14:paraId="026F4FD5" w14:textId="77777777" w:rsidR="00D93C26" w:rsidRPr="001471C5" w:rsidRDefault="00D93C26" w:rsidP="00D93C26">
      <w:pPr>
        <w:tabs>
          <w:tab w:val="left" w:pos="2590"/>
        </w:tabs>
      </w:pPr>
      <w:r w:rsidRPr="001471C5">
        <w:tab/>
      </w:r>
    </w:p>
    <w:p w14:paraId="03564592" w14:textId="77777777" w:rsidR="00D93C26" w:rsidRPr="001471C5" w:rsidRDefault="00D93C26" w:rsidP="00D93C26"/>
    <w:p w14:paraId="1FB7A572" w14:textId="77777777" w:rsidR="002F09BD" w:rsidRPr="001471C5" w:rsidRDefault="002F09BD" w:rsidP="00D93C26">
      <w:pPr>
        <w:sectPr w:rsidR="002F09BD" w:rsidRPr="001471C5" w:rsidSect="00917513">
          <w:headerReference w:type="default" r:id="rId10"/>
          <w:footerReference w:type="default" r:id="rId11"/>
          <w:pgSz w:w="11909" w:h="16834" w:code="9"/>
          <w:pgMar w:top="1440" w:right="1440" w:bottom="1440" w:left="1440" w:header="630" w:footer="403" w:gutter="0"/>
          <w:pgNumType w:start="2"/>
          <w:cols w:space="720"/>
          <w:docGrid w:linePitch="360"/>
        </w:sectPr>
      </w:pPr>
    </w:p>
    <w:p w14:paraId="6352C1BF" w14:textId="2D603F4B" w:rsidR="00796658" w:rsidRPr="001471C5" w:rsidRDefault="008C7D33" w:rsidP="00796658">
      <w:pPr>
        <w:pStyle w:val="Heading1"/>
        <w:rPr>
          <w:b w:val="0"/>
          <w:lang w:val="sq-AL"/>
        </w:rPr>
      </w:pPr>
      <w:bookmarkStart w:id="0" w:name="_Toc443247704"/>
      <w:r>
        <w:rPr>
          <w:lang w:val="sq-AL"/>
        </w:rPr>
        <w:lastRenderedPageBreak/>
        <w:t>Uvod</w:t>
      </w:r>
    </w:p>
    <w:p w14:paraId="78DFA7F1" w14:textId="1E60789E" w:rsidR="00CB03CA" w:rsidRPr="001471C5" w:rsidRDefault="00BE32A7" w:rsidP="00CB03CA">
      <w:pPr>
        <w:jc w:val="both"/>
        <w:rPr>
          <w:rFonts w:cs="Calibri"/>
        </w:rPr>
      </w:pPr>
      <w:r>
        <w:t>Regulatorni Ured za E</w:t>
      </w:r>
      <w:r>
        <w:t>nergiju (</w:t>
      </w:r>
      <w:r>
        <w:t>RUE) trenutno sprovodi Redovno Godišnje Usklađivanje za Maksimalno Dozvoljene Prihode (MAR) koje će pokriti Regulisane K</w:t>
      </w:r>
      <w:r>
        <w:t>ompanije. U ovom procesu, RUE će izraditi počet</w:t>
      </w:r>
      <w:r>
        <w:t>ni predlog za ažurirani MAR za Operatora Prenosnog i Tržišnog S</w:t>
      </w:r>
      <w:r>
        <w:t>istema (OPS /OT, KOSTT),</w:t>
      </w:r>
      <w:r>
        <w:t xml:space="preserve"> Operatora Sistema Distribucije (OSD, KEDS) i i utvrdiće prihode Snabdevača Univerzalnih U</w:t>
      </w:r>
      <w:r>
        <w:t>sluga (SUU). Ova početna procena se zasniva na predlozima podnesenim od strane regulisan</w:t>
      </w:r>
      <w:r>
        <w:t>ih kompanija, kao i odlukama o Maksimalno Dozvoljenim P</w:t>
      </w:r>
      <w:r>
        <w:t xml:space="preserve">rihodima </w:t>
      </w:r>
      <w:r>
        <w:t>za regulatorni period 2018-2022 godine za OPS /OT, i KOSTT.</w:t>
      </w:r>
    </w:p>
    <w:p w14:paraId="373AD21F" w14:textId="47E810C2" w:rsidR="00CB03CA" w:rsidRPr="001471C5" w:rsidRDefault="00132C9C" w:rsidP="00CB03CA">
      <w:pPr>
        <w:jc w:val="both"/>
        <w:rPr>
          <w:rFonts w:cs="Calibri"/>
        </w:rPr>
      </w:pPr>
      <w:r>
        <w:t>Regulacija C</w:t>
      </w:r>
      <w:r>
        <w:t>ena je sredstvo k</w:t>
      </w:r>
      <w:r>
        <w:t>oje RUE koristi za određivanje Maksimalno Dozvoljenih Prihoda - MAR, koje će Regulisane K</w:t>
      </w:r>
      <w:r>
        <w:t>ompanije prikupljati za pružanje regulisanih usluga. MAR se određuje na nivou koji omogućava regulisanim licenciranim licima da pokriju razumne operativne troškove i za održavanje svoje imovine i za ostvarivanje razumnog povratka svojih investicija. RUE takođe određuje ciljeve efikasnosti usmerene na povećanje operativne efikasnosti kompanija i obezbeđivanje podsticaja za postizanje ciljeva ili kazni ako kompanije ne uspeju da ih postignu.</w:t>
      </w:r>
      <w:r>
        <w:t xml:space="preserve"> </w:t>
      </w:r>
      <w:r w:rsidR="00CB03CA" w:rsidRPr="001471C5">
        <w:rPr>
          <w:rFonts w:cs="Calibri"/>
        </w:rPr>
        <w:t xml:space="preserve"> </w:t>
      </w:r>
    </w:p>
    <w:p w14:paraId="669BB59E" w14:textId="50B44396" w:rsidR="00CB03CA" w:rsidRDefault="00132C9C" w:rsidP="00CB03CA">
      <w:pPr>
        <w:jc w:val="both"/>
        <w:rPr>
          <w:rFonts w:cs="Calibri"/>
        </w:rPr>
      </w:pPr>
      <w:r>
        <w:t>Osnovne vrednosti za komponente</w:t>
      </w:r>
      <w:r>
        <w:t xml:space="preserve"> MAR navedene su u Periodičnom P</w:t>
      </w:r>
      <w:r>
        <w:t xml:space="preserve">regledu 2018. godine i ostaju važeće za period od pet godina. Sadašnja revizija se bavi procenom predloga za MAR koje su podnele regulisane kompanije i njihovo usklađivanje sa osnovnim vrednostima </w:t>
      </w:r>
      <w:r>
        <w:t>za relevantnu tarifnu 2020. g</w:t>
      </w:r>
      <w:r>
        <w:t>odinu.</w:t>
      </w:r>
      <w:r>
        <w:t xml:space="preserve"> </w:t>
      </w:r>
      <w:r w:rsidRPr="00132C9C">
        <w:t>kako bi se došlo do utvrđivanja prihoda za odgovarajuću tarifnu godinu 2021.</w:t>
      </w:r>
      <w:r>
        <w:t xml:space="preserve"> Ovaj pregled ocenjuje da li su predlozi licenciranih izračunati</w:t>
      </w:r>
      <w:r>
        <w:t xml:space="preserve"> </w:t>
      </w:r>
      <w:r w:rsidRPr="00132C9C">
        <w:t>u skladu sa pravnim i regulatornim okvirom.</w:t>
      </w:r>
    </w:p>
    <w:p w14:paraId="5E86271B" w14:textId="6B152EDE" w:rsidR="00193AA8" w:rsidRPr="001471C5" w:rsidRDefault="00757CEC" w:rsidP="00193AA8">
      <w:pPr>
        <w:jc w:val="both"/>
        <w:rPr>
          <w:rFonts w:cs="Calibri"/>
        </w:rPr>
      </w:pPr>
      <w:r w:rsidRPr="00757CEC">
        <w:rPr>
          <w:rFonts w:cs="Calibri"/>
        </w:rPr>
        <w:t>Pr</w:t>
      </w:r>
      <w:r>
        <w:rPr>
          <w:rFonts w:cs="Calibri"/>
        </w:rPr>
        <w:t>oces usklađi</w:t>
      </w:r>
      <w:r w:rsidRPr="00757CEC">
        <w:rPr>
          <w:rFonts w:cs="Calibri"/>
        </w:rPr>
        <w:t xml:space="preserve">vanja za relevantnu tarifnu godinu 2021. obuhvata period do 31. marta 2022. godine, ali je zbog odsustva Odbora takav proces odložen. </w:t>
      </w:r>
      <w:r>
        <w:rPr>
          <w:rFonts w:cs="Calibri"/>
        </w:rPr>
        <w:t>Kašnjenje u donošenju odluka o Maksimalno Dozvoljenim P</w:t>
      </w:r>
      <w:r w:rsidRPr="00757CEC">
        <w:rPr>
          <w:rFonts w:cs="Calibri"/>
        </w:rPr>
        <w:t>rihodima i tarifama za ovu relevantnu tarifnu godinu biće ažurirano u sledećoj relevantnoj tarifnoj</w:t>
      </w:r>
      <w:r>
        <w:rPr>
          <w:rFonts w:cs="Calibri"/>
        </w:rPr>
        <w:t xml:space="preserve"> 2022 godini.</w:t>
      </w:r>
    </w:p>
    <w:p w14:paraId="111DD266" w14:textId="3257CE79" w:rsidR="006E074A" w:rsidRDefault="00E40420" w:rsidP="00CB03CA">
      <w:pPr>
        <w:jc w:val="both"/>
        <w:rPr>
          <w:rFonts w:cs="Calibri"/>
        </w:rPr>
      </w:pPr>
      <w:r>
        <w:t xml:space="preserve">RUE poziva licencirane kompanije, potrošače i sve druge zainteresovane strane da doprinesu ovom procesu tako što će pregledati i komentirati podatke </w:t>
      </w:r>
      <w:r>
        <w:t>i stavove predstavljene u ovom K</w:t>
      </w:r>
      <w:r>
        <w:t>onsultativno</w:t>
      </w:r>
      <w:r>
        <w:t>m I</w:t>
      </w:r>
      <w:r>
        <w:t>zveštaju</w:t>
      </w:r>
      <w:r>
        <w:t xml:space="preserve"> tako da procena bude tačna za Maksimalno Dozvoljene Prihode za Operatora Sistema Prenosa i T</w:t>
      </w:r>
      <w:r>
        <w:t>ržišta (OPS / OT).</w:t>
      </w:r>
      <w:r>
        <w:t xml:space="preserve">  </w:t>
      </w:r>
      <w:r w:rsidRPr="00E40420">
        <w:t>Ove izveštaje treba analizirati, pozivajući se i na</w:t>
      </w:r>
      <w:r>
        <w:t xml:space="preserve"> završne izveštaje Periodičnog P</w:t>
      </w:r>
      <w:r w:rsidRPr="00E40420">
        <w:t>regleda 2018-2022.</w:t>
      </w:r>
      <w:r w:rsidR="006E074A">
        <w:rPr>
          <w:rFonts w:cs="Calibri"/>
        </w:rPr>
        <w:t xml:space="preserve"> </w:t>
      </w:r>
    </w:p>
    <w:p w14:paraId="768018B6" w14:textId="507D3575" w:rsidR="00CB03CA" w:rsidRPr="001471C5" w:rsidRDefault="00E40420" w:rsidP="00CB03CA">
      <w:pPr>
        <w:jc w:val="both"/>
        <w:rPr>
          <w:rFonts w:cs="Calibri"/>
        </w:rPr>
      </w:pPr>
      <w:r>
        <w:t>Strane koje žele da dostave svoje eventualne komentare na predloge RUE pozivaju se da dostave svoje pismene ko</w:t>
      </w:r>
      <w:r>
        <w:t xml:space="preserve">mentare na e-mail </w:t>
      </w:r>
      <w:r>
        <w:fldChar w:fldCharType="begin"/>
      </w:r>
      <w:r>
        <w:instrText xml:space="preserve"> HYPERLINK "mailto:ero.pricing-tariffs@ero-ks.org" </w:instrText>
      </w:r>
      <w:r>
        <w:fldChar w:fldCharType="separate"/>
      </w:r>
      <w:r w:rsidRPr="001471C5">
        <w:rPr>
          <w:rStyle w:val="Hyperlink"/>
          <w:rFonts w:cs="Calibri"/>
        </w:rPr>
        <w:t>ero.pricing-tariffs@ero-ks.org</w:t>
      </w:r>
      <w:r>
        <w:rPr>
          <w:rStyle w:val="Hyperlink"/>
          <w:rFonts w:cs="Calibri"/>
        </w:rPr>
        <w:fldChar w:fldCharType="end"/>
      </w:r>
      <w:r>
        <w:t xml:space="preserve"> najkasnije do 06. septembra 2021</w:t>
      </w:r>
      <w:r>
        <w:t xml:space="preserve">. godine. Takođe komentari se </w:t>
      </w:r>
      <w:r>
        <w:t>mogu poslati na sledeću adresu</w:t>
      </w:r>
      <w:r w:rsidR="00CB03CA" w:rsidRPr="001471C5">
        <w:rPr>
          <w:rFonts w:cs="Calibri"/>
        </w:rPr>
        <w:t>:</w:t>
      </w:r>
    </w:p>
    <w:p w14:paraId="62A38DFB" w14:textId="77777777" w:rsidR="00E40420" w:rsidRPr="00E40420" w:rsidRDefault="00E40420" w:rsidP="00E40420">
      <w:pPr>
        <w:spacing w:after="0" w:line="240" w:lineRule="auto"/>
        <w:rPr>
          <w:i/>
        </w:rPr>
      </w:pPr>
      <w:r w:rsidRPr="00E40420">
        <w:rPr>
          <w:i/>
        </w:rPr>
        <w:t xml:space="preserve">Regulatorni Ured za Energiju </w:t>
      </w:r>
    </w:p>
    <w:p w14:paraId="60F10C6F" w14:textId="77777777" w:rsidR="00E40420" w:rsidRPr="00E40420" w:rsidRDefault="00E40420" w:rsidP="00E40420">
      <w:pPr>
        <w:spacing w:after="0" w:line="240" w:lineRule="auto"/>
        <w:rPr>
          <w:i/>
        </w:rPr>
      </w:pPr>
      <w:r w:rsidRPr="00E40420">
        <w:rPr>
          <w:i/>
        </w:rPr>
        <w:t xml:space="preserve">Odeljenje za Tarife i Cene </w:t>
      </w:r>
    </w:p>
    <w:p w14:paraId="735D9029" w14:textId="1A76E068" w:rsidR="00C00E24" w:rsidRPr="00E40420" w:rsidRDefault="00E40420" w:rsidP="00E40420">
      <w:pPr>
        <w:spacing w:after="0" w:line="240" w:lineRule="auto"/>
        <w:rPr>
          <w:rFonts w:cs="Calibri"/>
          <w:i/>
        </w:rPr>
      </w:pPr>
      <w:r w:rsidRPr="00E40420">
        <w:rPr>
          <w:i/>
        </w:rPr>
        <w:t>Ul. Dervish Rozhaja Br. 12, Prishtina, 10000, Kosovo</w:t>
      </w:r>
    </w:p>
    <w:p w14:paraId="67705DB8" w14:textId="40EFD451" w:rsidR="00F45C51" w:rsidRPr="00E40420" w:rsidRDefault="00E40420" w:rsidP="00F45C51">
      <w:pPr>
        <w:rPr>
          <w:rFonts w:cs="Calibri"/>
          <w:b/>
        </w:rPr>
      </w:pPr>
      <w:r w:rsidRPr="00E40420">
        <w:rPr>
          <w:b/>
        </w:rPr>
        <w:t>Relevantni dokumenti</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041"/>
      </w:tblGrid>
      <w:tr w:rsidR="00F45C51" w:rsidRPr="005E269A" w14:paraId="4FBAB7B7" w14:textId="77777777" w:rsidTr="00CB03CA">
        <w:tc>
          <w:tcPr>
            <w:tcW w:w="4248" w:type="dxa"/>
            <w:shd w:val="clear" w:color="auto" w:fill="auto"/>
          </w:tcPr>
          <w:p w14:paraId="5CC83A2D" w14:textId="25552060" w:rsidR="00F45C51" w:rsidRPr="003312AF" w:rsidRDefault="00EA70E1" w:rsidP="00CB03CA">
            <w:pPr>
              <w:spacing w:before="120" w:after="0" w:line="240" w:lineRule="auto"/>
              <w:rPr>
                <w:rFonts w:cs="Calibri"/>
              </w:rPr>
            </w:pPr>
            <w:r>
              <w:t xml:space="preserve">Završna procena </w:t>
            </w:r>
            <w:r>
              <w:t>MAR za OPS/OT u okviru procesa Periodične Procene-D</w:t>
            </w:r>
            <w:r>
              <w:t>etal</w:t>
            </w:r>
            <w:r>
              <w:t>jna P</w:t>
            </w:r>
            <w:r>
              <w:t>rocena</w:t>
            </w:r>
          </w:p>
        </w:tc>
        <w:tc>
          <w:tcPr>
            <w:tcW w:w="5041" w:type="dxa"/>
            <w:shd w:val="clear" w:color="auto" w:fill="auto"/>
          </w:tcPr>
          <w:p w14:paraId="086CC47D" w14:textId="77777777" w:rsidR="00F45C51" w:rsidRPr="003312AF" w:rsidRDefault="00BB393A" w:rsidP="00CB03CA">
            <w:pPr>
              <w:spacing w:before="120" w:after="0" w:line="240" w:lineRule="auto"/>
              <w:rPr>
                <w:rFonts w:cs="Calibri"/>
                <w:b/>
              </w:rPr>
            </w:pPr>
            <w:r w:rsidRPr="003312AF">
              <w:t>http://ero-ks.org/2018/Raportet/Pergjigje%20ndaj%20komenteve%20te%20KOSTT_PRR2_final.pdf</w:t>
            </w:r>
            <w:r w:rsidR="00F45C51" w:rsidRPr="003312AF">
              <w:t xml:space="preserve"> </w:t>
            </w:r>
          </w:p>
        </w:tc>
      </w:tr>
      <w:tr w:rsidR="00BB393A" w:rsidRPr="001471C5" w14:paraId="2E0BDA67" w14:textId="77777777" w:rsidTr="00CB03CA">
        <w:tc>
          <w:tcPr>
            <w:tcW w:w="4248" w:type="dxa"/>
            <w:shd w:val="clear" w:color="auto" w:fill="auto"/>
          </w:tcPr>
          <w:p w14:paraId="4926CC2F" w14:textId="28C68D74" w:rsidR="00BB393A" w:rsidRPr="003312AF" w:rsidRDefault="00990F6D" w:rsidP="00CB03CA">
            <w:pPr>
              <w:spacing w:before="120" w:after="0" w:line="240" w:lineRule="auto"/>
              <w:rPr>
                <w:rFonts w:cs="Calibri"/>
              </w:rPr>
            </w:pPr>
            <w:r>
              <w:lastRenderedPageBreak/>
              <w:t>Tar</w:t>
            </w:r>
            <w:r>
              <w:t>ifno sprovođenje KOSTT-a za 2020. godinu</w:t>
            </w:r>
          </w:p>
        </w:tc>
        <w:tc>
          <w:tcPr>
            <w:tcW w:w="5041" w:type="dxa"/>
            <w:shd w:val="clear" w:color="auto" w:fill="auto"/>
          </w:tcPr>
          <w:p w14:paraId="707405B5" w14:textId="5A9186DE" w:rsidR="00BB393A" w:rsidRPr="003312AF" w:rsidRDefault="003312AF" w:rsidP="00CB03CA">
            <w:pPr>
              <w:spacing w:before="120" w:after="0" w:line="240" w:lineRule="auto"/>
            </w:pPr>
            <w:r w:rsidRPr="003312AF">
              <w:t>https://www.ero-ks.org/zrre/sites/default/files/Konsultimet%20Publike/Aplikacioni_%20p%C3%ABrshtetjet%20vjetore%202021_%20KOSTT.pdf</w:t>
            </w:r>
          </w:p>
        </w:tc>
      </w:tr>
    </w:tbl>
    <w:p w14:paraId="17C67FC1" w14:textId="77777777" w:rsidR="00CB03CA" w:rsidRPr="001471C5" w:rsidRDefault="00CB03CA" w:rsidP="00796658">
      <w:pPr>
        <w:jc w:val="both"/>
        <w:rPr>
          <w:rFonts w:cs="Calibri"/>
        </w:rPr>
      </w:pPr>
    </w:p>
    <w:p w14:paraId="351FDCE4" w14:textId="5E10EB49" w:rsidR="000B5C57" w:rsidRPr="001471C5" w:rsidRDefault="004C47C4" w:rsidP="000B5C57">
      <w:pPr>
        <w:pStyle w:val="Heading1"/>
        <w:rPr>
          <w:lang w:val="sq-AL"/>
        </w:rPr>
      </w:pPr>
      <w:proofErr w:type="spellStart"/>
      <w:r>
        <w:t>Usklađivanje</w:t>
      </w:r>
      <w:proofErr w:type="spellEnd"/>
      <w:r>
        <w:t xml:space="preserve"> </w:t>
      </w:r>
      <w:proofErr w:type="spellStart"/>
      <w:r>
        <w:t>Maksimalno</w:t>
      </w:r>
      <w:proofErr w:type="spellEnd"/>
      <w:r>
        <w:t xml:space="preserve"> </w:t>
      </w:r>
      <w:proofErr w:type="spellStart"/>
      <w:r>
        <w:t>Dozvoljenih</w:t>
      </w:r>
      <w:proofErr w:type="spellEnd"/>
      <w:r>
        <w:t xml:space="preserve"> </w:t>
      </w:r>
      <w:proofErr w:type="spellStart"/>
      <w:r>
        <w:t>P</w:t>
      </w:r>
      <w:r>
        <w:t>rihoda</w:t>
      </w:r>
      <w:proofErr w:type="spellEnd"/>
    </w:p>
    <w:p w14:paraId="2269DF23" w14:textId="7C3D642C" w:rsidR="000B5C57" w:rsidRPr="001471C5" w:rsidRDefault="00E5789B" w:rsidP="000B5C57">
      <w:pPr>
        <w:jc w:val="both"/>
        <w:rPr>
          <w:rFonts w:cs="Calibri"/>
        </w:rPr>
      </w:pPr>
      <w:r>
        <w:t>Na osnovu Pravilnika o Utvrđivanju P</w:t>
      </w:r>
      <w:r>
        <w:t xml:space="preserve">rihoda za OPS/OT, RUE je pažljivo analizirao sve komponente troškova i zahteve licenciranih koji su predstavljeni </w:t>
      </w:r>
      <w:r>
        <w:t>u svojoj aplikaciji za Maksimalno Dozvoljene P</w:t>
      </w:r>
      <w:r>
        <w:t>r</w:t>
      </w:r>
      <w:r>
        <w:t>ihode. U toku redovnog procesa U</w:t>
      </w:r>
      <w:r>
        <w:t>sklađivanja, RUE koris</w:t>
      </w:r>
      <w:r>
        <w:t>ti vrednosti postavljene tokom Periodičnog P</w:t>
      </w:r>
      <w:r>
        <w:t>regleda 2018-2022. godine i usklađuje MAR kako bi odrazio razlike između tro</w:t>
      </w:r>
      <w:r>
        <w:t>škova koji su predviđeni tokom P</w:t>
      </w:r>
      <w:r>
        <w:t>eri</w:t>
      </w:r>
      <w:r>
        <w:t>odičnog P</w:t>
      </w:r>
      <w:r>
        <w:t>regleda i trenutnih razumnih t</w:t>
      </w:r>
      <w:r>
        <w:t xml:space="preserve">roškova regulisanih kompanija. </w:t>
      </w:r>
      <w:r>
        <w:t>Tokom ovog procesa, RUE će:</w:t>
      </w:r>
      <w:r>
        <w:t xml:space="preserve"> </w:t>
      </w:r>
    </w:p>
    <w:p w14:paraId="52A2000E" w14:textId="4A3DD59A" w:rsidR="000B5C57" w:rsidRPr="001471C5" w:rsidRDefault="00D73769" w:rsidP="000B5C57">
      <w:pPr>
        <w:pStyle w:val="ListParagraph"/>
        <w:numPr>
          <w:ilvl w:val="0"/>
          <w:numId w:val="4"/>
        </w:numPr>
        <w:contextualSpacing w:val="0"/>
        <w:rPr>
          <w:lang w:val="sq-AL"/>
        </w:rPr>
      </w:pPr>
      <w:proofErr w:type="spellStart"/>
      <w:r>
        <w:t>Indeksirati</w:t>
      </w:r>
      <w:proofErr w:type="spellEnd"/>
      <w:r>
        <w:t xml:space="preserve"> </w:t>
      </w:r>
      <w:proofErr w:type="spellStart"/>
      <w:r>
        <w:t>Operativne</w:t>
      </w:r>
      <w:proofErr w:type="spellEnd"/>
      <w:r>
        <w:t xml:space="preserve"> </w:t>
      </w:r>
      <w:proofErr w:type="spellStart"/>
      <w:r>
        <w:t>T</w:t>
      </w:r>
      <w:r>
        <w:t>roškove</w:t>
      </w:r>
      <w:proofErr w:type="spellEnd"/>
      <w:r>
        <w:t xml:space="preserve"> </w:t>
      </w:r>
      <w:proofErr w:type="spellStart"/>
      <w:r>
        <w:t>i</w:t>
      </w:r>
      <w:proofErr w:type="spellEnd"/>
      <w:r>
        <w:t xml:space="preserve"> </w:t>
      </w:r>
      <w:proofErr w:type="spellStart"/>
      <w:r>
        <w:t>troškove</w:t>
      </w:r>
      <w:proofErr w:type="spellEnd"/>
      <w:r w:rsidR="00664AAB">
        <w:t xml:space="preserve"> </w:t>
      </w:r>
      <w:proofErr w:type="spellStart"/>
      <w:r w:rsidR="00664AAB">
        <w:t>Održavanja</w:t>
      </w:r>
      <w:proofErr w:type="spellEnd"/>
      <w:r w:rsidR="00664AAB">
        <w:t xml:space="preserve"> </w:t>
      </w:r>
      <w:proofErr w:type="spellStart"/>
      <w:r w:rsidR="00664AAB">
        <w:t>za</w:t>
      </w:r>
      <w:proofErr w:type="spellEnd"/>
      <w:r w:rsidR="00664AAB">
        <w:t xml:space="preserve"> </w:t>
      </w:r>
      <w:proofErr w:type="spellStart"/>
      <w:r w:rsidR="00664AAB">
        <w:t>Faktor</w:t>
      </w:r>
      <w:proofErr w:type="spellEnd"/>
      <w:r w:rsidR="00664AAB">
        <w:t xml:space="preserve"> </w:t>
      </w:r>
      <w:proofErr w:type="spellStart"/>
      <w:r w:rsidR="00664AAB">
        <w:t>E</w:t>
      </w:r>
      <w:r>
        <w:t>fikasnosti</w:t>
      </w:r>
      <w:proofErr w:type="spellEnd"/>
      <w:r w:rsidR="00664AAB">
        <w:t xml:space="preserve"> </w:t>
      </w:r>
      <w:proofErr w:type="spellStart"/>
      <w:r w:rsidR="00664AAB">
        <w:t>koji</w:t>
      </w:r>
      <w:proofErr w:type="spellEnd"/>
      <w:r w:rsidR="00664AAB">
        <w:t xml:space="preserve"> je </w:t>
      </w:r>
      <w:proofErr w:type="spellStart"/>
      <w:r w:rsidR="00664AAB">
        <w:t>određen</w:t>
      </w:r>
      <w:proofErr w:type="spellEnd"/>
      <w:r w:rsidR="00664AAB">
        <w:t xml:space="preserve"> </w:t>
      </w:r>
      <w:proofErr w:type="spellStart"/>
      <w:r w:rsidR="00664AAB">
        <w:t>tokom</w:t>
      </w:r>
      <w:proofErr w:type="spellEnd"/>
      <w:r w:rsidR="00664AAB">
        <w:t xml:space="preserve"> </w:t>
      </w:r>
      <w:proofErr w:type="spellStart"/>
      <w:r w:rsidR="00664AAB">
        <w:t>procesa</w:t>
      </w:r>
      <w:proofErr w:type="spellEnd"/>
      <w:r w:rsidR="00664AAB">
        <w:t xml:space="preserve"> </w:t>
      </w:r>
      <w:proofErr w:type="spellStart"/>
      <w:r w:rsidR="00664AAB">
        <w:t>Periodičnog</w:t>
      </w:r>
      <w:proofErr w:type="spellEnd"/>
      <w:r w:rsidR="00664AAB">
        <w:t xml:space="preserve"> </w:t>
      </w:r>
      <w:proofErr w:type="spellStart"/>
      <w:r w:rsidR="00664AAB">
        <w:t>P</w:t>
      </w:r>
      <w:r>
        <w:t>reg</w:t>
      </w:r>
      <w:r w:rsidR="00664AAB">
        <w:t>leda</w:t>
      </w:r>
      <w:proofErr w:type="spellEnd"/>
      <w:r w:rsidR="00664AAB">
        <w:t xml:space="preserve"> </w:t>
      </w:r>
      <w:proofErr w:type="spellStart"/>
      <w:r w:rsidR="00664AAB">
        <w:t>i</w:t>
      </w:r>
      <w:proofErr w:type="spellEnd"/>
      <w:r w:rsidR="00664AAB">
        <w:t xml:space="preserve"> </w:t>
      </w:r>
      <w:proofErr w:type="spellStart"/>
      <w:r w:rsidR="00664AAB">
        <w:t>Godišnje</w:t>
      </w:r>
      <w:proofErr w:type="spellEnd"/>
      <w:r w:rsidR="00664AAB">
        <w:t xml:space="preserve"> </w:t>
      </w:r>
      <w:proofErr w:type="spellStart"/>
      <w:r w:rsidR="00664AAB">
        <w:t>I</w:t>
      </w:r>
      <w:r>
        <w:t>nflaci</w:t>
      </w:r>
      <w:r w:rsidR="00664AAB">
        <w:t>je</w:t>
      </w:r>
      <w:proofErr w:type="spellEnd"/>
      <w:r w:rsidR="00664AAB">
        <w:t xml:space="preserve"> </w:t>
      </w:r>
      <w:proofErr w:type="spellStart"/>
      <w:r w:rsidR="00664AAB">
        <w:t>na</w:t>
      </w:r>
      <w:proofErr w:type="spellEnd"/>
      <w:r w:rsidR="00664AAB">
        <w:t xml:space="preserve"> </w:t>
      </w:r>
      <w:proofErr w:type="spellStart"/>
      <w:r w:rsidR="00664AAB">
        <w:t>osnovu</w:t>
      </w:r>
      <w:proofErr w:type="spellEnd"/>
      <w:r w:rsidR="00664AAB">
        <w:t xml:space="preserve"> </w:t>
      </w:r>
      <w:proofErr w:type="spellStart"/>
      <w:r w:rsidR="00664AAB">
        <w:t>Harmonizovanih</w:t>
      </w:r>
      <w:proofErr w:type="spellEnd"/>
      <w:r w:rsidR="00664AAB">
        <w:t xml:space="preserve"> </w:t>
      </w:r>
      <w:proofErr w:type="spellStart"/>
      <w:r w:rsidR="00664AAB">
        <w:t>Indeksa</w:t>
      </w:r>
      <w:proofErr w:type="spellEnd"/>
      <w:r w:rsidR="00664AAB">
        <w:t xml:space="preserve"> </w:t>
      </w:r>
      <w:proofErr w:type="spellStart"/>
      <w:r w:rsidR="00664AAB">
        <w:t>Potrošačkih</w:t>
      </w:r>
      <w:proofErr w:type="spellEnd"/>
      <w:r w:rsidR="00664AAB">
        <w:t xml:space="preserve"> </w:t>
      </w:r>
      <w:proofErr w:type="spellStart"/>
      <w:r w:rsidR="00664AAB">
        <w:t>Cena</w:t>
      </w:r>
      <w:proofErr w:type="spellEnd"/>
      <w:r w:rsidR="00664AAB">
        <w:t xml:space="preserve"> (HICP) u </w:t>
      </w:r>
      <w:proofErr w:type="spellStart"/>
      <w:r w:rsidR="00664AAB">
        <w:t>zemljama</w:t>
      </w:r>
      <w:proofErr w:type="spellEnd"/>
      <w:r w:rsidR="00664AAB">
        <w:t xml:space="preserve"> </w:t>
      </w:r>
      <w:proofErr w:type="spellStart"/>
      <w:r w:rsidR="00664AAB">
        <w:t>Evrozone</w:t>
      </w:r>
      <w:proofErr w:type="spellEnd"/>
      <w:r w:rsidR="000B5C57" w:rsidRPr="001471C5">
        <w:rPr>
          <w:lang w:val="sq-AL"/>
        </w:rPr>
        <w:t xml:space="preserve">; </w:t>
      </w:r>
    </w:p>
    <w:p w14:paraId="2BE8F7B9" w14:textId="6F4C7C5D" w:rsidR="000B5C57" w:rsidRPr="001471C5" w:rsidRDefault="000430F5" w:rsidP="000B5C57">
      <w:pPr>
        <w:pStyle w:val="ListParagraph"/>
        <w:numPr>
          <w:ilvl w:val="0"/>
          <w:numId w:val="4"/>
        </w:numPr>
        <w:contextualSpacing w:val="0"/>
        <w:rPr>
          <w:lang w:val="sq-AL"/>
        </w:rPr>
      </w:pPr>
      <w:proofErr w:type="spellStart"/>
      <w:r>
        <w:t>Odrediti</w:t>
      </w:r>
      <w:proofErr w:type="spellEnd"/>
      <w:r>
        <w:t xml:space="preserve"> </w:t>
      </w:r>
      <w:proofErr w:type="spellStart"/>
      <w:r>
        <w:t>Dozvoljene</w:t>
      </w:r>
      <w:proofErr w:type="spellEnd"/>
      <w:r>
        <w:t xml:space="preserve"> </w:t>
      </w:r>
      <w:proofErr w:type="spellStart"/>
      <w:r>
        <w:t>T</w:t>
      </w:r>
      <w:r w:rsidR="00867D16">
        <w:t>roškove</w:t>
      </w:r>
      <w:proofErr w:type="spellEnd"/>
      <w:r w:rsidR="00867D16">
        <w:t xml:space="preserve"> </w:t>
      </w:r>
      <w:proofErr w:type="spellStart"/>
      <w:r w:rsidR="00867D16">
        <w:t>G</w:t>
      </w:r>
      <w:r>
        <w:t>ubitaka</w:t>
      </w:r>
      <w:proofErr w:type="spellEnd"/>
      <w:r>
        <w:t xml:space="preserve"> (</w:t>
      </w:r>
      <w:proofErr w:type="spellStart"/>
      <w:r>
        <w:t>LSSCt</w:t>
      </w:r>
      <w:proofErr w:type="spellEnd"/>
      <w:r>
        <w:t xml:space="preserve">) </w:t>
      </w:r>
      <w:proofErr w:type="spellStart"/>
      <w:r>
        <w:t>za</w:t>
      </w:r>
      <w:proofErr w:type="spellEnd"/>
      <w:r>
        <w:t xml:space="preserve"> OPS </w:t>
      </w:r>
      <w:proofErr w:type="spellStart"/>
      <w:r>
        <w:t>i</w:t>
      </w:r>
      <w:proofErr w:type="spellEnd"/>
      <w:r>
        <w:t xml:space="preserve"> </w:t>
      </w:r>
      <w:proofErr w:type="spellStart"/>
      <w:r>
        <w:t>ažurirati</w:t>
      </w:r>
      <w:proofErr w:type="spellEnd"/>
      <w:r>
        <w:t xml:space="preserve"> </w:t>
      </w:r>
      <w:proofErr w:type="spellStart"/>
      <w:r>
        <w:t>ih</w:t>
      </w:r>
      <w:proofErr w:type="spellEnd"/>
      <w:r>
        <w:t xml:space="preserve"> </w:t>
      </w:r>
      <w:proofErr w:type="spellStart"/>
      <w:r>
        <w:t>kako</w:t>
      </w:r>
      <w:proofErr w:type="spellEnd"/>
      <w:r>
        <w:t xml:space="preserve"> bi </w:t>
      </w:r>
      <w:proofErr w:type="spellStart"/>
      <w:r>
        <w:t>uključio</w:t>
      </w:r>
      <w:proofErr w:type="spellEnd"/>
      <w:r>
        <w:t xml:space="preserve"> </w:t>
      </w:r>
      <w:proofErr w:type="spellStart"/>
      <w:r>
        <w:t>razliku</w:t>
      </w:r>
      <w:proofErr w:type="spellEnd"/>
      <w:r>
        <w:t xml:space="preserve"> </w:t>
      </w:r>
      <w:proofErr w:type="spellStart"/>
      <w:r>
        <w:t>između</w:t>
      </w:r>
      <w:proofErr w:type="spellEnd"/>
      <w:r>
        <w:t xml:space="preserve"> </w:t>
      </w:r>
      <w:proofErr w:type="spellStart"/>
      <w:r>
        <w:t>dozvoljenih</w:t>
      </w:r>
      <w:proofErr w:type="spellEnd"/>
      <w:r>
        <w:t xml:space="preserve"> </w:t>
      </w:r>
      <w:proofErr w:type="spellStart"/>
      <w:r>
        <w:t>i</w:t>
      </w:r>
      <w:proofErr w:type="spellEnd"/>
      <w:r>
        <w:t xml:space="preserve"> </w:t>
      </w:r>
      <w:proofErr w:type="spellStart"/>
      <w:r>
        <w:t>ostvarenih</w:t>
      </w:r>
      <w:proofErr w:type="spellEnd"/>
      <w:r>
        <w:t xml:space="preserve"> </w:t>
      </w:r>
      <w:proofErr w:type="spellStart"/>
      <w:r>
        <w:t>trošk</w:t>
      </w:r>
      <w:r w:rsidR="00867D16">
        <w:t>ova</w:t>
      </w:r>
      <w:proofErr w:type="spellEnd"/>
      <w:r w:rsidR="00867D16">
        <w:t xml:space="preserve"> </w:t>
      </w:r>
      <w:proofErr w:type="spellStart"/>
      <w:r w:rsidR="00867D16">
        <w:t>za</w:t>
      </w:r>
      <w:proofErr w:type="spellEnd"/>
      <w:r w:rsidR="00867D16">
        <w:t xml:space="preserve"> </w:t>
      </w:r>
      <w:proofErr w:type="spellStart"/>
      <w:r w:rsidR="00867D16">
        <w:t>prethodni</w:t>
      </w:r>
      <w:proofErr w:type="spellEnd"/>
      <w:r w:rsidR="00867D16">
        <w:t xml:space="preserve"> </w:t>
      </w:r>
      <w:proofErr w:type="spellStart"/>
      <w:r w:rsidR="00867D16">
        <w:t>R</w:t>
      </w:r>
      <w:r>
        <w:t>egulatorni</w:t>
      </w:r>
      <w:proofErr w:type="spellEnd"/>
      <w:r>
        <w:t xml:space="preserve"> period </w:t>
      </w:r>
      <w:proofErr w:type="spellStart"/>
      <w:r>
        <w:t>koji</w:t>
      </w:r>
      <w:proofErr w:type="spellEnd"/>
      <w:r>
        <w:t xml:space="preserve"> </w:t>
      </w:r>
      <w:proofErr w:type="spellStart"/>
      <w:r>
        <w:t>su</w:t>
      </w:r>
      <w:proofErr w:type="spellEnd"/>
      <w:r>
        <w:t xml:space="preserve"> </w:t>
      </w:r>
      <w:proofErr w:type="spellStart"/>
      <w:r>
        <w:t>mogli</w:t>
      </w:r>
      <w:proofErr w:type="spellEnd"/>
      <w:r>
        <w:t xml:space="preserve"> </w:t>
      </w:r>
      <w:proofErr w:type="spellStart"/>
      <w:r>
        <w:t>nastati</w:t>
      </w:r>
      <w:proofErr w:type="spellEnd"/>
      <w:r>
        <w:t xml:space="preserve"> </w:t>
      </w:r>
      <w:proofErr w:type="spellStart"/>
      <w:r>
        <w:t>kao</w:t>
      </w:r>
      <w:proofErr w:type="spellEnd"/>
      <w:r>
        <w:t xml:space="preserve"> </w:t>
      </w:r>
      <w:proofErr w:type="spellStart"/>
      <w:r>
        <w:t>rezultat</w:t>
      </w:r>
      <w:proofErr w:type="spellEnd"/>
      <w:r>
        <w:t xml:space="preserve"> </w:t>
      </w:r>
      <w:proofErr w:type="spellStart"/>
      <w:r>
        <w:t>promene</w:t>
      </w:r>
      <w:proofErr w:type="spellEnd"/>
      <w:r>
        <w:t xml:space="preserve"> u </w:t>
      </w:r>
      <w:proofErr w:type="spellStart"/>
      <w:r>
        <w:t>troškovima</w:t>
      </w:r>
      <w:proofErr w:type="spellEnd"/>
      <w:r>
        <w:t xml:space="preserve"> </w:t>
      </w:r>
      <w:proofErr w:type="spellStart"/>
      <w:r>
        <w:t>kupovine</w:t>
      </w:r>
      <w:proofErr w:type="spellEnd"/>
      <w:r>
        <w:t xml:space="preserve"> </w:t>
      </w:r>
      <w:proofErr w:type="spellStart"/>
      <w:r>
        <w:t>energije</w:t>
      </w:r>
      <w:proofErr w:type="spellEnd"/>
      <w:r>
        <w:t xml:space="preserve"> </w:t>
      </w:r>
      <w:proofErr w:type="spellStart"/>
      <w:r>
        <w:t>na</w:t>
      </w:r>
      <w:proofErr w:type="spellEnd"/>
      <w:r>
        <w:t xml:space="preserve"> </w:t>
      </w:r>
      <w:proofErr w:type="spellStart"/>
      <w:r>
        <w:t>veliko</w:t>
      </w:r>
      <w:proofErr w:type="spellEnd"/>
      <w:r>
        <w:t xml:space="preserve"> </w:t>
      </w:r>
      <w:proofErr w:type="spellStart"/>
      <w:r>
        <w:t>ili</w:t>
      </w:r>
      <w:proofErr w:type="spellEnd"/>
      <w:r>
        <w:t xml:space="preserve"> </w:t>
      </w:r>
      <w:proofErr w:type="spellStart"/>
      <w:r>
        <w:t>promene</w:t>
      </w:r>
      <w:proofErr w:type="spellEnd"/>
      <w:r>
        <w:t xml:space="preserve"> u </w:t>
      </w:r>
      <w:proofErr w:type="spellStart"/>
      <w:r>
        <w:t>tokovima</w:t>
      </w:r>
      <w:proofErr w:type="spellEnd"/>
      <w:r w:rsidR="00867D16">
        <w:t xml:space="preserve"> </w:t>
      </w:r>
      <w:proofErr w:type="spellStart"/>
      <w:r w:rsidR="00867D16">
        <w:t>električne</w:t>
      </w:r>
      <w:proofErr w:type="spellEnd"/>
      <w:r w:rsidR="00867D16">
        <w:t xml:space="preserve"> </w:t>
      </w:r>
      <w:proofErr w:type="spellStart"/>
      <w:r w:rsidR="00867D16">
        <w:t>energije</w:t>
      </w:r>
      <w:proofErr w:type="spellEnd"/>
      <w:r w:rsidR="00867D16">
        <w:t xml:space="preserve"> u </w:t>
      </w:r>
      <w:proofErr w:type="spellStart"/>
      <w:r w:rsidR="00867D16">
        <w:t>sistemu</w:t>
      </w:r>
      <w:proofErr w:type="spellEnd"/>
      <w:r w:rsidR="00867D16">
        <w:t xml:space="preserve"> </w:t>
      </w:r>
      <w:proofErr w:type="spellStart"/>
      <w:r w:rsidR="00867D16">
        <w:t>P</w:t>
      </w:r>
      <w:r>
        <w:t>renosa</w:t>
      </w:r>
      <w:proofErr w:type="spellEnd"/>
      <w:r>
        <w:t>;</w:t>
      </w:r>
      <w:r w:rsidRPr="001471C5">
        <w:rPr>
          <w:lang w:val="sq-AL"/>
        </w:rPr>
        <w:t xml:space="preserve"> </w:t>
      </w:r>
    </w:p>
    <w:p w14:paraId="2374377F" w14:textId="034E07ED" w:rsidR="000B5C57" w:rsidRPr="001471C5" w:rsidRDefault="00867D16" w:rsidP="000B5C57">
      <w:pPr>
        <w:pStyle w:val="ListParagraph"/>
        <w:numPr>
          <w:ilvl w:val="0"/>
          <w:numId w:val="4"/>
        </w:numPr>
        <w:contextualSpacing w:val="0"/>
        <w:rPr>
          <w:lang w:val="sq-AL"/>
        </w:rPr>
      </w:pPr>
      <w:proofErr w:type="spellStart"/>
      <w:r>
        <w:t>Ažurirati</w:t>
      </w:r>
      <w:proofErr w:type="spellEnd"/>
      <w:r>
        <w:t xml:space="preserve"> MAR OPS / OT -a </w:t>
      </w:r>
      <w:proofErr w:type="spellStart"/>
      <w:r>
        <w:t>kako</w:t>
      </w:r>
      <w:proofErr w:type="spellEnd"/>
      <w:r>
        <w:t xml:space="preserve"> </w:t>
      </w:r>
      <w:r>
        <w:t xml:space="preserve">bi se </w:t>
      </w:r>
      <w:proofErr w:type="spellStart"/>
      <w:r>
        <w:t>prikazala</w:t>
      </w:r>
      <w:proofErr w:type="spellEnd"/>
      <w:r>
        <w:t xml:space="preserve"> </w:t>
      </w:r>
      <w:proofErr w:type="spellStart"/>
      <w:r>
        <w:t>razlika</w:t>
      </w:r>
      <w:proofErr w:type="spellEnd"/>
      <w:r>
        <w:t xml:space="preserve"> </w:t>
      </w:r>
      <w:proofErr w:type="spellStart"/>
      <w:r>
        <w:t>između</w:t>
      </w:r>
      <w:proofErr w:type="spellEnd"/>
      <w:r>
        <w:t xml:space="preserve"> </w:t>
      </w:r>
      <w:proofErr w:type="spellStart"/>
      <w:r>
        <w:t>D</w:t>
      </w:r>
      <w:r>
        <w:t>ozvoljeni</w:t>
      </w:r>
      <w:r>
        <w:t>h</w:t>
      </w:r>
      <w:proofErr w:type="spellEnd"/>
      <w:r>
        <w:t xml:space="preserve"> </w:t>
      </w:r>
      <w:proofErr w:type="spellStart"/>
      <w:r>
        <w:t>Prihoda</w:t>
      </w:r>
      <w:proofErr w:type="spellEnd"/>
      <w:r>
        <w:t xml:space="preserve"> </w:t>
      </w:r>
      <w:proofErr w:type="spellStart"/>
      <w:r>
        <w:t>i</w:t>
      </w:r>
      <w:proofErr w:type="spellEnd"/>
      <w:r>
        <w:t xml:space="preserve"> </w:t>
      </w:r>
      <w:proofErr w:type="spellStart"/>
      <w:r>
        <w:t>Ostvarenih</w:t>
      </w:r>
      <w:proofErr w:type="spellEnd"/>
      <w:r>
        <w:t xml:space="preserve"> </w:t>
      </w:r>
      <w:proofErr w:type="spellStart"/>
      <w:r>
        <w:t>Prihoda</w:t>
      </w:r>
      <w:proofErr w:type="spellEnd"/>
      <w:r>
        <w:t xml:space="preserve"> u </w:t>
      </w:r>
      <w:proofErr w:type="spellStart"/>
      <w:r>
        <w:t>prethodnoj</w:t>
      </w:r>
      <w:proofErr w:type="spellEnd"/>
      <w:r>
        <w:t xml:space="preserve"> </w:t>
      </w:r>
      <w:proofErr w:type="spellStart"/>
      <w:r>
        <w:t>Relevantnoj</w:t>
      </w:r>
      <w:proofErr w:type="spellEnd"/>
      <w:r>
        <w:t xml:space="preserve"> </w:t>
      </w:r>
      <w:proofErr w:type="spellStart"/>
      <w:r>
        <w:t>G</w:t>
      </w:r>
      <w:r>
        <w:t>odini</w:t>
      </w:r>
      <w:proofErr w:type="spellEnd"/>
      <w:r>
        <w:t xml:space="preserve"> (t-1);</w:t>
      </w:r>
      <w:r w:rsidRPr="001471C5">
        <w:rPr>
          <w:lang w:val="sq-AL"/>
        </w:rPr>
        <w:t xml:space="preserve"> </w:t>
      </w:r>
    </w:p>
    <w:p w14:paraId="3C81BAF5" w14:textId="216D86D1" w:rsidR="000B5C57" w:rsidRDefault="00867D16" w:rsidP="000B5C57">
      <w:pPr>
        <w:pStyle w:val="ListParagraph"/>
        <w:numPr>
          <w:ilvl w:val="0"/>
          <w:numId w:val="4"/>
        </w:numPr>
        <w:contextualSpacing w:val="0"/>
        <w:rPr>
          <w:lang w:val="sq-AL"/>
        </w:rPr>
      </w:pPr>
      <w:proofErr w:type="spellStart"/>
      <w:r>
        <w:t>Ažuriranje</w:t>
      </w:r>
      <w:proofErr w:type="spellEnd"/>
      <w:r>
        <w:t xml:space="preserve"> </w:t>
      </w:r>
      <w:proofErr w:type="spellStart"/>
      <w:r>
        <w:t>predviđanja</w:t>
      </w:r>
      <w:proofErr w:type="spellEnd"/>
      <w:r>
        <w:t xml:space="preserve"> </w:t>
      </w:r>
      <w:proofErr w:type="spellStart"/>
      <w:r>
        <w:t>dozvo</w:t>
      </w:r>
      <w:r>
        <w:t>ljenih</w:t>
      </w:r>
      <w:proofErr w:type="spellEnd"/>
      <w:r>
        <w:t xml:space="preserve"> </w:t>
      </w:r>
      <w:proofErr w:type="spellStart"/>
      <w:r>
        <w:t>troškova</w:t>
      </w:r>
      <w:proofErr w:type="spellEnd"/>
      <w:r>
        <w:t xml:space="preserve"> </w:t>
      </w:r>
      <w:proofErr w:type="spellStart"/>
      <w:r>
        <w:t>dodatnih</w:t>
      </w:r>
      <w:proofErr w:type="spellEnd"/>
      <w:r>
        <w:t xml:space="preserve"> </w:t>
      </w:r>
      <w:proofErr w:type="spellStart"/>
      <w:r>
        <w:t>usluga</w:t>
      </w:r>
      <w:proofErr w:type="spellEnd"/>
      <w:r w:rsidR="00327460" w:rsidRPr="001471C5">
        <w:rPr>
          <w:lang w:val="sq-AL"/>
        </w:rPr>
        <w:t>;</w:t>
      </w:r>
    </w:p>
    <w:p w14:paraId="15442798" w14:textId="170B6532" w:rsidR="00771BD4" w:rsidRPr="00193AA8" w:rsidRDefault="00561E58" w:rsidP="00561E58">
      <w:pPr>
        <w:pStyle w:val="ListParagraph"/>
        <w:numPr>
          <w:ilvl w:val="0"/>
          <w:numId w:val="4"/>
        </w:numPr>
        <w:contextualSpacing w:val="0"/>
        <w:rPr>
          <w:lang w:val="sq-AL"/>
        </w:rPr>
      </w:pPr>
      <w:r w:rsidRPr="00561E58">
        <w:rPr>
          <w:lang w:val="sq-AL"/>
        </w:rPr>
        <w:t>Prihodi od mehanizma kompenzacije između OPS -a u regionu, ovi prihodi će se oduzeti od maksimalno dozvoljenih prihoda</w:t>
      </w:r>
      <w:r w:rsidR="00771BD4" w:rsidRPr="00193AA8">
        <w:rPr>
          <w:lang w:val="sq-AL"/>
        </w:rPr>
        <w:t>;</w:t>
      </w:r>
    </w:p>
    <w:p w14:paraId="620E3972" w14:textId="2C91355C" w:rsidR="00771BD4" w:rsidRPr="00193AA8" w:rsidRDefault="00771BD4" w:rsidP="00234F54">
      <w:pPr>
        <w:pStyle w:val="ListParagraph"/>
        <w:numPr>
          <w:ilvl w:val="0"/>
          <w:numId w:val="4"/>
        </w:numPr>
        <w:contextualSpacing w:val="0"/>
        <w:rPr>
          <w:lang w:val="sq-AL"/>
        </w:rPr>
      </w:pPr>
      <w:r w:rsidRPr="00193AA8">
        <w:rPr>
          <w:lang w:val="sq-AL"/>
        </w:rPr>
        <w:t xml:space="preserve"> </w:t>
      </w:r>
      <w:r w:rsidR="00234F54">
        <w:rPr>
          <w:lang w:val="sq-AL"/>
        </w:rPr>
        <w:t>Dod</w:t>
      </w:r>
      <w:r w:rsidR="00234F54" w:rsidRPr="00234F54">
        <w:rPr>
          <w:lang w:val="sq-AL"/>
        </w:rPr>
        <w:t>ela prekograničnih prenosnih kapaciteta, u saradnji sa</w:t>
      </w:r>
      <w:r w:rsidR="00234F54">
        <w:rPr>
          <w:lang w:val="sq-AL"/>
        </w:rPr>
        <w:t xml:space="preserve"> operatorima prenosnih sistema Ugovornih Strana Energetske Z</w:t>
      </w:r>
      <w:r w:rsidR="00234F54" w:rsidRPr="00234F54">
        <w:rPr>
          <w:lang w:val="sq-AL"/>
        </w:rPr>
        <w:t>ajednice, prema zajedničkim regionalni</w:t>
      </w:r>
      <w:r w:rsidR="00234F54">
        <w:rPr>
          <w:lang w:val="sq-AL"/>
        </w:rPr>
        <w:t>m procedurama za proračun i dod</w:t>
      </w:r>
      <w:r w:rsidR="00234F54" w:rsidRPr="00234F54">
        <w:rPr>
          <w:lang w:val="sq-AL"/>
        </w:rPr>
        <w:t>elu kapacite</w:t>
      </w:r>
      <w:r w:rsidR="00234F54">
        <w:rPr>
          <w:lang w:val="sq-AL"/>
        </w:rPr>
        <w:t>ta, koje je predložio Operator Prenosnog S</w:t>
      </w:r>
      <w:r w:rsidR="00234F54" w:rsidRPr="00234F54">
        <w:rPr>
          <w:lang w:val="sq-AL"/>
        </w:rPr>
        <w:t>istema, a odob</w:t>
      </w:r>
      <w:r w:rsidR="00234F54">
        <w:rPr>
          <w:lang w:val="sq-AL"/>
        </w:rPr>
        <w:t>rio R</w:t>
      </w:r>
      <w:r w:rsidR="00234F54" w:rsidRPr="00234F54">
        <w:rPr>
          <w:lang w:val="sq-AL"/>
        </w:rPr>
        <w:t>egulator</w:t>
      </w:r>
      <w:r w:rsidRPr="00193AA8">
        <w:rPr>
          <w:lang w:val="sq-AL"/>
        </w:rPr>
        <w:t xml:space="preserve">; </w:t>
      </w:r>
    </w:p>
    <w:p w14:paraId="32F28EB0" w14:textId="7B7FEED2" w:rsidR="00771BD4" w:rsidRPr="00193AA8" w:rsidRDefault="00771BD4" w:rsidP="00A15717">
      <w:pPr>
        <w:pStyle w:val="ListParagraph"/>
        <w:numPr>
          <w:ilvl w:val="0"/>
          <w:numId w:val="4"/>
        </w:numPr>
        <w:contextualSpacing w:val="0"/>
        <w:rPr>
          <w:lang w:val="sq-AL"/>
        </w:rPr>
      </w:pPr>
      <w:r w:rsidRPr="00193AA8">
        <w:rPr>
          <w:lang w:val="sq-AL"/>
        </w:rPr>
        <w:t xml:space="preserve"> </w:t>
      </w:r>
      <w:r w:rsidR="00A15717" w:rsidRPr="00A15717">
        <w:rPr>
          <w:lang w:val="sq-AL"/>
        </w:rPr>
        <w:t>Upravljanje zagušenjima, za sve transa</w:t>
      </w:r>
      <w:r w:rsidR="00A15717">
        <w:rPr>
          <w:lang w:val="sq-AL"/>
        </w:rPr>
        <w:t>kcije u interkonektorima sa susednim sistemima,</w:t>
      </w:r>
      <w:r w:rsidR="00A15717" w:rsidRPr="00A15717">
        <w:rPr>
          <w:lang w:val="sq-AL"/>
        </w:rPr>
        <w:t xml:space="preserve"> na </w:t>
      </w:r>
      <w:r w:rsidR="00A15717">
        <w:rPr>
          <w:lang w:val="sq-AL"/>
        </w:rPr>
        <w:t xml:space="preserve">osnovu </w:t>
      </w:r>
      <w:r w:rsidR="00A15717" w:rsidRPr="00A15717">
        <w:rPr>
          <w:lang w:val="sq-AL"/>
        </w:rPr>
        <w:t>tržišnim pravilima i mehanizmima, koji</w:t>
      </w:r>
      <w:r w:rsidR="00A15717">
        <w:rPr>
          <w:lang w:val="sq-AL"/>
        </w:rPr>
        <w:t xml:space="preserve"> su definisani i sprovedeni </w:t>
      </w:r>
      <w:r w:rsidR="00A15717" w:rsidRPr="00A15717">
        <w:rPr>
          <w:lang w:val="sq-AL"/>
        </w:rPr>
        <w:t>zajedno sa drugim operatorima na regionalnom tržištu električne energije</w:t>
      </w:r>
      <w:r w:rsidRPr="00193AA8">
        <w:rPr>
          <w:lang w:val="sq-AL"/>
        </w:rPr>
        <w:t>;</w:t>
      </w:r>
    </w:p>
    <w:p w14:paraId="602B81CA" w14:textId="059A6D06" w:rsidR="00771BD4" w:rsidRPr="00193AA8" w:rsidRDefault="00A15717" w:rsidP="00A15717">
      <w:pPr>
        <w:pStyle w:val="ListParagraph"/>
        <w:numPr>
          <w:ilvl w:val="0"/>
          <w:numId w:val="4"/>
        </w:numPr>
        <w:contextualSpacing w:val="0"/>
        <w:rPr>
          <w:lang w:val="sq-AL"/>
        </w:rPr>
      </w:pPr>
      <w:r w:rsidRPr="00A15717">
        <w:rPr>
          <w:lang w:val="sq-AL"/>
        </w:rPr>
        <w:t xml:space="preserve">Ažuriranje prikupljenih prihoda sa prihodima na računu fonda za obnovljivu energiju; </w:t>
      </w:r>
      <w:r>
        <w:rPr>
          <w:lang w:val="sq-AL"/>
        </w:rPr>
        <w:t>i</w:t>
      </w:r>
    </w:p>
    <w:p w14:paraId="57EE2F34" w14:textId="3EC89B2E" w:rsidR="000B5C57" w:rsidRPr="001471C5" w:rsidRDefault="00A15717" w:rsidP="000B5C57">
      <w:pPr>
        <w:pStyle w:val="ListParagraph"/>
        <w:numPr>
          <w:ilvl w:val="0"/>
          <w:numId w:val="4"/>
        </w:numPr>
        <w:contextualSpacing w:val="0"/>
        <w:rPr>
          <w:lang w:val="sq-AL"/>
        </w:rPr>
      </w:pPr>
      <w:proofErr w:type="spellStart"/>
      <w:r>
        <w:t>Odre</w:t>
      </w:r>
      <w:r>
        <w:t>diti</w:t>
      </w:r>
      <w:proofErr w:type="spellEnd"/>
      <w:r>
        <w:t xml:space="preserve"> MAR OPS/OT-a </w:t>
      </w:r>
      <w:proofErr w:type="spellStart"/>
      <w:r>
        <w:t>za</w:t>
      </w:r>
      <w:proofErr w:type="spellEnd"/>
      <w:r>
        <w:t xml:space="preserve"> </w:t>
      </w:r>
      <w:proofErr w:type="spellStart"/>
      <w:r>
        <w:t>prethodnu</w:t>
      </w:r>
      <w:proofErr w:type="spellEnd"/>
      <w:r>
        <w:t xml:space="preserve"> </w:t>
      </w:r>
      <w:proofErr w:type="spellStart"/>
      <w:r>
        <w:t>G</w:t>
      </w:r>
      <w:r>
        <w:t>odinu</w:t>
      </w:r>
      <w:proofErr w:type="spellEnd"/>
      <w:r w:rsidR="00327460" w:rsidRPr="001471C5">
        <w:rPr>
          <w:lang w:val="sq-AL"/>
        </w:rPr>
        <w:t xml:space="preserve"> </w:t>
      </w:r>
      <w:r w:rsidR="00327460" w:rsidRPr="001471C5">
        <w:rPr>
          <w:i/>
          <w:lang w:val="sq-AL"/>
        </w:rPr>
        <w:t>t</w:t>
      </w:r>
      <w:r w:rsidR="000B5C57" w:rsidRPr="001471C5">
        <w:rPr>
          <w:lang w:val="sq-AL"/>
        </w:rPr>
        <w:t xml:space="preserve">. </w:t>
      </w:r>
    </w:p>
    <w:p w14:paraId="6795D4CD" w14:textId="06E5A2F3" w:rsidR="000B5C57" w:rsidRPr="001471C5" w:rsidRDefault="00FE282D" w:rsidP="000B5C57">
      <w:pPr>
        <w:pStyle w:val="Heading1"/>
        <w:rPr>
          <w:lang w:val="sq-AL"/>
        </w:rPr>
      </w:pPr>
      <w:bookmarkStart w:id="1" w:name="_Toc443247705"/>
      <w:bookmarkEnd w:id="0"/>
      <w:proofErr w:type="spellStart"/>
      <w:r>
        <w:lastRenderedPageBreak/>
        <w:t>Energetski</w:t>
      </w:r>
      <w:proofErr w:type="spellEnd"/>
      <w:r>
        <w:t xml:space="preserve"> </w:t>
      </w:r>
      <w:proofErr w:type="spellStart"/>
      <w:r>
        <w:t>B</w:t>
      </w:r>
      <w:r>
        <w:t>ilans</w:t>
      </w:r>
      <w:proofErr w:type="spellEnd"/>
    </w:p>
    <w:p w14:paraId="5133F73D" w14:textId="760EA0F6" w:rsidR="004F0E4F" w:rsidRDefault="000F2414" w:rsidP="004F0E4F">
      <w:pPr>
        <w:jc w:val="both"/>
      </w:pPr>
      <w:bookmarkStart w:id="2" w:name="_Toc476042558"/>
      <w:bookmarkStart w:id="3" w:name="_Toc443060565"/>
      <w:bookmarkStart w:id="4" w:name="_Toc474311787"/>
      <w:r w:rsidRPr="000F2414">
        <w:t>U ovom pregledu tarifa, RUE je</w:t>
      </w:r>
      <w:r>
        <w:t xml:space="preserve"> koristio odobreni bilans</w:t>
      </w:r>
      <w:r w:rsidRPr="000F2414">
        <w:t xml:space="preserve"> za 2021. godinu. Međutim, tretman potrošnje električne energije za kupce priključene na naponske nivoe 35kV i 10kV vrši se u skladu sa stavom Odbora RUE za nastavak snabdevanja kupci</w:t>
      </w:r>
      <w:r>
        <w:t>ma iz SUU</w:t>
      </w:r>
      <w:r w:rsidR="00156B69">
        <w:t>-a</w:t>
      </w:r>
      <w:r w:rsidRPr="000F2414">
        <w:t xml:space="preserve"> sa regulisanim tarifama</w:t>
      </w:r>
      <w:r>
        <w:t xml:space="preserve">. </w:t>
      </w:r>
    </w:p>
    <w:p w14:paraId="11445B47" w14:textId="1DADE911" w:rsidR="00AA5A6E" w:rsidRPr="001471C5" w:rsidRDefault="001B2F44" w:rsidP="0014315E">
      <w:pPr>
        <w:pStyle w:val="Heading2"/>
      </w:pPr>
      <w:bookmarkStart w:id="5" w:name="_Toc71118713"/>
      <w:proofErr w:type="spellStart"/>
      <w:r>
        <w:t>Procena</w:t>
      </w:r>
      <w:proofErr w:type="spellEnd"/>
      <w:r>
        <w:t xml:space="preserve"> </w:t>
      </w:r>
      <w:proofErr w:type="spellStart"/>
      <w:r>
        <w:t>Ostvarenog</w:t>
      </w:r>
      <w:proofErr w:type="spellEnd"/>
      <w:r>
        <w:t xml:space="preserve"> </w:t>
      </w:r>
      <w:proofErr w:type="spellStart"/>
      <w:r>
        <w:t>i</w:t>
      </w:r>
      <w:proofErr w:type="spellEnd"/>
      <w:r>
        <w:t xml:space="preserve"> </w:t>
      </w:r>
      <w:proofErr w:type="spellStart"/>
      <w:r>
        <w:t>Predviđenog</w:t>
      </w:r>
      <w:proofErr w:type="spellEnd"/>
      <w:r>
        <w:t xml:space="preserve"> </w:t>
      </w:r>
      <w:proofErr w:type="spellStart"/>
      <w:r>
        <w:t>Bilansa</w:t>
      </w:r>
      <w:proofErr w:type="spellEnd"/>
      <w:r>
        <w:t xml:space="preserve"> </w:t>
      </w:r>
      <w:proofErr w:type="spellStart"/>
      <w:r>
        <w:t>Električne</w:t>
      </w:r>
      <w:proofErr w:type="spellEnd"/>
      <w:r>
        <w:t xml:space="preserve"> </w:t>
      </w:r>
      <w:proofErr w:type="spellStart"/>
      <w:r>
        <w:t>E</w:t>
      </w:r>
      <w:r>
        <w:t>nergije</w:t>
      </w:r>
      <w:bookmarkEnd w:id="2"/>
      <w:bookmarkEnd w:id="5"/>
      <w:proofErr w:type="spellEnd"/>
      <w:r w:rsidR="00AA5A6E" w:rsidRPr="001471C5">
        <w:t xml:space="preserve"> </w:t>
      </w:r>
    </w:p>
    <w:p w14:paraId="066E7901" w14:textId="62440266" w:rsidR="00B2210C" w:rsidRPr="001471C5" w:rsidRDefault="00156B69" w:rsidP="00AA5A6E">
      <w:pPr>
        <w:jc w:val="both"/>
      </w:pPr>
      <w:r>
        <w:t>U cilju procene troškova vezanih za kupovinu gubitaka na nivou OPS-a, RUE je analizirao podatk</w:t>
      </w:r>
      <w:r>
        <w:t>e koje je KOSTT prijavio za 2020</w:t>
      </w:r>
      <w:r>
        <w:t>. godinu i poda</w:t>
      </w:r>
      <w:r>
        <w:t>tke za predviđeni bilans za 2021</w:t>
      </w:r>
      <w:r>
        <w:t>. god</w:t>
      </w:r>
      <w:r>
        <w:t>inu. Za predviđanje bilansa 2021</w:t>
      </w:r>
      <w:r>
        <w:t>. god</w:t>
      </w:r>
      <w:r>
        <w:t>ine, RUE je uzeo u obzir odobren</w:t>
      </w:r>
      <w:r>
        <w:t>i bilans</w:t>
      </w:r>
      <w:r>
        <w:t xml:space="preserve"> od strane RUE-a.</w:t>
      </w:r>
    </w:p>
    <w:p w14:paraId="5724D668" w14:textId="73BE48D2" w:rsidR="00AA5A6E" w:rsidRPr="001471C5" w:rsidRDefault="00156B69" w:rsidP="00AA5A6E">
      <w:pPr>
        <w:jc w:val="both"/>
      </w:pPr>
      <w:r>
        <w:t>Predviđanja bil</w:t>
      </w:r>
      <w:r>
        <w:t>ansa električne energije za 2021</w:t>
      </w:r>
      <w:r>
        <w:t>. godinu prikazana su u sledećoj tabeli</w:t>
      </w:r>
      <w:r>
        <w:t>:</w:t>
      </w:r>
    </w:p>
    <w:p w14:paraId="3B4232B7" w14:textId="1C8D7CC4" w:rsidR="009513E8" w:rsidRPr="001471C5" w:rsidRDefault="009513E8" w:rsidP="009513E8">
      <w:pPr>
        <w:pStyle w:val="Caption"/>
        <w:ind w:firstLine="720"/>
        <w:jc w:val="left"/>
        <w:rPr>
          <w:lang w:val="sq-AL"/>
        </w:rPr>
      </w:pPr>
      <w:r w:rsidRPr="001471C5">
        <w:rPr>
          <w:lang w:val="sq-AL"/>
        </w:rPr>
        <w:t xml:space="preserve">      Tabela </w:t>
      </w:r>
      <w:r w:rsidR="001B7F84" w:rsidRPr="001471C5">
        <w:rPr>
          <w:lang w:val="sq-AL"/>
        </w:rPr>
        <w:t>1</w:t>
      </w:r>
      <w:r w:rsidR="00BA0CC8">
        <w:rPr>
          <w:lang w:val="sq-AL"/>
        </w:rPr>
        <w:t xml:space="preserve">: </w:t>
      </w:r>
      <w:proofErr w:type="spellStart"/>
      <w:r w:rsidR="00BA0CC8">
        <w:t>Bilans</w:t>
      </w:r>
      <w:proofErr w:type="spellEnd"/>
      <w:r w:rsidR="00BA0CC8">
        <w:t xml:space="preserve"> </w:t>
      </w:r>
      <w:proofErr w:type="spellStart"/>
      <w:r w:rsidR="00BA0CC8">
        <w:t>električne</w:t>
      </w:r>
      <w:proofErr w:type="spellEnd"/>
      <w:r w:rsidR="00BA0CC8">
        <w:t xml:space="preserve"> </w:t>
      </w:r>
      <w:proofErr w:type="spellStart"/>
      <w:r w:rsidR="00BA0CC8">
        <w:t>energije</w:t>
      </w:r>
      <w:proofErr w:type="spellEnd"/>
      <w:r w:rsidR="00BA0CC8">
        <w:t xml:space="preserve"> u OP</w:t>
      </w:r>
      <w:r w:rsidR="00BA0CC8">
        <w:t>S</w:t>
      </w:r>
    </w:p>
    <w:tbl>
      <w:tblPr>
        <w:tblW w:w="7912" w:type="dxa"/>
        <w:jc w:val="center"/>
        <w:tblLook w:val="04A0" w:firstRow="1" w:lastRow="0" w:firstColumn="1" w:lastColumn="0" w:noHBand="0" w:noVBand="1"/>
      </w:tblPr>
      <w:tblGrid>
        <w:gridCol w:w="5704"/>
        <w:gridCol w:w="927"/>
        <w:gridCol w:w="1163"/>
        <w:gridCol w:w="222"/>
      </w:tblGrid>
      <w:tr w:rsidR="00C2145B" w:rsidRPr="00A700FD" w14:paraId="4FD29B78" w14:textId="77777777" w:rsidTr="00FF7475">
        <w:trPr>
          <w:gridAfter w:val="1"/>
          <w:wAfter w:w="244" w:type="dxa"/>
          <w:trHeight w:val="593"/>
          <w:jc w:val="center"/>
        </w:trPr>
        <w:tc>
          <w:tcPr>
            <w:tcW w:w="5704" w:type="dxa"/>
            <w:tcBorders>
              <w:top w:val="nil"/>
              <w:left w:val="nil"/>
              <w:bottom w:val="nil"/>
              <w:right w:val="nil"/>
            </w:tcBorders>
            <w:shd w:val="clear" w:color="000000" w:fill="002060"/>
            <w:vAlign w:val="center"/>
            <w:hideMark/>
          </w:tcPr>
          <w:p w14:paraId="75A075A3" w14:textId="33BD33C0" w:rsidR="00C2145B" w:rsidRPr="00A700FD" w:rsidRDefault="00BA0CC8" w:rsidP="00327460">
            <w:pPr>
              <w:spacing w:after="0" w:line="240" w:lineRule="auto"/>
              <w:jc w:val="center"/>
              <w:rPr>
                <w:rFonts w:eastAsia="Times New Roman" w:cs="Calibri"/>
                <w:b/>
                <w:color w:val="FFFFFF"/>
                <w:sz w:val="20"/>
                <w:szCs w:val="20"/>
                <w:lang w:eastAsia="en-GB"/>
              </w:rPr>
            </w:pPr>
            <w:r>
              <w:t>Bilans električne energije u OPS</w:t>
            </w:r>
          </w:p>
        </w:tc>
        <w:tc>
          <w:tcPr>
            <w:tcW w:w="0" w:type="auto"/>
            <w:tcBorders>
              <w:top w:val="nil"/>
              <w:left w:val="nil"/>
              <w:bottom w:val="nil"/>
              <w:right w:val="nil"/>
            </w:tcBorders>
            <w:shd w:val="clear" w:color="000000" w:fill="002060"/>
            <w:vAlign w:val="center"/>
            <w:hideMark/>
          </w:tcPr>
          <w:p w14:paraId="27CDE248" w14:textId="49B2BA73" w:rsidR="00C2145B" w:rsidRPr="00A700FD" w:rsidRDefault="00BA0CC8" w:rsidP="00327460">
            <w:pPr>
              <w:spacing w:after="0" w:line="240" w:lineRule="auto"/>
              <w:jc w:val="center"/>
              <w:rPr>
                <w:rFonts w:eastAsia="Times New Roman" w:cs="Calibri"/>
                <w:b/>
                <w:color w:val="FFFFFF"/>
                <w:sz w:val="20"/>
                <w:szCs w:val="20"/>
                <w:lang w:eastAsia="en-GB"/>
              </w:rPr>
            </w:pPr>
            <w:r>
              <w:t>Jedinica</w:t>
            </w:r>
          </w:p>
        </w:tc>
        <w:tc>
          <w:tcPr>
            <w:tcW w:w="1163" w:type="dxa"/>
            <w:tcBorders>
              <w:top w:val="nil"/>
              <w:left w:val="nil"/>
              <w:bottom w:val="nil"/>
              <w:right w:val="nil"/>
            </w:tcBorders>
            <w:shd w:val="clear" w:color="000000" w:fill="002060"/>
            <w:vAlign w:val="center"/>
            <w:hideMark/>
          </w:tcPr>
          <w:p w14:paraId="206EA592" w14:textId="0088E496" w:rsidR="00C2145B" w:rsidRPr="00A700FD" w:rsidRDefault="001511D6" w:rsidP="00327460">
            <w:pPr>
              <w:spacing w:after="0" w:line="240" w:lineRule="auto"/>
              <w:jc w:val="center"/>
              <w:rPr>
                <w:rFonts w:eastAsia="Times New Roman" w:cs="Calibri"/>
                <w:b/>
                <w:color w:val="FFFFFF"/>
                <w:sz w:val="20"/>
                <w:szCs w:val="20"/>
                <w:lang w:eastAsia="en-GB"/>
              </w:rPr>
            </w:pPr>
            <w:r w:rsidRPr="00A700FD">
              <w:rPr>
                <w:rFonts w:eastAsia="Times New Roman" w:cs="Calibri"/>
                <w:b/>
                <w:color w:val="FFFFFF"/>
                <w:sz w:val="20"/>
                <w:szCs w:val="20"/>
                <w:lang w:eastAsia="en-GB"/>
              </w:rPr>
              <w:t>202</w:t>
            </w:r>
            <w:r w:rsidR="00A700FD">
              <w:rPr>
                <w:rFonts w:eastAsia="Times New Roman" w:cs="Calibri"/>
                <w:b/>
                <w:color w:val="FFFFFF"/>
                <w:sz w:val="20"/>
                <w:szCs w:val="20"/>
                <w:lang w:eastAsia="en-GB"/>
              </w:rPr>
              <w:t>1</w:t>
            </w:r>
            <w:r w:rsidR="00BA0CC8">
              <w:rPr>
                <w:rFonts w:eastAsia="Times New Roman" w:cs="Calibri"/>
                <w:b/>
                <w:color w:val="FFFFFF"/>
                <w:sz w:val="20"/>
                <w:szCs w:val="20"/>
                <w:lang w:eastAsia="en-GB"/>
              </w:rPr>
              <w:t xml:space="preserve"> Predlog</w:t>
            </w:r>
          </w:p>
        </w:tc>
      </w:tr>
      <w:tr w:rsidR="00C2145B" w:rsidRPr="00A700FD" w14:paraId="6781EA94" w14:textId="77777777" w:rsidTr="00FF7475">
        <w:trPr>
          <w:gridAfter w:val="1"/>
          <w:wAfter w:w="244" w:type="dxa"/>
          <w:trHeight w:val="312"/>
          <w:jc w:val="center"/>
        </w:trPr>
        <w:tc>
          <w:tcPr>
            <w:tcW w:w="5704" w:type="dxa"/>
            <w:tcBorders>
              <w:top w:val="nil"/>
              <w:left w:val="nil"/>
              <w:bottom w:val="nil"/>
              <w:right w:val="nil"/>
            </w:tcBorders>
            <w:shd w:val="clear" w:color="000000" w:fill="FFFFFF"/>
            <w:noWrap/>
            <w:vAlign w:val="bottom"/>
            <w:hideMark/>
          </w:tcPr>
          <w:p w14:paraId="5DA324BB" w14:textId="090F5BB7" w:rsidR="00C2145B" w:rsidRPr="00A700FD" w:rsidRDefault="00BA0CC8" w:rsidP="00FF7475">
            <w:pPr>
              <w:pStyle w:val="ListParagraph"/>
              <w:numPr>
                <w:ilvl w:val="0"/>
                <w:numId w:val="24"/>
              </w:numPr>
              <w:spacing w:after="0" w:line="240" w:lineRule="auto"/>
              <w:ind w:left="414" w:hanging="270"/>
              <w:rPr>
                <w:rFonts w:cs="Calibri"/>
                <w:color w:val="000000"/>
                <w:lang w:val="sq-AL" w:eastAsia="en-GB"/>
              </w:rPr>
            </w:pPr>
            <w:proofErr w:type="spellStart"/>
            <w:r>
              <w:t>Priključenje</w:t>
            </w:r>
            <w:proofErr w:type="spellEnd"/>
            <w:r>
              <w:t xml:space="preserve"> u OPS</w:t>
            </w:r>
          </w:p>
        </w:tc>
        <w:tc>
          <w:tcPr>
            <w:tcW w:w="0" w:type="auto"/>
            <w:tcBorders>
              <w:top w:val="nil"/>
              <w:left w:val="nil"/>
              <w:bottom w:val="nil"/>
              <w:right w:val="nil"/>
            </w:tcBorders>
            <w:shd w:val="clear" w:color="000000" w:fill="FFFFFF"/>
            <w:noWrap/>
            <w:vAlign w:val="bottom"/>
            <w:hideMark/>
          </w:tcPr>
          <w:p w14:paraId="56C5077A" w14:textId="77777777" w:rsidR="00C2145B" w:rsidRPr="00A700FD" w:rsidRDefault="00C2145B" w:rsidP="00327460">
            <w:pPr>
              <w:spacing w:after="0" w:line="240" w:lineRule="auto"/>
              <w:rPr>
                <w:rFonts w:eastAsia="Times New Roman" w:cs="Calibri"/>
                <w:color w:val="000000"/>
                <w:lang w:eastAsia="en-GB"/>
              </w:rPr>
            </w:pPr>
            <w:r w:rsidRPr="00A700FD">
              <w:rPr>
                <w:rFonts w:eastAsia="Times New Roman" w:cs="Calibri"/>
                <w:color w:val="000000"/>
                <w:lang w:eastAsia="en-GB"/>
              </w:rPr>
              <w:t>GWh</w:t>
            </w:r>
          </w:p>
        </w:tc>
        <w:tc>
          <w:tcPr>
            <w:tcW w:w="1163" w:type="dxa"/>
            <w:tcBorders>
              <w:top w:val="nil"/>
              <w:left w:val="nil"/>
              <w:bottom w:val="nil"/>
              <w:right w:val="nil"/>
            </w:tcBorders>
            <w:shd w:val="clear" w:color="000000" w:fill="FFFFFF"/>
            <w:noWrap/>
            <w:vAlign w:val="bottom"/>
            <w:hideMark/>
          </w:tcPr>
          <w:p w14:paraId="5FBCC296" w14:textId="1119F26E" w:rsidR="00C2145B" w:rsidRPr="00A700FD" w:rsidRDefault="00A700FD" w:rsidP="001511D6">
            <w:pPr>
              <w:spacing w:after="0" w:line="240" w:lineRule="auto"/>
              <w:jc w:val="right"/>
              <w:rPr>
                <w:rFonts w:eastAsia="Times New Roman" w:cs="Calibri"/>
                <w:color w:val="000000"/>
                <w:lang w:eastAsia="en-GB"/>
              </w:rPr>
            </w:pPr>
            <w:r>
              <w:rPr>
                <w:rFonts w:eastAsia="Times New Roman" w:cs="Calibri"/>
                <w:color w:val="000000"/>
                <w:lang w:eastAsia="en-GB"/>
              </w:rPr>
              <w:t>6,645</w:t>
            </w:r>
          </w:p>
        </w:tc>
      </w:tr>
      <w:tr w:rsidR="00C2145B" w:rsidRPr="00A700FD" w14:paraId="0B54DF06" w14:textId="77777777" w:rsidTr="00FF7475">
        <w:trPr>
          <w:gridAfter w:val="1"/>
          <w:wAfter w:w="244" w:type="dxa"/>
          <w:trHeight w:val="312"/>
          <w:jc w:val="center"/>
        </w:trPr>
        <w:tc>
          <w:tcPr>
            <w:tcW w:w="5704" w:type="dxa"/>
            <w:tcBorders>
              <w:top w:val="nil"/>
              <w:left w:val="nil"/>
              <w:bottom w:val="nil"/>
              <w:right w:val="nil"/>
            </w:tcBorders>
            <w:shd w:val="clear" w:color="000000" w:fill="FFFFFF"/>
            <w:noWrap/>
            <w:vAlign w:val="bottom"/>
            <w:hideMark/>
          </w:tcPr>
          <w:p w14:paraId="7E1113CB" w14:textId="674BA4FA" w:rsidR="00C2145B" w:rsidRPr="00A700FD" w:rsidRDefault="00BA0CC8" w:rsidP="00FF7475">
            <w:pPr>
              <w:pStyle w:val="ListParagraph"/>
              <w:numPr>
                <w:ilvl w:val="0"/>
                <w:numId w:val="24"/>
              </w:numPr>
              <w:spacing w:after="0" w:line="240" w:lineRule="auto"/>
              <w:ind w:left="414" w:hanging="270"/>
              <w:rPr>
                <w:rFonts w:cs="Calibri"/>
                <w:color w:val="000000"/>
                <w:lang w:val="sq-AL" w:eastAsia="en-GB"/>
              </w:rPr>
            </w:pPr>
            <w:r>
              <w:rPr>
                <w:rFonts w:cs="Calibri"/>
                <w:color w:val="000000"/>
                <w:lang w:val="sq-AL" w:eastAsia="en-GB"/>
              </w:rPr>
              <w:t>Izvoz</w:t>
            </w:r>
          </w:p>
        </w:tc>
        <w:tc>
          <w:tcPr>
            <w:tcW w:w="0" w:type="auto"/>
            <w:tcBorders>
              <w:top w:val="nil"/>
              <w:left w:val="nil"/>
              <w:bottom w:val="nil"/>
              <w:right w:val="nil"/>
            </w:tcBorders>
            <w:shd w:val="clear" w:color="000000" w:fill="FFFFFF"/>
            <w:noWrap/>
            <w:vAlign w:val="bottom"/>
            <w:hideMark/>
          </w:tcPr>
          <w:p w14:paraId="70313F64" w14:textId="77777777" w:rsidR="00C2145B" w:rsidRPr="00A700FD" w:rsidRDefault="00C2145B" w:rsidP="00327460">
            <w:pPr>
              <w:spacing w:after="0" w:line="240" w:lineRule="auto"/>
              <w:rPr>
                <w:rFonts w:eastAsia="Times New Roman" w:cs="Calibri"/>
                <w:color w:val="000000"/>
                <w:lang w:eastAsia="en-GB"/>
              </w:rPr>
            </w:pPr>
            <w:r w:rsidRPr="00A700FD">
              <w:rPr>
                <w:rFonts w:eastAsia="Times New Roman" w:cs="Calibri"/>
                <w:color w:val="000000"/>
                <w:lang w:eastAsia="en-GB"/>
              </w:rPr>
              <w:t>GWh</w:t>
            </w:r>
          </w:p>
        </w:tc>
        <w:tc>
          <w:tcPr>
            <w:tcW w:w="1163" w:type="dxa"/>
            <w:tcBorders>
              <w:top w:val="nil"/>
              <w:left w:val="nil"/>
              <w:bottom w:val="nil"/>
              <w:right w:val="nil"/>
            </w:tcBorders>
            <w:shd w:val="clear" w:color="000000" w:fill="FFFFFF"/>
            <w:noWrap/>
            <w:vAlign w:val="bottom"/>
            <w:hideMark/>
          </w:tcPr>
          <w:p w14:paraId="2C59C7DB" w14:textId="123EFDF3" w:rsidR="00C2145B" w:rsidRPr="00A700FD" w:rsidRDefault="00A700FD" w:rsidP="001511D6">
            <w:pPr>
              <w:spacing w:after="0" w:line="240" w:lineRule="auto"/>
              <w:jc w:val="right"/>
              <w:rPr>
                <w:rFonts w:eastAsia="Times New Roman" w:cs="Calibri"/>
                <w:color w:val="000000"/>
                <w:lang w:eastAsia="en-GB"/>
              </w:rPr>
            </w:pPr>
            <w:r>
              <w:rPr>
                <w:rFonts w:eastAsia="Times New Roman" w:cs="Calibri"/>
                <w:color w:val="000000"/>
                <w:lang w:eastAsia="en-GB"/>
              </w:rPr>
              <w:t>43</w:t>
            </w:r>
            <w:r w:rsidR="00966518">
              <w:rPr>
                <w:rFonts w:eastAsia="Times New Roman" w:cs="Calibri"/>
                <w:color w:val="000000"/>
                <w:lang w:eastAsia="en-GB"/>
              </w:rPr>
              <w:t>4</w:t>
            </w:r>
          </w:p>
        </w:tc>
      </w:tr>
      <w:tr w:rsidR="00C2145B" w:rsidRPr="00A700FD" w14:paraId="0B8E06D9" w14:textId="77777777" w:rsidTr="00FF7475">
        <w:trPr>
          <w:gridAfter w:val="1"/>
          <w:wAfter w:w="244" w:type="dxa"/>
          <w:trHeight w:val="312"/>
          <w:jc w:val="center"/>
        </w:trPr>
        <w:tc>
          <w:tcPr>
            <w:tcW w:w="5704" w:type="dxa"/>
            <w:tcBorders>
              <w:top w:val="nil"/>
              <w:left w:val="nil"/>
              <w:bottom w:val="nil"/>
              <w:right w:val="nil"/>
            </w:tcBorders>
            <w:shd w:val="clear" w:color="000000" w:fill="FFFFFF"/>
            <w:noWrap/>
            <w:vAlign w:val="bottom"/>
            <w:hideMark/>
          </w:tcPr>
          <w:p w14:paraId="51FCA113" w14:textId="1FFD22C1" w:rsidR="00C2145B" w:rsidRPr="00BA0CC8" w:rsidRDefault="00BA0CC8" w:rsidP="00BA0CC8">
            <w:pPr>
              <w:spacing w:after="0" w:line="240" w:lineRule="auto"/>
              <w:rPr>
                <w:rFonts w:cs="Calibri"/>
                <w:color w:val="000000"/>
                <w:lang w:eastAsia="en-GB"/>
              </w:rPr>
            </w:pPr>
            <w:r>
              <w:rPr>
                <w:rFonts w:cs="Calibri"/>
                <w:color w:val="000000"/>
                <w:lang w:eastAsia="en-GB"/>
              </w:rPr>
              <w:t xml:space="preserve">   c) </w:t>
            </w:r>
            <w:r w:rsidRPr="00BA0CC8">
              <w:rPr>
                <w:rFonts w:cs="Calibri"/>
                <w:color w:val="000000"/>
                <w:lang w:eastAsia="en-GB"/>
              </w:rPr>
              <w:t xml:space="preserve">Potrošnja u OPS </w:t>
            </w:r>
            <w:r>
              <w:rPr>
                <w:rFonts w:cs="Calibri"/>
                <w:color w:val="000000"/>
                <w:lang w:eastAsia="en-GB"/>
              </w:rPr>
              <w:t>(lomag i kons 220kV i</w:t>
            </w:r>
            <w:r w:rsidR="0083125C" w:rsidRPr="00BA0CC8">
              <w:rPr>
                <w:rFonts w:cs="Calibri"/>
                <w:color w:val="000000"/>
                <w:lang w:eastAsia="en-GB"/>
              </w:rPr>
              <w:t xml:space="preserve"> 110 kV)</w:t>
            </w:r>
          </w:p>
        </w:tc>
        <w:tc>
          <w:tcPr>
            <w:tcW w:w="0" w:type="auto"/>
            <w:tcBorders>
              <w:top w:val="nil"/>
              <w:left w:val="nil"/>
              <w:bottom w:val="nil"/>
              <w:right w:val="nil"/>
            </w:tcBorders>
            <w:shd w:val="clear" w:color="000000" w:fill="FFFFFF"/>
            <w:noWrap/>
            <w:vAlign w:val="bottom"/>
            <w:hideMark/>
          </w:tcPr>
          <w:p w14:paraId="63BC4312" w14:textId="77777777" w:rsidR="00C2145B" w:rsidRPr="00A700FD" w:rsidRDefault="00C2145B" w:rsidP="00327460">
            <w:pPr>
              <w:spacing w:after="0" w:line="240" w:lineRule="auto"/>
              <w:rPr>
                <w:rFonts w:eastAsia="Times New Roman" w:cs="Calibri"/>
                <w:color w:val="000000"/>
                <w:lang w:eastAsia="en-GB"/>
              </w:rPr>
            </w:pPr>
            <w:r w:rsidRPr="00A700FD">
              <w:rPr>
                <w:rFonts w:eastAsia="Times New Roman" w:cs="Calibri"/>
                <w:color w:val="000000"/>
                <w:lang w:eastAsia="en-GB"/>
              </w:rPr>
              <w:t>GWh</w:t>
            </w:r>
          </w:p>
        </w:tc>
        <w:tc>
          <w:tcPr>
            <w:tcW w:w="1163" w:type="dxa"/>
            <w:tcBorders>
              <w:top w:val="nil"/>
              <w:left w:val="nil"/>
              <w:bottom w:val="nil"/>
              <w:right w:val="nil"/>
            </w:tcBorders>
            <w:shd w:val="clear" w:color="000000" w:fill="FFFFFF"/>
            <w:noWrap/>
            <w:vAlign w:val="bottom"/>
            <w:hideMark/>
          </w:tcPr>
          <w:p w14:paraId="4865FC54" w14:textId="167A8438" w:rsidR="00C2145B" w:rsidRPr="00A700FD" w:rsidRDefault="0083125C" w:rsidP="001511D6">
            <w:pPr>
              <w:spacing w:after="0" w:line="240" w:lineRule="auto"/>
              <w:jc w:val="right"/>
              <w:rPr>
                <w:rFonts w:eastAsia="Times New Roman" w:cs="Calibri"/>
                <w:color w:val="000000"/>
                <w:lang w:eastAsia="en-GB"/>
              </w:rPr>
            </w:pPr>
            <w:r w:rsidRPr="00A700FD">
              <w:rPr>
                <w:rFonts w:eastAsia="Times New Roman" w:cs="Calibri"/>
                <w:color w:val="000000"/>
                <w:lang w:eastAsia="en-GB"/>
              </w:rPr>
              <w:t>77</w:t>
            </w:r>
            <w:r w:rsidR="00A700FD">
              <w:rPr>
                <w:rFonts w:eastAsia="Times New Roman" w:cs="Calibri"/>
                <w:color w:val="000000"/>
                <w:lang w:eastAsia="en-GB"/>
              </w:rPr>
              <w:t>3</w:t>
            </w:r>
          </w:p>
        </w:tc>
      </w:tr>
      <w:tr w:rsidR="00C2145B" w:rsidRPr="00A700FD" w14:paraId="109DB9A7" w14:textId="77777777" w:rsidTr="00FF7475">
        <w:trPr>
          <w:gridAfter w:val="1"/>
          <w:wAfter w:w="244" w:type="dxa"/>
          <w:trHeight w:val="312"/>
          <w:jc w:val="center"/>
        </w:trPr>
        <w:tc>
          <w:tcPr>
            <w:tcW w:w="5704" w:type="dxa"/>
            <w:tcBorders>
              <w:top w:val="nil"/>
              <w:left w:val="nil"/>
              <w:bottom w:val="single" w:sz="4" w:space="0" w:color="auto"/>
              <w:right w:val="nil"/>
            </w:tcBorders>
            <w:shd w:val="clear" w:color="000000" w:fill="FFFFFF"/>
            <w:noWrap/>
            <w:vAlign w:val="bottom"/>
            <w:hideMark/>
          </w:tcPr>
          <w:p w14:paraId="62A96E9F" w14:textId="77777777" w:rsidR="00C2145B" w:rsidRPr="00A700FD" w:rsidRDefault="00C2145B" w:rsidP="00FF7475">
            <w:pPr>
              <w:spacing w:after="0" w:line="240" w:lineRule="auto"/>
              <w:ind w:left="414" w:hanging="270"/>
              <w:rPr>
                <w:rFonts w:eastAsia="Times New Roman" w:cs="Calibri"/>
                <w:color w:val="000000"/>
                <w:lang w:eastAsia="en-GB"/>
              </w:rPr>
            </w:pPr>
            <w:r w:rsidRPr="00A700FD">
              <w:rPr>
                <w:rFonts w:eastAsia="Times New Roman" w:cs="Calibri"/>
                <w:color w:val="000000"/>
                <w:lang w:eastAsia="en-GB"/>
              </w:rPr>
              <w:t> </w:t>
            </w:r>
          </w:p>
        </w:tc>
        <w:tc>
          <w:tcPr>
            <w:tcW w:w="0" w:type="auto"/>
            <w:tcBorders>
              <w:top w:val="nil"/>
              <w:left w:val="nil"/>
              <w:bottom w:val="single" w:sz="4" w:space="0" w:color="auto"/>
              <w:right w:val="nil"/>
            </w:tcBorders>
            <w:shd w:val="clear" w:color="000000" w:fill="FFFFFF"/>
            <w:noWrap/>
            <w:vAlign w:val="bottom"/>
            <w:hideMark/>
          </w:tcPr>
          <w:p w14:paraId="1905C805" w14:textId="77777777" w:rsidR="00C2145B" w:rsidRPr="00A700FD" w:rsidRDefault="00C2145B" w:rsidP="00327460">
            <w:pPr>
              <w:spacing w:after="0" w:line="240" w:lineRule="auto"/>
              <w:rPr>
                <w:rFonts w:eastAsia="Times New Roman" w:cs="Calibri"/>
                <w:color w:val="000000"/>
                <w:lang w:eastAsia="en-GB"/>
              </w:rPr>
            </w:pPr>
            <w:r w:rsidRPr="00A700FD">
              <w:rPr>
                <w:rFonts w:eastAsia="Times New Roman" w:cs="Calibri"/>
                <w:color w:val="000000"/>
                <w:lang w:eastAsia="en-GB"/>
              </w:rPr>
              <w:t> </w:t>
            </w:r>
          </w:p>
        </w:tc>
        <w:tc>
          <w:tcPr>
            <w:tcW w:w="1163" w:type="dxa"/>
            <w:tcBorders>
              <w:top w:val="nil"/>
              <w:left w:val="nil"/>
              <w:bottom w:val="single" w:sz="4" w:space="0" w:color="auto"/>
              <w:right w:val="nil"/>
            </w:tcBorders>
            <w:shd w:val="clear" w:color="000000" w:fill="FFFFFF"/>
            <w:noWrap/>
            <w:vAlign w:val="bottom"/>
            <w:hideMark/>
          </w:tcPr>
          <w:p w14:paraId="0DD71DC5" w14:textId="77777777" w:rsidR="00C2145B" w:rsidRPr="00A700FD" w:rsidRDefault="00C2145B" w:rsidP="001511D6">
            <w:pPr>
              <w:spacing w:after="0" w:line="240" w:lineRule="auto"/>
              <w:jc w:val="right"/>
              <w:rPr>
                <w:rFonts w:eastAsia="Times New Roman" w:cs="Calibri"/>
                <w:color w:val="000000"/>
                <w:lang w:eastAsia="en-GB"/>
              </w:rPr>
            </w:pPr>
          </w:p>
        </w:tc>
      </w:tr>
      <w:tr w:rsidR="00C2145B" w:rsidRPr="00A700FD" w14:paraId="1BA567AB" w14:textId="77777777" w:rsidTr="00FF7475">
        <w:trPr>
          <w:trHeight w:val="312"/>
          <w:jc w:val="center"/>
        </w:trPr>
        <w:tc>
          <w:tcPr>
            <w:tcW w:w="5704" w:type="dxa"/>
            <w:tcBorders>
              <w:top w:val="single" w:sz="4" w:space="0" w:color="auto"/>
              <w:left w:val="nil"/>
              <w:bottom w:val="nil"/>
              <w:right w:val="nil"/>
            </w:tcBorders>
            <w:shd w:val="clear" w:color="000000" w:fill="FFFFFF"/>
            <w:noWrap/>
            <w:vAlign w:val="bottom"/>
            <w:hideMark/>
          </w:tcPr>
          <w:p w14:paraId="0DE80028" w14:textId="080BA028" w:rsidR="00C2145B" w:rsidRPr="00A700FD" w:rsidRDefault="00F84F64" w:rsidP="00FF7475">
            <w:pPr>
              <w:pStyle w:val="ListParagraph"/>
              <w:numPr>
                <w:ilvl w:val="0"/>
                <w:numId w:val="24"/>
              </w:numPr>
              <w:spacing w:after="0" w:line="240" w:lineRule="auto"/>
              <w:ind w:left="414" w:hanging="270"/>
              <w:rPr>
                <w:rFonts w:cs="Calibri"/>
                <w:color w:val="000000"/>
                <w:lang w:val="sq-AL" w:eastAsia="en-GB"/>
              </w:rPr>
            </w:pPr>
            <w:proofErr w:type="spellStart"/>
            <w:r>
              <w:t>Gubici</w:t>
            </w:r>
            <w:proofErr w:type="spellEnd"/>
            <w:r>
              <w:t xml:space="preserve"> u OPS</w:t>
            </w:r>
          </w:p>
        </w:tc>
        <w:tc>
          <w:tcPr>
            <w:tcW w:w="0" w:type="auto"/>
            <w:tcBorders>
              <w:top w:val="single" w:sz="4" w:space="0" w:color="auto"/>
              <w:left w:val="nil"/>
              <w:bottom w:val="nil"/>
              <w:right w:val="nil"/>
            </w:tcBorders>
            <w:shd w:val="clear" w:color="000000" w:fill="FFFFFF"/>
            <w:noWrap/>
            <w:vAlign w:val="bottom"/>
            <w:hideMark/>
          </w:tcPr>
          <w:p w14:paraId="185AB2C2" w14:textId="77777777" w:rsidR="00C2145B" w:rsidRPr="00A700FD" w:rsidRDefault="00C2145B" w:rsidP="00327460">
            <w:pPr>
              <w:spacing w:after="0" w:line="240" w:lineRule="auto"/>
              <w:rPr>
                <w:rFonts w:eastAsia="Times New Roman" w:cs="Calibri"/>
                <w:color w:val="000000"/>
                <w:lang w:eastAsia="en-GB"/>
              </w:rPr>
            </w:pPr>
            <w:r w:rsidRPr="00A700FD">
              <w:rPr>
                <w:rFonts w:eastAsia="Times New Roman" w:cs="Calibri"/>
                <w:color w:val="000000"/>
                <w:lang w:eastAsia="en-GB"/>
              </w:rPr>
              <w:t>GWh</w:t>
            </w:r>
          </w:p>
        </w:tc>
        <w:tc>
          <w:tcPr>
            <w:tcW w:w="1163" w:type="dxa"/>
            <w:tcBorders>
              <w:top w:val="single" w:sz="4" w:space="0" w:color="auto"/>
              <w:left w:val="nil"/>
              <w:bottom w:val="nil"/>
              <w:right w:val="nil"/>
            </w:tcBorders>
            <w:shd w:val="clear" w:color="000000" w:fill="FFFFFF"/>
            <w:noWrap/>
            <w:vAlign w:val="bottom"/>
            <w:hideMark/>
          </w:tcPr>
          <w:p w14:paraId="6A88871A" w14:textId="2D32376E" w:rsidR="00C2145B" w:rsidRPr="00A700FD" w:rsidRDefault="00C2145B" w:rsidP="001511D6">
            <w:pPr>
              <w:spacing w:after="0" w:line="240" w:lineRule="auto"/>
              <w:jc w:val="right"/>
              <w:rPr>
                <w:rFonts w:eastAsia="Times New Roman" w:cs="Calibri"/>
                <w:color w:val="000000"/>
                <w:lang w:eastAsia="en-GB"/>
              </w:rPr>
            </w:pPr>
            <w:r w:rsidRPr="00A700FD">
              <w:rPr>
                <w:rFonts w:eastAsia="Times New Roman" w:cs="Calibri"/>
                <w:color w:val="000000"/>
                <w:lang w:eastAsia="en-GB"/>
              </w:rPr>
              <w:t>11</w:t>
            </w:r>
            <w:r w:rsidR="00A700FD">
              <w:rPr>
                <w:rFonts w:eastAsia="Times New Roman" w:cs="Calibri"/>
                <w:color w:val="000000"/>
                <w:lang w:eastAsia="en-GB"/>
              </w:rPr>
              <w:t>4</w:t>
            </w:r>
          </w:p>
        </w:tc>
        <w:tc>
          <w:tcPr>
            <w:tcW w:w="244" w:type="dxa"/>
            <w:vAlign w:val="bottom"/>
          </w:tcPr>
          <w:p w14:paraId="12B3ED5B" w14:textId="77777777" w:rsidR="00C2145B" w:rsidRPr="00A700FD" w:rsidRDefault="00C2145B" w:rsidP="00327460">
            <w:pPr>
              <w:spacing w:after="0" w:line="240" w:lineRule="auto"/>
              <w:jc w:val="center"/>
              <w:rPr>
                <w:rFonts w:eastAsia="Times New Roman" w:cs="Calibri"/>
                <w:color w:val="000000"/>
                <w:lang w:eastAsia="en-GB"/>
              </w:rPr>
            </w:pPr>
          </w:p>
        </w:tc>
      </w:tr>
      <w:tr w:rsidR="00C2145B" w:rsidRPr="00A700FD" w14:paraId="599961A9" w14:textId="77777777" w:rsidTr="00FF7475">
        <w:trPr>
          <w:trHeight w:val="312"/>
          <w:jc w:val="center"/>
        </w:trPr>
        <w:tc>
          <w:tcPr>
            <w:tcW w:w="5704" w:type="dxa"/>
            <w:tcBorders>
              <w:top w:val="nil"/>
              <w:left w:val="nil"/>
              <w:bottom w:val="single" w:sz="4" w:space="0" w:color="auto"/>
              <w:right w:val="nil"/>
            </w:tcBorders>
            <w:shd w:val="clear" w:color="000000" w:fill="FFFFFF"/>
            <w:noWrap/>
            <w:vAlign w:val="bottom"/>
            <w:hideMark/>
          </w:tcPr>
          <w:p w14:paraId="3386DA06" w14:textId="77777777" w:rsidR="00C2145B" w:rsidRPr="00A700FD" w:rsidRDefault="00C2145B" w:rsidP="00FF7475">
            <w:pPr>
              <w:spacing w:after="0" w:line="240" w:lineRule="auto"/>
              <w:ind w:left="414" w:hanging="270"/>
              <w:rPr>
                <w:rFonts w:eastAsia="Times New Roman" w:cs="Calibri"/>
                <w:color w:val="000000"/>
                <w:lang w:eastAsia="en-GB"/>
              </w:rPr>
            </w:pPr>
          </w:p>
        </w:tc>
        <w:tc>
          <w:tcPr>
            <w:tcW w:w="0" w:type="auto"/>
            <w:tcBorders>
              <w:top w:val="nil"/>
              <w:left w:val="nil"/>
              <w:bottom w:val="single" w:sz="4" w:space="0" w:color="auto"/>
              <w:right w:val="nil"/>
            </w:tcBorders>
            <w:shd w:val="clear" w:color="000000" w:fill="FFFFFF"/>
            <w:noWrap/>
            <w:vAlign w:val="bottom"/>
            <w:hideMark/>
          </w:tcPr>
          <w:p w14:paraId="5766D5EB" w14:textId="77777777" w:rsidR="00C2145B" w:rsidRPr="00A700FD" w:rsidRDefault="00C2145B" w:rsidP="00327460">
            <w:pPr>
              <w:spacing w:after="0" w:line="240" w:lineRule="auto"/>
              <w:rPr>
                <w:rFonts w:eastAsia="Times New Roman" w:cs="Calibri"/>
                <w:color w:val="000000"/>
                <w:lang w:eastAsia="en-GB"/>
              </w:rPr>
            </w:pPr>
            <w:r w:rsidRPr="00A700FD">
              <w:rPr>
                <w:rFonts w:eastAsia="Times New Roman" w:cs="Calibri"/>
                <w:color w:val="000000"/>
                <w:lang w:eastAsia="en-GB"/>
              </w:rPr>
              <w:t>%</w:t>
            </w:r>
          </w:p>
        </w:tc>
        <w:tc>
          <w:tcPr>
            <w:tcW w:w="1163" w:type="dxa"/>
            <w:tcBorders>
              <w:top w:val="nil"/>
              <w:left w:val="nil"/>
              <w:bottom w:val="single" w:sz="4" w:space="0" w:color="auto"/>
              <w:right w:val="nil"/>
            </w:tcBorders>
            <w:shd w:val="clear" w:color="000000" w:fill="FFFFFF"/>
            <w:noWrap/>
            <w:vAlign w:val="bottom"/>
            <w:hideMark/>
          </w:tcPr>
          <w:p w14:paraId="1F298BFD" w14:textId="6699643B" w:rsidR="00C2145B" w:rsidRPr="00A700FD" w:rsidRDefault="001511D6" w:rsidP="00FF7475">
            <w:pPr>
              <w:spacing w:after="0" w:line="240" w:lineRule="auto"/>
              <w:jc w:val="right"/>
              <w:rPr>
                <w:rFonts w:eastAsia="Times New Roman" w:cs="Calibri"/>
                <w:color w:val="000000"/>
                <w:lang w:eastAsia="en-GB"/>
              </w:rPr>
            </w:pPr>
            <w:r w:rsidRPr="00A700FD">
              <w:rPr>
                <w:rFonts w:eastAsia="Times New Roman" w:cs="Calibri"/>
                <w:color w:val="000000"/>
                <w:lang w:eastAsia="en-GB"/>
              </w:rPr>
              <w:t>1.7</w:t>
            </w:r>
            <w:r w:rsidR="00A700FD">
              <w:rPr>
                <w:rFonts w:eastAsia="Times New Roman" w:cs="Calibri"/>
                <w:color w:val="000000"/>
                <w:lang w:eastAsia="en-GB"/>
              </w:rPr>
              <w:t>1</w:t>
            </w:r>
            <w:r w:rsidR="00C2145B" w:rsidRPr="00A700FD">
              <w:rPr>
                <w:rFonts w:eastAsia="Times New Roman" w:cs="Calibri"/>
                <w:color w:val="000000"/>
                <w:lang w:eastAsia="en-GB"/>
              </w:rPr>
              <w:t>%</w:t>
            </w:r>
          </w:p>
        </w:tc>
        <w:tc>
          <w:tcPr>
            <w:tcW w:w="244" w:type="dxa"/>
            <w:vAlign w:val="bottom"/>
          </w:tcPr>
          <w:p w14:paraId="17EC26CE" w14:textId="77777777" w:rsidR="00C2145B" w:rsidRPr="00A700FD" w:rsidRDefault="00C2145B" w:rsidP="00327460">
            <w:pPr>
              <w:spacing w:after="0" w:line="240" w:lineRule="auto"/>
              <w:jc w:val="center"/>
              <w:rPr>
                <w:rFonts w:eastAsia="Times New Roman" w:cs="Calibri"/>
                <w:color w:val="000000"/>
                <w:lang w:eastAsia="en-GB"/>
              </w:rPr>
            </w:pPr>
          </w:p>
        </w:tc>
      </w:tr>
      <w:tr w:rsidR="00C2145B" w:rsidRPr="00A700FD" w14:paraId="259E2486" w14:textId="77777777" w:rsidTr="00FF7475">
        <w:trPr>
          <w:gridAfter w:val="1"/>
          <w:wAfter w:w="244" w:type="dxa"/>
          <w:trHeight w:val="312"/>
          <w:jc w:val="center"/>
        </w:trPr>
        <w:tc>
          <w:tcPr>
            <w:tcW w:w="5704" w:type="dxa"/>
            <w:tcBorders>
              <w:top w:val="single" w:sz="4" w:space="0" w:color="auto"/>
              <w:left w:val="nil"/>
              <w:bottom w:val="nil"/>
              <w:right w:val="nil"/>
            </w:tcBorders>
            <w:shd w:val="clear" w:color="000000" w:fill="FFFFFF"/>
            <w:noWrap/>
            <w:vAlign w:val="bottom"/>
            <w:hideMark/>
          </w:tcPr>
          <w:p w14:paraId="6C446C67" w14:textId="77777777" w:rsidR="00C2145B" w:rsidRPr="00A700FD" w:rsidRDefault="00C2145B" w:rsidP="00327460">
            <w:pPr>
              <w:spacing w:after="0" w:line="240" w:lineRule="auto"/>
              <w:rPr>
                <w:rFonts w:eastAsia="Times New Roman" w:cs="Calibri"/>
                <w:color w:val="000000"/>
                <w:lang w:eastAsia="en-GB"/>
              </w:rPr>
            </w:pPr>
            <w:r w:rsidRPr="00A700FD">
              <w:rPr>
                <w:rFonts w:eastAsia="Times New Roman" w:cs="Calibri"/>
                <w:color w:val="000000"/>
                <w:lang w:eastAsia="en-GB"/>
              </w:rPr>
              <w:t> </w:t>
            </w:r>
          </w:p>
        </w:tc>
        <w:tc>
          <w:tcPr>
            <w:tcW w:w="0" w:type="auto"/>
            <w:tcBorders>
              <w:top w:val="single" w:sz="4" w:space="0" w:color="auto"/>
              <w:left w:val="nil"/>
              <w:bottom w:val="nil"/>
              <w:right w:val="nil"/>
            </w:tcBorders>
            <w:shd w:val="clear" w:color="000000" w:fill="FFFFFF"/>
            <w:noWrap/>
            <w:vAlign w:val="bottom"/>
            <w:hideMark/>
          </w:tcPr>
          <w:p w14:paraId="17FFADB9" w14:textId="77777777" w:rsidR="00C2145B" w:rsidRPr="00A700FD" w:rsidRDefault="00C2145B" w:rsidP="00327460">
            <w:pPr>
              <w:spacing w:after="0" w:line="240" w:lineRule="auto"/>
              <w:rPr>
                <w:rFonts w:eastAsia="Times New Roman" w:cs="Calibri"/>
                <w:color w:val="000000"/>
                <w:lang w:eastAsia="en-GB"/>
              </w:rPr>
            </w:pPr>
            <w:r w:rsidRPr="00A700FD">
              <w:rPr>
                <w:rFonts w:eastAsia="Times New Roman" w:cs="Calibri"/>
                <w:color w:val="000000"/>
                <w:lang w:eastAsia="en-GB"/>
              </w:rPr>
              <w:t> </w:t>
            </w:r>
          </w:p>
        </w:tc>
        <w:tc>
          <w:tcPr>
            <w:tcW w:w="1163" w:type="dxa"/>
            <w:tcBorders>
              <w:top w:val="single" w:sz="4" w:space="0" w:color="auto"/>
              <w:left w:val="nil"/>
              <w:bottom w:val="nil"/>
              <w:right w:val="nil"/>
            </w:tcBorders>
            <w:shd w:val="clear" w:color="000000" w:fill="FFFFFF"/>
            <w:noWrap/>
            <w:vAlign w:val="bottom"/>
            <w:hideMark/>
          </w:tcPr>
          <w:p w14:paraId="46B840E3" w14:textId="77777777" w:rsidR="00C2145B" w:rsidRPr="00A700FD" w:rsidRDefault="00C2145B" w:rsidP="001511D6">
            <w:pPr>
              <w:spacing w:after="0" w:line="240" w:lineRule="auto"/>
              <w:jc w:val="right"/>
              <w:rPr>
                <w:rFonts w:eastAsia="Times New Roman" w:cs="Calibri"/>
                <w:color w:val="000000"/>
                <w:lang w:eastAsia="en-GB"/>
              </w:rPr>
            </w:pPr>
          </w:p>
        </w:tc>
      </w:tr>
      <w:tr w:rsidR="00C2145B" w:rsidRPr="0067519F" w14:paraId="5B824214" w14:textId="77777777" w:rsidTr="00FF7475">
        <w:trPr>
          <w:gridAfter w:val="1"/>
          <w:wAfter w:w="244" w:type="dxa"/>
          <w:trHeight w:val="312"/>
          <w:jc w:val="center"/>
        </w:trPr>
        <w:tc>
          <w:tcPr>
            <w:tcW w:w="5704" w:type="dxa"/>
            <w:tcBorders>
              <w:top w:val="single" w:sz="4" w:space="0" w:color="auto"/>
              <w:left w:val="nil"/>
              <w:bottom w:val="single" w:sz="4" w:space="0" w:color="auto"/>
              <w:right w:val="nil"/>
            </w:tcBorders>
            <w:shd w:val="clear" w:color="000000" w:fill="FFFFFF"/>
            <w:noWrap/>
            <w:vAlign w:val="bottom"/>
            <w:hideMark/>
          </w:tcPr>
          <w:p w14:paraId="3EEBFD46" w14:textId="6E84B541" w:rsidR="00C2145B" w:rsidRPr="00A700FD" w:rsidRDefault="00FF7475" w:rsidP="00327460">
            <w:pPr>
              <w:spacing w:after="0" w:line="240" w:lineRule="auto"/>
              <w:rPr>
                <w:rFonts w:eastAsia="Times New Roman" w:cs="Calibri"/>
                <w:b/>
                <w:bCs/>
                <w:color w:val="000000"/>
                <w:lang w:eastAsia="en-GB"/>
              </w:rPr>
            </w:pPr>
            <w:r w:rsidRPr="00A700FD">
              <w:rPr>
                <w:rFonts w:eastAsia="Times New Roman" w:cs="Calibri"/>
                <w:b/>
                <w:bCs/>
                <w:color w:val="000000"/>
                <w:lang w:eastAsia="en-GB"/>
              </w:rPr>
              <w:t xml:space="preserve">e =a-b-c-d  </w:t>
            </w:r>
            <w:r w:rsidR="00DD6C80" w:rsidRPr="00DD6C80">
              <w:rPr>
                <w:b/>
              </w:rPr>
              <w:t>Izlaz energije iz P</w:t>
            </w:r>
            <w:r w:rsidR="00DD6C80" w:rsidRPr="00DD6C80">
              <w:rPr>
                <w:b/>
              </w:rPr>
              <w:t>renosa/priključenje u OSD</w:t>
            </w:r>
          </w:p>
        </w:tc>
        <w:tc>
          <w:tcPr>
            <w:tcW w:w="0" w:type="auto"/>
            <w:tcBorders>
              <w:top w:val="single" w:sz="4" w:space="0" w:color="auto"/>
              <w:left w:val="nil"/>
              <w:bottom w:val="single" w:sz="4" w:space="0" w:color="auto"/>
              <w:right w:val="nil"/>
            </w:tcBorders>
            <w:shd w:val="clear" w:color="000000" w:fill="FFFFFF"/>
            <w:noWrap/>
            <w:vAlign w:val="bottom"/>
            <w:hideMark/>
          </w:tcPr>
          <w:p w14:paraId="7E60430A" w14:textId="77777777" w:rsidR="00C2145B" w:rsidRPr="00A700FD" w:rsidRDefault="00C2145B" w:rsidP="00327460">
            <w:pPr>
              <w:spacing w:after="0" w:line="240" w:lineRule="auto"/>
              <w:rPr>
                <w:rFonts w:eastAsia="Times New Roman" w:cs="Calibri"/>
                <w:b/>
                <w:bCs/>
                <w:color w:val="000000"/>
                <w:lang w:eastAsia="en-GB"/>
              </w:rPr>
            </w:pPr>
            <w:r w:rsidRPr="00A700FD">
              <w:rPr>
                <w:rFonts w:eastAsia="Times New Roman" w:cs="Calibri"/>
                <w:b/>
                <w:bCs/>
                <w:color w:val="000000"/>
                <w:lang w:eastAsia="en-GB"/>
              </w:rPr>
              <w:t>GWh</w:t>
            </w:r>
          </w:p>
        </w:tc>
        <w:tc>
          <w:tcPr>
            <w:tcW w:w="1163" w:type="dxa"/>
            <w:tcBorders>
              <w:top w:val="single" w:sz="4" w:space="0" w:color="auto"/>
              <w:left w:val="nil"/>
              <w:bottom w:val="single" w:sz="4" w:space="0" w:color="auto"/>
              <w:right w:val="nil"/>
            </w:tcBorders>
            <w:shd w:val="clear" w:color="000000" w:fill="FFFFFF"/>
            <w:noWrap/>
            <w:vAlign w:val="bottom"/>
            <w:hideMark/>
          </w:tcPr>
          <w:p w14:paraId="4DF8C3F4" w14:textId="15578A02" w:rsidR="00C2145B" w:rsidRPr="0067519F" w:rsidRDefault="00A700FD" w:rsidP="001511D6">
            <w:pPr>
              <w:spacing w:after="0" w:line="240" w:lineRule="auto"/>
              <w:jc w:val="right"/>
              <w:rPr>
                <w:rFonts w:eastAsia="Times New Roman" w:cs="Calibri"/>
                <w:b/>
                <w:bCs/>
                <w:color w:val="000000"/>
                <w:lang w:eastAsia="en-GB"/>
              </w:rPr>
            </w:pPr>
            <w:r w:rsidRPr="0067519F">
              <w:rPr>
                <w:rFonts w:eastAsia="Times New Roman" w:cs="Calibri"/>
                <w:b/>
                <w:bCs/>
                <w:color w:val="000000"/>
                <w:lang w:eastAsia="en-GB"/>
              </w:rPr>
              <w:t>5</w:t>
            </w:r>
            <w:r w:rsidR="0074646A" w:rsidRPr="0067519F">
              <w:rPr>
                <w:rFonts w:eastAsia="Times New Roman" w:cs="Calibri"/>
                <w:b/>
                <w:bCs/>
                <w:color w:val="000000"/>
                <w:lang w:eastAsia="en-GB"/>
              </w:rPr>
              <w:t>,</w:t>
            </w:r>
            <w:r w:rsidRPr="0067519F">
              <w:rPr>
                <w:rFonts w:eastAsia="Times New Roman" w:cs="Calibri"/>
                <w:b/>
                <w:bCs/>
                <w:color w:val="000000"/>
                <w:lang w:eastAsia="en-GB"/>
              </w:rPr>
              <w:t>324</w:t>
            </w:r>
          </w:p>
        </w:tc>
      </w:tr>
    </w:tbl>
    <w:p w14:paraId="2F2DDC52" w14:textId="77777777" w:rsidR="0013675D" w:rsidRPr="001471C5" w:rsidRDefault="0013675D" w:rsidP="00AA5A6E">
      <w:pPr>
        <w:jc w:val="both"/>
      </w:pPr>
    </w:p>
    <w:p w14:paraId="0D6A1494" w14:textId="59C0505F" w:rsidR="00FF7475" w:rsidRDefault="00DD6C80" w:rsidP="00AA5A6E">
      <w:pPr>
        <w:jc w:val="both"/>
      </w:pPr>
      <w:r w:rsidRPr="00DD6C80">
        <w:t>Neračunata energija u četiri opštine na severu Kosova je fizički tok i koristi se za uravnoteženje bilansa električne energije. Međutim, troškovi nastali snabdevanjem četiri severne opštine na Kosovu nisu uključeni u obračun troškova snabdevanja energijom u skladu sa odlukom o privreme</w:t>
      </w:r>
      <w:r>
        <w:t>noj meri koju je doneo Osnovni Sud i potvrdio Apelacioni Sud</w:t>
      </w:r>
      <w:r w:rsidR="00905B3F" w:rsidRPr="00E22B03">
        <w:t>.</w:t>
      </w:r>
      <w:r w:rsidR="009562B2" w:rsidRPr="001471C5">
        <w:t xml:space="preserve"> </w:t>
      </w:r>
    </w:p>
    <w:p w14:paraId="76002014" w14:textId="5F890F25" w:rsidR="00F9112D" w:rsidRPr="001471C5" w:rsidRDefault="00F9112D" w:rsidP="00AA5A6E">
      <w:pPr>
        <w:jc w:val="both"/>
      </w:pPr>
    </w:p>
    <w:bookmarkEnd w:id="1"/>
    <w:bookmarkEnd w:id="3"/>
    <w:bookmarkEnd w:id="4"/>
    <w:p w14:paraId="67EAFC11" w14:textId="69BB976E" w:rsidR="00F815F2" w:rsidRPr="001471C5" w:rsidRDefault="00F70D9C" w:rsidP="00F815F2">
      <w:pPr>
        <w:pStyle w:val="Heading1"/>
        <w:rPr>
          <w:lang w:val="sq-AL"/>
        </w:rPr>
      </w:pPr>
      <w:r w:rsidRPr="001471C5">
        <w:rPr>
          <w:lang w:val="sq-AL"/>
        </w:rPr>
        <w:br w:type="page"/>
      </w:r>
      <w:r w:rsidR="003654E7">
        <w:rPr>
          <w:lang w:val="sq-AL"/>
        </w:rPr>
        <w:lastRenderedPageBreak/>
        <w:t xml:space="preserve"> </w:t>
      </w:r>
      <w:proofErr w:type="spellStart"/>
      <w:r w:rsidR="003654E7">
        <w:t>Redovna</w:t>
      </w:r>
      <w:proofErr w:type="spellEnd"/>
      <w:r w:rsidR="003654E7">
        <w:t xml:space="preserve"> </w:t>
      </w:r>
      <w:proofErr w:type="spellStart"/>
      <w:r w:rsidR="003654E7">
        <w:t>usklađivanja</w:t>
      </w:r>
      <w:proofErr w:type="spellEnd"/>
    </w:p>
    <w:p w14:paraId="3CD4FF21" w14:textId="5970C7C9" w:rsidR="00F815F2" w:rsidRPr="001471C5" w:rsidRDefault="00E4454A" w:rsidP="00F815F2">
      <w:pPr>
        <w:jc w:val="both"/>
      </w:pPr>
      <w:r>
        <w:t xml:space="preserve">U ovom delu su prikazana izračunavanja u vezi sa redovnim </w:t>
      </w:r>
      <w:r>
        <w:t xml:space="preserve">godišnjim usklađivanjima za 2020 </w:t>
      </w:r>
      <w:r>
        <w:t>godinu. Izračunavanje ovih usklađivanja će biti uključeno prilikom utvrđivanja maksimalno dozvol</w:t>
      </w:r>
      <w:r>
        <w:t>jenih prihoda za relevantnu 2021</w:t>
      </w:r>
      <w:r>
        <w:t xml:space="preserve">. godinu. </w:t>
      </w:r>
    </w:p>
    <w:p w14:paraId="524C5E7E" w14:textId="32D8B7C8" w:rsidR="00F815F2" w:rsidRPr="001471C5" w:rsidRDefault="00566ADE" w:rsidP="0014315E">
      <w:pPr>
        <w:pStyle w:val="Heading2"/>
      </w:pPr>
      <w:proofErr w:type="spellStart"/>
      <w:r>
        <w:t>Usklađivanje</w:t>
      </w:r>
      <w:proofErr w:type="spellEnd"/>
      <w:r>
        <w:t xml:space="preserve"> </w:t>
      </w:r>
      <w:proofErr w:type="spellStart"/>
      <w:r>
        <w:t>za</w:t>
      </w:r>
      <w:proofErr w:type="spellEnd"/>
      <w:r>
        <w:t xml:space="preserve"> </w:t>
      </w:r>
      <w:proofErr w:type="spellStart"/>
      <w:r>
        <w:t>stopu</w:t>
      </w:r>
      <w:proofErr w:type="spellEnd"/>
      <w:r>
        <w:t xml:space="preserve"> </w:t>
      </w:r>
      <w:proofErr w:type="spellStart"/>
      <w:r>
        <w:t>inflacije</w:t>
      </w:r>
      <w:proofErr w:type="spellEnd"/>
    </w:p>
    <w:p w14:paraId="56D1E8E1" w14:textId="5AF31866" w:rsidR="00F815F2" w:rsidRPr="001471C5" w:rsidRDefault="000B60D5" w:rsidP="00F815F2">
      <w:pPr>
        <w:spacing w:before="120"/>
        <w:jc w:val="both"/>
      </w:pPr>
      <w:r>
        <w:t xml:space="preserve">Da bi se izvršilo izračunavanje usklađivanja vezanih za stopu inflacije, kao referenca se uzima stopa inflacije koju objavljuje Eurostat za </w:t>
      </w:r>
      <w:r w:rsidR="006C1229">
        <w:t>zemlje E</w:t>
      </w:r>
      <w:r>
        <w:t>vrozone, koja je za 2020. godinu iznosila 0,26%</w:t>
      </w:r>
      <w:r w:rsidRPr="00D339C6">
        <w:rPr>
          <w:rStyle w:val="FootnoteReference"/>
        </w:rPr>
        <w:footnoteReference w:id="1"/>
      </w:r>
      <w:r w:rsidRPr="00D339C6">
        <w:t>.</w:t>
      </w:r>
      <w:r>
        <w:t xml:space="preserve"> </w:t>
      </w:r>
      <w:r>
        <w:t xml:space="preserve"> Način izračunavanja takvih prilagođavanja je utvrđen u Pravilniku prihoda OPS / OT-a. </w:t>
      </w:r>
    </w:p>
    <w:p w14:paraId="4DDFE929" w14:textId="0AED5818" w:rsidR="00F815F2" w:rsidRPr="001471C5" w:rsidRDefault="006C1229" w:rsidP="00F815F2">
      <w:pPr>
        <w:jc w:val="both"/>
      </w:pPr>
      <w:r>
        <w:t>Ova stopa se sprovodi na usklađivanje operativnih troškova, troškova amortizacije i povratka u kapital. Nakon sprovođenja stope inflacije na komponente gore navedenih troškova, sledi vrednost uskl</w:t>
      </w:r>
      <w:r>
        <w:t>ađenih troškova u iznosu od 0,08 miliona E</w:t>
      </w:r>
      <w:r>
        <w:t>vra. Usklađivanja koja proizilaze od sprovođenja stope inflacije za svaku od kompon</w:t>
      </w:r>
      <w:r>
        <w:t>enti dozvoljenih troškova u 2020</w:t>
      </w:r>
      <w:r>
        <w:t>. godini dodane su p</w:t>
      </w:r>
      <w:r>
        <w:t>očetnoj proceni troškova za 2021</w:t>
      </w:r>
      <w:r>
        <w:t>. godinu, utvrđene tokom periodičnog pregleda. Detalji ovih izračunavanja prikazani su u sledećoj tabeli:</w:t>
      </w:r>
    </w:p>
    <w:p w14:paraId="2200B98A" w14:textId="2C7F58D3" w:rsidR="006F1778" w:rsidRPr="001471C5" w:rsidRDefault="00B2210C" w:rsidP="006F1778">
      <w:pPr>
        <w:pStyle w:val="Caption"/>
        <w:ind w:firstLine="720"/>
        <w:rPr>
          <w:lang w:val="sq-AL"/>
        </w:rPr>
      </w:pPr>
      <w:r w:rsidRPr="001471C5">
        <w:rPr>
          <w:lang w:val="sq-AL"/>
        </w:rPr>
        <w:t>Tabela</w:t>
      </w:r>
      <w:r w:rsidR="006F1778" w:rsidRPr="001471C5">
        <w:rPr>
          <w:lang w:val="sq-AL"/>
        </w:rPr>
        <w:t xml:space="preserve"> </w:t>
      </w:r>
      <w:r w:rsidR="00863F08" w:rsidRPr="001471C5">
        <w:rPr>
          <w:lang w:val="sq-AL"/>
        </w:rPr>
        <w:t>2</w:t>
      </w:r>
      <w:r w:rsidR="00137A82">
        <w:rPr>
          <w:lang w:val="sq-AL"/>
        </w:rPr>
        <w:t xml:space="preserve">: </w:t>
      </w:r>
      <w:proofErr w:type="spellStart"/>
      <w:r w:rsidR="00137A82">
        <w:t>Usklađivanja</w:t>
      </w:r>
      <w:proofErr w:type="spellEnd"/>
      <w:r w:rsidR="00137A82">
        <w:t xml:space="preserve"> </w:t>
      </w:r>
      <w:proofErr w:type="spellStart"/>
      <w:r w:rsidR="00137A82">
        <w:t>za</w:t>
      </w:r>
      <w:proofErr w:type="spellEnd"/>
      <w:r w:rsidR="00137A82">
        <w:t xml:space="preserve"> </w:t>
      </w:r>
      <w:proofErr w:type="spellStart"/>
      <w:r w:rsidR="00137A82">
        <w:t>inflaciju</w:t>
      </w:r>
      <w:proofErr w:type="spellEnd"/>
    </w:p>
    <w:tbl>
      <w:tblPr>
        <w:tblStyle w:val="TableGrid"/>
        <w:tblW w:w="0" w:type="auto"/>
        <w:jc w:val="center"/>
        <w:tblLook w:val="04A0" w:firstRow="1" w:lastRow="0" w:firstColumn="1" w:lastColumn="0" w:noHBand="0" w:noVBand="1"/>
      </w:tblPr>
      <w:tblGrid>
        <w:gridCol w:w="2094"/>
        <w:gridCol w:w="927"/>
        <w:gridCol w:w="1241"/>
        <w:gridCol w:w="1516"/>
        <w:gridCol w:w="1568"/>
        <w:gridCol w:w="1461"/>
      </w:tblGrid>
      <w:tr w:rsidR="00F815F2" w:rsidRPr="00FA532E" w14:paraId="3C11E0D9" w14:textId="77777777" w:rsidTr="00AB57EE">
        <w:trPr>
          <w:jc w:val="center"/>
        </w:trPr>
        <w:tc>
          <w:tcPr>
            <w:tcW w:w="2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14:paraId="10DAAF57" w14:textId="2C7F561E" w:rsidR="00F815F2" w:rsidRPr="00FA532E" w:rsidRDefault="00F815F2" w:rsidP="00327460">
            <w:pPr>
              <w:spacing w:after="0" w:line="240" w:lineRule="auto"/>
              <w:rPr>
                <w:color w:val="FFFFFF" w:themeColor="background1"/>
              </w:rPr>
            </w:pPr>
            <w:r w:rsidRPr="00FA532E">
              <w:rPr>
                <w:color w:val="FFFFFF" w:themeColor="background1"/>
              </w:rPr>
              <w:t>Lin</w:t>
            </w:r>
            <w:r w:rsidR="00137A82">
              <w:rPr>
                <w:color w:val="FFFFFF" w:themeColor="background1"/>
              </w:rPr>
              <w:t>i</w:t>
            </w:r>
            <w:r w:rsidRPr="00FA532E">
              <w:rPr>
                <w:color w:val="FFFFFF" w:themeColor="background1"/>
              </w:rPr>
              <w:t>ja</w:t>
            </w:r>
          </w:p>
        </w:tc>
        <w:tc>
          <w:tcPr>
            <w:tcW w:w="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14:paraId="308545AB" w14:textId="5B7896B0" w:rsidR="00F815F2" w:rsidRPr="00FA532E" w:rsidRDefault="00137A82" w:rsidP="00327460">
            <w:pPr>
              <w:spacing w:after="0" w:line="240" w:lineRule="auto"/>
              <w:jc w:val="center"/>
              <w:rPr>
                <w:color w:val="FFFFFF" w:themeColor="background1"/>
              </w:rPr>
            </w:pPr>
            <w:r>
              <w:rPr>
                <w:color w:val="FFFFFF" w:themeColor="background1"/>
              </w:rPr>
              <w:t>Jedinica</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14:paraId="03CE7948" w14:textId="77777777" w:rsidR="00F815F2" w:rsidRPr="00FA532E" w:rsidRDefault="00F815F2" w:rsidP="00327460">
            <w:pPr>
              <w:spacing w:after="0" w:line="240" w:lineRule="auto"/>
              <w:jc w:val="center"/>
              <w:rPr>
                <w:color w:val="FFFFFF" w:themeColor="background1"/>
              </w:rPr>
            </w:pPr>
            <w:r w:rsidRPr="00FA532E">
              <w:rPr>
                <w:color w:val="FFFFFF" w:themeColor="background1"/>
              </w:rPr>
              <w:t>a)</w:t>
            </w:r>
          </w:p>
          <w:p w14:paraId="230F6F90" w14:textId="2C992E2F" w:rsidR="00F815F2" w:rsidRPr="00FA532E" w:rsidRDefault="00137A82" w:rsidP="00327460">
            <w:pPr>
              <w:pStyle w:val="ListParagraph"/>
              <w:spacing w:after="0" w:line="240" w:lineRule="auto"/>
              <w:ind w:left="27"/>
              <w:jc w:val="center"/>
              <w:rPr>
                <w:rFonts w:cs="Calibri"/>
                <w:color w:val="FFFFFF" w:themeColor="background1"/>
                <w:lang w:val="sq-AL"/>
              </w:rPr>
            </w:pPr>
            <w:r>
              <w:rPr>
                <w:rFonts w:cs="Calibri"/>
                <w:color w:val="FFFFFF" w:themeColor="background1"/>
                <w:lang w:val="sq-AL"/>
              </w:rPr>
              <w:t>Dozvoljeno</w:t>
            </w:r>
          </w:p>
          <w:p w14:paraId="2237A7D4" w14:textId="53A95C87" w:rsidR="00F815F2" w:rsidRPr="00FA532E" w:rsidRDefault="00F815F2" w:rsidP="00A976AC">
            <w:pPr>
              <w:spacing w:after="0" w:line="240" w:lineRule="auto"/>
              <w:ind w:left="27"/>
              <w:jc w:val="center"/>
              <w:rPr>
                <w:color w:val="FFFFFF" w:themeColor="background1"/>
              </w:rPr>
            </w:pPr>
            <w:r w:rsidRPr="00FA532E">
              <w:rPr>
                <w:color w:val="FFFFFF" w:themeColor="background1"/>
              </w:rPr>
              <w:t>20</w:t>
            </w:r>
            <w:r w:rsidR="00FA532E">
              <w:rPr>
                <w:color w:val="FFFFFF" w:themeColor="background1"/>
              </w:rPr>
              <w:t>20</w:t>
            </w:r>
          </w:p>
        </w:tc>
        <w:tc>
          <w:tcPr>
            <w:tcW w:w="1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14:paraId="4C2E328D" w14:textId="77777777" w:rsidR="00F815F2" w:rsidRPr="00FA532E" w:rsidRDefault="00F815F2" w:rsidP="00327460">
            <w:pPr>
              <w:spacing w:after="0" w:line="240" w:lineRule="auto"/>
              <w:jc w:val="center"/>
              <w:rPr>
                <w:color w:val="FFFFFF" w:themeColor="background1"/>
              </w:rPr>
            </w:pPr>
            <w:r w:rsidRPr="00FA532E">
              <w:rPr>
                <w:color w:val="FFFFFF" w:themeColor="background1"/>
              </w:rPr>
              <w:t>b)</w:t>
            </w:r>
          </w:p>
          <w:p w14:paraId="23563074" w14:textId="34B73AAC" w:rsidR="00F815F2" w:rsidRPr="00FA532E" w:rsidRDefault="00137A82" w:rsidP="00327460">
            <w:pPr>
              <w:spacing w:after="0" w:line="240" w:lineRule="auto"/>
              <w:jc w:val="center"/>
              <w:rPr>
                <w:color w:val="FFFFFF" w:themeColor="background1"/>
              </w:rPr>
            </w:pPr>
            <w:r>
              <w:t xml:space="preserve">Usklađeno za </w:t>
            </w:r>
            <w:r>
              <w:rPr>
                <w:color w:val="FFFFFF" w:themeColor="background1"/>
              </w:rPr>
              <w:t>Inflaciju</w:t>
            </w:r>
          </w:p>
        </w:tc>
        <w:tc>
          <w:tcPr>
            <w:tcW w:w="1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14:paraId="3C8D94D4" w14:textId="77777777" w:rsidR="00F815F2" w:rsidRPr="00FA532E" w:rsidRDefault="00F815F2" w:rsidP="00327460">
            <w:pPr>
              <w:spacing w:after="0" w:line="240" w:lineRule="auto"/>
              <w:jc w:val="center"/>
              <w:rPr>
                <w:color w:val="FFFFFF" w:themeColor="background1"/>
              </w:rPr>
            </w:pPr>
            <w:r w:rsidRPr="00FA532E">
              <w:rPr>
                <w:color w:val="FFFFFF" w:themeColor="background1"/>
              </w:rPr>
              <w:t>c)</w:t>
            </w:r>
          </w:p>
          <w:p w14:paraId="1E9355D2" w14:textId="329BCD80" w:rsidR="00F815F2" w:rsidRPr="00FA532E" w:rsidRDefault="00137A82" w:rsidP="00327460">
            <w:pPr>
              <w:spacing w:after="0" w:line="240" w:lineRule="auto"/>
              <w:jc w:val="center"/>
              <w:rPr>
                <w:color w:val="FFFFFF" w:themeColor="background1"/>
              </w:rPr>
            </w:pPr>
            <w:r>
              <w:t>Početna procena</w:t>
            </w:r>
            <w:r w:rsidR="00A976AC" w:rsidRPr="00FA532E">
              <w:rPr>
                <w:color w:val="FFFFFF" w:themeColor="background1"/>
              </w:rPr>
              <w:t xml:space="preserve"> 202</w:t>
            </w:r>
            <w:r w:rsidR="00FA532E">
              <w:rPr>
                <w:color w:val="FFFFFF" w:themeColor="background1"/>
              </w:rPr>
              <w:t>1</w:t>
            </w:r>
            <w:r w:rsidR="00F815F2" w:rsidRPr="00FA532E">
              <w:rPr>
                <w:rStyle w:val="FootnoteReference"/>
                <w:color w:val="FFFFFF" w:themeColor="background1"/>
              </w:rPr>
              <w:footnoteReference w:id="2"/>
            </w:r>
          </w:p>
        </w:tc>
        <w:tc>
          <w:tcPr>
            <w:tcW w:w="14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14:paraId="155013BC" w14:textId="1B67D317" w:rsidR="00F815F2" w:rsidRPr="00FA532E" w:rsidRDefault="00137A82" w:rsidP="00782E58">
            <w:pPr>
              <w:spacing w:after="0" w:line="240" w:lineRule="auto"/>
              <w:jc w:val="center"/>
              <w:rPr>
                <w:color w:val="FFFFFF" w:themeColor="background1"/>
              </w:rPr>
            </w:pPr>
            <w:r>
              <w:rPr>
                <w:color w:val="FFFFFF" w:themeColor="background1"/>
              </w:rPr>
              <w:t xml:space="preserve">d=b+c </w:t>
            </w:r>
            <w:r>
              <w:t>Dozvoljavanje</w:t>
            </w:r>
            <w:r w:rsidR="00F815F2" w:rsidRPr="00FA532E">
              <w:rPr>
                <w:color w:val="FFFFFF" w:themeColor="background1"/>
              </w:rPr>
              <w:t xml:space="preserve"> </w:t>
            </w:r>
            <w:r w:rsidR="00782E58" w:rsidRPr="00FA532E">
              <w:rPr>
                <w:color w:val="FFFFFF" w:themeColor="background1"/>
              </w:rPr>
              <w:t>202</w:t>
            </w:r>
            <w:r w:rsidR="00FA532E">
              <w:rPr>
                <w:color w:val="FFFFFF" w:themeColor="background1"/>
              </w:rPr>
              <w:t>1</w:t>
            </w:r>
          </w:p>
        </w:tc>
      </w:tr>
      <w:tr w:rsidR="00FA532E" w:rsidRPr="00FA532E" w14:paraId="545210C7" w14:textId="77777777" w:rsidTr="00AB57EE">
        <w:trPr>
          <w:jc w:val="center"/>
        </w:trPr>
        <w:tc>
          <w:tcPr>
            <w:tcW w:w="2094" w:type="dxa"/>
            <w:tcBorders>
              <w:top w:val="single" w:sz="4" w:space="0" w:color="FFFFFF" w:themeColor="background1"/>
            </w:tcBorders>
          </w:tcPr>
          <w:p w14:paraId="14EBBE99" w14:textId="77777777" w:rsidR="00FA532E" w:rsidRPr="00FA532E" w:rsidRDefault="00FA532E" w:rsidP="00FA532E">
            <w:pPr>
              <w:spacing w:after="0" w:line="240" w:lineRule="auto"/>
              <w:rPr>
                <w:color w:val="000000"/>
              </w:rPr>
            </w:pPr>
            <w:r w:rsidRPr="00FA532E">
              <w:rPr>
                <w:color w:val="000000"/>
              </w:rPr>
              <w:t>OPEX-i</w:t>
            </w:r>
          </w:p>
        </w:tc>
        <w:tc>
          <w:tcPr>
            <w:tcW w:w="927" w:type="dxa"/>
            <w:tcBorders>
              <w:top w:val="single" w:sz="4" w:space="0" w:color="FFFFFF" w:themeColor="background1"/>
            </w:tcBorders>
          </w:tcPr>
          <w:p w14:paraId="32FBBE49" w14:textId="77777777" w:rsidR="00FA532E" w:rsidRPr="00FA532E" w:rsidRDefault="00FA532E" w:rsidP="00FA532E">
            <w:pPr>
              <w:spacing w:after="0" w:line="240" w:lineRule="auto"/>
              <w:jc w:val="center"/>
              <w:rPr>
                <w:color w:val="000000"/>
              </w:rPr>
            </w:pPr>
            <w:r w:rsidRPr="00FA532E">
              <w:rPr>
                <w:color w:val="000000"/>
              </w:rPr>
              <w:t xml:space="preserve">mil € </w:t>
            </w:r>
          </w:p>
        </w:tc>
        <w:tc>
          <w:tcPr>
            <w:tcW w:w="1241" w:type="dxa"/>
            <w:tcBorders>
              <w:top w:val="single" w:sz="4" w:space="0" w:color="FFFFFF" w:themeColor="background1"/>
            </w:tcBorders>
          </w:tcPr>
          <w:p w14:paraId="7EBFD407" w14:textId="77A2FDF4" w:rsidR="00FA532E" w:rsidRPr="00FA532E" w:rsidRDefault="00FA532E" w:rsidP="00FA532E">
            <w:pPr>
              <w:spacing w:after="0" w:line="240" w:lineRule="auto"/>
              <w:jc w:val="right"/>
              <w:rPr>
                <w:color w:val="000000"/>
              </w:rPr>
            </w:pPr>
            <w:r w:rsidRPr="00FA532E">
              <w:rPr>
                <w:color w:val="000000"/>
              </w:rPr>
              <w:t>7.28</w:t>
            </w:r>
          </w:p>
        </w:tc>
        <w:tc>
          <w:tcPr>
            <w:tcW w:w="1516" w:type="dxa"/>
            <w:tcBorders>
              <w:top w:val="single" w:sz="4" w:space="0" w:color="FFFFFF" w:themeColor="background1"/>
            </w:tcBorders>
          </w:tcPr>
          <w:p w14:paraId="203604C2" w14:textId="17A3B923" w:rsidR="00FA532E" w:rsidRPr="00FA532E" w:rsidRDefault="00FA532E" w:rsidP="00FA532E">
            <w:pPr>
              <w:spacing w:after="0" w:line="240" w:lineRule="auto"/>
              <w:jc w:val="right"/>
              <w:rPr>
                <w:color w:val="000000"/>
              </w:rPr>
            </w:pPr>
            <w:r w:rsidRPr="00FA532E">
              <w:rPr>
                <w:color w:val="000000"/>
              </w:rPr>
              <w:t>0.0</w:t>
            </w:r>
            <w:r>
              <w:rPr>
                <w:color w:val="000000"/>
              </w:rPr>
              <w:t>2</w:t>
            </w:r>
          </w:p>
        </w:tc>
        <w:tc>
          <w:tcPr>
            <w:tcW w:w="1568" w:type="dxa"/>
            <w:tcBorders>
              <w:top w:val="single" w:sz="4" w:space="0" w:color="FFFFFF" w:themeColor="background1"/>
            </w:tcBorders>
          </w:tcPr>
          <w:p w14:paraId="536155D3" w14:textId="1F24CC0C" w:rsidR="00FA532E" w:rsidRPr="00FA532E" w:rsidRDefault="00FA532E" w:rsidP="00FA532E">
            <w:pPr>
              <w:spacing w:after="0" w:line="240" w:lineRule="auto"/>
              <w:jc w:val="right"/>
              <w:rPr>
                <w:color w:val="000000"/>
              </w:rPr>
            </w:pPr>
            <w:r>
              <w:rPr>
                <w:color w:val="000000"/>
              </w:rPr>
              <w:t>7.09</w:t>
            </w:r>
          </w:p>
        </w:tc>
        <w:tc>
          <w:tcPr>
            <w:tcW w:w="1461" w:type="dxa"/>
            <w:tcBorders>
              <w:top w:val="single" w:sz="4" w:space="0" w:color="FFFFFF" w:themeColor="background1"/>
            </w:tcBorders>
          </w:tcPr>
          <w:p w14:paraId="58266734" w14:textId="081EFD90" w:rsidR="00FA532E" w:rsidRPr="00FA532E" w:rsidRDefault="00FA532E" w:rsidP="00FA532E">
            <w:pPr>
              <w:spacing w:after="0" w:line="240" w:lineRule="auto"/>
              <w:jc w:val="right"/>
              <w:rPr>
                <w:color w:val="000000"/>
              </w:rPr>
            </w:pPr>
            <w:r>
              <w:rPr>
                <w:color w:val="000000"/>
              </w:rPr>
              <w:t>7.11</w:t>
            </w:r>
          </w:p>
        </w:tc>
      </w:tr>
      <w:tr w:rsidR="00FA532E" w:rsidRPr="00FA532E" w14:paraId="0B3BB527" w14:textId="77777777" w:rsidTr="00AB57EE">
        <w:trPr>
          <w:jc w:val="center"/>
        </w:trPr>
        <w:tc>
          <w:tcPr>
            <w:tcW w:w="2094" w:type="dxa"/>
          </w:tcPr>
          <w:p w14:paraId="6B5A88CB" w14:textId="26AF444E" w:rsidR="00FA532E" w:rsidRPr="00FA532E" w:rsidRDefault="00137A82" w:rsidP="00FA532E">
            <w:pPr>
              <w:spacing w:after="0" w:line="240" w:lineRule="auto"/>
              <w:rPr>
                <w:color w:val="000000"/>
              </w:rPr>
            </w:pPr>
            <w:r>
              <w:t>Amortizacija</w:t>
            </w:r>
          </w:p>
        </w:tc>
        <w:tc>
          <w:tcPr>
            <w:tcW w:w="927" w:type="dxa"/>
          </w:tcPr>
          <w:p w14:paraId="0B3EC02C" w14:textId="77777777" w:rsidR="00FA532E" w:rsidRPr="00FA532E" w:rsidRDefault="00FA532E" w:rsidP="00FA532E">
            <w:pPr>
              <w:spacing w:after="0" w:line="240" w:lineRule="auto"/>
              <w:jc w:val="center"/>
              <w:rPr>
                <w:color w:val="000000"/>
              </w:rPr>
            </w:pPr>
            <w:r w:rsidRPr="00FA532E">
              <w:rPr>
                <w:color w:val="000000"/>
              </w:rPr>
              <w:t>mil €</w:t>
            </w:r>
          </w:p>
        </w:tc>
        <w:tc>
          <w:tcPr>
            <w:tcW w:w="1241" w:type="dxa"/>
          </w:tcPr>
          <w:p w14:paraId="015F052C" w14:textId="7FAFC4B0" w:rsidR="00FA532E" w:rsidRPr="00FA532E" w:rsidRDefault="00FA532E" w:rsidP="00FA532E">
            <w:pPr>
              <w:spacing w:after="0" w:line="240" w:lineRule="auto"/>
              <w:jc w:val="right"/>
              <w:rPr>
                <w:color w:val="000000"/>
              </w:rPr>
            </w:pPr>
            <w:r w:rsidRPr="00FA532E">
              <w:rPr>
                <w:color w:val="000000"/>
              </w:rPr>
              <w:t>11.3</w:t>
            </w:r>
            <w:r>
              <w:rPr>
                <w:color w:val="000000"/>
              </w:rPr>
              <w:t>6</w:t>
            </w:r>
          </w:p>
        </w:tc>
        <w:tc>
          <w:tcPr>
            <w:tcW w:w="1516" w:type="dxa"/>
          </w:tcPr>
          <w:p w14:paraId="35560A67" w14:textId="13E6D6B6" w:rsidR="00FA532E" w:rsidRPr="00FA532E" w:rsidRDefault="00FA532E" w:rsidP="00FA532E">
            <w:pPr>
              <w:spacing w:after="0" w:line="240" w:lineRule="auto"/>
              <w:jc w:val="right"/>
              <w:rPr>
                <w:color w:val="000000"/>
              </w:rPr>
            </w:pPr>
            <w:r w:rsidRPr="00FA532E">
              <w:rPr>
                <w:color w:val="000000"/>
              </w:rPr>
              <w:t>0.</w:t>
            </w:r>
            <w:r>
              <w:rPr>
                <w:color w:val="000000"/>
              </w:rPr>
              <w:t>03</w:t>
            </w:r>
          </w:p>
        </w:tc>
        <w:tc>
          <w:tcPr>
            <w:tcW w:w="1568" w:type="dxa"/>
          </w:tcPr>
          <w:p w14:paraId="40D9EBB5" w14:textId="6F1504EC" w:rsidR="00FA532E" w:rsidRPr="00FA532E" w:rsidRDefault="00FA532E" w:rsidP="00FA532E">
            <w:pPr>
              <w:spacing w:after="0" w:line="240" w:lineRule="auto"/>
              <w:jc w:val="right"/>
              <w:rPr>
                <w:color w:val="000000"/>
              </w:rPr>
            </w:pPr>
            <w:r>
              <w:rPr>
                <w:color w:val="000000"/>
              </w:rPr>
              <w:t>11.71</w:t>
            </w:r>
          </w:p>
        </w:tc>
        <w:tc>
          <w:tcPr>
            <w:tcW w:w="1461" w:type="dxa"/>
          </w:tcPr>
          <w:p w14:paraId="03345F61" w14:textId="51855929" w:rsidR="00FA532E" w:rsidRPr="00FA532E" w:rsidRDefault="00FA532E" w:rsidP="00FA532E">
            <w:pPr>
              <w:spacing w:after="0" w:line="240" w:lineRule="auto"/>
              <w:jc w:val="right"/>
              <w:rPr>
                <w:color w:val="000000"/>
              </w:rPr>
            </w:pPr>
            <w:r>
              <w:rPr>
                <w:color w:val="000000"/>
              </w:rPr>
              <w:t>11.74</w:t>
            </w:r>
          </w:p>
        </w:tc>
      </w:tr>
      <w:tr w:rsidR="00FA532E" w:rsidRPr="00FA532E" w14:paraId="02DD2034" w14:textId="77777777" w:rsidTr="00AB57EE">
        <w:trPr>
          <w:jc w:val="center"/>
        </w:trPr>
        <w:tc>
          <w:tcPr>
            <w:tcW w:w="2094" w:type="dxa"/>
            <w:tcBorders>
              <w:bottom w:val="single" w:sz="4" w:space="0" w:color="FFFFFF" w:themeColor="background1"/>
            </w:tcBorders>
          </w:tcPr>
          <w:p w14:paraId="0CA15365" w14:textId="5AB06050" w:rsidR="00FA532E" w:rsidRPr="00FA532E" w:rsidRDefault="00137A82" w:rsidP="00FA532E">
            <w:pPr>
              <w:spacing w:after="0" w:line="240" w:lineRule="auto"/>
              <w:rPr>
                <w:color w:val="000000"/>
              </w:rPr>
            </w:pPr>
            <w:r>
              <w:t>Povratak</w:t>
            </w:r>
          </w:p>
        </w:tc>
        <w:tc>
          <w:tcPr>
            <w:tcW w:w="927" w:type="dxa"/>
            <w:tcBorders>
              <w:bottom w:val="single" w:sz="4" w:space="0" w:color="FFFFFF" w:themeColor="background1"/>
            </w:tcBorders>
          </w:tcPr>
          <w:p w14:paraId="2408F2F8" w14:textId="77777777" w:rsidR="00FA532E" w:rsidRPr="00FA532E" w:rsidRDefault="00FA532E" w:rsidP="00FA532E">
            <w:pPr>
              <w:spacing w:after="0" w:line="240" w:lineRule="auto"/>
              <w:jc w:val="center"/>
              <w:rPr>
                <w:color w:val="000000"/>
              </w:rPr>
            </w:pPr>
            <w:r w:rsidRPr="00FA532E">
              <w:rPr>
                <w:color w:val="000000"/>
              </w:rPr>
              <w:t>mil €</w:t>
            </w:r>
          </w:p>
        </w:tc>
        <w:tc>
          <w:tcPr>
            <w:tcW w:w="1241" w:type="dxa"/>
            <w:tcBorders>
              <w:bottom w:val="single" w:sz="4" w:space="0" w:color="FFFFFF" w:themeColor="background1"/>
            </w:tcBorders>
          </w:tcPr>
          <w:p w14:paraId="065DE1E7" w14:textId="545938BE" w:rsidR="00FA532E" w:rsidRPr="00FA532E" w:rsidRDefault="00FA532E" w:rsidP="00FA532E">
            <w:pPr>
              <w:spacing w:after="0" w:line="240" w:lineRule="auto"/>
              <w:jc w:val="right"/>
              <w:rPr>
                <w:color w:val="000000"/>
              </w:rPr>
            </w:pPr>
            <w:r w:rsidRPr="00FA532E">
              <w:rPr>
                <w:color w:val="000000"/>
              </w:rPr>
              <w:t>10.3</w:t>
            </w:r>
            <w:r>
              <w:rPr>
                <w:color w:val="000000"/>
              </w:rPr>
              <w:t>4</w:t>
            </w:r>
          </w:p>
        </w:tc>
        <w:tc>
          <w:tcPr>
            <w:tcW w:w="1516" w:type="dxa"/>
            <w:tcBorders>
              <w:bottom w:val="single" w:sz="4" w:space="0" w:color="FFFFFF" w:themeColor="background1"/>
            </w:tcBorders>
          </w:tcPr>
          <w:p w14:paraId="5AB00447" w14:textId="3A295F65" w:rsidR="00FA532E" w:rsidRPr="00FA532E" w:rsidRDefault="00FA532E" w:rsidP="00FA532E">
            <w:pPr>
              <w:spacing w:after="0" w:line="240" w:lineRule="auto"/>
              <w:jc w:val="right"/>
              <w:rPr>
                <w:color w:val="000000"/>
              </w:rPr>
            </w:pPr>
            <w:r w:rsidRPr="00FA532E">
              <w:rPr>
                <w:color w:val="000000"/>
              </w:rPr>
              <w:t>0.</w:t>
            </w:r>
            <w:r>
              <w:rPr>
                <w:color w:val="000000"/>
              </w:rPr>
              <w:t>03</w:t>
            </w:r>
          </w:p>
        </w:tc>
        <w:tc>
          <w:tcPr>
            <w:tcW w:w="1568" w:type="dxa"/>
            <w:tcBorders>
              <w:bottom w:val="single" w:sz="4" w:space="0" w:color="FFFFFF" w:themeColor="background1"/>
            </w:tcBorders>
          </w:tcPr>
          <w:p w14:paraId="2DA0FBD3" w14:textId="2CC293FB" w:rsidR="00FA532E" w:rsidRPr="00FA532E" w:rsidRDefault="00FA532E" w:rsidP="00FA532E">
            <w:pPr>
              <w:spacing w:after="0" w:line="240" w:lineRule="auto"/>
              <w:jc w:val="right"/>
              <w:rPr>
                <w:color w:val="000000"/>
              </w:rPr>
            </w:pPr>
            <w:r w:rsidRPr="00FA532E">
              <w:rPr>
                <w:color w:val="000000"/>
              </w:rPr>
              <w:t>10.</w:t>
            </w:r>
            <w:r>
              <w:rPr>
                <w:color w:val="000000"/>
              </w:rPr>
              <w:t>85</w:t>
            </w:r>
          </w:p>
        </w:tc>
        <w:tc>
          <w:tcPr>
            <w:tcW w:w="1461" w:type="dxa"/>
            <w:tcBorders>
              <w:bottom w:val="single" w:sz="4" w:space="0" w:color="FFFFFF" w:themeColor="background1"/>
            </w:tcBorders>
          </w:tcPr>
          <w:p w14:paraId="13E993F0" w14:textId="2598279D" w:rsidR="00FA532E" w:rsidRPr="00FA532E" w:rsidRDefault="00FA532E" w:rsidP="00FA532E">
            <w:pPr>
              <w:spacing w:after="0" w:line="240" w:lineRule="auto"/>
              <w:jc w:val="right"/>
              <w:rPr>
                <w:color w:val="000000"/>
              </w:rPr>
            </w:pPr>
            <w:r>
              <w:rPr>
                <w:color w:val="000000"/>
              </w:rPr>
              <w:t>10.88</w:t>
            </w:r>
          </w:p>
        </w:tc>
      </w:tr>
      <w:tr w:rsidR="00FA532E" w:rsidRPr="001471C5" w14:paraId="324C4796" w14:textId="77777777" w:rsidTr="00AB57EE">
        <w:trPr>
          <w:trHeight w:val="251"/>
          <w:jc w:val="center"/>
        </w:trPr>
        <w:tc>
          <w:tcPr>
            <w:tcW w:w="2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78291F56" w14:textId="64618816" w:rsidR="00FA532E" w:rsidRPr="00FA532E" w:rsidRDefault="00137A82" w:rsidP="00FA532E">
            <w:pPr>
              <w:spacing w:after="0" w:line="240" w:lineRule="auto"/>
              <w:rPr>
                <w:color w:val="FFFFFF" w:themeColor="background1"/>
              </w:rPr>
            </w:pPr>
            <w:r>
              <w:rPr>
                <w:color w:val="FFFFFF" w:themeColor="background1"/>
              </w:rPr>
              <w:t>Ukupno</w:t>
            </w:r>
          </w:p>
        </w:tc>
        <w:tc>
          <w:tcPr>
            <w:tcW w:w="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5CA42C24" w14:textId="77777777" w:rsidR="00FA532E" w:rsidRPr="00FA532E" w:rsidRDefault="00FA532E" w:rsidP="00FA532E">
            <w:pPr>
              <w:spacing w:after="0" w:line="240" w:lineRule="auto"/>
              <w:jc w:val="center"/>
              <w:rPr>
                <w:color w:val="FFFFFF" w:themeColor="background1"/>
              </w:rPr>
            </w:pPr>
            <w:r w:rsidRPr="00FA532E">
              <w:rPr>
                <w:color w:val="FFFFFF" w:themeColor="background1"/>
              </w:rPr>
              <w:t>mil €</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213E4243" w14:textId="664168E2" w:rsidR="00FA532E" w:rsidRPr="00FA532E" w:rsidRDefault="00FA532E" w:rsidP="00FA532E">
            <w:pPr>
              <w:spacing w:after="0" w:line="240" w:lineRule="auto"/>
              <w:jc w:val="right"/>
              <w:rPr>
                <w:color w:val="FFFFFF" w:themeColor="background1"/>
              </w:rPr>
            </w:pPr>
            <w:r w:rsidRPr="00FA532E">
              <w:rPr>
                <w:color w:val="FFFFFF" w:themeColor="background1"/>
              </w:rPr>
              <w:t>28.9</w:t>
            </w:r>
            <w:r>
              <w:rPr>
                <w:color w:val="FFFFFF" w:themeColor="background1"/>
              </w:rPr>
              <w:t>8</w:t>
            </w:r>
          </w:p>
        </w:tc>
        <w:tc>
          <w:tcPr>
            <w:tcW w:w="1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tcPr>
          <w:p w14:paraId="6C80CE5E" w14:textId="6F37BD56" w:rsidR="00FA532E" w:rsidRPr="00FA532E" w:rsidRDefault="00FA532E" w:rsidP="00FA532E">
            <w:pPr>
              <w:spacing w:after="0" w:line="240" w:lineRule="auto"/>
              <w:jc w:val="right"/>
              <w:rPr>
                <w:color w:val="FFFFFF" w:themeColor="background1"/>
              </w:rPr>
            </w:pPr>
            <w:r w:rsidRPr="00FA532E">
              <w:rPr>
                <w:color w:val="FFFFFF" w:themeColor="background1"/>
              </w:rPr>
              <w:t>0.</w:t>
            </w:r>
            <w:r>
              <w:rPr>
                <w:color w:val="FFFFFF" w:themeColor="background1"/>
              </w:rPr>
              <w:t>08</w:t>
            </w:r>
          </w:p>
        </w:tc>
        <w:tc>
          <w:tcPr>
            <w:tcW w:w="1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tcPr>
          <w:p w14:paraId="2479D7AC" w14:textId="1F777405" w:rsidR="00FA532E" w:rsidRPr="00FA532E" w:rsidRDefault="00FA532E" w:rsidP="00FA532E">
            <w:pPr>
              <w:spacing w:after="0" w:line="240" w:lineRule="auto"/>
              <w:jc w:val="right"/>
              <w:rPr>
                <w:color w:val="FFFFFF" w:themeColor="background1"/>
              </w:rPr>
            </w:pPr>
            <w:r>
              <w:rPr>
                <w:color w:val="FFFFFF" w:themeColor="background1"/>
              </w:rPr>
              <w:t>29.65</w:t>
            </w:r>
          </w:p>
        </w:tc>
        <w:tc>
          <w:tcPr>
            <w:tcW w:w="14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7153AE22" w14:textId="1C842EA9" w:rsidR="00FA532E" w:rsidRPr="001471C5" w:rsidRDefault="00FA532E" w:rsidP="00FA532E">
            <w:pPr>
              <w:keepNext/>
              <w:spacing w:after="0" w:line="240" w:lineRule="auto"/>
              <w:jc w:val="right"/>
              <w:rPr>
                <w:color w:val="FFFFFF" w:themeColor="background1"/>
              </w:rPr>
            </w:pPr>
            <w:r>
              <w:rPr>
                <w:color w:val="FFFFFF" w:themeColor="background1"/>
              </w:rPr>
              <w:t>29.73</w:t>
            </w:r>
          </w:p>
        </w:tc>
      </w:tr>
    </w:tbl>
    <w:p w14:paraId="33631B70" w14:textId="01D5DC7E" w:rsidR="00084F51" w:rsidRPr="001471C5" w:rsidRDefault="00AB57EE" w:rsidP="00AB57EE">
      <w:pPr>
        <w:pStyle w:val="Heading2"/>
      </w:pPr>
      <w:bookmarkStart w:id="6" w:name="_Toc71118716"/>
      <w:proofErr w:type="spellStart"/>
      <w:r>
        <w:t>Ostala</w:t>
      </w:r>
      <w:proofErr w:type="spellEnd"/>
      <w:r>
        <w:t xml:space="preserve"> </w:t>
      </w:r>
      <w:proofErr w:type="spellStart"/>
      <w:r>
        <w:t>uskla</w:t>
      </w:r>
      <w:r>
        <w:rPr>
          <w:rFonts w:cs="Calibri"/>
        </w:rPr>
        <w:t>đ</w:t>
      </w:r>
      <w:r>
        <w:t>ivanja</w:t>
      </w:r>
      <w:proofErr w:type="spellEnd"/>
      <w:r w:rsidRPr="00AB57EE">
        <w:t xml:space="preserve"> u </w:t>
      </w:r>
      <w:r w:rsidR="00084F51" w:rsidRPr="001471C5">
        <w:t>OPEX</w:t>
      </w:r>
      <w:bookmarkEnd w:id="6"/>
    </w:p>
    <w:p w14:paraId="7C205846" w14:textId="66E8334B" w:rsidR="00084F51" w:rsidRPr="001471C5" w:rsidRDefault="00D17585" w:rsidP="00542218">
      <w:pPr>
        <w:jc w:val="both"/>
      </w:pPr>
      <w:r w:rsidRPr="00D17585">
        <w:t xml:space="preserve">RUE je tokom periodičnog pregleda 2018-2022 </w:t>
      </w:r>
      <w:r>
        <w:t>dozvolio dodatne troškove u OPEX</w:t>
      </w:r>
      <w:r w:rsidRPr="00D17585">
        <w:t>-u, koji se o</w:t>
      </w:r>
      <w:r>
        <w:t>dnose na rad trafostanice Valla</w:t>
      </w:r>
      <w:r>
        <w:rPr>
          <w:rFonts w:cs="Calibri"/>
        </w:rPr>
        <w:t>ć</w:t>
      </w:r>
      <w:r w:rsidRPr="00D17585">
        <w:t>. Kako ovi troškovi nisu ostvareni tokom 2020</w:t>
      </w:r>
      <w:r>
        <w:t>. godine, RUE je izvršio usklađi</w:t>
      </w:r>
      <w:r w:rsidRPr="00D17585">
        <w:t>vanje ovih</w:t>
      </w:r>
      <w:r>
        <w:t xml:space="preserve"> troškova. Vrednost ovih usklađi</w:t>
      </w:r>
      <w:r w:rsidRPr="00D17585">
        <w:t>vanja je 76</w:t>
      </w:r>
      <w:r>
        <w:t xml:space="preserve"> hiljada Evra. Obrada</w:t>
      </w:r>
      <w:r w:rsidR="00400AAD">
        <w:t xml:space="preserve"> ovih troškova će se sprovesti</w:t>
      </w:r>
      <w:r w:rsidRPr="00D17585">
        <w:t xml:space="preserve"> slično </w:t>
      </w:r>
      <w:r>
        <w:t xml:space="preserve">i </w:t>
      </w:r>
      <w:r w:rsidRPr="00D17585">
        <w:t>za 2021. godinu u slučaju da se ne ostvare</w:t>
      </w:r>
      <w:r>
        <w:t>.</w:t>
      </w:r>
    </w:p>
    <w:p w14:paraId="7FE7654B" w14:textId="77777777" w:rsidR="004177E1" w:rsidRPr="001471C5" w:rsidRDefault="004177E1" w:rsidP="00084F51"/>
    <w:p w14:paraId="6B25F5CA" w14:textId="77777777" w:rsidR="004177E1" w:rsidRPr="001471C5" w:rsidRDefault="004177E1" w:rsidP="00084F51"/>
    <w:p w14:paraId="2A5336DA" w14:textId="33A8F8C2" w:rsidR="00570AEC" w:rsidRPr="00D339C6" w:rsidRDefault="00B36ABC" w:rsidP="0014315E">
      <w:pPr>
        <w:pStyle w:val="Heading2"/>
      </w:pPr>
      <w:proofErr w:type="spellStart"/>
      <w:r>
        <w:lastRenderedPageBreak/>
        <w:t>Kapitalne</w:t>
      </w:r>
      <w:proofErr w:type="spellEnd"/>
      <w:r>
        <w:t xml:space="preserve"> </w:t>
      </w:r>
      <w:proofErr w:type="spellStart"/>
      <w:r>
        <w:t>investicije</w:t>
      </w:r>
      <w:proofErr w:type="spellEnd"/>
    </w:p>
    <w:p w14:paraId="556C1565" w14:textId="2556F826" w:rsidR="00570AEC" w:rsidRPr="001471C5" w:rsidRDefault="00B36ABC" w:rsidP="00B2210C">
      <w:pPr>
        <w:jc w:val="both"/>
      </w:pPr>
      <w:r>
        <w:t>KOSTT je preko dostavljene dokumentacije zatražio dodatne projekte pored onih dozvoljenih tokom višegodišnjeg procesa pregleda. Dokumentacija koju je dostavio KOSTT ima opšti opis potrebe za realizacijom ovih projekata. U cilju procene tehničke i finansijske opravdanosti ovih projekata i povezanih troškova, RUE traži od KOSTT-a da proceni ove projekte u skladu sa Pravilnikom o proceni kapitalnih investicija, prema kojem se trebaju analizirati ekonomski parametri, kao što su CBA, NPV, troškovi po jedinici, alternative kao i opis radova koji se odnosi na takve projekte.</w:t>
      </w:r>
      <w:r w:rsidR="00971C65" w:rsidRPr="001471C5">
        <w:t xml:space="preserve"> </w:t>
      </w:r>
    </w:p>
    <w:p w14:paraId="2E7DB97B" w14:textId="544B282C" w:rsidR="006E3D8D" w:rsidRPr="001471C5" w:rsidRDefault="00E63143" w:rsidP="00B2210C">
      <w:pPr>
        <w:jc w:val="both"/>
      </w:pPr>
      <w:r>
        <w:t>U nedost</w:t>
      </w:r>
      <w:r>
        <w:t xml:space="preserve">atku gore navedenih parametarau kao i velikog </w:t>
      </w:r>
      <w:r w:rsidRPr="00E63143">
        <w:t>broj</w:t>
      </w:r>
      <w:r>
        <w:t>a</w:t>
      </w:r>
      <w:r w:rsidRPr="00E63143">
        <w:t xml:space="preserve"> projekata koji značajno menjaju odobreni investicioni plan za petogodišnji period, u ovoj fazi konsultacija RUE nije prihvatio takve projekte.</w:t>
      </w:r>
      <w:r w:rsidR="00971C65" w:rsidRPr="001471C5">
        <w:t xml:space="preserve"> </w:t>
      </w:r>
    </w:p>
    <w:p w14:paraId="28416BD7" w14:textId="65244B30" w:rsidR="005729A4" w:rsidRPr="001471C5" w:rsidRDefault="009651D1" w:rsidP="00B2210C">
      <w:pPr>
        <w:jc w:val="both"/>
      </w:pPr>
      <w:r>
        <w:t xml:space="preserve">Na osnovu Pravila za Pregled Kapitalnih Projekata u Prenosnoj i Distributivnoj Mreži, od korisnika </w:t>
      </w:r>
      <w:r w:rsidRPr="009651D1">
        <w:t>se očekuje da u potp</w:t>
      </w:r>
      <w:r>
        <w:t>unosti primene Petogodišnji Investicioni P</w:t>
      </w:r>
      <w:r w:rsidRPr="009651D1">
        <w:t>lan, osim u slučajevima kada se tokom regulatornog perioda pojedinačni projekti ili programi identifikuju kao da više nisu potrebni ili mogu biti zamenjene alternativama koje pružaju ekvivalentne rezultate po nižoj ceni za njihov vek trajanja. Stoga</w:t>
      </w:r>
      <w:r>
        <w:t>,</w:t>
      </w:r>
      <w:r w:rsidRPr="009651D1">
        <w:t xml:space="preserve"> su stalna godišnja odstupanja od odobrenog investicionog plana prilično zabrinjavajuća za regulato</w:t>
      </w:r>
      <w:r>
        <w:t>ra i kao takvo je vrlo teško r</w:t>
      </w:r>
      <w:r w:rsidRPr="009651D1">
        <w:t>ešiti ih u procesu redovnih godišnjih ažuriranja, s obzirom na to da svaki novi projekat mora biti pr</w:t>
      </w:r>
      <w:r>
        <w:t xml:space="preserve">edmet javnih konsultacija i treba biti podržan detaljnim analizama </w:t>
      </w:r>
      <w:r w:rsidRPr="009651D1">
        <w:t>koje zahtevaju duže vreme za pregled. Razumljivo je da može doći do odstupanja u sprovođenju investicionog plana tokom godina, ali ta odstupanja treba da budu razumna i njihov uticaj treba da bude minimalan za sistem i kupce, ako se većina n</w:t>
      </w:r>
      <w:r>
        <w:t>jih ostvari u regulatornom roku</w:t>
      </w:r>
      <w:r w:rsidR="005729A4" w:rsidRPr="001471C5">
        <w:t>.</w:t>
      </w:r>
    </w:p>
    <w:p w14:paraId="70D2EDDF" w14:textId="38A1DC5B" w:rsidR="006F1778" w:rsidRPr="001471C5" w:rsidRDefault="00B10351" w:rsidP="0014315E">
      <w:pPr>
        <w:pStyle w:val="Heading2"/>
      </w:pPr>
      <w:proofErr w:type="spellStart"/>
      <w:r>
        <w:t>Faktor</w:t>
      </w:r>
      <w:proofErr w:type="spellEnd"/>
      <w:r>
        <w:t xml:space="preserve"> </w:t>
      </w:r>
      <w:proofErr w:type="spellStart"/>
      <w:r>
        <w:t>podele</w:t>
      </w:r>
      <w:proofErr w:type="spellEnd"/>
      <w:r>
        <w:t xml:space="preserve"> </w:t>
      </w:r>
      <w:proofErr w:type="spellStart"/>
      <w:r>
        <w:t>uštede</w:t>
      </w:r>
      <w:proofErr w:type="spellEnd"/>
    </w:p>
    <w:p w14:paraId="66FC6AE3" w14:textId="1E90566F" w:rsidR="008F2A8D" w:rsidRPr="001471C5" w:rsidRDefault="007F0E24" w:rsidP="006F1778">
      <w:pPr>
        <w:spacing w:before="240" w:after="0"/>
        <w:jc w:val="both"/>
      </w:pPr>
      <w:r>
        <w:t>Pored gore pomenutih usklađivanja, RUE je takođe izvršila usklađivanje troškova održavanja sprovođenjem faktora uštede. Ova usklađivanja se sprovode kako bi se podstakla ušteda od strane kompanije, pri čemu će se ušteđeni udeo podeliti između kompanije i potrošača sa podelnim faktorom od 50%. Iz izvršene analize, rezult</w:t>
      </w:r>
      <w:r>
        <w:t>irajuća vrednost uštede je 0,3 miliona E</w:t>
      </w:r>
      <w:r>
        <w:t>vra, pri čemu usklađena vrednost uštede nakon sprovo</w:t>
      </w:r>
      <w:r>
        <w:t>đenja faktora podele iznosi 0,15 miliona E</w:t>
      </w:r>
      <w:r>
        <w:t xml:space="preserve">vra (deo za koji se nadoknađuju potrošači). </w:t>
      </w:r>
    </w:p>
    <w:p w14:paraId="7C9D6F70" w14:textId="3E395436" w:rsidR="003347DA" w:rsidRPr="001471C5" w:rsidRDefault="007F0E24" w:rsidP="0014315E">
      <w:pPr>
        <w:pStyle w:val="Heading2"/>
        <w:numPr>
          <w:ilvl w:val="1"/>
          <w:numId w:val="21"/>
        </w:numPr>
      </w:pPr>
      <w:r>
        <w:t xml:space="preserve">Fond </w:t>
      </w:r>
      <w:proofErr w:type="spellStart"/>
      <w:r>
        <w:t>za</w:t>
      </w:r>
      <w:proofErr w:type="spellEnd"/>
      <w:r>
        <w:t xml:space="preserve"> OIE</w:t>
      </w:r>
    </w:p>
    <w:p w14:paraId="3EC907E2" w14:textId="6E6145BF" w:rsidR="003347DA" w:rsidRPr="00C12E63" w:rsidRDefault="004B63FB" w:rsidP="00BE546F">
      <w:pPr>
        <w:spacing w:after="0"/>
        <w:jc w:val="both"/>
        <w:rPr>
          <w:rFonts w:cs="Calibri"/>
        </w:rPr>
      </w:pPr>
      <w:r>
        <w:t xml:space="preserve">Iz analize aplikacije KOSTT-a, primećuje se razlika između troškova </w:t>
      </w:r>
      <w:r>
        <w:t>i prihoda Fonda za OIE-a za 2020</w:t>
      </w:r>
      <w:r>
        <w:t>. godinu. Vrednost ove razlike</w:t>
      </w:r>
      <w:r>
        <w:t xml:space="preserve"> je -6,7 miliona Evra, i</w:t>
      </w:r>
      <w:r w:rsidR="00025F04">
        <w:t xml:space="preserve"> oni</w:t>
      </w:r>
      <w:r>
        <w:t xml:space="preserve"> </w:t>
      </w:r>
      <w:r w:rsidRPr="004B63FB">
        <w:t>uključuju razliku između prihoda i rashod</w:t>
      </w:r>
      <w:r w:rsidR="00025F04">
        <w:t>a Fonda za OIE za 2020. i usklađi</w:t>
      </w:r>
      <w:r w:rsidRPr="004B63FB">
        <w:t>vanja troškova upravljanja Fondom za 2020. godinu</w:t>
      </w:r>
      <w:r w:rsidR="003D5FEB" w:rsidRPr="00C12E63">
        <w:rPr>
          <w:rFonts w:cs="Calibri"/>
        </w:rPr>
        <w:t>.</w:t>
      </w:r>
      <w:r w:rsidR="002D26CF" w:rsidRPr="00C12E63">
        <w:rPr>
          <w:rFonts w:cs="Calibri"/>
        </w:rPr>
        <w:t xml:space="preserve"> </w:t>
      </w:r>
      <w:r w:rsidR="00025F04" w:rsidRPr="00025F04">
        <w:rPr>
          <w:rFonts w:cs="Calibri"/>
        </w:rPr>
        <w:t xml:space="preserve">KOSTT je predstavio dodatne troškove za upravljanje fondom za 2020. </w:t>
      </w:r>
      <w:r w:rsidR="00025F04">
        <w:rPr>
          <w:rFonts w:cs="Calibri"/>
        </w:rPr>
        <w:t>godinu, u iznosu od 0,1 milion Evra. Nakon njihovog analiziranja</w:t>
      </w:r>
      <w:r w:rsidR="00025F04" w:rsidRPr="00025F04">
        <w:rPr>
          <w:rFonts w:cs="Calibri"/>
        </w:rPr>
        <w:t>, RUE je primetio d</w:t>
      </w:r>
      <w:r w:rsidR="00025F04">
        <w:rPr>
          <w:rFonts w:cs="Calibri"/>
        </w:rPr>
        <w:t>a je KOSTT uključio 84 hiljade E</w:t>
      </w:r>
      <w:r w:rsidR="00025F04" w:rsidRPr="00025F04">
        <w:rPr>
          <w:rFonts w:cs="Calibri"/>
        </w:rPr>
        <w:t xml:space="preserve">vra za plate. Pošto su ovi </w:t>
      </w:r>
      <w:r w:rsidR="00025F04">
        <w:rPr>
          <w:rFonts w:cs="Calibri"/>
        </w:rPr>
        <w:t>troškovi uključeni u Operatoru T</w:t>
      </w:r>
      <w:r w:rsidR="00025F04" w:rsidRPr="00025F04">
        <w:rPr>
          <w:rFonts w:cs="Calibri"/>
        </w:rPr>
        <w:t>ržišta, RUE nije uzeo u obzir ove troškove i nije ih uključio u troškov</w:t>
      </w:r>
      <w:r w:rsidR="00025F04">
        <w:rPr>
          <w:rFonts w:cs="Calibri"/>
        </w:rPr>
        <w:t>e nastale za upravljanje fondom</w:t>
      </w:r>
      <w:r w:rsidR="00C12E63" w:rsidRPr="00C12E63">
        <w:rPr>
          <w:rFonts w:cs="Calibri"/>
        </w:rPr>
        <w:t xml:space="preserve">. </w:t>
      </w:r>
    </w:p>
    <w:p w14:paraId="41404E08" w14:textId="655380B1" w:rsidR="002D26CF" w:rsidRDefault="00025F04" w:rsidP="001930C2">
      <w:pPr>
        <w:spacing w:before="240"/>
        <w:jc w:val="both"/>
        <w:rPr>
          <w:rFonts w:cs="Calibri"/>
        </w:rPr>
      </w:pPr>
      <w:r>
        <w:t>Predviđanje troškova fonda OIE izvršeno je na osnovu energetskog bilansa</w:t>
      </w:r>
      <w:r>
        <w:t xml:space="preserve"> za godinu 2021, </w:t>
      </w:r>
      <w:r w:rsidRPr="00025F04">
        <w:t>koja između ostalog uzima u obzir proizvodnju električne energije iz OIE.</w:t>
      </w:r>
      <w:r>
        <w:t xml:space="preserve"> </w:t>
      </w:r>
      <w:r>
        <w:t xml:space="preserve">Vrednost troškova fonda, s </w:t>
      </w:r>
      <w:r>
        <w:lastRenderedPageBreak/>
        <w:t>obzirom na r</w:t>
      </w:r>
      <w:r>
        <w:t>eferentnu cenu od 40</w:t>
      </w:r>
      <w:r>
        <w:t>,6</w:t>
      </w:r>
      <w:r>
        <w:t xml:space="preserve">5€ / MWh, </w:t>
      </w:r>
      <w:r w:rsidRPr="00025F04">
        <w:t xml:space="preserve">na osnovu Metodologije za izračunavanje referentne cene (koja uključuje veleprodaju energije na domaćem tržištu i uvoz) rezultiralo je da 2021. godine </w:t>
      </w:r>
      <w:r w:rsidR="004C47E9">
        <w:t>sa iznosom od 16,7 miliona E</w:t>
      </w:r>
      <w:r w:rsidRPr="00025F04">
        <w:t>vra.</w:t>
      </w:r>
    </w:p>
    <w:p w14:paraId="5AFE5615" w14:textId="50082D7B" w:rsidR="00F815F2" w:rsidRPr="001471C5" w:rsidRDefault="00C3500C" w:rsidP="0014315E">
      <w:pPr>
        <w:pStyle w:val="Heading2"/>
      </w:pPr>
      <w:proofErr w:type="spellStart"/>
      <w:r>
        <w:t>Usklađivanje</w:t>
      </w:r>
      <w:proofErr w:type="spellEnd"/>
      <w:r>
        <w:t xml:space="preserve"> </w:t>
      </w:r>
      <w:proofErr w:type="spellStart"/>
      <w:r>
        <w:t>troškova</w:t>
      </w:r>
      <w:proofErr w:type="spellEnd"/>
      <w:r>
        <w:t xml:space="preserve"> </w:t>
      </w:r>
      <w:proofErr w:type="spellStart"/>
      <w:r>
        <w:t>gubitaka</w:t>
      </w:r>
      <w:proofErr w:type="spellEnd"/>
      <w:r w:rsidR="00F815F2" w:rsidRPr="001471C5">
        <w:t xml:space="preserve"> </w:t>
      </w:r>
    </w:p>
    <w:p w14:paraId="6A3940EA" w14:textId="1C14AFD0" w:rsidR="00F815F2" w:rsidRPr="001471C5" w:rsidRDefault="00C3500C" w:rsidP="00F815F2">
      <w:pPr>
        <w:spacing w:before="120"/>
        <w:jc w:val="both"/>
      </w:pPr>
      <w:r>
        <w:t>Usklađivanje troškova gubitaka OPS-a vrši se kroz sledeću formulu</w:t>
      </w:r>
      <w:r w:rsidR="00F815F2" w:rsidRPr="001471C5">
        <w:t xml:space="preserve">: </w:t>
      </w:r>
    </w:p>
    <w:p w14:paraId="317C3051" w14:textId="77777777" w:rsidR="00F815F2" w:rsidRPr="001471C5" w:rsidRDefault="00F815F2" w:rsidP="00F815F2">
      <w:pPr>
        <w:ind w:firstLine="720"/>
      </w:pPr>
      <w:r w:rsidRPr="001471C5">
        <w:t>(LSSCat-1 – LSSCft-1) * (1+ It)</w:t>
      </w:r>
    </w:p>
    <w:p w14:paraId="04566F11" w14:textId="7706904B" w:rsidR="00F815F2" w:rsidRPr="001471C5" w:rsidRDefault="00C3500C" w:rsidP="00F815F2">
      <w:pPr>
        <w:jc w:val="both"/>
      </w:pPr>
      <w:r>
        <w:t>Vrednost usklađe</w:t>
      </w:r>
      <w:r>
        <w:t>nog troška za gubitak iznosi 0,88 miliona E</w:t>
      </w:r>
      <w:r>
        <w:t>vra, što je posledica većih realizovanih energetskih tokova u odnosu na one predviđene i najviše prosečne c</w:t>
      </w:r>
      <w:r w:rsidR="00F30779">
        <w:t>ene za kupovinu gubitaka za 2020</w:t>
      </w:r>
      <w:r>
        <w:t xml:space="preserve">. godinu u prenosnoj mreži. Detalji izračunavanja su prikazani u sledećoj tabeli. </w:t>
      </w:r>
    </w:p>
    <w:p w14:paraId="02EF9846" w14:textId="1757059B" w:rsidR="001930C2" w:rsidRPr="001471C5" w:rsidRDefault="001B7F84" w:rsidP="00B5734B">
      <w:pPr>
        <w:pStyle w:val="Caption"/>
        <w:ind w:firstLine="720"/>
        <w:rPr>
          <w:lang w:val="sq-AL"/>
        </w:rPr>
      </w:pPr>
      <w:r w:rsidRPr="001471C5">
        <w:rPr>
          <w:lang w:val="sq-AL"/>
        </w:rPr>
        <w:t>Tabela 3</w:t>
      </w:r>
      <w:r w:rsidR="00F30779">
        <w:rPr>
          <w:lang w:val="sq-AL"/>
        </w:rPr>
        <w:t xml:space="preserve"> </w:t>
      </w:r>
      <w:proofErr w:type="spellStart"/>
      <w:r w:rsidR="00F30779">
        <w:t>Usklađivanja</w:t>
      </w:r>
      <w:proofErr w:type="spellEnd"/>
      <w:r w:rsidR="00F30779">
        <w:t xml:space="preserve"> </w:t>
      </w:r>
      <w:proofErr w:type="spellStart"/>
      <w:r w:rsidR="00F30779">
        <w:t>za</w:t>
      </w:r>
      <w:proofErr w:type="spellEnd"/>
      <w:r w:rsidR="00F30779">
        <w:t xml:space="preserve"> </w:t>
      </w:r>
      <w:proofErr w:type="spellStart"/>
      <w:r w:rsidR="00F30779">
        <w:t>troškove</w:t>
      </w:r>
      <w:proofErr w:type="spellEnd"/>
      <w:r w:rsidR="00F30779">
        <w:t xml:space="preserve"> </w:t>
      </w:r>
      <w:proofErr w:type="spellStart"/>
      <w:r w:rsidR="00F30779">
        <w:t>gubitaka</w:t>
      </w:r>
      <w:proofErr w:type="spellEnd"/>
    </w:p>
    <w:tbl>
      <w:tblPr>
        <w:tblW w:w="8930" w:type="dxa"/>
        <w:jc w:val="center"/>
        <w:tblLook w:val="04A0" w:firstRow="1" w:lastRow="0" w:firstColumn="1" w:lastColumn="0" w:noHBand="0" w:noVBand="1"/>
      </w:tblPr>
      <w:tblGrid>
        <w:gridCol w:w="4721"/>
        <w:gridCol w:w="859"/>
        <w:gridCol w:w="1119"/>
        <w:gridCol w:w="1188"/>
        <w:gridCol w:w="1130"/>
      </w:tblGrid>
      <w:tr w:rsidR="00F815F2" w:rsidRPr="00966518" w14:paraId="3F617B11" w14:textId="77777777" w:rsidTr="00C12E63">
        <w:trPr>
          <w:trHeight w:val="770"/>
          <w:jc w:val="center"/>
        </w:trPr>
        <w:tc>
          <w:tcPr>
            <w:tcW w:w="4744" w:type="dxa"/>
            <w:tcBorders>
              <w:top w:val="nil"/>
              <w:left w:val="nil"/>
              <w:right w:val="single" w:sz="4" w:space="0" w:color="FFFFFF" w:themeColor="background1"/>
            </w:tcBorders>
            <w:shd w:val="clear" w:color="auto" w:fill="244061" w:themeFill="accent1" w:themeFillShade="80"/>
            <w:noWrap/>
            <w:vAlign w:val="center"/>
            <w:hideMark/>
          </w:tcPr>
          <w:p w14:paraId="3CB178A4" w14:textId="77777777" w:rsidR="00F815F2" w:rsidRPr="00966518" w:rsidRDefault="004177E1" w:rsidP="004177E1">
            <w:pPr>
              <w:spacing w:after="0" w:line="240" w:lineRule="auto"/>
              <w:rPr>
                <w:rFonts w:eastAsia="Times New Roman" w:cs="Calibri"/>
                <w:color w:val="FFFFFF"/>
                <w:sz w:val="20"/>
                <w:szCs w:val="20"/>
              </w:rPr>
            </w:pPr>
            <w:r w:rsidRPr="00966518">
              <w:rPr>
                <w:rFonts w:eastAsia="Times New Roman" w:cs="Calibri"/>
                <w:color w:val="FFFFFF"/>
                <w:sz w:val="20"/>
                <w:szCs w:val="20"/>
              </w:rPr>
              <w:t>OST</w:t>
            </w:r>
            <w:r w:rsidR="00BF0E8B" w:rsidRPr="00966518">
              <w:rPr>
                <w:rFonts w:eastAsia="Times New Roman" w:cs="Calibri"/>
                <w:color w:val="FFFFFF"/>
                <w:sz w:val="20"/>
                <w:szCs w:val="20"/>
              </w:rPr>
              <w:t>/OT</w:t>
            </w:r>
            <w:r w:rsidR="00F815F2" w:rsidRPr="00966518">
              <w:rPr>
                <w:rFonts w:eastAsia="Times New Roman" w:cs="Calibri"/>
                <w:color w:val="FFFFFF"/>
                <w:sz w:val="20"/>
                <w:szCs w:val="20"/>
              </w:rPr>
              <w:t xml:space="preserve"> MAR</w:t>
            </w:r>
          </w:p>
        </w:tc>
        <w:tc>
          <w:tcPr>
            <w:tcW w:w="895" w:type="dxa"/>
            <w:tcBorders>
              <w:top w:val="nil"/>
              <w:left w:val="single" w:sz="4" w:space="0" w:color="FFFFFF" w:themeColor="background1"/>
              <w:right w:val="single" w:sz="4" w:space="0" w:color="FFFFFF" w:themeColor="background1"/>
            </w:tcBorders>
            <w:shd w:val="clear" w:color="auto" w:fill="244061" w:themeFill="accent1" w:themeFillShade="80"/>
            <w:vAlign w:val="center"/>
          </w:tcPr>
          <w:p w14:paraId="7F6E02CB" w14:textId="791FE9DA" w:rsidR="00F815F2" w:rsidRPr="00966518" w:rsidRDefault="00F30779" w:rsidP="00327460">
            <w:pPr>
              <w:spacing w:after="0" w:line="240" w:lineRule="auto"/>
              <w:jc w:val="center"/>
              <w:rPr>
                <w:rFonts w:eastAsia="Times New Roman" w:cs="Calibri"/>
                <w:color w:val="FFFFFF"/>
                <w:sz w:val="20"/>
                <w:szCs w:val="20"/>
              </w:rPr>
            </w:pPr>
            <w:r>
              <w:rPr>
                <w:rFonts w:eastAsia="Times New Roman" w:cs="Calibri"/>
                <w:color w:val="FFFFFF"/>
                <w:sz w:val="20"/>
                <w:szCs w:val="20"/>
              </w:rPr>
              <w:t>Jedinica</w:t>
            </w:r>
          </w:p>
        </w:tc>
        <w:tc>
          <w:tcPr>
            <w:tcW w:w="882" w:type="dxa"/>
            <w:tcBorders>
              <w:top w:val="nil"/>
              <w:left w:val="single" w:sz="4" w:space="0" w:color="FFFFFF" w:themeColor="background1"/>
              <w:right w:val="single" w:sz="4" w:space="0" w:color="FFFFFF" w:themeColor="background1"/>
            </w:tcBorders>
            <w:shd w:val="clear" w:color="auto" w:fill="244061" w:themeFill="accent1" w:themeFillShade="80"/>
            <w:vAlign w:val="center"/>
            <w:hideMark/>
          </w:tcPr>
          <w:p w14:paraId="3A6E2713" w14:textId="77777777" w:rsidR="00F815F2" w:rsidRPr="00966518" w:rsidRDefault="00F815F2" w:rsidP="00327460">
            <w:pPr>
              <w:spacing w:after="0" w:line="240" w:lineRule="auto"/>
              <w:jc w:val="center"/>
              <w:rPr>
                <w:rFonts w:eastAsia="Times New Roman" w:cs="Calibri"/>
                <w:color w:val="FFFFFF"/>
                <w:sz w:val="20"/>
                <w:szCs w:val="20"/>
              </w:rPr>
            </w:pPr>
          </w:p>
          <w:p w14:paraId="2EDDCB29" w14:textId="62BB18D7" w:rsidR="00F815F2" w:rsidRPr="00966518" w:rsidRDefault="00F30779" w:rsidP="00327460">
            <w:pPr>
              <w:spacing w:after="0" w:line="240" w:lineRule="auto"/>
              <w:jc w:val="center"/>
              <w:rPr>
                <w:rFonts w:eastAsia="Times New Roman" w:cs="Calibri"/>
                <w:color w:val="FFFFFF"/>
                <w:sz w:val="20"/>
                <w:szCs w:val="20"/>
              </w:rPr>
            </w:pPr>
            <w:r>
              <w:rPr>
                <w:rFonts w:eastAsia="Times New Roman" w:cs="Calibri"/>
                <w:color w:val="FFFFFF"/>
                <w:sz w:val="20"/>
                <w:szCs w:val="20"/>
              </w:rPr>
              <w:t>Dozvoljeno</w:t>
            </w:r>
          </w:p>
          <w:p w14:paraId="0DC7B3C5" w14:textId="14C9828B" w:rsidR="00F815F2" w:rsidRPr="00966518" w:rsidRDefault="00F815F2" w:rsidP="00542218">
            <w:pPr>
              <w:spacing w:after="0" w:line="240" w:lineRule="auto"/>
              <w:jc w:val="center"/>
              <w:rPr>
                <w:rFonts w:eastAsia="Times New Roman" w:cs="Calibri"/>
                <w:color w:val="FFFFFF"/>
                <w:sz w:val="20"/>
                <w:szCs w:val="20"/>
              </w:rPr>
            </w:pPr>
            <w:r w:rsidRPr="00966518">
              <w:rPr>
                <w:rFonts w:eastAsia="Times New Roman" w:cs="Calibri"/>
                <w:color w:val="FFFFFF"/>
                <w:sz w:val="20"/>
                <w:szCs w:val="20"/>
              </w:rPr>
              <w:t>20</w:t>
            </w:r>
            <w:r w:rsidR="00C12E63">
              <w:rPr>
                <w:rFonts w:eastAsia="Times New Roman" w:cs="Calibri"/>
                <w:color w:val="FFFFFF"/>
                <w:sz w:val="20"/>
                <w:szCs w:val="20"/>
              </w:rPr>
              <w:t>20</w:t>
            </w:r>
          </w:p>
        </w:tc>
        <w:tc>
          <w:tcPr>
            <w:tcW w:w="1134" w:type="dxa"/>
            <w:tcBorders>
              <w:top w:val="nil"/>
              <w:left w:val="single" w:sz="4" w:space="0" w:color="FFFFFF" w:themeColor="background1"/>
              <w:right w:val="nil"/>
            </w:tcBorders>
            <w:shd w:val="clear" w:color="auto" w:fill="244061" w:themeFill="accent1" w:themeFillShade="80"/>
            <w:vAlign w:val="center"/>
            <w:hideMark/>
          </w:tcPr>
          <w:p w14:paraId="4148582B" w14:textId="373AB164" w:rsidR="00F815F2" w:rsidRPr="00966518" w:rsidRDefault="00F30779" w:rsidP="00327460">
            <w:pPr>
              <w:spacing w:after="0" w:line="240" w:lineRule="auto"/>
              <w:jc w:val="center"/>
              <w:rPr>
                <w:rFonts w:eastAsia="Times New Roman" w:cs="Calibri"/>
                <w:color w:val="FFFFFF"/>
                <w:sz w:val="20"/>
                <w:szCs w:val="20"/>
              </w:rPr>
            </w:pPr>
            <w:r>
              <w:rPr>
                <w:rFonts w:eastAsia="Times New Roman" w:cs="Calibri"/>
                <w:color w:val="FFFFFF"/>
                <w:sz w:val="20"/>
                <w:szCs w:val="20"/>
              </w:rPr>
              <w:br/>
              <w:t>Realizovano</w:t>
            </w:r>
          </w:p>
          <w:p w14:paraId="0F6B4E07" w14:textId="5D2708AB" w:rsidR="00F815F2" w:rsidRPr="00966518" w:rsidRDefault="00F815F2" w:rsidP="00542218">
            <w:pPr>
              <w:spacing w:after="0" w:line="240" w:lineRule="auto"/>
              <w:jc w:val="center"/>
              <w:rPr>
                <w:rFonts w:eastAsia="Times New Roman" w:cs="Calibri"/>
                <w:color w:val="FFFFFF"/>
                <w:sz w:val="20"/>
                <w:szCs w:val="20"/>
              </w:rPr>
            </w:pPr>
            <w:r w:rsidRPr="00966518">
              <w:rPr>
                <w:rFonts w:eastAsia="Times New Roman" w:cs="Calibri"/>
                <w:color w:val="FFFFFF"/>
                <w:sz w:val="20"/>
                <w:szCs w:val="20"/>
              </w:rPr>
              <w:t>20</w:t>
            </w:r>
            <w:r w:rsidR="00C12E63">
              <w:rPr>
                <w:rFonts w:eastAsia="Times New Roman" w:cs="Calibri"/>
                <w:color w:val="FFFFFF"/>
                <w:sz w:val="20"/>
                <w:szCs w:val="20"/>
              </w:rPr>
              <w:t>20</w:t>
            </w:r>
          </w:p>
        </w:tc>
        <w:tc>
          <w:tcPr>
            <w:tcW w:w="1275" w:type="dxa"/>
            <w:tcBorders>
              <w:top w:val="nil"/>
              <w:left w:val="single" w:sz="4" w:space="0" w:color="FFFFFF" w:themeColor="background1"/>
              <w:right w:val="nil"/>
            </w:tcBorders>
            <w:shd w:val="clear" w:color="auto" w:fill="244061" w:themeFill="accent1" w:themeFillShade="80"/>
          </w:tcPr>
          <w:p w14:paraId="229D254E" w14:textId="77777777" w:rsidR="00542218" w:rsidRPr="00966518" w:rsidRDefault="00542218" w:rsidP="00327460">
            <w:pPr>
              <w:spacing w:after="0" w:line="240" w:lineRule="auto"/>
              <w:jc w:val="center"/>
              <w:rPr>
                <w:rFonts w:eastAsia="Times New Roman" w:cs="Calibri"/>
                <w:color w:val="FFFFFF"/>
                <w:sz w:val="20"/>
                <w:szCs w:val="20"/>
              </w:rPr>
            </w:pPr>
          </w:p>
          <w:p w14:paraId="01ACF51C" w14:textId="6C4ABE29" w:rsidR="00F815F2" w:rsidRPr="00F30779" w:rsidRDefault="00F30779" w:rsidP="00327460">
            <w:pPr>
              <w:spacing w:after="0" w:line="240" w:lineRule="auto"/>
              <w:jc w:val="center"/>
              <w:rPr>
                <w:rFonts w:eastAsia="Times New Roman" w:cs="Calibri"/>
                <w:color w:val="FFFFFF"/>
                <w:sz w:val="20"/>
                <w:szCs w:val="20"/>
              </w:rPr>
            </w:pPr>
            <w:r w:rsidRPr="00F30779">
              <w:rPr>
                <w:sz w:val="20"/>
                <w:szCs w:val="20"/>
              </w:rPr>
              <w:t>Predloženo</w:t>
            </w:r>
            <w:r w:rsidR="00F815F2" w:rsidRPr="00F30779">
              <w:rPr>
                <w:rFonts w:eastAsia="Times New Roman" w:cs="Calibri"/>
                <w:color w:val="FFFFFF"/>
                <w:sz w:val="20"/>
                <w:szCs w:val="20"/>
              </w:rPr>
              <w:t xml:space="preserve"> </w:t>
            </w:r>
          </w:p>
          <w:p w14:paraId="6343E97E" w14:textId="1F71B535" w:rsidR="00F815F2" w:rsidRPr="00966518" w:rsidRDefault="00F815F2" w:rsidP="00C12E63">
            <w:pPr>
              <w:spacing w:after="0" w:line="240" w:lineRule="auto"/>
              <w:ind w:hanging="97"/>
              <w:jc w:val="center"/>
              <w:rPr>
                <w:rFonts w:eastAsia="Times New Roman" w:cs="Calibri"/>
                <w:color w:val="FFFFFF"/>
                <w:sz w:val="20"/>
                <w:szCs w:val="20"/>
              </w:rPr>
            </w:pPr>
            <w:r w:rsidRPr="00966518">
              <w:rPr>
                <w:rFonts w:eastAsia="Times New Roman" w:cs="Calibri"/>
                <w:color w:val="FFFFFF"/>
                <w:sz w:val="20"/>
                <w:szCs w:val="20"/>
              </w:rPr>
              <w:t>20</w:t>
            </w:r>
            <w:r w:rsidR="00542218" w:rsidRPr="00966518">
              <w:rPr>
                <w:rFonts w:eastAsia="Times New Roman" w:cs="Calibri"/>
                <w:color w:val="FFFFFF"/>
                <w:sz w:val="20"/>
                <w:szCs w:val="20"/>
              </w:rPr>
              <w:t>2</w:t>
            </w:r>
            <w:r w:rsidR="00C12E63">
              <w:rPr>
                <w:rFonts w:eastAsia="Times New Roman" w:cs="Calibri"/>
                <w:color w:val="FFFFFF"/>
                <w:sz w:val="20"/>
                <w:szCs w:val="20"/>
              </w:rPr>
              <w:t>1</w:t>
            </w:r>
          </w:p>
        </w:tc>
      </w:tr>
      <w:tr w:rsidR="00F815F2" w:rsidRPr="00966518" w14:paraId="52A81A40" w14:textId="77777777" w:rsidTr="00C12E63">
        <w:trPr>
          <w:trHeight w:val="296"/>
          <w:jc w:val="center"/>
        </w:trPr>
        <w:tc>
          <w:tcPr>
            <w:tcW w:w="4744" w:type="dxa"/>
            <w:tcBorders>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14:paraId="19BB0210" w14:textId="166DA0DC" w:rsidR="00F815F2" w:rsidRPr="00F30779" w:rsidRDefault="00F30779" w:rsidP="00327460">
            <w:pPr>
              <w:spacing w:after="0" w:line="240" w:lineRule="auto"/>
              <w:rPr>
                <w:rFonts w:eastAsia="Times New Roman" w:cs="Calibri"/>
                <w:b/>
                <w:bCs/>
                <w:sz w:val="20"/>
                <w:szCs w:val="20"/>
              </w:rPr>
            </w:pPr>
            <w:r w:rsidRPr="00F30779">
              <w:rPr>
                <w:b/>
                <w:sz w:val="20"/>
                <w:szCs w:val="20"/>
              </w:rPr>
              <w:t>Parametar indeksiranja</w:t>
            </w:r>
          </w:p>
        </w:tc>
        <w:tc>
          <w:tcPr>
            <w:tcW w:w="895" w:type="dxa"/>
            <w:tcBorders>
              <w:left w:val="single" w:sz="4" w:space="0" w:color="FFFFFF" w:themeColor="background1"/>
              <w:bottom w:val="single" w:sz="4" w:space="0" w:color="FFFFFF" w:themeColor="background1"/>
              <w:right w:val="single" w:sz="4" w:space="0" w:color="FFFFFF" w:themeColor="background1"/>
            </w:tcBorders>
            <w:shd w:val="clear" w:color="000000" w:fill="DBE5F1"/>
            <w:vAlign w:val="center"/>
          </w:tcPr>
          <w:p w14:paraId="364ACCD8" w14:textId="77777777" w:rsidR="00F815F2" w:rsidRPr="00966518" w:rsidRDefault="00F815F2" w:rsidP="00327460">
            <w:pPr>
              <w:spacing w:after="0" w:line="240" w:lineRule="auto"/>
              <w:rPr>
                <w:rFonts w:eastAsia="Times New Roman" w:cs="Calibri"/>
                <w:b/>
                <w:bCs/>
                <w:sz w:val="20"/>
                <w:szCs w:val="20"/>
              </w:rPr>
            </w:pPr>
          </w:p>
        </w:tc>
        <w:tc>
          <w:tcPr>
            <w:tcW w:w="882" w:type="dxa"/>
            <w:tcBorders>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14:paraId="6EA15AAD" w14:textId="77777777" w:rsidR="00F815F2" w:rsidRPr="00966518" w:rsidRDefault="00F815F2" w:rsidP="00327460">
            <w:pPr>
              <w:spacing w:after="0" w:line="240" w:lineRule="auto"/>
              <w:rPr>
                <w:rFonts w:eastAsia="Times New Roman" w:cs="Calibri"/>
                <w:b/>
                <w:bCs/>
                <w:sz w:val="20"/>
                <w:szCs w:val="20"/>
              </w:rPr>
            </w:pPr>
            <w:r w:rsidRPr="00966518">
              <w:rPr>
                <w:rFonts w:eastAsia="Times New Roman" w:cs="Calibri"/>
                <w:b/>
                <w:bCs/>
                <w:sz w:val="20"/>
                <w:szCs w:val="20"/>
              </w:rPr>
              <w:t> </w:t>
            </w:r>
          </w:p>
        </w:tc>
        <w:tc>
          <w:tcPr>
            <w:tcW w:w="1134" w:type="dxa"/>
            <w:tcBorders>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14:paraId="3F208161" w14:textId="77777777" w:rsidR="00F815F2" w:rsidRPr="00966518" w:rsidRDefault="00F815F2" w:rsidP="00327460">
            <w:pPr>
              <w:spacing w:after="0" w:line="240" w:lineRule="auto"/>
              <w:rPr>
                <w:rFonts w:eastAsia="Times New Roman" w:cs="Calibri"/>
                <w:b/>
                <w:bCs/>
                <w:sz w:val="20"/>
                <w:szCs w:val="20"/>
              </w:rPr>
            </w:pPr>
            <w:r w:rsidRPr="00966518">
              <w:rPr>
                <w:rFonts w:eastAsia="Times New Roman" w:cs="Calibri"/>
                <w:b/>
                <w:bCs/>
                <w:sz w:val="20"/>
                <w:szCs w:val="20"/>
              </w:rPr>
              <w:t> </w:t>
            </w:r>
          </w:p>
        </w:tc>
        <w:tc>
          <w:tcPr>
            <w:tcW w:w="1275" w:type="dxa"/>
            <w:tcBorders>
              <w:left w:val="single" w:sz="4" w:space="0" w:color="FFFFFF" w:themeColor="background1"/>
              <w:bottom w:val="single" w:sz="4" w:space="0" w:color="FFFFFF" w:themeColor="background1"/>
              <w:right w:val="single" w:sz="4" w:space="0" w:color="FFFFFF" w:themeColor="background1"/>
            </w:tcBorders>
            <w:shd w:val="clear" w:color="000000" w:fill="DBE5F1"/>
            <w:vAlign w:val="center"/>
          </w:tcPr>
          <w:p w14:paraId="5D103AAE" w14:textId="77777777" w:rsidR="00F815F2" w:rsidRPr="00966518" w:rsidRDefault="00F815F2" w:rsidP="00327460">
            <w:pPr>
              <w:spacing w:after="0" w:line="240" w:lineRule="auto"/>
              <w:rPr>
                <w:rFonts w:eastAsia="Times New Roman" w:cs="Calibri"/>
                <w:b/>
                <w:bCs/>
                <w:sz w:val="20"/>
                <w:szCs w:val="20"/>
              </w:rPr>
            </w:pPr>
          </w:p>
        </w:tc>
      </w:tr>
      <w:tr w:rsidR="00F815F2" w:rsidRPr="00966518" w14:paraId="21A2F896" w14:textId="77777777" w:rsidTr="00C12E63">
        <w:trPr>
          <w:trHeight w:val="296"/>
          <w:jc w:val="center"/>
        </w:trPr>
        <w:tc>
          <w:tcPr>
            <w:tcW w:w="4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FFF"/>
            <w:noWrap/>
            <w:vAlign w:val="center"/>
            <w:hideMark/>
          </w:tcPr>
          <w:p w14:paraId="1603D874" w14:textId="77777777" w:rsidR="00F815F2" w:rsidRPr="00966518" w:rsidRDefault="00F815F2" w:rsidP="00327460">
            <w:pPr>
              <w:spacing w:after="0" w:line="240" w:lineRule="auto"/>
              <w:rPr>
                <w:rFonts w:eastAsia="Times New Roman" w:cs="Calibri"/>
                <w:sz w:val="20"/>
                <w:szCs w:val="20"/>
              </w:rPr>
            </w:pPr>
            <w:r w:rsidRPr="00966518">
              <w:rPr>
                <w:rFonts w:eastAsia="Times New Roman" w:cs="Calibri"/>
                <w:sz w:val="20"/>
                <w:szCs w:val="20"/>
              </w:rPr>
              <w:t>It</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FFF"/>
            <w:vAlign w:val="center"/>
          </w:tcPr>
          <w:p w14:paraId="2C938D65" w14:textId="77777777" w:rsidR="00F815F2" w:rsidRPr="00966518" w:rsidRDefault="00F815F2" w:rsidP="00327460">
            <w:pPr>
              <w:spacing w:after="0" w:line="240" w:lineRule="auto"/>
              <w:jc w:val="center"/>
              <w:rPr>
                <w:rFonts w:eastAsia="Times New Roman" w:cs="Calibri"/>
                <w:sz w:val="20"/>
                <w:szCs w:val="20"/>
              </w:rPr>
            </w:pPr>
            <w:r w:rsidRPr="00966518">
              <w:rPr>
                <w:rFonts w:eastAsia="Times New Roman" w:cs="Calibri"/>
                <w:sz w:val="20"/>
                <w:szCs w:val="20"/>
              </w:rPr>
              <w:t>%</w:t>
            </w:r>
          </w:p>
        </w:tc>
        <w:tc>
          <w:tcPr>
            <w:tcW w:w="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FFF"/>
            <w:vAlign w:val="center"/>
            <w:hideMark/>
          </w:tcPr>
          <w:p w14:paraId="33A41876" w14:textId="77777777" w:rsidR="00F815F2" w:rsidRPr="00966518" w:rsidRDefault="00F815F2" w:rsidP="00327460">
            <w:pPr>
              <w:spacing w:after="0" w:line="240" w:lineRule="auto"/>
              <w:jc w:val="right"/>
              <w:rPr>
                <w:rFonts w:eastAsia="Times New Roman" w:cs="Calibri"/>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FFF"/>
            <w:vAlign w:val="center"/>
            <w:hideMark/>
          </w:tcPr>
          <w:p w14:paraId="394B2642" w14:textId="533FCFEB" w:rsidR="00F815F2" w:rsidRPr="00966518" w:rsidRDefault="00542218" w:rsidP="00327460">
            <w:pPr>
              <w:spacing w:after="0" w:line="240" w:lineRule="auto"/>
              <w:jc w:val="right"/>
              <w:rPr>
                <w:rFonts w:eastAsia="Times New Roman" w:cs="Calibri"/>
                <w:sz w:val="20"/>
                <w:szCs w:val="20"/>
              </w:rPr>
            </w:pPr>
            <w:r w:rsidRPr="00966518">
              <w:rPr>
                <w:rFonts w:eastAsia="Times New Roman" w:cs="Calibri"/>
                <w:sz w:val="20"/>
                <w:szCs w:val="20"/>
              </w:rPr>
              <w:t>7.3</w:t>
            </w:r>
            <w:r w:rsidR="00F815F2" w:rsidRPr="00966518">
              <w:rPr>
                <w:rFonts w:eastAsia="Times New Roman" w:cs="Calibri"/>
                <w:sz w:val="20"/>
                <w:szCs w:val="20"/>
              </w:rPr>
              <w: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FFF"/>
            <w:vAlign w:val="center"/>
          </w:tcPr>
          <w:p w14:paraId="13077F15" w14:textId="77777777" w:rsidR="00F815F2" w:rsidRPr="00966518" w:rsidRDefault="00F815F2" w:rsidP="00327460">
            <w:pPr>
              <w:spacing w:after="0" w:line="240" w:lineRule="auto"/>
              <w:jc w:val="right"/>
              <w:rPr>
                <w:rFonts w:eastAsia="Times New Roman" w:cs="Calibri"/>
                <w:sz w:val="20"/>
                <w:szCs w:val="20"/>
              </w:rPr>
            </w:pPr>
          </w:p>
        </w:tc>
      </w:tr>
      <w:tr w:rsidR="00F815F2" w:rsidRPr="00966518" w14:paraId="3511B984" w14:textId="77777777" w:rsidTr="00C12E63">
        <w:trPr>
          <w:trHeight w:val="346"/>
          <w:jc w:val="center"/>
        </w:trPr>
        <w:tc>
          <w:tcPr>
            <w:tcW w:w="4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14:paraId="04274F90" w14:textId="4FFD38A5" w:rsidR="00F815F2" w:rsidRPr="00966518" w:rsidRDefault="00F30779" w:rsidP="00327460">
            <w:pPr>
              <w:spacing w:after="0" w:line="240" w:lineRule="auto"/>
              <w:rPr>
                <w:rFonts w:eastAsia="Times New Roman" w:cs="Calibri"/>
                <w:b/>
                <w:bCs/>
                <w:sz w:val="20"/>
                <w:szCs w:val="20"/>
              </w:rPr>
            </w:pPr>
            <w:r w:rsidRPr="00F30779">
              <w:rPr>
                <w:b/>
                <w:sz w:val="20"/>
                <w:szCs w:val="20"/>
              </w:rPr>
              <w:t>Dozvoljeni gubici</w:t>
            </w:r>
            <w:r w:rsidR="00F815F2" w:rsidRPr="00966518">
              <w:rPr>
                <w:rFonts w:eastAsia="Times New Roman" w:cs="Calibri"/>
                <w:b/>
                <w:bCs/>
                <w:sz w:val="20"/>
                <w:szCs w:val="20"/>
              </w:rPr>
              <w:t xml:space="preserve">  (LSSCt)</w:t>
            </w:r>
          </w:p>
        </w:tc>
        <w:tc>
          <w:tcPr>
            <w:tcW w:w="89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DBE5F1"/>
            <w:vAlign w:val="center"/>
          </w:tcPr>
          <w:p w14:paraId="7323FC36" w14:textId="77777777" w:rsidR="00F815F2" w:rsidRPr="00966518" w:rsidRDefault="00F815F2" w:rsidP="00327460">
            <w:pPr>
              <w:spacing w:after="0" w:line="240" w:lineRule="auto"/>
              <w:rPr>
                <w:rFonts w:eastAsia="Times New Roman" w:cs="Calibri"/>
                <w:b/>
                <w:bCs/>
                <w:sz w:val="20"/>
                <w:szCs w:val="20"/>
              </w:rPr>
            </w:pPr>
          </w:p>
        </w:tc>
        <w:tc>
          <w:tcPr>
            <w:tcW w:w="88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DBE5F1"/>
            <w:noWrap/>
            <w:vAlign w:val="center"/>
            <w:hideMark/>
          </w:tcPr>
          <w:p w14:paraId="468F8699" w14:textId="77777777" w:rsidR="00F815F2" w:rsidRPr="00966518" w:rsidRDefault="00F815F2" w:rsidP="00327460">
            <w:pPr>
              <w:spacing w:after="0" w:line="240" w:lineRule="auto"/>
              <w:jc w:val="right"/>
              <w:rPr>
                <w:rFonts w:eastAsia="Times New Roman" w:cs="Calibri"/>
                <w:b/>
                <w:bCs/>
                <w:sz w:val="20"/>
                <w:szCs w:val="20"/>
              </w:rPr>
            </w:pPr>
            <w:r w:rsidRPr="00966518">
              <w:rPr>
                <w:rFonts w:eastAsia="Times New Roman" w:cs="Calibri"/>
                <w:b/>
                <w:bCs/>
                <w:sz w:val="20"/>
                <w:szCs w:val="20"/>
              </w:rPr>
              <w:t> </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DBE5F1"/>
            <w:noWrap/>
            <w:vAlign w:val="center"/>
            <w:hideMark/>
          </w:tcPr>
          <w:p w14:paraId="0B2B737A" w14:textId="77777777" w:rsidR="00F815F2" w:rsidRPr="00966518" w:rsidRDefault="00F815F2" w:rsidP="00327460">
            <w:pPr>
              <w:spacing w:after="0" w:line="240" w:lineRule="auto"/>
              <w:jc w:val="right"/>
              <w:rPr>
                <w:rFonts w:eastAsia="Times New Roman" w:cs="Calibri"/>
                <w:b/>
                <w:bCs/>
                <w:sz w:val="20"/>
                <w:szCs w:val="20"/>
              </w:rPr>
            </w:pPr>
            <w:r w:rsidRPr="00966518">
              <w:rPr>
                <w:rFonts w:eastAsia="Times New Roman" w:cs="Calibri"/>
                <w:b/>
                <w:bCs/>
                <w:sz w:val="20"/>
                <w:szCs w:val="20"/>
              </w:rPr>
              <w:t> </w:t>
            </w:r>
          </w:p>
        </w:tc>
        <w:tc>
          <w:tcPr>
            <w:tcW w:w="127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DBE5F1"/>
            <w:vAlign w:val="center"/>
          </w:tcPr>
          <w:p w14:paraId="1CF9C545" w14:textId="77777777" w:rsidR="00F815F2" w:rsidRPr="00966518" w:rsidRDefault="00F815F2" w:rsidP="00327460">
            <w:pPr>
              <w:spacing w:after="0" w:line="240" w:lineRule="auto"/>
              <w:jc w:val="right"/>
              <w:rPr>
                <w:rFonts w:eastAsia="Times New Roman" w:cs="Calibri"/>
                <w:b/>
                <w:bCs/>
                <w:sz w:val="20"/>
                <w:szCs w:val="20"/>
              </w:rPr>
            </w:pPr>
          </w:p>
        </w:tc>
      </w:tr>
      <w:tr w:rsidR="00C12E63" w:rsidRPr="00966518" w14:paraId="0C92467A" w14:textId="77777777" w:rsidTr="00C12E63">
        <w:trPr>
          <w:trHeight w:val="296"/>
          <w:jc w:val="center"/>
        </w:trPr>
        <w:tc>
          <w:tcPr>
            <w:tcW w:w="4744" w:type="dxa"/>
            <w:tcBorders>
              <w:top w:val="single" w:sz="4" w:space="0" w:color="FFFFFF" w:themeColor="background1"/>
              <w:left w:val="nil"/>
              <w:bottom w:val="nil"/>
              <w:right w:val="single" w:sz="4" w:space="0" w:color="auto"/>
            </w:tcBorders>
            <w:shd w:val="clear" w:color="000000" w:fill="FFFFFF"/>
            <w:noWrap/>
            <w:vAlign w:val="center"/>
            <w:hideMark/>
          </w:tcPr>
          <w:p w14:paraId="0406C171" w14:textId="77777777" w:rsidR="00C12E63" w:rsidRPr="00966518" w:rsidRDefault="00C12E63" w:rsidP="00C12E63">
            <w:pPr>
              <w:spacing w:after="0" w:line="240" w:lineRule="auto"/>
              <w:rPr>
                <w:rFonts w:eastAsia="Times New Roman" w:cs="Calibri"/>
                <w:sz w:val="20"/>
                <w:szCs w:val="20"/>
              </w:rPr>
            </w:pPr>
            <w:r w:rsidRPr="00966518">
              <w:rPr>
                <w:rFonts w:eastAsia="Times New Roman" w:cs="Calibri"/>
                <w:sz w:val="20"/>
                <w:szCs w:val="20"/>
              </w:rPr>
              <w:t>LSSAt</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tcPr>
          <w:p w14:paraId="1237C047" w14:textId="77777777" w:rsidR="00C12E63" w:rsidRPr="00966518" w:rsidRDefault="00C12E63" w:rsidP="00C12E63">
            <w:pPr>
              <w:spacing w:after="0" w:line="240" w:lineRule="auto"/>
              <w:jc w:val="center"/>
              <w:rPr>
                <w:rFonts w:eastAsia="Times New Roman" w:cs="Calibri"/>
                <w:sz w:val="20"/>
                <w:szCs w:val="20"/>
              </w:rPr>
            </w:pPr>
            <w:r w:rsidRPr="00966518">
              <w:rPr>
                <w:rFonts w:eastAsia="Times New Roman" w:cs="Calibri"/>
                <w:sz w:val="20"/>
                <w:szCs w:val="20"/>
              </w:rPr>
              <w:t>%</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82E6B" w14:textId="30334414" w:rsidR="00C12E63" w:rsidRPr="00966518" w:rsidRDefault="00C12E63" w:rsidP="00C12E63">
            <w:pPr>
              <w:spacing w:after="0" w:line="240" w:lineRule="auto"/>
              <w:jc w:val="right"/>
              <w:rPr>
                <w:rFonts w:eastAsia="Times New Roman" w:cs="Calibri"/>
                <w:sz w:val="20"/>
                <w:szCs w:val="20"/>
              </w:rPr>
            </w:pPr>
            <w:r w:rsidRPr="00966518">
              <w:rPr>
                <w:rFonts w:eastAsia="Times New Roman" w:cs="Calibri"/>
                <w:sz w:val="20"/>
                <w:szCs w:val="20"/>
              </w:rPr>
              <w:t>1.78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9BBC7" w14:textId="77777777" w:rsidR="00C12E63" w:rsidRPr="00966518" w:rsidRDefault="00C12E63" w:rsidP="00C12E63">
            <w:pPr>
              <w:spacing w:after="0" w:line="240" w:lineRule="auto"/>
              <w:jc w:val="right"/>
              <w:rPr>
                <w:rFonts w:eastAsia="Times New Roman" w:cs="Calibri"/>
                <w:sz w:val="20"/>
                <w:szCs w:val="20"/>
              </w:rPr>
            </w:pPr>
            <w:r w:rsidRPr="00966518">
              <w:rPr>
                <w:rFonts w:eastAsia="Times New Roman" w:cs="Calibri"/>
                <w:sz w:val="20"/>
                <w:szCs w:val="20"/>
              </w:rPr>
              <w:t>1.78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0259358" w14:textId="0E0E9CA9" w:rsidR="00C12E63" w:rsidRPr="00966518" w:rsidRDefault="006C5C51" w:rsidP="00C12E63">
            <w:pPr>
              <w:spacing w:after="0" w:line="240" w:lineRule="auto"/>
              <w:jc w:val="right"/>
              <w:rPr>
                <w:rFonts w:eastAsia="Times New Roman" w:cs="Calibri"/>
                <w:sz w:val="20"/>
                <w:szCs w:val="20"/>
              </w:rPr>
            </w:pPr>
            <w:r>
              <w:rPr>
                <w:rFonts w:eastAsia="Times New Roman" w:cs="Calibri"/>
                <w:sz w:val="20"/>
                <w:szCs w:val="20"/>
              </w:rPr>
              <w:t>1.78</w:t>
            </w:r>
          </w:p>
        </w:tc>
      </w:tr>
      <w:tr w:rsidR="00C12E63" w:rsidRPr="00966518" w14:paraId="4C872531" w14:textId="77777777" w:rsidTr="00C12E63">
        <w:trPr>
          <w:trHeight w:val="296"/>
          <w:jc w:val="center"/>
        </w:trPr>
        <w:tc>
          <w:tcPr>
            <w:tcW w:w="4744" w:type="dxa"/>
            <w:tcBorders>
              <w:top w:val="nil"/>
              <w:left w:val="nil"/>
              <w:bottom w:val="nil"/>
              <w:right w:val="single" w:sz="4" w:space="0" w:color="auto"/>
            </w:tcBorders>
            <w:shd w:val="clear" w:color="000000" w:fill="FFFFFF"/>
            <w:noWrap/>
            <w:vAlign w:val="center"/>
            <w:hideMark/>
          </w:tcPr>
          <w:p w14:paraId="62A66FF0" w14:textId="77777777" w:rsidR="00C12E63" w:rsidRPr="00966518" w:rsidRDefault="00C12E63" w:rsidP="00C12E63">
            <w:pPr>
              <w:spacing w:after="0" w:line="240" w:lineRule="auto"/>
              <w:rPr>
                <w:rFonts w:eastAsia="Times New Roman" w:cs="Calibri"/>
                <w:sz w:val="20"/>
                <w:szCs w:val="20"/>
              </w:rPr>
            </w:pPr>
            <w:r w:rsidRPr="00966518">
              <w:rPr>
                <w:rFonts w:eastAsia="Times New Roman" w:cs="Calibri"/>
                <w:sz w:val="20"/>
                <w:szCs w:val="20"/>
              </w:rPr>
              <w:t>REUEt</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tcPr>
          <w:p w14:paraId="26213E2E" w14:textId="77777777" w:rsidR="00C12E63" w:rsidRPr="00966518" w:rsidRDefault="00C12E63" w:rsidP="00C12E63">
            <w:pPr>
              <w:spacing w:after="0" w:line="240" w:lineRule="auto"/>
              <w:jc w:val="center"/>
              <w:rPr>
                <w:rFonts w:eastAsia="Times New Roman" w:cs="Calibri"/>
                <w:sz w:val="20"/>
                <w:szCs w:val="20"/>
              </w:rPr>
            </w:pPr>
            <w:r w:rsidRPr="00966518">
              <w:rPr>
                <w:rFonts w:eastAsia="Times New Roman" w:cs="Calibri"/>
                <w:sz w:val="20"/>
                <w:szCs w:val="20"/>
              </w:rPr>
              <w:t>GWh</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B2514" w14:textId="383DADD1" w:rsidR="00C12E63" w:rsidRPr="00966518" w:rsidRDefault="00C12E63" w:rsidP="00C12E63">
            <w:pPr>
              <w:spacing w:after="0" w:line="240" w:lineRule="auto"/>
              <w:jc w:val="right"/>
              <w:rPr>
                <w:rFonts w:eastAsia="Times New Roman" w:cs="Calibri"/>
                <w:sz w:val="20"/>
                <w:szCs w:val="20"/>
              </w:rPr>
            </w:pPr>
            <w:r w:rsidRPr="00966518">
              <w:rPr>
                <w:rFonts w:eastAsia="Times New Roman" w:cs="Calibri"/>
                <w:sz w:val="20"/>
                <w:szCs w:val="20"/>
              </w:rPr>
              <w:t>6,238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A5D37" w14:textId="402B8137" w:rsidR="00C12E63" w:rsidRPr="00966518" w:rsidRDefault="00C12E63" w:rsidP="00C12E63">
            <w:pPr>
              <w:spacing w:after="0" w:line="240" w:lineRule="auto"/>
              <w:jc w:val="right"/>
              <w:rPr>
                <w:rFonts w:eastAsia="Times New Roman" w:cs="Calibri"/>
                <w:sz w:val="20"/>
                <w:szCs w:val="20"/>
              </w:rPr>
            </w:pPr>
            <w:r w:rsidRPr="00966518">
              <w:rPr>
                <w:rFonts w:eastAsia="Times New Roman" w:cs="Calibri"/>
                <w:sz w:val="20"/>
                <w:szCs w:val="20"/>
              </w:rPr>
              <w:t>6,</w:t>
            </w:r>
            <w:r>
              <w:rPr>
                <w:rFonts w:eastAsia="Times New Roman" w:cs="Calibri"/>
                <w:sz w:val="20"/>
                <w:szCs w:val="20"/>
              </w:rPr>
              <w:t>205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DC6BE80" w14:textId="585A4DCF" w:rsidR="00C12E63" w:rsidRPr="00966518" w:rsidRDefault="000864DD" w:rsidP="00C12E63">
            <w:pPr>
              <w:spacing w:after="0" w:line="240" w:lineRule="auto"/>
              <w:jc w:val="right"/>
              <w:rPr>
                <w:rFonts w:eastAsia="Times New Roman" w:cs="Calibri"/>
                <w:sz w:val="20"/>
                <w:szCs w:val="20"/>
              </w:rPr>
            </w:pPr>
            <w:r>
              <w:rPr>
                <w:rFonts w:eastAsia="Times New Roman" w:cs="Calibri"/>
                <w:sz w:val="20"/>
                <w:szCs w:val="20"/>
              </w:rPr>
              <w:t>6,645</w:t>
            </w:r>
          </w:p>
        </w:tc>
      </w:tr>
      <w:tr w:rsidR="00C12E63" w:rsidRPr="00966518" w14:paraId="522EAE55" w14:textId="77777777" w:rsidTr="00C12E63">
        <w:trPr>
          <w:trHeight w:val="296"/>
          <w:jc w:val="center"/>
        </w:trPr>
        <w:tc>
          <w:tcPr>
            <w:tcW w:w="4744" w:type="dxa"/>
            <w:tcBorders>
              <w:top w:val="nil"/>
              <w:left w:val="nil"/>
              <w:bottom w:val="nil"/>
              <w:right w:val="single" w:sz="4" w:space="0" w:color="auto"/>
            </w:tcBorders>
            <w:shd w:val="clear" w:color="000000" w:fill="FFFFFF"/>
            <w:noWrap/>
            <w:vAlign w:val="center"/>
            <w:hideMark/>
          </w:tcPr>
          <w:p w14:paraId="77AAA9D4" w14:textId="77777777" w:rsidR="00C12E63" w:rsidRPr="00966518" w:rsidRDefault="00C12E63" w:rsidP="00C12E63">
            <w:pPr>
              <w:spacing w:after="0" w:line="240" w:lineRule="auto"/>
              <w:rPr>
                <w:rFonts w:eastAsia="Times New Roman" w:cs="Calibri"/>
                <w:sz w:val="20"/>
                <w:szCs w:val="20"/>
              </w:rPr>
            </w:pPr>
            <w:r w:rsidRPr="00966518">
              <w:rPr>
                <w:rFonts w:eastAsia="Times New Roman" w:cs="Calibri"/>
                <w:sz w:val="20"/>
                <w:szCs w:val="20"/>
              </w:rPr>
              <w:t>WHEAt</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tcPr>
          <w:p w14:paraId="694232D5" w14:textId="77777777" w:rsidR="00C12E63" w:rsidRPr="00966518" w:rsidRDefault="00C12E63" w:rsidP="00C12E63">
            <w:pPr>
              <w:spacing w:after="0" w:line="240" w:lineRule="auto"/>
              <w:jc w:val="center"/>
              <w:rPr>
                <w:rFonts w:eastAsia="Times New Roman" w:cs="Calibri"/>
                <w:sz w:val="20"/>
                <w:szCs w:val="20"/>
              </w:rPr>
            </w:pPr>
            <w:r w:rsidRPr="00966518">
              <w:rPr>
                <w:rFonts w:eastAsia="Times New Roman" w:cs="Calibri"/>
                <w:sz w:val="20"/>
                <w:szCs w:val="20"/>
              </w:rPr>
              <w:t>€/MWh</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5094B" w14:textId="4B8A12B6" w:rsidR="00C12E63" w:rsidRPr="00966518" w:rsidRDefault="00C12E63" w:rsidP="00C12E63">
            <w:pPr>
              <w:spacing w:after="0" w:line="240" w:lineRule="auto"/>
              <w:jc w:val="right"/>
              <w:rPr>
                <w:rFonts w:eastAsia="Times New Roman" w:cs="Calibri"/>
                <w:sz w:val="20"/>
                <w:szCs w:val="20"/>
              </w:rPr>
            </w:pPr>
            <w:r w:rsidRPr="00966518">
              <w:rPr>
                <w:rFonts w:eastAsia="Times New Roman" w:cs="Calibri"/>
                <w:sz w:val="20"/>
                <w:szCs w:val="20"/>
              </w:rPr>
              <w:t>46.46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25C02" w14:textId="6CFCB5C4" w:rsidR="00C12E63" w:rsidRPr="00966518" w:rsidRDefault="00C12E63" w:rsidP="00C12E63">
            <w:pPr>
              <w:spacing w:after="0" w:line="240" w:lineRule="auto"/>
              <w:jc w:val="right"/>
              <w:rPr>
                <w:rFonts w:eastAsia="Times New Roman" w:cs="Calibri"/>
                <w:sz w:val="20"/>
                <w:szCs w:val="20"/>
              </w:rPr>
            </w:pPr>
            <w:r>
              <w:rPr>
                <w:rFonts w:eastAsia="Times New Roman" w:cs="Calibri"/>
                <w:sz w:val="20"/>
                <w:szCs w:val="20"/>
              </w:rPr>
              <w:t>41.54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970A9CB" w14:textId="5C7D2EC9" w:rsidR="00C12E63" w:rsidRPr="00966518" w:rsidRDefault="000864DD" w:rsidP="00C12E63">
            <w:pPr>
              <w:spacing w:after="0" w:line="240" w:lineRule="auto"/>
              <w:jc w:val="right"/>
              <w:rPr>
                <w:rFonts w:eastAsia="Times New Roman" w:cs="Calibri"/>
                <w:sz w:val="20"/>
                <w:szCs w:val="20"/>
              </w:rPr>
            </w:pPr>
            <w:r>
              <w:rPr>
                <w:rFonts w:eastAsia="Times New Roman" w:cs="Calibri"/>
                <w:sz w:val="20"/>
                <w:szCs w:val="20"/>
              </w:rPr>
              <w:t>46.16</w:t>
            </w:r>
          </w:p>
        </w:tc>
      </w:tr>
      <w:tr w:rsidR="00C12E63" w:rsidRPr="00966518" w14:paraId="4EF7189E" w14:textId="77777777" w:rsidTr="00C12E63">
        <w:trPr>
          <w:trHeight w:val="296"/>
          <w:jc w:val="center"/>
        </w:trPr>
        <w:tc>
          <w:tcPr>
            <w:tcW w:w="4744" w:type="dxa"/>
            <w:tcBorders>
              <w:top w:val="nil"/>
              <w:left w:val="nil"/>
              <w:bottom w:val="nil"/>
              <w:right w:val="single" w:sz="4" w:space="0" w:color="auto"/>
            </w:tcBorders>
            <w:shd w:val="clear" w:color="000000" w:fill="FFFFFF"/>
            <w:noWrap/>
            <w:vAlign w:val="center"/>
            <w:hideMark/>
          </w:tcPr>
          <w:p w14:paraId="63E2C7B2" w14:textId="17FBEA45" w:rsidR="00C12E63" w:rsidRPr="00966518" w:rsidRDefault="00D36649" w:rsidP="00D36649">
            <w:pPr>
              <w:spacing w:after="0" w:line="240" w:lineRule="auto"/>
              <w:rPr>
                <w:rFonts w:eastAsia="Times New Roman" w:cs="Calibri"/>
                <w:color w:val="000000"/>
                <w:sz w:val="20"/>
                <w:szCs w:val="20"/>
              </w:rPr>
            </w:pPr>
            <w:r>
              <w:rPr>
                <w:rFonts w:eastAsia="Times New Roman" w:cs="Calibri"/>
                <w:color w:val="000000"/>
                <w:sz w:val="20"/>
                <w:szCs w:val="20"/>
              </w:rPr>
              <w:t>Gubici u OST sa s</w:t>
            </w:r>
            <w:r w:rsidRPr="00D36649">
              <w:rPr>
                <w:rFonts w:eastAsia="Times New Roman" w:cs="Calibri"/>
                <w:color w:val="000000"/>
                <w:sz w:val="20"/>
                <w:szCs w:val="20"/>
              </w:rPr>
              <w:t>evernim opterećenjem</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tcPr>
          <w:p w14:paraId="0E13E92F" w14:textId="77777777" w:rsidR="00C12E63" w:rsidRPr="00966518" w:rsidRDefault="00C12E63" w:rsidP="00C12E63">
            <w:pPr>
              <w:spacing w:after="0" w:line="240" w:lineRule="auto"/>
              <w:jc w:val="center"/>
              <w:rPr>
                <w:rFonts w:eastAsia="Times New Roman" w:cs="Calibri"/>
                <w:sz w:val="20"/>
                <w:szCs w:val="20"/>
              </w:rPr>
            </w:pPr>
            <w:r w:rsidRPr="00966518">
              <w:rPr>
                <w:rFonts w:eastAsia="Times New Roman" w:cs="Calibri"/>
                <w:sz w:val="20"/>
                <w:szCs w:val="20"/>
              </w:rPr>
              <w:t>GWh</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56AAB" w14:textId="77777777" w:rsidR="00C12E63" w:rsidRPr="00966518" w:rsidRDefault="00C12E63" w:rsidP="00C12E63">
            <w:pPr>
              <w:spacing w:after="0" w:line="240" w:lineRule="auto"/>
              <w:jc w:val="right"/>
              <w:rPr>
                <w:rFonts w:eastAsia="Times New Roman" w:cs="Calibr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9FD9B" w14:textId="10F5DC85" w:rsidR="00C12E63" w:rsidRPr="00966518" w:rsidRDefault="006C5C51" w:rsidP="00C12E63">
            <w:pPr>
              <w:spacing w:after="0" w:line="240" w:lineRule="auto"/>
              <w:jc w:val="right"/>
              <w:rPr>
                <w:rFonts w:eastAsia="Times New Roman" w:cs="Calibri"/>
                <w:bCs/>
                <w:sz w:val="20"/>
                <w:szCs w:val="20"/>
              </w:rPr>
            </w:pPr>
            <w:r>
              <w:rPr>
                <w:rFonts w:eastAsia="Times New Roman" w:cs="Calibri"/>
                <w:bCs/>
                <w:sz w:val="20"/>
                <w:szCs w:val="20"/>
              </w:rPr>
              <w:t>107.3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3C31B31" w14:textId="171CFD83" w:rsidR="00C12E63" w:rsidRPr="000864DD" w:rsidRDefault="000864DD" w:rsidP="000864DD">
            <w:pPr>
              <w:spacing w:after="0" w:line="240" w:lineRule="auto"/>
              <w:jc w:val="right"/>
              <w:rPr>
                <w:rFonts w:eastAsia="Times New Roman" w:cs="Calibri"/>
                <w:sz w:val="20"/>
                <w:szCs w:val="20"/>
              </w:rPr>
            </w:pPr>
            <w:r w:rsidRPr="000864DD">
              <w:rPr>
                <w:rFonts w:eastAsia="Times New Roman" w:cs="Calibri"/>
                <w:sz w:val="20"/>
                <w:szCs w:val="20"/>
              </w:rPr>
              <w:t>118.3</w:t>
            </w:r>
          </w:p>
        </w:tc>
      </w:tr>
      <w:tr w:rsidR="00C12E63" w:rsidRPr="00966518" w14:paraId="74E7D9E3" w14:textId="77777777" w:rsidTr="00C12E63">
        <w:trPr>
          <w:trHeight w:val="284"/>
          <w:jc w:val="center"/>
        </w:trPr>
        <w:tc>
          <w:tcPr>
            <w:tcW w:w="4744" w:type="dxa"/>
            <w:tcBorders>
              <w:top w:val="nil"/>
              <w:left w:val="nil"/>
              <w:bottom w:val="nil"/>
              <w:right w:val="single" w:sz="4" w:space="0" w:color="auto"/>
            </w:tcBorders>
            <w:shd w:val="clear" w:color="000000" w:fill="FFFFFF"/>
            <w:noWrap/>
            <w:vAlign w:val="center"/>
            <w:hideMark/>
          </w:tcPr>
          <w:p w14:paraId="78783BDD" w14:textId="6AECA778" w:rsidR="00C12E63" w:rsidRPr="00966518" w:rsidRDefault="00D36649" w:rsidP="00D36649">
            <w:pPr>
              <w:spacing w:after="0" w:line="240" w:lineRule="auto"/>
              <w:rPr>
                <w:rFonts w:eastAsia="Times New Roman" w:cs="Calibri"/>
                <w:color w:val="000000"/>
                <w:sz w:val="20"/>
                <w:szCs w:val="20"/>
              </w:rPr>
            </w:pPr>
            <w:r>
              <w:rPr>
                <w:rFonts w:eastAsia="Times New Roman" w:cs="Calibri"/>
                <w:color w:val="000000"/>
                <w:sz w:val="20"/>
                <w:szCs w:val="20"/>
              </w:rPr>
              <w:t>Usklađeni gubici zbog</w:t>
            </w:r>
            <w:r w:rsidRPr="00D36649">
              <w:rPr>
                <w:rFonts w:eastAsia="Times New Roman" w:cs="Calibri"/>
                <w:color w:val="000000"/>
                <w:sz w:val="20"/>
                <w:szCs w:val="20"/>
              </w:rPr>
              <w:t xml:space="preserve"> severnog opterećenja </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tcPr>
          <w:p w14:paraId="379D7EA7" w14:textId="77777777" w:rsidR="00C12E63" w:rsidRPr="000864DD" w:rsidRDefault="00C12E63" w:rsidP="00C12E63">
            <w:pPr>
              <w:spacing w:after="0" w:line="240" w:lineRule="auto"/>
              <w:jc w:val="center"/>
              <w:rPr>
                <w:rFonts w:eastAsia="Times New Roman" w:cs="Calibri"/>
                <w:sz w:val="20"/>
                <w:szCs w:val="20"/>
              </w:rPr>
            </w:pPr>
            <w:r w:rsidRPr="000864DD">
              <w:rPr>
                <w:rFonts w:eastAsia="Times New Roman" w:cs="Calibri"/>
                <w:sz w:val="20"/>
                <w:szCs w:val="20"/>
              </w:rPr>
              <w:t>GWh</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09FC4" w14:textId="0AFCBC78" w:rsidR="00C12E63" w:rsidRPr="000864DD" w:rsidRDefault="00C12E63" w:rsidP="00C12E63">
            <w:pPr>
              <w:spacing w:after="0" w:line="240" w:lineRule="auto"/>
              <w:jc w:val="right"/>
              <w:rPr>
                <w:rFonts w:eastAsia="Times New Roman" w:cs="Calibr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DE68B" w14:textId="77777777" w:rsidR="00C12E63" w:rsidRPr="000864DD" w:rsidRDefault="00C12E63" w:rsidP="00C12E63">
            <w:pPr>
              <w:spacing w:after="0" w:line="240" w:lineRule="auto"/>
              <w:jc w:val="right"/>
              <w:rPr>
                <w:rFonts w:eastAsia="Times New Roman" w:cs="Calibri"/>
                <w:sz w:val="20"/>
                <w:szCs w:val="20"/>
              </w:rPr>
            </w:pPr>
            <w:r w:rsidRPr="000864DD">
              <w:rPr>
                <w:rFonts w:eastAsia="Times New Roman" w:cs="Calibri"/>
                <w:sz w:val="20"/>
                <w:szCs w:val="20"/>
              </w:rPr>
              <w:t>5.3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E1208C8" w14:textId="40A23781" w:rsidR="00C12E63" w:rsidRPr="000864DD" w:rsidRDefault="000864DD" w:rsidP="000864DD">
            <w:pPr>
              <w:spacing w:after="0" w:line="240" w:lineRule="auto"/>
              <w:jc w:val="right"/>
              <w:rPr>
                <w:rFonts w:eastAsia="Times New Roman" w:cs="Calibri"/>
                <w:sz w:val="20"/>
                <w:szCs w:val="20"/>
              </w:rPr>
            </w:pPr>
            <w:r w:rsidRPr="000864DD">
              <w:rPr>
                <w:rFonts w:eastAsia="Times New Roman" w:cs="Calibri"/>
                <w:sz w:val="20"/>
                <w:szCs w:val="20"/>
              </w:rPr>
              <w:t>5.7</w:t>
            </w:r>
          </w:p>
        </w:tc>
      </w:tr>
      <w:tr w:rsidR="00C12E63" w:rsidRPr="00966518" w14:paraId="72DA16EF" w14:textId="77777777" w:rsidTr="00C12E63">
        <w:trPr>
          <w:trHeight w:val="296"/>
          <w:jc w:val="center"/>
        </w:trPr>
        <w:tc>
          <w:tcPr>
            <w:tcW w:w="4744" w:type="dxa"/>
            <w:tcBorders>
              <w:top w:val="nil"/>
              <w:left w:val="nil"/>
              <w:bottom w:val="nil"/>
              <w:right w:val="single" w:sz="4" w:space="0" w:color="auto"/>
            </w:tcBorders>
            <w:shd w:val="clear" w:color="000000" w:fill="FFFFFF"/>
            <w:noWrap/>
            <w:vAlign w:val="center"/>
            <w:hideMark/>
          </w:tcPr>
          <w:p w14:paraId="7D9ED59E" w14:textId="3BB2C971" w:rsidR="00C12E63" w:rsidRPr="00966518" w:rsidRDefault="00D36649" w:rsidP="00C12E63">
            <w:pPr>
              <w:spacing w:after="0" w:line="240" w:lineRule="auto"/>
              <w:rPr>
                <w:rFonts w:eastAsia="Times New Roman" w:cs="Calibri"/>
                <w:color w:val="000000"/>
                <w:sz w:val="20"/>
                <w:szCs w:val="20"/>
              </w:rPr>
            </w:pPr>
            <w:r>
              <w:rPr>
                <w:rFonts w:eastAsia="Times New Roman" w:cs="Calibri"/>
                <w:color w:val="000000"/>
                <w:sz w:val="20"/>
                <w:szCs w:val="20"/>
              </w:rPr>
              <w:t>Dozvoljeni gubici</w:t>
            </w:r>
            <w:r w:rsidR="00C12E63" w:rsidRPr="00966518">
              <w:rPr>
                <w:rFonts w:eastAsia="Times New Roman" w:cs="Calibri"/>
                <w:color w:val="000000"/>
                <w:sz w:val="20"/>
                <w:szCs w:val="20"/>
              </w:rPr>
              <w:t xml:space="preserve"> </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tcPr>
          <w:p w14:paraId="51760DDA" w14:textId="77777777" w:rsidR="00C12E63" w:rsidRPr="000864DD" w:rsidRDefault="00C12E63" w:rsidP="00C12E63">
            <w:pPr>
              <w:spacing w:after="0" w:line="240" w:lineRule="auto"/>
              <w:jc w:val="center"/>
              <w:rPr>
                <w:rFonts w:eastAsia="Times New Roman" w:cs="Calibri"/>
                <w:sz w:val="20"/>
                <w:szCs w:val="20"/>
              </w:rPr>
            </w:pPr>
            <w:r w:rsidRPr="000864DD">
              <w:rPr>
                <w:rFonts w:eastAsia="Times New Roman" w:cs="Calibri"/>
                <w:sz w:val="20"/>
                <w:szCs w:val="20"/>
              </w:rPr>
              <w:t>GWh</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E3CFC" w14:textId="018F0629" w:rsidR="00C12E63" w:rsidRPr="000864DD" w:rsidRDefault="006C5C51" w:rsidP="00C12E63">
            <w:pPr>
              <w:spacing w:after="0" w:line="240" w:lineRule="auto"/>
              <w:jc w:val="right"/>
              <w:rPr>
                <w:rFonts w:eastAsia="Times New Roman" w:cs="Calibri"/>
                <w:sz w:val="20"/>
                <w:szCs w:val="20"/>
              </w:rPr>
            </w:pPr>
            <w:r w:rsidRPr="000864DD">
              <w:rPr>
                <w:rFonts w:eastAsia="Times New Roman" w:cs="Calibri"/>
                <w:sz w:val="20"/>
                <w:szCs w:val="20"/>
              </w:rPr>
              <w:t>102.7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672C1" w14:textId="35205BFE" w:rsidR="00C12E63" w:rsidRPr="000864DD" w:rsidRDefault="00C12E63" w:rsidP="00C12E63">
            <w:pPr>
              <w:spacing w:after="0" w:line="240" w:lineRule="auto"/>
              <w:jc w:val="right"/>
              <w:rPr>
                <w:rFonts w:eastAsia="Times New Roman" w:cs="Calibri"/>
                <w:sz w:val="20"/>
                <w:szCs w:val="20"/>
              </w:rPr>
            </w:pPr>
            <w:r w:rsidRPr="000864DD">
              <w:rPr>
                <w:rFonts w:eastAsia="Times New Roman" w:cs="Calibri"/>
                <w:sz w:val="20"/>
                <w:szCs w:val="20"/>
              </w:rPr>
              <w:t>10</w:t>
            </w:r>
            <w:r w:rsidR="006C5C51" w:rsidRPr="000864DD">
              <w:rPr>
                <w:rFonts w:eastAsia="Times New Roman" w:cs="Calibri"/>
                <w:sz w:val="20"/>
                <w:szCs w:val="20"/>
              </w:rPr>
              <w:t>1.4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71D1C79" w14:textId="64B8D17B" w:rsidR="00C12E63" w:rsidRPr="000864DD" w:rsidRDefault="000864DD" w:rsidP="000864DD">
            <w:pPr>
              <w:spacing w:after="0" w:line="240" w:lineRule="auto"/>
              <w:jc w:val="right"/>
              <w:rPr>
                <w:rFonts w:eastAsia="Times New Roman" w:cs="Calibri"/>
                <w:sz w:val="20"/>
                <w:szCs w:val="20"/>
              </w:rPr>
            </w:pPr>
            <w:r w:rsidRPr="000864DD">
              <w:rPr>
                <w:rFonts w:eastAsia="Times New Roman" w:cs="Calibri"/>
                <w:sz w:val="20"/>
                <w:szCs w:val="20"/>
              </w:rPr>
              <w:t>1</w:t>
            </w:r>
            <w:r>
              <w:rPr>
                <w:rFonts w:eastAsia="Times New Roman" w:cs="Calibri"/>
                <w:sz w:val="20"/>
                <w:szCs w:val="20"/>
              </w:rPr>
              <w:t>12</w:t>
            </w:r>
            <w:r w:rsidRPr="000864DD">
              <w:rPr>
                <w:rFonts w:eastAsia="Times New Roman" w:cs="Calibri"/>
                <w:sz w:val="20"/>
                <w:szCs w:val="20"/>
              </w:rPr>
              <w:t>.9</w:t>
            </w:r>
          </w:p>
        </w:tc>
      </w:tr>
      <w:tr w:rsidR="00C12E63" w:rsidRPr="00966518" w14:paraId="39D97FA8" w14:textId="77777777" w:rsidTr="00C12E63">
        <w:trPr>
          <w:trHeight w:val="296"/>
          <w:jc w:val="center"/>
        </w:trPr>
        <w:tc>
          <w:tcPr>
            <w:tcW w:w="4744" w:type="dxa"/>
            <w:tcBorders>
              <w:top w:val="nil"/>
              <w:left w:val="nil"/>
              <w:bottom w:val="nil"/>
              <w:right w:val="single" w:sz="4" w:space="0" w:color="auto"/>
            </w:tcBorders>
            <w:shd w:val="clear" w:color="000000" w:fill="FFFFFF"/>
            <w:noWrap/>
            <w:vAlign w:val="center"/>
            <w:hideMark/>
          </w:tcPr>
          <w:p w14:paraId="33AECBE1" w14:textId="77777777" w:rsidR="00C12E63" w:rsidRPr="00966518" w:rsidRDefault="00C12E63" w:rsidP="00C12E63">
            <w:pPr>
              <w:spacing w:after="0" w:line="240" w:lineRule="auto"/>
              <w:rPr>
                <w:rFonts w:eastAsia="Times New Roman" w:cs="Calibri"/>
                <w:color w:val="000000"/>
                <w:sz w:val="20"/>
                <w:szCs w:val="20"/>
              </w:rPr>
            </w:pPr>
            <w:r w:rsidRPr="00966518">
              <w:rPr>
                <w:rFonts w:eastAsia="Times New Roman" w:cs="Calibri"/>
                <w:color w:val="000000"/>
                <w:sz w:val="20"/>
                <w:szCs w:val="20"/>
              </w:rPr>
              <w:t>LSSCat-1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tcPr>
          <w:p w14:paraId="53D056B8" w14:textId="77777777" w:rsidR="00C12E63" w:rsidRPr="00966518" w:rsidRDefault="00C12E63" w:rsidP="00C12E63">
            <w:pPr>
              <w:spacing w:after="0" w:line="240" w:lineRule="auto"/>
              <w:jc w:val="center"/>
              <w:rPr>
                <w:rFonts w:eastAsia="Times New Roman" w:cs="Calibri"/>
                <w:sz w:val="20"/>
                <w:szCs w:val="20"/>
              </w:rPr>
            </w:pPr>
            <w:r w:rsidRPr="00966518">
              <w:rPr>
                <w:rFonts w:eastAsia="Times New Roman" w:cs="Calibri"/>
                <w:sz w:val="20"/>
                <w:szCs w:val="20"/>
              </w:rPr>
              <w:t xml:space="preserve"> mil € </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BC4D4" w14:textId="77777777" w:rsidR="00C12E63" w:rsidRPr="00966518" w:rsidRDefault="00C12E63" w:rsidP="00C12E63">
            <w:pPr>
              <w:spacing w:after="0" w:line="240" w:lineRule="auto"/>
              <w:jc w:val="right"/>
              <w:rPr>
                <w:rFonts w:eastAsia="Times New Roman" w:cs="Calibr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B001D" w14:textId="05D7CDC5" w:rsidR="00C12E63" w:rsidRPr="00966518" w:rsidRDefault="00C12E63" w:rsidP="00C12E63">
            <w:pPr>
              <w:spacing w:after="0" w:line="240" w:lineRule="auto"/>
              <w:jc w:val="right"/>
              <w:rPr>
                <w:rFonts w:eastAsia="Times New Roman" w:cs="Calibri"/>
                <w:sz w:val="20"/>
                <w:szCs w:val="20"/>
              </w:rPr>
            </w:pPr>
            <w:r w:rsidRPr="00966518">
              <w:rPr>
                <w:rFonts w:eastAsia="Times New Roman" w:cs="Calibri"/>
                <w:b/>
                <w:bCs/>
                <w:sz w:val="20"/>
                <w:szCs w:val="20"/>
              </w:rPr>
              <w:t>4.3</w:t>
            </w:r>
            <w:r w:rsidR="006C5C51">
              <w:rPr>
                <w:rFonts w:eastAsia="Times New Roman" w:cs="Calibri"/>
                <w:b/>
                <w:bCs/>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0A01F32" w14:textId="77777777" w:rsidR="00C12E63" w:rsidRPr="00966518" w:rsidRDefault="00C12E63" w:rsidP="00C12E63">
            <w:pPr>
              <w:spacing w:after="0" w:line="240" w:lineRule="auto"/>
              <w:jc w:val="center"/>
              <w:rPr>
                <w:rFonts w:eastAsia="Times New Roman" w:cs="Calibri"/>
                <w:b/>
                <w:bCs/>
                <w:sz w:val="20"/>
                <w:szCs w:val="20"/>
              </w:rPr>
            </w:pPr>
          </w:p>
        </w:tc>
      </w:tr>
      <w:tr w:rsidR="00C12E63" w:rsidRPr="00966518" w14:paraId="76F3030A" w14:textId="77777777" w:rsidTr="00C12E63">
        <w:trPr>
          <w:trHeight w:val="296"/>
          <w:jc w:val="center"/>
        </w:trPr>
        <w:tc>
          <w:tcPr>
            <w:tcW w:w="4744" w:type="dxa"/>
            <w:tcBorders>
              <w:top w:val="nil"/>
              <w:left w:val="nil"/>
              <w:bottom w:val="single" w:sz="4" w:space="0" w:color="FFFFFF" w:themeColor="background1"/>
              <w:right w:val="single" w:sz="4" w:space="0" w:color="auto"/>
            </w:tcBorders>
            <w:shd w:val="clear" w:color="000000" w:fill="FFFFFF"/>
            <w:noWrap/>
            <w:vAlign w:val="center"/>
            <w:hideMark/>
          </w:tcPr>
          <w:p w14:paraId="6803163D" w14:textId="77777777" w:rsidR="00C12E63" w:rsidRPr="00966518" w:rsidRDefault="00C12E63" w:rsidP="00C12E63">
            <w:pPr>
              <w:spacing w:after="0" w:line="240" w:lineRule="auto"/>
              <w:rPr>
                <w:rFonts w:eastAsia="Times New Roman" w:cs="Calibri"/>
                <w:color w:val="000000"/>
                <w:sz w:val="20"/>
                <w:szCs w:val="20"/>
              </w:rPr>
            </w:pPr>
            <w:r w:rsidRPr="00966518">
              <w:rPr>
                <w:rFonts w:eastAsia="Times New Roman" w:cs="Calibri"/>
                <w:color w:val="000000"/>
                <w:sz w:val="20"/>
                <w:szCs w:val="20"/>
              </w:rPr>
              <w:t>LSSCft-1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tcPr>
          <w:p w14:paraId="59790391" w14:textId="77777777" w:rsidR="00C12E63" w:rsidRPr="00966518" w:rsidRDefault="00C12E63" w:rsidP="00C12E63">
            <w:pPr>
              <w:spacing w:after="0" w:line="240" w:lineRule="auto"/>
              <w:jc w:val="center"/>
              <w:rPr>
                <w:rFonts w:eastAsia="Times New Roman" w:cs="Calibri"/>
                <w:sz w:val="20"/>
                <w:szCs w:val="20"/>
              </w:rPr>
            </w:pPr>
            <w:r w:rsidRPr="00966518">
              <w:rPr>
                <w:rFonts w:eastAsia="Times New Roman" w:cs="Calibri"/>
                <w:sz w:val="20"/>
                <w:szCs w:val="20"/>
              </w:rPr>
              <w:t xml:space="preserve"> mil € </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AB09D" w14:textId="7C6B0A3A" w:rsidR="00C12E63" w:rsidRPr="00966518" w:rsidRDefault="00C12E63" w:rsidP="00C12E63">
            <w:pPr>
              <w:spacing w:after="0" w:line="240" w:lineRule="auto"/>
              <w:jc w:val="right"/>
              <w:rPr>
                <w:rFonts w:eastAsia="Times New Roman" w:cs="Calibri"/>
                <w:sz w:val="20"/>
                <w:szCs w:val="20"/>
              </w:rPr>
            </w:pPr>
            <w:r w:rsidRPr="00966518">
              <w:rPr>
                <w:rFonts w:eastAsia="Times New Roman" w:cs="Calibri"/>
                <w:b/>
                <w:sz w:val="20"/>
                <w:szCs w:val="20"/>
              </w:rPr>
              <w:t>5.16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62FD4" w14:textId="77777777" w:rsidR="00C12E63" w:rsidRPr="00966518" w:rsidRDefault="00C12E63" w:rsidP="00C12E63">
            <w:pPr>
              <w:spacing w:after="0" w:line="240" w:lineRule="auto"/>
              <w:jc w:val="right"/>
              <w:rPr>
                <w:rFonts w:eastAsia="Times New Roman" w:cs="Calibr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B85CC15" w14:textId="628A0CFB" w:rsidR="00C12E63" w:rsidRPr="00966518" w:rsidRDefault="000864DD" w:rsidP="00C12E63">
            <w:pPr>
              <w:spacing w:after="0" w:line="240" w:lineRule="auto"/>
              <w:jc w:val="right"/>
              <w:rPr>
                <w:rFonts w:eastAsia="Times New Roman" w:cs="Calibri"/>
                <w:b/>
                <w:sz w:val="20"/>
                <w:szCs w:val="20"/>
              </w:rPr>
            </w:pPr>
            <w:r>
              <w:rPr>
                <w:rFonts w:eastAsia="Times New Roman" w:cs="Calibri"/>
                <w:b/>
                <w:sz w:val="20"/>
                <w:szCs w:val="20"/>
              </w:rPr>
              <w:t>5.19</w:t>
            </w:r>
          </w:p>
        </w:tc>
      </w:tr>
      <w:tr w:rsidR="00C12E63" w:rsidRPr="001471C5" w14:paraId="78CD849C" w14:textId="77777777" w:rsidTr="00C12E63">
        <w:trPr>
          <w:trHeight w:val="296"/>
          <w:jc w:val="center"/>
        </w:trPr>
        <w:tc>
          <w:tcPr>
            <w:tcW w:w="4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hideMark/>
          </w:tcPr>
          <w:p w14:paraId="63C8866D" w14:textId="1ED5A4DA" w:rsidR="00C12E63" w:rsidRPr="00966518" w:rsidRDefault="00D36649" w:rsidP="00C12E63">
            <w:pPr>
              <w:spacing w:after="0" w:line="240" w:lineRule="auto"/>
              <w:rPr>
                <w:rFonts w:eastAsia="Times New Roman" w:cs="Calibri"/>
                <w:b/>
                <w:bCs/>
                <w:sz w:val="20"/>
                <w:szCs w:val="20"/>
              </w:rPr>
            </w:pPr>
            <w:r w:rsidRPr="00D36649">
              <w:rPr>
                <w:b/>
                <w:sz w:val="20"/>
                <w:szCs w:val="20"/>
              </w:rPr>
              <w:t>Usklađeni troškov</w:t>
            </w:r>
            <w:r w:rsidRPr="00D36649">
              <w:rPr>
                <w:rFonts w:eastAsia="Times New Roman" w:cs="Calibri"/>
                <w:b/>
                <w:bCs/>
                <w:sz w:val="20"/>
                <w:szCs w:val="20"/>
              </w:rPr>
              <w:t>i</w:t>
            </w:r>
            <w:r w:rsidRPr="00966518">
              <w:rPr>
                <w:rStyle w:val="FootnoteReference"/>
                <w:rFonts w:eastAsia="Times New Roman" w:cs="Calibri"/>
                <w:b/>
                <w:bCs/>
                <w:sz w:val="20"/>
                <w:szCs w:val="20"/>
              </w:rPr>
              <w:t xml:space="preserve"> </w:t>
            </w:r>
            <w:r w:rsidR="00C12E63" w:rsidRPr="00966518">
              <w:rPr>
                <w:rStyle w:val="FootnoteReference"/>
                <w:rFonts w:eastAsia="Times New Roman" w:cs="Calibri"/>
                <w:b/>
                <w:bCs/>
                <w:sz w:val="20"/>
                <w:szCs w:val="20"/>
              </w:rPr>
              <w:footnoteReference w:id="3"/>
            </w:r>
          </w:p>
        </w:tc>
        <w:tc>
          <w:tcPr>
            <w:tcW w:w="89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1ED9DDBD" w14:textId="77777777" w:rsidR="00C12E63" w:rsidRPr="00966518" w:rsidRDefault="00C12E63" w:rsidP="00C12E63">
            <w:pPr>
              <w:spacing w:after="0" w:line="240" w:lineRule="auto"/>
              <w:jc w:val="center"/>
              <w:rPr>
                <w:rFonts w:eastAsia="Times New Roman" w:cs="Calibri"/>
                <w:b/>
                <w:bCs/>
                <w:sz w:val="20"/>
                <w:szCs w:val="20"/>
              </w:rPr>
            </w:pPr>
            <w:r w:rsidRPr="00966518">
              <w:rPr>
                <w:rFonts w:eastAsia="Times New Roman" w:cs="Calibri"/>
                <w:sz w:val="20"/>
                <w:szCs w:val="20"/>
              </w:rPr>
              <w:t xml:space="preserve"> mil € </w:t>
            </w:r>
          </w:p>
        </w:tc>
        <w:tc>
          <w:tcPr>
            <w:tcW w:w="88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hideMark/>
          </w:tcPr>
          <w:p w14:paraId="271C62D8" w14:textId="77777777" w:rsidR="00C12E63" w:rsidRPr="00966518" w:rsidRDefault="00C12E63" w:rsidP="00C12E63">
            <w:pPr>
              <w:spacing w:after="0" w:line="240" w:lineRule="auto"/>
              <w:jc w:val="right"/>
              <w:rPr>
                <w:rFonts w:eastAsia="Times New Roman" w:cs="Calibri"/>
                <w:b/>
                <w:bCs/>
                <w:sz w:val="20"/>
                <w:szCs w:val="20"/>
              </w:rPr>
            </w:pPr>
          </w:p>
        </w:tc>
        <w:tc>
          <w:tcPr>
            <w:tcW w:w="113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hideMark/>
          </w:tcPr>
          <w:p w14:paraId="0708C161" w14:textId="497FD4AB" w:rsidR="00C12E63" w:rsidRPr="001471C5" w:rsidRDefault="00C12E63" w:rsidP="00C12E63">
            <w:pPr>
              <w:spacing w:after="0" w:line="240" w:lineRule="auto"/>
              <w:jc w:val="right"/>
              <w:rPr>
                <w:rFonts w:eastAsia="Times New Roman" w:cs="Calibri"/>
                <w:b/>
                <w:bCs/>
                <w:sz w:val="20"/>
                <w:szCs w:val="20"/>
              </w:rPr>
            </w:pPr>
            <w:r w:rsidRPr="00966518">
              <w:rPr>
                <w:rFonts w:eastAsia="Times New Roman" w:cs="Calibri"/>
                <w:b/>
                <w:bCs/>
                <w:sz w:val="20"/>
                <w:szCs w:val="20"/>
              </w:rPr>
              <w:t>-</w:t>
            </w:r>
            <w:r w:rsidR="006C5C51">
              <w:rPr>
                <w:rFonts w:eastAsia="Times New Roman" w:cs="Calibri"/>
                <w:b/>
                <w:bCs/>
                <w:sz w:val="20"/>
                <w:szCs w:val="20"/>
              </w:rPr>
              <w:t>0.88</w:t>
            </w:r>
          </w:p>
        </w:tc>
        <w:tc>
          <w:tcPr>
            <w:tcW w:w="127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75EF4F99" w14:textId="77777777" w:rsidR="00C12E63" w:rsidRPr="001471C5" w:rsidRDefault="00C12E63" w:rsidP="00C12E63">
            <w:pPr>
              <w:spacing w:after="0" w:line="240" w:lineRule="auto"/>
              <w:jc w:val="right"/>
              <w:rPr>
                <w:rFonts w:eastAsia="Times New Roman" w:cs="Calibri"/>
                <w:b/>
                <w:bCs/>
                <w:sz w:val="20"/>
                <w:szCs w:val="20"/>
              </w:rPr>
            </w:pPr>
          </w:p>
        </w:tc>
      </w:tr>
    </w:tbl>
    <w:p w14:paraId="7F654164" w14:textId="77777777" w:rsidR="003E7F26" w:rsidRPr="001471C5" w:rsidRDefault="003E7F26" w:rsidP="003E7F26">
      <w:pPr>
        <w:jc w:val="both"/>
      </w:pPr>
    </w:p>
    <w:p w14:paraId="6A8A88BF" w14:textId="08963887" w:rsidR="003E7F26" w:rsidRPr="001471C5" w:rsidRDefault="00504082" w:rsidP="003E7F26">
      <w:pPr>
        <w:jc w:val="both"/>
      </w:pPr>
      <w:r w:rsidRPr="00504082">
        <w:t>Troškovi gubitaka za 2020. godinu takođe su prilagođeni slično onima za 2019. u vezi</w:t>
      </w:r>
      <w:r>
        <w:t xml:space="preserve"> sa opterećenjem na severu. Vr</w:t>
      </w:r>
      <w:r w:rsidRPr="00504082">
        <w:t>ednost snage prilagođene ovom opterećenju je 5,3 GVh.</w:t>
      </w:r>
      <w:r w:rsidR="003E7F26" w:rsidRPr="001471C5">
        <w:t xml:space="preserve"> </w:t>
      </w:r>
    </w:p>
    <w:p w14:paraId="296CB7BB" w14:textId="2223A5A4" w:rsidR="00F815F2" w:rsidRPr="001471C5" w:rsidRDefault="00504082" w:rsidP="00F815F2">
      <w:pPr>
        <w:pStyle w:val="Equation"/>
        <w:keepLines/>
        <w:ind w:left="2410" w:hanging="992"/>
        <w:rPr>
          <w:lang w:val="sq-AL"/>
        </w:rPr>
      </w:pPr>
      <w:r>
        <w:rPr>
          <w:lang w:val="sq-AL"/>
        </w:rPr>
        <w:t>Gde</w:t>
      </w:r>
      <w:r w:rsidR="00F815F2" w:rsidRPr="001471C5">
        <w:rPr>
          <w:lang w:val="sq-AL"/>
        </w:rPr>
        <w:t>:</w:t>
      </w:r>
      <w:r w:rsidR="00F815F2" w:rsidRPr="001471C5">
        <w:rPr>
          <w:lang w:val="sq-AL"/>
        </w:rPr>
        <w:tab/>
      </w:r>
    </w:p>
    <w:p w14:paraId="4AD13C47" w14:textId="74F79AC3" w:rsidR="00F815F2" w:rsidRPr="001471C5" w:rsidRDefault="00F815F2" w:rsidP="00F815F2">
      <w:pPr>
        <w:pStyle w:val="Equation"/>
        <w:ind w:left="2873" w:hanging="1455"/>
        <w:rPr>
          <w:lang w:val="sq-AL"/>
        </w:rPr>
      </w:pPr>
      <w:r w:rsidRPr="001471C5">
        <w:rPr>
          <w:lang w:val="sq-AL"/>
        </w:rPr>
        <w:t>LSSA</w:t>
      </w:r>
      <w:r w:rsidRPr="001471C5">
        <w:rPr>
          <w:vertAlign w:val="subscript"/>
          <w:lang w:val="sq-AL"/>
        </w:rPr>
        <w:t>t</w:t>
      </w:r>
      <w:r w:rsidRPr="001471C5">
        <w:rPr>
          <w:lang w:val="sq-AL"/>
        </w:rPr>
        <w:tab/>
      </w:r>
      <w:r w:rsidRPr="001471C5">
        <w:rPr>
          <w:lang w:val="sq-AL"/>
        </w:rPr>
        <w:tab/>
      </w:r>
      <w:proofErr w:type="spellStart"/>
      <w:r w:rsidR="00504082">
        <w:t>su</w:t>
      </w:r>
      <w:proofErr w:type="spellEnd"/>
      <w:r w:rsidR="00504082">
        <w:t xml:space="preserve"> </w:t>
      </w:r>
      <w:proofErr w:type="spellStart"/>
      <w:r w:rsidR="00504082">
        <w:t>dozvoljeni</w:t>
      </w:r>
      <w:proofErr w:type="spellEnd"/>
      <w:r w:rsidR="00504082">
        <w:t xml:space="preserve"> </w:t>
      </w:r>
      <w:proofErr w:type="spellStart"/>
      <w:r w:rsidR="00504082">
        <w:t>gubici</w:t>
      </w:r>
      <w:proofErr w:type="spellEnd"/>
      <w:r w:rsidR="00504082">
        <w:t xml:space="preserve"> </w:t>
      </w:r>
      <w:proofErr w:type="spellStart"/>
      <w:r w:rsidR="00504082">
        <w:t>koji</w:t>
      </w:r>
      <w:proofErr w:type="spellEnd"/>
      <w:r w:rsidR="00504082">
        <w:t xml:space="preserve"> se </w:t>
      </w:r>
      <w:proofErr w:type="spellStart"/>
      <w:r w:rsidR="00504082">
        <w:t>prikazuju</w:t>
      </w:r>
      <w:proofErr w:type="spellEnd"/>
      <w:r w:rsidR="00504082">
        <w:t xml:space="preserve"> </w:t>
      </w:r>
      <w:proofErr w:type="spellStart"/>
      <w:r w:rsidR="00504082">
        <w:t>kao</w:t>
      </w:r>
      <w:proofErr w:type="spellEnd"/>
      <w:r w:rsidR="00504082">
        <w:t xml:space="preserve"> </w:t>
      </w:r>
      <w:proofErr w:type="spellStart"/>
      <w:r w:rsidR="00504082">
        <w:t>procenat</w:t>
      </w:r>
      <w:proofErr w:type="spellEnd"/>
      <w:r w:rsidR="00504082">
        <w:t xml:space="preserve"> </w:t>
      </w:r>
      <w:proofErr w:type="spellStart"/>
      <w:r w:rsidR="00504082">
        <w:t>energije</w:t>
      </w:r>
      <w:proofErr w:type="spellEnd"/>
      <w:r w:rsidR="00504082">
        <w:t xml:space="preserve"> </w:t>
      </w:r>
      <w:proofErr w:type="spellStart"/>
      <w:r w:rsidR="00504082">
        <w:t>koji</w:t>
      </w:r>
      <w:proofErr w:type="spellEnd"/>
      <w:r w:rsidR="00504082">
        <w:t xml:space="preserve"> </w:t>
      </w:r>
      <w:proofErr w:type="spellStart"/>
      <w:r w:rsidR="00504082">
        <w:t>ulazi</w:t>
      </w:r>
      <w:proofErr w:type="spellEnd"/>
      <w:r w:rsidR="00504082">
        <w:t xml:space="preserve"> u </w:t>
      </w:r>
      <w:proofErr w:type="spellStart"/>
      <w:r w:rsidR="00504082">
        <w:t>distributivni</w:t>
      </w:r>
      <w:proofErr w:type="spellEnd"/>
      <w:r w:rsidR="00504082">
        <w:t xml:space="preserve"> </w:t>
      </w:r>
      <w:proofErr w:type="spellStart"/>
      <w:r w:rsidR="00504082">
        <w:t>sistem</w:t>
      </w:r>
      <w:proofErr w:type="spellEnd"/>
      <w:r w:rsidR="00504082">
        <w:t xml:space="preserve"> u </w:t>
      </w:r>
      <w:proofErr w:type="spellStart"/>
      <w:r w:rsidR="00504082">
        <w:t>relevantnoj</w:t>
      </w:r>
      <w:proofErr w:type="spellEnd"/>
      <w:r w:rsidR="00504082">
        <w:t xml:space="preserve"> </w:t>
      </w:r>
      <w:proofErr w:type="spellStart"/>
      <w:r w:rsidR="00504082">
        <w:t>godini</w:t>
      </w:r>
      <w:proofErr w:type="spellEnd"/>
      <w:r w:rsidR="00504082">
        <w:t xml:space="preserve"> </w:t>
      </w:r>
      <w:r w:rsidRPr="001471C5">
        <w:rPr>
          <w:lang w:val="sq-AL"/>
        </w:rPr>
        <w:t xml:space="preserve">t </w:t>
      </w:r>
    </w:p>
    <w:p w14:paraId="5802443C" w14:textId="2123239F" w:rsidR="00F815F2" w:rsidRPr="001471C5" w:rsidRDefault="00F815F2" w:rsidP="00F815F2">
      <w:pPr>
        <w:pStyle w:val="Equation"/>
        <w:ind w:left="2873" w:hanging="1455"/>
        <w:jc w:val="both"/>
        <w:rPr>
          <w:lang w:val="sq-AL"/>
        </w:rPr>
      </w:pPr>
      <w:r w:rsidRPr="001471C5">
        <w:rPr>
          <w:lang w:val="sq-AL"/>
        </w:rPr>
        <w:t>REUE</w:t>
      </w:r>
      <w:r w:rsidRPr="001471C5">
        <w:rPr>
          <w:vertAlign w:val="subscript"/>
          <w:lang w:val="sq-AL"/>
        </w:rPr>
        <w:t>t</w:t>
      </w:r>
      <w:r w:rsidRPr="001471C5">
        <w:rPr>
          <w:lang w:val="sq-AL"/>
        </w:rPr>
        <w:tab/>
      </w:r>
      <w:proofErr w:type="spellStart"/>
      <w:r w:rsidR="00504082">
        <w:t>su</w:t>
      </w:r>
      <w:proofErr w:type="spellEnd"/>
      <w:r w:rsidR="00504082">
        <w:t xml:space="preserve"> </w:t>
      </w:r>
      <w:proofErr w:type="spellStart"/>
      <w:r w:rsidR="00504082">
        <w:t>energetske</w:t>
      </w:r>
      <w:proofErr w:type="spellEnd"/>
      <w:r w:rsidR="00504082">
        <w:t xml:space="preserve"> </w:t>
      </w:r>
      <w:proofErr w:type="spellStart"/>
      <w:r w:rsidR="00504082">
        <w:t>jedinice</w:t>
      </w:r>
      <w:proofErr w:type="spellEnd"/>
      <w:r w:rsidR="00504082">
        <w:t xml:space="preserve"> (</w:t>
      </w:r>
      <w:proofErr w:type="spellStart"/>
      <w:r w:rsidR="00504082">
        <w:t>MWh</w:t>
      </w:r>
      <w:proofErr w:type="spellEnd"/>
      <w:r w:rsidR="00504082">
        <w:t xml:space="preserve">) </w:t>
      </w:r>
      <w:proofErr w:type="spellStart"/>
      <w:r w:rsidR="00504082">
        <w:t>ili</w:t>
      </w:r>
      <w:proofErr w:type="spellEnd"/>
      <w:r w:rsidR="00504082">
        <w:t xml:space="preserve"> (</w:t>
      </w:r>
      <w:proofErr w:type="spellStart"/>
      <w:r w:rsidR="00504082">
        <w:t>GWh</w:t>
      </w:r>
      <w:proofErr w:type="spellEnd"/>
      <w:r w:rsidR="00504082">
        <w:t xml:space="preserve">) </w:t>
      </w:r>
      <w:proofErr w:type="spellStart"/>
      <w:r w:rsidR="00504082">
        <w:t>koje</w:t>
      </w:r>
      <w:proofErr w:type="spellEnd"/>
      <w:r w:rsidR="00504082">
        <w:t xml:space="preserve"> se </w:t>
      </w:r>
      <w:proofErr w:type="spellStart"/>
      <w:r w:rsidR="00504082">
        <w:t>priključuju</w:t>
      </w:r>
      <w:proofErr w:type="spellEnd"/>
      <w:r w:rsidR="00504082">
        <w:t xml:space="preserve"> u </w:t>
      </w:r>
      <w:proofErr w:type="spellStart"/>
      <w:r w:rsidR="00504082">
        <w:t>distributivni</w:t>
      </w:r>
      <w:proofErr w:type="spellEnd"/>
      <w:r w:rsidR="00504082">
        <w:t xml:space="preserve"> </w:t>
      </w:r>
      <w:proofErr w:type="spellStart"/>
      <w:r w:rsidR="00504082">
        <w:t>sistem</w:t>
      </w:r>
      <w:proofErr w:type="spellEnd"/>
      <w:r w:rsidR="00504082">
        <w:t xml:space="preserve"> u </w:t>
      </w:r>
      <w:proofErr w:type="spellStart"/>
      <w:r w:rsidR="00504082">
        <w:t>relevantnoj</w:t>
      </w:r>
      <w:proofErr w:type="spellEnd"/>
      <w:r w:rsidR="00504082">
        <w:t xml:space="preserve"> </w:t>
      </w:r>
      <w:proofErr w:type="spellStart"/>
      <w:r w:rsidR="00504082">
        <w:t>godini</w:t>
      </w:r>
      <w:proofErr w:type="spellEnd"/>
      <w:r w:rsidR="00504082">
        <w:t xml:space="preserve"> t</w:t>
      </w:r>
      <w:r w:rsidRPr="001471C5">
        <w:rPr>
          <w:lang w:val="sq-AL"/>
        </w:rPr>
        <w:t xml:space="preserve"> </w:t>
      </w:r>
    </w:p>
    <w:p w14:paraId="6A00A6D5" w14:textId="32030A41" w:rsidR="00F815F2" w:rsidRPr="001471C5" w:rsidRDefault="001454F3" w:rsidP="00F815F2">
      <w:pPr>
        <w:pStyle w:val="Equation"/>
        <w:ind w:left="2873" w:hanging="1455"/>
        <w:jc w:val="both"/>
        <w:rPr>
          <w:lang w:val="sq-AL"/>
        </w:rPr>
      </w:pPr>
      <w:r w:rsidRPr="001471C5">
        <w:rPr>
          <w:lang w:val="sq-AL"/>
        </w:rPr>
        <w:lastRenderedPageBreak/>
        <w:t>W</w:t>
      </w:r>
      <w:r w:rsidR="00F815F2" w:rsidRPr="001471C5">
        <w:rPr>
          <w:lang w:val="sq-AL"/>
        </w:rPr>
        <w:t>HEA</w:t>
      </w:r>
      <w:r w:rsidR="00F815F2" w:rsidRPr="001471C5">
        <w:rPr>
          <w:vertAlign w:val="subscript"/>
          <w:lang w:val="sq-AL"/>
        </w:rPr>
        <w:t>t</w:t>
      </w:r>
      <w:r w:rsidR="00F815F2" w:rsidRPr="001471C5">
        <w:rPr>
          <w:lang w:val="sq-AL"/>
        </w:rPr>
        <w:tab/>
      </w:r>
      <w:r w:rsidR="00240E9A">
        <w:t xml:space="preserve">je </w:t>
      </w:r>
      <w:proofErr w:type="spellStart"/>
      <w:r w:rsidR="00240E9A">
        <w:t>prosek</w:t>
      </w:r>
      <w:proofErr w:type="spellEnd"/>
      <w:r w:rsidR="00240E9A">
        <w:t xml:space="preserve"> </w:t>
      </w:r>
      <w:proofErr w:type="spellStart"/>
      <w:r w:rsidR="00240E9A">
        <w:t>troškova</w:t>
      </w:r>
      <w:proofErr w:type="spellEnd"/>
      <w:r w:rsidR="00240E9A">
        <w:t xml:space="preserve"> </w:t>
      </w:r>
      <w:proofErr w:type="spellStart"/>
      <w:r w:rsidR="00240E9A">
        <w:t>energije</w:t>
      </w:r>
      <w:proofErr w:type="spellEnd"/>
      <w:r w:rsidR="00240E9A">
        <w:t xml:space="preserve"> </w:t>
      </w:r>
      <w:proofErr w:type="spellStart"/>
      <w:r w:rsidR="00240E9A">
        <w:t>na</w:t>
      </w:r>
      <w:proofErr w:type="spellEnd"/>
      <w:r w:rsidR="00240E9A">
        <w:t xml:space="preserve"> </w:t>
      </w:r>
      <w:proofErr w:type="spellStart"/>
      <w:r w:rsidR="00240E9A">
        <w:t>veliko</w:t>
      </w:r>
      <w:proofErr w:type="spellEnd"/>
      <w:r w:rsidR="00240E9A">
        <w:t xml:space="preserve"> (€ / </w:t>
      </w:r>
      <w:proofErr w:type="spellStart"/>
      <w:r w:rsidR="00240E9A">
        <w:t>MWh</w:t>
      </w:r>
      <w:proofErr w:type="spellEnd"/>
      <w:r w:rsidR="00240E9A">
        <w:t xml:space="preserve">) u </w:t>
      </w:r>
      <w:proofErr w:type="spellStart"/>
      <w:r w:rsidR="00240E9A">
        <w:t>relevantnoj</w:t>
      </w:r>
      <w:proofErr w:type="spellEnd"/>
      <w:r w:rsidR="00240E9A">
        <w:t xml:space="preserve"> </w:t>
      </w:r>
      <w:proofErr w:type="spellStart"/>
      <w:r w:rsidR="00240E9A">
        <w:t>godini</w:t>
      </w:r>
      <w:proofErr w:type="spellEnd"/>
      <w:r w:rsidR="00240E9A" w:rsidRPr="001471C5">
        <w:rPr>
          <w:lang w:val="sq-AL"/>
        </w:rPr>
        <w:t xml:space="preserve"> </w:t>
      </w:r>
      <w:r w:rsidR="00F815F2" w:rsidRPr="001471C5">
        <w:rPr>
          <w:lang w:val="sq-AL"/>
        </w:rPr>
        <w:t xml:space="preserve">t </w:t>
      </w:r>
    </w:p>
    <w:p w14:paraId="360D2EF1" w14:textId="77777777" w:rsidR="00F815F2" w:rsidRPr="001471C5" w:rsidRDefault="00F815F2" w:rsidP="00F815F2">
      <w:pPr>
        <w:pStyle w:val="Equation"/>
        <w:ind w:left="2873" w:hanging="1455"/>
        <w:jc w:val="both"/>
        <w:rPr>
          <w:lang w:val="sq-AL"/>
        </w:rPr>
      </w:pPr>
      <w:r w:rsidRPr="001471C5">
        <w:rPr>
          <w:lang w:val="sq-AL"/>
        </w:rPr>
        <w:t>LSSCa</w:t>
      </w:r>
      <w:r w:rsidRPr="001471C5">
        <w:rPr>
          <w:vertAlign w:val="subscript"/>
          <w:lang w:val="sq-AL"/>
        </w:rPr>
        <w:t>t-1</w:t>
      </w:r>
      <w:r w:rsidRPr="001471C5">
        <w:rPr>
          <w:vertAlign w:val="subscript"/>
          <w:lang w:val="sq-AL"/>
        </w:rPr>
        <w:tab/>
      </w:r>
      <w:r w:rsidRPr="001471C5">
        <w:rPr>
          <w:lang w:val="sq-AL"/>
        </w:rPr>
        <w:t xml:space="preserve">është kostoja e realizuar e humbjeve të lejuara në vitin relevant t‐1, (llogaritur duke përdorur humbjet e lejuara) </w:t>
      </w:r>
    </w:p>
    <w:p w14:paraId="32CEAD2B" w14:textId="6148C20E" w:rsidR="00F815F2" w:rsidRPr="001471C5" w:rsidRDefault="00F815F2" w:rsidP="00F815F2">
      <w:pPr>
        <w:pStyle w:val="Equation"/>
        <w:ind w:left="2873" w:hanging="1455"/>
        <w:jc w:val="both"/>
        <w:rPr>
          <w:lang w:val="sq-AL"/>
        </w:rPr>
      </w:pPr>
      <w:r w:rsidRPr="001471C5">
        <w:rPr>
          <w:lang w:val="sq-AL"/>
        </w:rPr>
        <w:t>LSSCf</w:t>
      </w:r>
      <w:r w:rsidRPr="001471C5">
        <w:rPr>
          <w:vertAlign w:val="subscript"/>
          <w:lang w:val="sq-AL"/>
        </w:rPr>
        <w:t>t-1</w:t>
      </w:r>
      <w:r w:rsidRPr="001471C5">
        <w:rPr>
          <w:vertAlign w:val="subscript"/>
          <w:lang w:val="sq-AL"/>
        </w:rPr>
        <w:tab/>
      </w:r>
      <w:r w:rsidR="00193977">
        <w:t xml:space="preserve">je </w:t>
      </w:r>
      <w:proofErr w:type="spellStart"/>
      <w:r w:rsidR="00193977">
        <w:t>realizovani</w:t>
      </w:r>
      <w:proofErr w:type="spellEnd"/>
      <w:r w:rsidR="00193977">
        <w:t xml:space="preserve"> </w:t>
      </w:r>
      <w:proofErr w:type="spellStart"/>
      <w:r w:rsidR="00193977">
        <w:t>trošak</w:t>
      </w:r>
      <w:proofErr w:type="spellEnd"/>
      <w:r w:rsidR="00193977">
        <w:t xml:space="preserve"> </w:t>
      </w:r>
      <w:proofErr w:type="spellStart"/>
      <w:r w:rsidR="00193977">
        <w:t>dozvoljenih</w:t>
      </w:r>
      <w:proofErr w:type="spellEnd"/>
      <w:r w:rsidR="00193977">
        <w:t xml:space="preserve"> </w:t>
      </w:r>
      <w:proofErr w:type="spellStart"/>
      <w:r w:rsidR="00193977">
        <w:t>gubitaka</w:t>
      </w:r>
      <w:proofErr w:type="spellEnd"/>
      <w:r w:rsidR="00193977">
        <w:t xml:space="preserve"> u </w:t>
      </w:r>
      <w:proofErr w:type="spellStart"/>
      <w:r w:rsidR="00193977">
        <w:t>relevantnoj</w:t>
      </w:r>
      <w:proofErr w:type="spellEnd"/>
      <w:r w:rsidR="00193977">
        <w:t xml:space="preserve"> </w:t>
      </w:r>
      <w:proofErr w:type="spellStart"/>
      <w:r w:rsidR="00193977">
        <w:t>godini</w:t>
      </w:r>
      <w:proofErr w:type="spellEnd"/>
      <w:r w:rsidR="00193977">
        <w:t xml:space="preserve"> t-1, (</w:t>
      </w:r>
      <w:proofErr w:type="spellStart"/>
      <w:r w:rsidR="00193977">
        <w:t>izračunat</w:t>
      </w:r>
      <w:proofErr w:type="spellEnd"/>
      <w:r w:rsidR="00193977">
        <w:t xml:space="preserve"> </w:t>
      </w:r>
      <w:proofErr w:type="spellStart"/>
      <w:r w:rsidR="00193977">
        <w:t>korišćenjem</w:t>
      </w:r>
      <w:proofErr w:type="spellEnd"/>
      <w:r w:rsidR="00193977">
        <w:t xml:space="preserve"> </w:t>
      </w:r>
      <w:proofErr w:type="spellStart"/>
      <w:r w:rsidR="00193977">
        <w:t>dozvoljenih</w:t>
      </w:r>
      <w:proofErr w:type="spellEnd"/>
      <w:r w:rsidR="00193977">
        <w:t xml:space="preserve"> </w:t>
      </w:r>
      <w:proofErr w:type="spellStart"/>
      <w:r w:rsidR="00193977">
        <w:t>gubitaka</w:t>
      </w:r>
      <w:proofErr w:type="spellEnd"/>
      <w:r w:rsidR="00193977">
        <w:t>)</w:t>
      </w:r>
      <w:r w:rsidR="00193977" w:rsidRPr="001471C5">
        <w:rPr>
          <w:lang w:val="sq-AL"/>
        </w:rPr>
        <w:t xml:space="preserve"> </w:t>
      </w:r>
    </w:p>
    <w:p w14:paraId="3DD60763" w14:textId="4DC742E0" w:rsidR="00F815F2" w:rsidRPr="001471C5" w:rsidRDefault="00F815F2" w:rsidP="00F815F2">
      <w:pPr>
        <w:pStyle w:val="Equation"/>
        <w:ind w:left="2873" w:hanging="1455"/>
        <w:jc w:val="both"/>
        <w:rPr>
          <w:lang w:val="sq-AL"/>
        </w:rPr>
      </w:pPr>
      <w:r w:rsidRPr="001471C5">
        <w:rPr>
          <w:lang w:val="sq-AL"/>
        </w:rPr>
        <w:t>I</w:t>
      </w:r>
      <w:r w:rsidRPr="001471C5">
        <w:rPr>
          <w:vertAlign w:val="subscript"/>
          <w:lang w:val="sq-AL"/>
        </w:rPr>
        <w:t>t</w:t>
      </w:r>
      <w:r w:rsidRPr="001471C5">
        <w:rPr>
          <w:lang w:val="sq-AL"/>
        </w:rPr>
        <w:tab/>
      </w:r>
      <w:r w:rsidR="00193977">
        <w:t xml:space="preserve">je </w:t>
      </w:r>
      <w:proofErr w:type="spellStart"/>
      <w:r w:rsidR="00193977">
        <w:t>kamatna</w:t>
      </w:r>
      <w:proofErr w:type="spellEnd"/>
      <w:r w:rsidR="00193977">
        <w:t xml:space="preserve"> </w:t>
      </w:r>
      <w:proofErr w:type="spellStart"/>
      <w:r w:rsidR="00193977">
        <w:t>stopa</w:t>
      </w:r>
      <w:proofErr w:type="spellEnd"/>
      <w:r w:rsidR="00193977">
        <w:t xml:space="preserve"> </w:t>
      </w:r>
      <w:proofErr w:type="spellStart"/>
      <w:r w:rsidR="00193977">
        <w:t>za</w:t>
      </w:r>
      <w:proofErr w:type="spellEnd"/>
      <w:r w:rsidR="00193977">
        <w:t xml:space="preserve"> </w:t>
      </w:r>
      <w:proofErr w:type="spellStart"/>
      <w:r w:rsidR="00193977">
        <w:t>relevantnu</w:t>
      </w:r>
      <w:proofErr w:type="spellEnd"/>
      <w:r w:rsidR="00193977">
        <w:t xml:space="preserve"> </w:t>
      </w:r>
      <w:proofErr w:type="spellStart"/>
      <w:r w:rsidR="00193977">
        <w:t>godinu</w:t>
      </w:r>
      <w:proofErr w:type="spellEnd"/>
      <w:r w:rsidR="00193977">
        <w:t xml:space="preserve"> t, </w:t>
      </w:r>
      <w:proofErr w:type="spellStart"/>
      <w:r w:rsidR="00193977">
        <w:t>izračunata</w:t>
      </w:r>
      <w:proofErr w:type="spellEnd"/>
      <w:r w:rsidR="00193977">
        <w:t xml:space="preserve"> </w:t>
      </w:r>
      <w:proofErr w:type="spellStart"/>
      <w:r w:rsidR="00193977">
        <w:t>na</w:t>
      </w:r>
      <w:proofErr w:type="spellEnd"/>
      <w:r w:rsidR="00193977">
        <w:t xml:space="preserve"> </w:t>
      </w:r>
      <w:proofErr w:type="spellStart"/>
      <w:r w:rsidR="00193977">
        <w:t>osnovu</w:t>
      </w:r>
      <w:proofErr w:type="spellEnd"/>
      <w:r w:rsidR="00193977">
        <w:t xml:space="preserve"> EURIBOR-a plus S%, </w:t>
      </w:r>
      <w:proofErr w:type="spellStart"/>
      <w:r w:rsidR="00193977">
        <w:t>pri</w:t>
      </w:r>
      <w:proofErr w:type="spellEnd"/>
      <w:r w:rsidR="00193977">
        <w:t xml:space="preserve"> </w:t>
      </w:r>
      <w:proofErr w:type="spellStart"/>
      <w:r w:rsidR="00193977">
        <w:t>čemu</w:t>
      </w:r>
      <w:proofErr w:type="spellEnd"/>
      <w:r w:rsidR="00193977">
        <w:t xml:space="preserve"> S </w:t>
      </w:r>
      <w:proofErr w:type="spellStart"/>
      <w:r w:rsidR="00193977">
        <w:t>predstavlja</w:t>
      </w:r>
      <w:proofErr w:type="spellEnd"/>
      <w:r w:rsidR="00193977">
        <w:t xml:space="preserve"> </w:t>
      </w:r>
      <w:proofErr w:type="spellStart"/>
      <w:r w:rsidR="00193977">
        <w:t>vrednost</w:t>
      </w:r>
      <w:proofErr w:type="spellEnd"/>
      <w:r w:rsidR="00193977">
        <w:t xml:space="preserve"> </w:t>
      </w:r>
      <w:proofErr w:type="spellStart"/>
      <w:r w:rsidR="00193977">
        <w:t>koju</w:t>
      </w:r>
      <w:proofErr w:type="spellEnd"/>
      <w:r w:rsidR="00193977">
        <w:t xml:space="preserve"> </w:t>
      </w:r>
      <w:proofErr w:type="spellStart"/>
      <w:r w:rsidR="00193977">
        <w:t>će</w:t>
      </w:r>
      <w:proofErr w:type="spellEnd"/>
      <w:r w:rsidR="00193977">
        <w:t xml:space="preserve"> </w:t>
      </w:r>
      <w:proofErr w:type="spellStart"/>
      <w:r w:rsidR="00193977">
        <w:t>odrediti</w:t>
      </w:r>
      <w:proofErr w:type="spellEnd"/>
      <w:r w:rsidR="00193977">
        <w:t xml:space="preserve"> Regulator u </w:t>
      </w:r>
      <w:proofErr w:type="spellStart"/>
      <w:r w:rsidR="00193977">
        <w:t>periodičnim</w:t>
      </w:r>
      <w:proofErr w:type="spellEnd"/>
      <w:r w:rsidR="00193977">
        <w:t xml:space="preserve"> </w:t>
      </w:r>
      <w:proofErr w:type="spellStart"/>
      <w:r w:rsidR="00193977">
        <w:t>pregledima</w:t>
      </w:r>
      <w:proofErr w:type="spellEnd"/>
      <w:r w:rsidR="00193977">
        <w:t xml:space="preserve"> </w:t>
      </w:r>
      <w:proofErr w:type="spellStart"/>
      <w:r w:rsidR="00193977">
        <w:t>koji</w:t>
      </w:r>
      <w:proofErr w:type="spellEnd"/>
      <w:r w:rsidR="00193977">
        <w:t xml:space="preserve"> </w:t>
      </w:r>
      <w:proofErr w:type="spellStart"/>
      <w:r w:rsidR="00193977">
        <w:t>odražavaju</w:t>
      </w:r>
      <w:proofErr w:type="spellEnd"/>
      <w:r w:rsidR="00193977">
        <w:t xml:space="preserve"> </w:t>
      </w:r>
      <w:proofErr w:type="spellStart"/>
      <w:r w:rsidR="00193977">
        <w:t>premiju</w:t>
      </w:r>
      <w:proofErr w:type="spellEnd"/>
      <w:r w:rsidR="00193977">
        <w:t xml:space="preserve"> </w:t>
      </w:r>
      <w:proofErr w:type="spellStart"/>
      <w:r w:rsidR="00193977">
        <w:t>koju</w:t>
      </w:r>
      <w:proofErr w:type="spellEnd"/>
      <w:r w:rsidR="00193977">
        <w:t xml:space="preserve"> </w:t>
      </w:r>
      <w:proofErr w:type="spellStart"/>
      <w:r w:rsidR="00193977">
        <w:t>plaća</w:t>
      </w:r>
      <w:proofErr w:type="spellEnd"/>
      <w:r w:rsidR="00193977">
        <w:t xml:space="preserve"> </w:t>
      </w:r>
      <w:proofErr w:type="spellStart"/>
      <w:r w:rsidR="00193977">
        <w:t>korisnik</w:t>
      </w:r>
      <w:proofErr w:type="spellEnd"/>
      <w:r w:rsidR="00193977">
        <w:t xml:space="preserve"> licence </w:t>
      </w:r>
      <w:proofErr w:type="spellStart"/>
      <w:r w:rsidR="00193977">
        <w:t>za</w:t>
      </w:r>
      <w:proofErr w:type="spellEnd"/>
      <w:r w:rsidR="00193977">
        <w:t xml:space="preserve"> </w:t>
      </w:r>
      <w:proofErr w:type="spellStart"/>
      <w:r w:rsidR="00193977">
        <w:t>kratkoročne</w:t>
      </w:r>
      <w:proofErr w:type="spellEnd"/>
      <w:r w:rsidR="00193977">
        <w:t xml:space="preserve"> </w:t>
      </w:r>
      <w:proofErr w:type="spellStart"/>
      <w:r w:rsidR="00193977">
        <w:t>zajmove</w:t>
      </w:r>
      <w:proofErr w:type="spellEnd"/>
      <w:r w:rsidR="00193977">
        <w:t xml:space="preserve"> </w:t>
      </w:r>
      <w:proofErr w:type="spellStart"/>
      <w:r w:rsidR="00193977">
        <w:t>iznad</w:t>
      </w:r>
      <w:proofErr w:type="spellEnd"/>
      <w:r w:rsidR="00193977">
        <w:t xml:space="preserve"> </w:t>
      </w:r>
      <w:proofErr w:type="spellStart"/>
      <w:r w:rsidR="00193977">
        <w:t>stope</w:t>
      </w:r>
      <w:proofErr w:type="spellEnd"/>
      <w:r w:rsidR="00193977">
        <w:t xml:space="preserve"> EURIBOR</w:t>
      </w:r>
      <w:r w:rsidR="00193977">
        <w:t xml:space="preserve"> </w:t>
      </w:r>
      <w:r w:rsidR="00193977">
        <w:t>a</w:t>
      </w:r>
      <w:r w:rsidR="00916661">
        <w:t>.</w:t>
      </w:r>
      <w:r w:rsidR="00193977">
        <w:t xml:space="preserve"> </w:t>
      </w:r>
    </w:p>
    <w:p w14:paraId="6D70933B" w14:textId="00D385F9" w:rsidR="00D43486" w:rsidRPr="00301583" w:rsidRDefault="00916661" w:rsidP="00D43486">
      <w:pPr>
        <w:jc w:val="both"/>
      </w:pPr>
      <w:bookmarkStart w:id="7" w:name="_Toc511307500"/>
      <w:r w:rsidRPr="00916661">
        <w:t xml:space="preserve">RUE je u preliminarnoj proceni predvideo troškove kupovine energije za pokrivanje gubitaka na osnovu kretanja cena i planova KOSTT -a za 2021. godinu, ali tokom procesa javnih konsultacija, strane moraju pružiti dokaze da su se pridržavale principa navedenih </w:t>
      </w:r>
      <w:r>
        <w:t xml:space="preserve">u </w:t>
      </w:r>
      <w:r w:rsidRPr="00916661">
        <w:t>pravnom i regulatornom okviru prodaju energije za pokrivanje gubitaka</w:t>
      </w:r>
      <w:r>
        <w:t>.</w:t>
      </w:r>
      <w:r w:rsidR="00D43486" w:rsidRPr="00301583">
        <w:t xml:space="preserve"> </w:t>
      </w:r>
    </w:p>
    <w:bookmarkEnd w:id="7"/>
    <w:p w14:paraId="12CD21DE" w14:textId="751D9CCB" w:rsidR="00F815F2" w:rsidRPr="001471C5" w:rsidRDefault="00916661" w:rsidP="0014315E">
      <w:pPr>
        <w:pStyle w:val="Heading2"/>
      </w:pPr>
      <w:proofErr w:type="spellStart"/>
      <w:r>
        <w:t>Usklađivanje</w:t>
      </w:r>
      <w:proofErr w:type="spellEnd"/>
      <w:r>
        <w:t xml:space="preserve"> </w:t>
      </w:r>
      <w:proofErr w:type="spellStart"/>
      <w:r>
        <w:t>za</w:t>
      </w:r>
      <w:proofErr w:type="spellEnd"/>
      <w:r>
        <w:t xml:space="preserve"> </w:t>
      </w:r>
      <w:proofErr w:type="spellStart"/>
      <w:r>
        <w:t>netarifne</w:t>
      </w:r>
      <w:proofErr w:type="spellEnd"/>
      <w:r>
        <w:t xml:space="preserve"> </w:t>
      </w:r>
      <w:proofErr w:type="spellStart"/>
      <w:r>
        <w:t>prihode</w:t>
      </w:r>
      <w:proofErr w:type="spellEnd"/>
    </w:p>
    <w:p w14:paraId="6298F69F" w14:textId="5175A8DB" w:rsidR="00F815F2" w:rsidRPr="001471C5" w:rsidRDefault="008B3D43" w:rsidP="00F815F2">
      <w:pPr>
        <w:jc w:val="both"/>
      </w:pPr>
      <w:r>
        <w:t>Ostali prihodi realizovani od neregulisanih aktivnosti kao što su: prihodi od davanja u zakup imovine, od prodaje imovine, od mehanizma nadoknađivanja između TSO (ITC), neto prihodi od kamata se oduzimaju od maksimalno dozvoljenih prihoda. Vrednost ovih ostvarenih prihoda je prijavio KOSTT u njihovom sprovo</w:t>
      </w:r>
      <w:r>
        <w:t>đenju u iznosu od 0,64 miliona Evra. Dok su za netarifne</w:t>
      </w:r>
      <w:r w:rsidRPr="008B3D43">
        <w:t xml:space="preserve"> prihode za 2021. </w:t>
      </w:r>
      <w:r>
        <w:t>Godinu predviđeno 3,6 miliona E</w:t>
      </w:r>
      <w:r w:rsidRPr="008B3D43">
        <w:t xml:space="preserve">vra, za koje </w:t>
      </w:r>
      <w:r>
        <w:t>se očekuje da će biti realizovani</w:t>
      </w:r>
      <w:r w:rsidRPr="008B3D43">
        <w:t xml:space="preserve"> ka</w:t>
      </w:r>
      <w:r>
        <w:t>o rezultat nezavisnosti KOSTT-kao regulatorni oblast.</w:t>
      </w:r>
    </w:p>
    <w:p w14:paraId="213A1BB6" w14:textId="306BADB0" w:rsidR="00F815F2" w:rsidRPr="001471C5" w:rsidRDefault="003F6A63" w:rsidP="0014315E">
      <w:pPr>
        <w:pStyle w:val="Heading2"/>
      </w:pPr>
      <w:proofErr w:type="spellStart"/>
      <w:r>
        <w:t>Usklađivanje</w:t>
      </w:r>
      <w:proofErr w:type="spellEnd"/>
      <w:r>
        <w:t xml:space="preserve"> </w:t>
      </w:r>
      <w:proofErr w:type="spellStart"/>
      <w:r>
        <w:t>korektivnog</w:t>
      </w:r>
      <w:proofErr w:type="spellEnd"/>
      <w:r>
        <w:t xml:space="preserve"> </w:t>
      </w:r>
      <w:proofErr w:type="spellStart"/>
      <w:r>
        <w:t>faktora</w:t>
      </w:r>
      <w:proofErr w:type="spellEnd"/>
      <w:r>
        <w:t xml:space="preserve"> </w:t>
      </w:r>
      <w:proofErr w:type="spellStart"/>
      <w:r>
        <w:t>prihoda</w:t>
      </w:r>
      <w:proofErr w:type="spellEnd"/>
    </w:p>
    <w:p w14:paraId="4D45E8D0" w14:textId="1904A143" w:rsidR="00F815F2" w:rsidRPr="001471C5" w:rsidRDefault="003F6A63" w:rsidP="00F815F2">
      <w:pPr>
        <w:spacing w:before="120"/>
        <w:jc w:val="both"/>
      </w:pPr>
      <w:r>
        <w:t>U skladu sa Pravilnikom o Maksimalno Dozvoljenim P</w:t>
      </w:r>
      <w:r>
        <w:t>rihod</w:t>
      </w:r>
      <w:r>
        <w:t>ima, korigovan je prihod iz 2020</w:t>
      </w:r>
      <w:r>
        <w:t xml:space="preserve">. godine. </w:t>
      </w:r>
      <w:r>
        <w:t>Na</w:t>
      </w:r>
      <w:r>
        <w:rPr>
          <w:rFonts w:cs="Calibri"/>
        </w:rPr>
        <w:t>č</w:t>
      </w:r>
      <w:r>
        <w:t>elo</w:t>
      </w:r>
      <w:r>
        <w:t xml:space="preserve"> koje se sprovodi, tiče se ukupne procene stvarnih dozvoljenih troškova i realizovanih trenutnih prihoda. Ovi obračuni su izvršeni prema sledećoj formuli:</w:t>
      </w:r>
      <w:r w:rsidRPr="001471C5">
        <w:t xml:space="preserve"> </w:t>
      </w:r>
    </w:p>
    <w:p w14:paraId="0E014949" w14:textId="77777777" w:rsidR="00F815F2" w:rsidRPr="001471C5" w:rsidRDefault="00F815F2" w:rsidP="00F815F2">
      <w:pPr>
        <w:pStyle w:val="Equation"/>
        <w:ind w:left="2835" w:hanging="1701"/>
        <w:jc w:val="both"/>
        <w:rPr>
          <w:lang w:val="sq-AL"/>
        </w:rPr>
      </w:pPr>
      <w:r w:rsidRPr="001471C5">
        <w:rPr>
          <w:lang w:val="sq-AL"/>
        </w:rPr>
        <w:t>KREV</w:t>
      </w:r>
      <w:r w:rsidRPr="001471C5">
        <w:rPr>
          <w:vertAlign w:val="subscript"/>
          <w:lang w:val="sq-AL"/>
        </w:rPr>
        <w:t>t</w:t>
      </w:r>
      <w:r w:rsidRPr="001471C5">
        <w:rPr>
          <w:lang w:val="sq-AL"/>
        </w:rPr>
        <w:t xml:space="preserve"> = (AAC</w:t>
      </w:r>
      <w:r w:rsidRPr="001471C5">
        <w:rPr>
          <w:vertAlign w:val="subscript"/>
          <w:lang w:val="sq-AL"/>
        </w:rPr>
        <w:t>at</w:t>
      </w:r>
      <w:r w:rsidRPr="001471C5">
        <w:rPr>
          <w:lang w:val="sq-AL"/>
        </w:rPr>
        <w:t>-</w:t>
      </w:r>
      <w:r w:rsidRPr="001471C5">
        <w:rPr>
          <w:vertAlign w:val="subscript"/>
          <w:lang w:val="sq-AL"/>
        </w:rPr>
        <w:t>1</w:t>
      </w:r>
      <w:r w:rsidRPr="001471C5">
        <w:rPr>
          <w:lang w:val="sq-AL"/>
        </w:rPr>
        <w:t xml:space="preserve"> – ARR</w:t>
      </w:r>
      <w:r w:rsidRPr="001471C5">
        <w:rPr>
          <w:vertAlign w:val="subscript"/>
          <w:lang w:val="sq-AL"/>
        </w:rPr>
        <w:t xml:space="preserve">t-1) </w:t>
      </w:r>
      <w:r w:rsidRPr="001471C5">
        <w:rPr>
          <w:lang w:val="sq-AL"/>
        </w:rPr>
        <w:t>* (1+ I</w:t>
      </w:r>
      <w:r w:rsidRPr="001471C5">
        <w:rPr>
          <w:vertAlign w:val="subscript"/>
          <w:lang w:val="sq-AL"/>
        </w:rPr>
        <w:t>t</w:t>
      </w:r>
      <w:r w:rsidRPr="001471C5">
        <w:rPr>
          <w:lang w:val="sq-AL"/>
        </w:rPr>
        <w:t xml:space="preserve">) </w:t>
      </w:r>
    </w:p>
    <w:p w14:paraId="62652133" w14:textId="0CC4E394" w:rsidR="00F815F2" w:rsidRPr="001471C5" w:rsidRDefault="009F78FD" w:rsidP="00F815F2">
      <w:pPr>
        <w:pStyle w:val="Equation"/>
        <w:ind w:left="2835" w:hanging="1701"/>
        <w:jc w:val="both"/>
        <w:rPr>
          <w:lang w:val="sq-AL"/>
        </w:rPr>
      </w:pPr>
      <w:r>
        <w:rPr>
          <w:lang w:val="sq-AL"/>
        </w:rPr>
        <w:t>Gde</w:t>
      </w:r>
      <w:r w:rsidR="00F815F2" w:rsidRPr="001471C5">
        <w:rPr>
          <w:lang w:val="sq-AL"/>
        </w:rPr>
        <w:t xml:space="preserve">: </w:t>
      </w:r>
    </w:p>
    <w:p w14:paraId="5CB79DC2" w14:textId="3E355EBE" w:rsidR="00F815F2" w:rsidRPr="001471C5" w:rsidRDefault="00F815F2" w:rsidP="00F815F2">
      <w:pPr>
        <w:pStyle w:val="Equation"/>
        <w:ind w:left="2835" w:hanging="1701"/>
        <w:jc w:val="both"/>
        <w:rPr>
          <w:lang w:val="sq-AL"/>
        </w:rPr>
      </w:pPr>
      <w:r w:rsidRPr="001471C5">
        <w:rPr>
          <w:lang w:val="sq-AL"/>
        </w:rPr>
        <w:t>AAC</w:t>
      </w:r>
      <w:r w:rsidRPr="001471C5">
        <w:rPr>
          <w:vertAlign w:val="subscript"/>
          <w:lang w:val="sq-AL"/>
        </w:rPr>
        <w:t xml:space="preserve">at-1 </w:t>
      </w:r>
      <w:r w:rsidR="009F78FD">
        <w:rPr>
          <w:lang w:val="sq-AL"/>
        </w:rPr>
        <w:tab/>
      </w:r>
      <w:proofErr w:type="spellStart"/>
      <w:r w:rsidR="009F78FD">
        <w:t>Dozvoljeni</w:t>
      </w:r>
      <w:proofErr w:type="spellEnd"/>
      <w:r w:rsidR="009F78FD">
        <w:t xml:space="preserve"> </w:t>
      </w:r>
      <w:proofErr w:type="spellStart"/>
      <w:r w:rsidR="009F78FD">
        <w:t>trenutni</w:t>
      </w:r>
      <w:proofErr w:type="spellEnd"/>
      <w:r w:rsidR="009F78FD">
        <w:t xml:space="preserve"> </w:t>
      </w:r>
      <w:proofErr w:type="spellStart"/>
      <w:r w:rsidR="009F78FD">
        <w:t>troškovi</w:t>
      </w:r>
      <w:proofErr w:type="spellEnd"/>
      <w:r w:rsidR="009F78FD">
        <w:t xml:space="preserve"> </w:t>
      </w:r>
      <w:proofErr w:type="spellStart"/>
      <w:r w:rsidR="009F78FD">
        <w:t>za</w:t>
      </w:r>
      <w:proofErr w:type="spellEnd"/>
      <w:r w:rsidR="009F78FD">
        <w:t xml:space="preserve"> </w:t>
      </w:r>
      <w:proofErr w:type="spellStart"/>
      <w:r w:rsidR="009F78FD">
        <w:t>relevantnu</w:t>
      </w:r>
      <w:proofErr w:type="spellEnd"/>
      <w:r w:rsidR="009F78FD">
        <w:t xml:space="preserve"> </w:t>
      </w:r>
      <w:proofErr w:type="spellStart"/>
      <w:r w:rsidR="009F78FD">
        <w:t>godinu</w:t>
      </w:r>
      <w:proofErr w:type="spellEnd"/>
      <w:r w:rsidRPr="001471C5">
        <w:rPr>
          <w:lang w:val="sq-AL"/>
        </w:rPr>
        <w:t xml:space="preserve"> t-1 (“Actual Allo</w:t>
      </w:r>
      <w:r w:rsidR="001B7F84" w:rsidRPr="001471C5">
        <w:rPr>
          <w:lang w:val="sq-AL"/>
        </w:rPr>
        <w:t>w</w:t>
      </w:r>
      <w:r w:rsidRPr="001471C5">
        <w:rPr>
          <w:lang w:val="sq-AL"/>
        </w:rPr>
        <w:t xml:space="preserve">ed Cost as determined in Relevant Year t-1”) </w:t>
      </w:r>
    </w:p>
    <w:p w14:paraId="0B2BFB77" w14:textId="36C678B5" w:rsidR="00F815F2" w:rsidRPr="001471C5" w:rsidRDefault="00F815F2" w:rsidP="00F815F2">
      <w:pPr>
        <w:pStyle w:val="Equation"/>
        <w:ind w:left="2835" w:hanging="1701"/>
        <w:jc w:val="both"/>
        <w:rPr>
          <w:lang w:val="sq-AL"/>
        </w:rPr>
      </w:pPr>
      <w:r w:rsidRPr="001471C5">
        <w:rPr>
          <w:lang w:val="sq-AL"/>
        </w:rPr>
        <w:t>ARR</w:t>
      </w:r>
      <w:r w:rsidRPr="001471C5">
        <w:rPr>
          <w:vertAlign w:val="subscript"/>
          <w:lang w:val="sq-AL"/>
        </w:rPr>
        <w:t xml:space="preserve">t-1 </w:t>
      </w:r>
      <w:r w:rsidR="009F78FD">
        <w:rPr>
          <w:lang w:val="sq-AL"/>
        </w:rPr>
        <w:tab/>
      </w:r>
      <w:proofErr w:type="spellStart"/>
      <w:r w:rsidR="009F78FD">
        <w:t>Predstavlja</w:t>
      </w:r>
      <w:proofErr w:type="spellEnd"/>
      <w:r w:rsidR="009F78FD">
        <w:t xml:space="preserve"> </w:t>
      </w:r>
      <w:proofErr w:type="spellStart"/>
      <w:r w:rsidR="009F78FD">
        <w:t>prihode</w:t>
      </w:r>
      <w:proofErr w:type="spellEnd"/>
      <w:r w:rsidR="009F78FD">
        <w:t xml:space="preserve"> </w:t>
      </w:r>
      <w:proofErr w:type="spellStart"/>
      <w:r w:rsidR="009F78FD">
        <w:t>ostvarene</w:t>
      </w:r>
      <w:proofErr w:type="spellEnd"/>
      <w:r w:rsidR="009F78FD">
        <w:t xml:space="preserve"> u </w:t>
      </w:r>
      <w:proofErr w:type="spellStart"/>
      <w:r w:rsidR="009F78FD">
        <w:t>relevantnoj</w:t>
      </w:r>
      <w:proofErr w:type="spellEnd"/>
      <w:r w:rsidR="009F78FD">
        <w:t xml:space="preserve"> </w:t>
      </w:r>
      <w:proofErr w:type="spellStart"/>
      <w:r w:rsidR="009F78FD">
        <w:t>godini</w:t>
      </w:r>
      <w:proofErr w:type="spellEnd"/>
      <w:r w:rsidRPr="001471C5">
        <w:rPr>
          <w:lang w:val="sq-AL"/>
        </w:rPr>
        <w:t xml:space="preserve"> t-1 (“is the Actual Regulated Revenues in Relevant Year t-1”)</w:t>
      </w:r>
    </w:p>
    <w:p w14:paraId="315AAB7E" w14:textId="6ACF56D5" w:rsidR="00F815F2" w:rsidRPr="001471C5" w:rsidRDefault="00F815F2" w:rsidP="00F815F2">
      <w:pPr>
        <w:pStyle w:val="Equation"/>
        <w:ind w:left="2835" w:hanging="1701"/>
        <w:jc w:val="both"/>
        <w:rPr>
          <w:rFonts w:cs="Calibri"/>
          <w:lang w:val="sq-AL"/>
        </w:rPr>
      </w:pPr>
      <w:r w:rsidRPr="001471C5">
        <w:rPr>
          <w:rFonts w:cs="Calibri"/>
          <w:lang w:val="sq-AL"/>
        </w:rPr>
        <w:t>I</w:t>
      </w:r>
      <w:r w:rsidRPr="001471C5">
        <w:rPr>
          <w:rFonts w:cs="Calibri"/>
          <w:vertAlign w:val="subscript"/>
          <w:lang w:val="sq-AL"/>
        </w:rPr>
        <w:t>t</w:t>
      </w:r>
      <w:r w:rsidRPr="001471C5">
        <w:rPr>
          <w:rFonts w:cs="Calibri"/>
          <w:lang w:val="sq-AL"/>
        </w:rPr>
        <w:tab/>
      </w:r>
      <w:proofErr w:type="spellStart"/>
      <w:r w:rsidR="009F78FD">
        <w:t>Kamatna</w:t>
      </w:r>
      <w:proofErr w:type="spellEnd"/>
      <w:r w:rsidR="009F78FD">
        <w:t xml:space="preserve"> </w:t>
      </w:r>
      <w:proofErr w:type="spellStart"/>
      <w:r w:rsidR="009F78FD">
        <w:t>stopa</w:t>
      </w:r>
      <w:proofErr w:type="spellEnd"/>
      <w:r w:rsidR="009F78FD">
        <w:t xml:space="preserve"> </w:t>
      </w:r>
      <w:proofErr w:type="spellStart"/>
      <w:r w:rsidR="009F78FD">
        <w:t>za</w:t>
      </w:r>
      <w:proofErr w:type="spellEnd"/>
      <w:r w:rsidR="009F78FD">
        <w:t xml:space="preserve"> </w:t>
      </w:r>
      <w:proofErr w:type="spellStart"/>
      <w:r w:rsidR="009F78FD">
        <w:t>relevantnu</w:t>
      </w:r>
      <w:proofErr w:type="spellEnd"/>
      <w:r w:rsidR="009F78FD">
        <w:t xml:space="preserve"> </w:t>
      </w:r>
      <w:proofErr w:type="spellStart"/>
      <w:r w:rsidR="009F78FD">
        <w:t>godinu</w:t>
      </w:r>
      <w:proofErr w:type="spellEnd"/>
      <w:r w:rsidR="009F78FD">
        <w:t xml:space="preserve"> t, </w:t>
      </w:r>
      <w:proofErr w:type="spellStart"/>
      <w:r w:rsidR="009F78FD">
        <w:t>izračunata</w:t>
      </w:r>
      <w:proofErr w:type="spellEnd"/>
      <w:r w:rsidR="009F78FD">
        <w:t xml:space="preserve"> </w:t>
      </w:r>
      <w:proofErr w:type="spellStart"/>
      <w:r w:rsidR="009F78FD">
        <w:t>na</w:t>
      </w:r>
      <w:proofErr w:type="spellEnd"/>
      <w:r w:rsidR="009F78FD">
        <w:t xml:space="preserve"> </w:t>
      </w:r>
      <w:proofErr w:type="spellStart"/>
      <w:r w:rsidR="009F78FD">
        <w:t>osnovu</w:t>
      </w:r>
      <w:proofErr w:type="spellEnd"/>
      <w:r w:rsidR="009F78FD">
        <w:t xml:space="preserve"> EURIBOR-a plus S%, </w:t>
      </w:r>
      <w:proofErr w:type="spellStart"/>
      <w:r w:rsidR="009F78FD">
        <w:t>gde</w:t>
      </w:r>
      <w:proofErr w:type="spellEnd"/>
      <w:r w:rsidR="009F78FD">
        <w:t xml:space="preserve"> S </w:t>
      </w:r>
      <w:proofErr w:type="spellStart"/>
      <w:r w:rsidR="009F78FD">
        <w:t>predstavlja</w:t>
      </w:r>
      <w:proofErr w:type="spellEnd"/>
      <w:r w:rsidR="009F78FD">
        <w:t xml:space="preserve"> </w:t>
      </w:r>
      <w:proofErr w:type="spellStart"/>
      <w:r w:rsidR="009F78FD">
        <w:t>vrednost</w:t>
      </w:r>
      <w:proofErr w:type="spellEnd"/>
      <w:r w:rsidR="009F78FD">
        <w:t xml:space="preserve"> </w:t>
      </w:r>
      <w:proofErr w:type="spellStart"/>
      <w:r w:rsidR="009F78FD">
        <w:t>koju</w:t>
      </w:r>
      <w:proofErr w:type="spellEnd"/>
      <w:r w:rsidR="009F78FD">
        <w:t xml:space="preserve"> je </w:t>
      </w:r>
      <w:proofErr w:type="spellStart"/>
      <w:r w:rsidR="009F78FD">
        <w:t>odredio</w:t>
      </w:r>
      <w:proofErr w:type="spellEnd"/>
      <w:r w:rsidR="009F78FD">
        <w:t xml:space="preserve"> RUE </w:t>
      </w:r>
      <w:proofErr w:type="spellStart"/>
      <w:r w:rsidR="009F78FD">
        <w:t>tokom</w:t>
      </w:r>
      <w:proofErr w:type="spellEnd"/>
      <w:r w:rsidR="009F78FD">
        <w:t xml:space="preserve"> </w:t>
      </w:r>
      <w:proofErr w:type="spellStart"/>
      <w:r w:rsidR="009F78FD">
        <w:t>periodičnih</w:t>
      </w:r>
      <w:proofErr w:type="spellEnd"/>
      <w:r w:rsidR="009F78FD">
        <w:t xml:space="preserve"> </w:t>
      </w:r>
      <w:proofErr w:type="spellStart"/>
      <w:r w:rsidR="009F78FD">
        <w:t>pregleda</w:t>
      </w:r>
      <w:proofErr w:type="spellEnd"/>
      <w:r w:rsidR="009F78FD">
        <w:t xml:space="preserve"> </w:t>
      </w:r>
      <w:proofErr w:type="spellStart"/>
      <w:r w:rsidR="009F78FD">
        <w:t>koja</w:t>
      </w:r>
      <w:proofErr w:type="spellEnd"/>
      <w:r w:rsidR="009F78FD">
        <w:t xml:space="preserve"> </w:t>
      </w:r>
      <w:proofErr w:type="spellStart"/>
      <w:r w:rsidR="009F78FD">
        <w:t>odražava</w:t>
      </w:r>
      <w:proofErr w:type="spellEnd"/>
      <w:r w:rsidR="009F78FD">
        <w:t xml:space="preserve"> </w:t>
      </w:r>
      <w:proofErr w:type="spellStart"/>
      <w:r w:rsidR="009F78FD">
        <w:t>premiju</w:t>
      </w:r>
      <w:proofErr w:type="spellEnd"/>
      <w:r w:rsidR="009F78FD">
        <w:t xml:space="preserve"> </w:t>
      </w:r>
      <w:proofErr w:type="spellStart"/>
      <w:r w:rsidR="009F78FD">
        <w:t>koja</w:t>
      </w:r>
      <w:proofErr w:type="spellEnd"/>
      <w:r w:rsidR="009F78FD">
        <w:t xml:space="preserve"> </w:t>
      </w:r>
      <w:proofErr w:type="spellStart"/>
      <w:r w:rsidR="009F78FD">
        <w:t>treba</w:t>
      </w:r>
      <w:proofErr w:type="spellEnd"/>
      <w:r w:rsidR="009F78FD">
        <w:t xml:space="preserve"> da se </w:t>
      </w:r>
      <w:proofErr w:type="spellStart"/>
      <w:r w:rsidR="009F78FD">
        <w:t>plati</w:t>
      </w:r>
      <w:proofErr w:type="spellEnd"/>
      <w:r w:rsidR="009F78FD">
        <w:t xml:space="preserve"> od </w:t>
      </w:r>
      <w:proofErr w:type="spellStart"/>
      <w:r w:rsidR="009F78FD">
        <w:t>korisnika</w:t>
      </w:r>
      <w:proofErr w:type="spellEnd"/>
      <w:r w:rsidR="009F78FD">
        <w:t xml:space="preserve"> licence </w:t>
      </w:r>
      <w:proofErr w:type="spellStart"/>
      <w:r w:rsidR="009F78FD">
        <w:t>za</w:t>
      </w:r>
      <w:proofErr w:type="spellEnd"/>
      <w:r w:rsidR="009F78FD">
        <w:t xml:space="preserve"> </w:t>
      </w:r>
      <w:proofErr w:type="spellStart"/>
      <w:r w:rsidR="009F78FD">
        <w:t>kratkoročne</w:t>
      </w:r>
      <w:proofErr w:type="spellEnd"/>
      <w:r w:rsidR="009F78FD">
        <w:t xml:space="preserve"> </w:t>
      </w:r>
      <w:proofErr w:type="spellStart"/>
      <w:r w:rsidR="009F78FD">
        <w:t>zajmove</w:t>
      </w:r>
      <w:proofErr w:type="spellEnd"/>
      <w:r w:rsidR="009F78FD">
        <w:t>.</w:t>
      </w:r>
    </w:p>
    <w:p w14:paraId="71E4FECE" w14:textId="3FA47D98" w:rsidR="00F815F2" w:rsidRPr="001471C5" w:rsidRDefault="00FF3BFC" w:rsidP="00F815F2">
      <w:pPr>
        <w:jc w:val="both"/>
      </w:pPr>
      <w:r>
        <w:lastRenderedPageBreak/>
        <w:t>Razlika između AACat-1 od 17,9 miliona Evra i ARRt-1 od 32,8 miliona E</w:t>
      </w:r>
      <w:r>
        <w:t>vra, nakon sp</w:t>
      </w:r>
      <w:r>
        <w:t>rovođenja kamatne stope iznosi -15.9 miliona E</w:t>
      </w:r>
      <w:r>
        <w:t xml:space="preserve">vra. Ova razlika između dozvoljenih prihoda i trenutnih dozvoljenih troškova prenosi se kao ažuriranje </w:t>
      </w:r>
      <w:r>
        <w:t>prilikom određivanja MAR za 2021</w:t>
      </w:r>
      <w:r>
        <w:t>. godinu.</w:t>
      </w:r>
    </w:p>
    <w:p w14:paraId="13CB00C3" w14:textId="77777777" w:rsidR="0014315E" w:rsidRDefault="0014315E" w:rsidP="00F815F2">
      <w:pPr>
        <w:spacing w:after="0" w:line="240" w:lineRule="auto"/>
      </w:pPr>
    </w:p>
    <w:p w14:paraId="3D18E6E6" w14:textId="352CC78E" w:rsidR="0014315E" w:rsidRDefault="00A531FF" w:rsidP="00A531FF">
      <w:pPr>
        <w:pStyle w:val="Heading2"/>
      </w:pPr>
      <w:bookmarkStart w:id="8" w:name="_Toc71118723"/>
      <w:r w:rsidRPr="00A531FF">
        <w:rPr>
          <w:lang w:val="sq-AL"/>
        </w:rPr>
        <w:t>Troškovi pomoćnih usluga</w:t>
      </w:r>
      <w:bookmarkEnd w:id="8"/>
    </w:p>
    <w:p w14:paraId="7FBED589" w14:textId="545691C7" w:rsidR="0014315E" w:rsidRPr="0014315E" w:rsidRDefault="0078095E" w:rsidP="0014315E">
      <w:pPr>
        <w:jc w:val="both"/>
      </w:pPr>
      <w:r w:rsidRPr="0078095E">
        <w:t xml:space="preserve">KOSTT je u svojoj prijavi podneo zahtev za odobrenje pomoćnih </w:t>
      </w:r>
      <w:r w:rsidR="008F133E">
        <w:t>usluga u iznosu od 9,5 miliona E</w:t>
      </w:r>
      <w:r w:rsidRPr="0078095E">
        <w:t>vra. RUE je u početnoj proceni uzeo u obzir zahtev KOSTT -a, ali da bi dozvolio ove troškove, RUE zahteva od KOSTT -a da dokaže da je nabavka ovih usluga za 2021. godinu obavljena u skladu sa važećim zakonom</w:t>
      </w:r>
      <w:r>
        <w:t xml:space="preserve">. </w:t>
      </w:r>
    </w:p>
    <w:p w14:paraId="7910293B" w14:textId="5D0494BD" w:rsidR="00F815F2" w:rsidRPr="001471C5" w:rsidRDefault="00F815F2" w:rsidP="00F815F2">
      <w:pPr>
        <w:spacing w:after="0" w:line="240" w:lineRule="auto"/>
      </w:pPr>
      <w:r w:rsidRPr="001471C5">
        <w:br w:type="page"/>
      </w:r>
    </w:p>
    <w:p w14:paraId="7C0ABB22" w14:textId="317B3049" w:rsidR="00F815F2" w:rsidRPr="001471C5" w:rsidRDefault="008F6398" w:rsidP="00F815F2">
      <w:pPr>
        <w:pStyle w:val="Heading1"/>
        <w:rPr>
          <w:lang w:val="sq-AL"/>
        </w:rPr>
      </w:pPr>
      <w:proofErr w:type="spellStart"/>
      <w:r>
        <w:lastRenderedPageBreak/>
        <w:t>Predlog</w:t>
      </w:r>
      <w:proofErr w:type="spellEnd"/>
      <w:r>
        <w:t xml:space="preserve"> </w:t>
      </w:r>
      <w:proofErr w:type="spellStart"/>
      <w:r>
        <w:t>za</w:t>
      </w:r>
      <w:proofErr w:type="spellEnd"/>
      <w:r>
        <w:t xml:space="preserve"> </w:t>
      </w:r>
      <w:proofErr w:type="spellStart"/>
      <w:r>
        <w:t>maksimalno</w:t>
      </w:r>
      <w:proofErr w:type="spellEnd"/>
      <w:r>
        <w:t xml:space="preserve"> </w:t>
      </w:r>
      <w:proofErr w:type="spellStart"/>
      <w:r>
        <w:t>dozvoljene</w:t>
      </w:r>
      <w:proofErr w:type="spellEnd"/>
      <w:r>
        <w:t xml:space="preserve"> </w:t>
      </w:r>
      <w:proofErr w:type="spellStart"/>
      <w:r>
        <w:t>prihode</w:t>
      </w:r>
      <w:proofErr w:type="spellEnd"/>
      <w:r>
        <w:t xml:space="preserve"> OPS/OT-e</w:t>
      </w:r>
    </w:p>
    <w:p w14:paraId="42BA0D8C" w14:textId="16182AB2" w:rsidR="00F815F2" w:rsidRPr="001471C5" w:rsidRDefault="008F6398" w:rsidP="00F815F2">
      <w:pPr>
        <w:jc w:val="both"/>
      </w:pPr>
      <w:r>
        <w:t>Maksimalno dozvoljeni prihodi za OPS/OT-e su izr</w:t>
      </w:r>
      <w:r>
        <w:t>ačunati prema sledećoj formuli</w:t>
      </w:r>
      <w:r w:rsidR="00F815F2" w:rsidRPr="001471C5">
        <w:t>:</w:t>
      </w:r>
    </w:p>
    <w:p w14:paraId="76A699FC" w14:textId="77777777" w:rsidR="00810CB8" w:rsidRPr="001471C5" w:rsidRDefault="00810CB8" w:rsidP="00810CB8">
      <w:pPr>
        <w:rPr>
          <w:rFonts w:eastAsia="Times New Roman"/>
          <w:i/>
          <w:szCs w:val="24"/>
          <w:lang w:eastAsia="en-GB"/>
        </w:rPr>
      </w:pPr>
      <w:r w:rsidRPr="001471C5">
        <w:rPr>
          <w:rFonts w:eastAsia="Times New Roman"/>
          <w:i/>
          <w:szCs w:val="24"/>
          <w:lang w:eastAsia="en-GB"/>
        </w:rPr>
        <w:t xml:space="preserve">MARt = OPMCt + DEPCt +  RTNCt + ASVCt + LSSCt + LICCt - ITCR - NTFR t +ADJt + KREVt </w:t>
      </w:r>
    </w:p>
    <w:p w14:paraId="706E487D" w14:textId="45184B10" w:rsidR="00810CB8" w:rsidRPr="001471C5" w:rsidRDefault="008F6398" w:rsidP="00810CB8">
      <w:pPr>
        <w:rPr>
          <w:rFonts w:eastAsia="Times New Roman"/>
          <w:i/>
          <w:szCs w:val="24"/>
          <w:lang w:eastAsia="en-GB"/>
        </w:rPr>
      </w:pPr>
      <w:r>
        <w:rPr>
          <w:rFonts w:eastAsia="Times New Roman"/>
          <w:i/>
          <w:szCs w:val="24"/>
          <w:lang w:eastAsia="en-GB"/>
        </w:rPr>
        <w:t>Gde</w:t>
      </w:r>
      <w:r w:rsidR="00810CB8" w:rsidRPr="001471C5">
        <w:rPr>
          <w:rFonts w:eastAsia="Times New Roman"/>
          <w:i/>
          <w:szCs w:val="24"/>
          <w:lang w:eastAsia="en-GB"/>
        </w:rPr>
        <w:t xml:space="preserve">: </w:t>
      </w:r>
    </w:p>
    <w:p w14:paraId="51DFCBA2" w14:textId="3CBD0675" w:rsidR="00810CB8" w:rsidRPr="001471C5" w:rsidRDefault="00810CB8" w:rsidP="003D1F55">
      <w:pPr>
        <w:ind w:firstLine="720"/>
        <w:rPr>
          <w:rFonts w:eastAsia="Times New Roman"/>
          <w:i/>
          <w:szCs w:val="24"/>
          <w:lang w:eastAsia="en-GB"/>
        </w:rPr>
      </w:pPr>
      <w:r w:rsidRPr="001471C5">
        <w:rPr>
          <w:rFonts w:eastAsia="Times New Roman"/>
          <w:i/>
          <w:szCs w:val="24"/>
          <w:lang w:eastAsia="en-GB"/>
        </w:rPr>
        <w:t xml:space="preserve">MARt </w:t>
      </w:r>
      <w:r w:rsidR="003D1F55" w:rsidRPr="001471C5">
        <w:rPr>
          <w:rFonts w:eastAsia="Times New Roman"/>
          <w:i/>
          <w:szCs w:val="24"/>
          <w:lang w:eastAsia="en-GB"/>
        </w:rPr>
        <w:t xml:space="preserve">- </w:t>
      </w:r>
      <w:r w:rsidR="00966F6F" w:rsidRPr="00966F6F">
        <w:rPr>
          <w:i/>
        </w:rPr>
        <w:t>Maksimalno dozvoljeni prihodi u relevantnoj godini</w:t>
      </w:r>
      <w:r w:rsidRPr="001471C5">
        <w:rPr>
          <w:rFonts w:eastAsia="Times New Roman"/>
          <w:i/>
          <w:szCs w:val="24"/>
          <w:lang w:eastAsia="en-GB"/>
        </w:rPr>
        <w:t xml:space="preserve"> t </w:t>
      </w:r>
    </w:p>
    <w:p w14:paraId="1193F92B" w14:textId="547CFBE9" w:rsidR="003D1F55" w:rsidRPr="001471C5" w:rsidRDefault="00810CB8" w:rsidP="003D1F55">
      <w:pPr>
        <w:ind w:left="720"/>
        <w:rPr>
          <w:rFonts w:eastAsia="Times New Roman"/>
          <w:i/>
          <w:szCs w:val="24"/>
          <w:lang w:eastAsia="en-GB"/>
        </w:rPr>
      </w:pPr>
      <w:r w:rsidRPr="001471C5">
        <w:rPr>
          <w:rFonts w:eastAsia="Times New Roman"/>
          <w:i/>
          <w:szCs w:val="24"/>
          <w:lang w:eastAsia="en-GB"/>
        </w:rPr>
        <w:t xml:space="preserve">OPMCt </w:t>
      </w:r>
      <w:r w:rsidR="003D1F55" w:rsidRPr="001471C5">
        <w:rPr>
          <w:rFonts w:eastAsia="Times New Roman"/>
          <w:i/>
          <w:szCs w:val="24"/>
          <w:lang w:eastAsia="en-GB"/>
        </w:rPr>
        <w:t xml:space="preserve">-  </w:t>
      </w:r>
      <w:r w:rsidR="00966F6F" w:rsidRPr="00966F6F">
        <w:rPr>
          <w:i/>
        </w:rPr>
        <w:t>Operativni i troškovi održavanja u relevantnoj godini</w:t>
      </w:r>
      <w:r w:rsidR="00966F6F">
        <w:rPr>
          <w:rFonts w:eastAsia="Times New Roman"/>
          <w:i/>
          <w:szCs w:val="24"/>
          <w:lang w:eastAsia="en-GB"/>
        </w:rPr>
        <w:t xml:space="preserve"> </w:t>
      </w:r>
      <w:r w:rsidRPr="001471C5">
        <w:rPr>
          <w:rFonts w:eastAsia="Times New Roman"/>
          <w:i/>
          <w:szCs w:val="24"/>
          <w:lang w:eastAsia="en-GB"/>
        </w:rPr>
        <w:t>t</w:t>
      </w:r>
    </w:p>
    <w:p w14:paraId="74CAAF00" w14:textId="2DE498A8" w:rsidR="003D1F55" w:rsidRPr="001471C5" w:rsidRDefault="00810CB8" w:rsidP="003D1F55">
      <w:pPr>
        <w:ind w:left="720"/>
        <w:rPr>
          <w:rFonts w:eastAsia="Times New Roman"/>
          <w:i/>
          <w:szCs w:val="24"/>
          <w:lang w:eastAsia="en-GB"/>
        </w:rPr>
      </w:pPr>
      <w:r w:rsidRPr="001471C5">
        <w:rPr>
          <w:rFonts w:eastAsia="Times New Roman"/>
          <w:i/>
          <w:szCs w:val="24"/>
          <w:lang w:eastAsia="en-GB"/>
        </w:rPr>
        <w:t>DEPCt</w:t>
      </w:r>
      <w:r w:rsidR="003D1F55" w:rsidRPr="001471C5">
        <w:rPr>
          <w:rFonts w:eastAsia="Times New Roman"/>
          <w:i/>
          <w:szCs w:val="24"/>
          <w:lang w:eastAsia="en-GB"/>
        </w:rPr>
        <w:t xml:space="preserve"> - </w:t>
      </w:r>
      <w:r w:rsidR="00966F6F">
        <w:rPr>
          <w:rFonts w:eastAsia="Times New Roman"/>
          <w:i/>
          <w:szCs w:val="24"/>
          <w:lang w:eastAsia="en-GB"/>
        </w:rPr>
        <w:t xml:space="preserve"> </w:t>
      </w:r>
      <w:r w:rsidR="00966F6F" w:rsidRPr="00966F6F">
        <w:rPr>
          <w:i/>
        </w:rPr>
        <w:t>Dozvoljena amortizacija u relevantnoj godini</w:t>
      </w:r>
      <w:r w:rsidRPr="001471C5">
        <w:rPr>
          <w:rFonts w:eastAsia="Times New Roman"/>
          <w:i/>
          <w:szCs w:val="24"/>
          <w:lang w:eastAsia="en-GB"/>
        </w:rPr>
        <w:t xml:space="preserve"> t </w:t>
      </w:r>
    </w:p>
    <w:p w14:paraId="1EA87EAD" w14:textId="74693FD0" w:rsidR="003D1F55" w:rsidRPr="001471C5" w:rsidRDefault="00810CB8" w:rsidP="003D1F55">
      <w:pPr>
        <w:ind w:left="720"/>
        <w:rPr>
          <w:rFonts w:eastAsia="Times New Roman"/>
          <w:i/>
          <w:szCs w:val="24"/>
          <w:lang w:eastAsia="en-GB"/>
        </w:rPr>
      </w:pPr>
      <w:r w:rsidRPr="001471C5">
        <w:rPr>
          <w:rFonts w:eastAsia="Times New Roman"/>
          <w:i/>
          <w:szCs w:val="24"/>
          <w:lang w:eastAsia="en-GB"/>
        </w:rPr>
        <w:t>RTNCt</w:t>
      </w:r>
      <w:r w:rsidR="003D1F55" w:rsidRPr="001471C5">
        <w:rPr>
          <w:rFonts w:eastAsia="Times New Roman"/>
          <w:i/>
          <w:szCs w:val="24"/>
          <w:lang w:eastAsia="en-GB"/>
        </w:rPr>
        <w:t xml:space="preserve"> - </w:t>
      </w:r>
      <w:r w:rsidR="00966F6F">
        <w:rPr>
          <w:rFonts w:eastAsia="Times New Roman"/>
          <w:i/>
          <w:szCs w:val="24"/>
          <w:lang w:eastAsia="en-GB"/>
        </w:rPr>
        <w:t xml:space="preserve"> </w:t>
      </w:r>
      <w:r w:rsidR="00966F6F" w:rsidRPr="00966F6F">
        <w:rPr>
          <w:rFonts w:eastAsia="Times New Roman"/>
          <w:szCs w:val="24"/>
          <w:lang w:eastAsia="en-GB"/>
        </w:rPr>
        <w:t>P</w:t>
      </w:r>
      <w:r w:rsidR="00966F6F" w:rsidRPr="00966F6F">
        <w:t>ovratak troškova dozvoljenog kapitala u relevantnoj godini</w:t>
      </w:r>
      <w:r w:rsidRPr="001471C5">
        <w:rPr>
          <w:rFonts w:eastAsia="Times New Roman"/>
          <w:i/>
          <w:szCs w:val="24"/>
          <w:lang w:eastAsia="en-GB"/>
        </w:rPr>
        <w:t xml:space="preserve"> t </w:t>
      </w:r>
    </w:p>
    <w:p w14:paraId="41106713" w14:textId="09CE3B94" w:rsidR="003D1F55" w:rsidRPr="001471C5" w:rsidRDefault="00810CB8" w:rsidP="003D1F55">
      <w:pPr>
        <w:ind w:left="720"/>
        <w:rPr>
          <w:rFonts w:eastAsia="Times New Roman"/>
          <w:i/>
          <w:szCs w:val="24"/>
          <w:lang w:eastAsia="en-GB"/>
        </w:rPr>
      </w:pPr>
      <w:r w:rsidRPr="001471C5">
        <w:rPr>
          <w:rFonts w:eastAsia="Times New Roman"/>
          <w:i/>
          <w:szCs w:val="24"/>
          <w:lang w:eastAsia="en-GB"/>
        </w:rPr>
        <w:t xml:space="preserve">ASVCt </w:t>
      </w:r>
      <w:r w:rsidR="003D1F55" w:rsidRPr="001471C5">
        <w:rPr>
          <w:rFonts w:eastAsia="Times New Roman"/>
          <w:i/>
          <w:szCs w:val="24"/>
          <w:lang w:eastAsia="en-GB"/>
        </w:rPr>
        <w:t xml:space="preserve">- </w:t>
      </w:r>
      <w:r w:rsidR="00F91E3A" w:rsidRPr="00F91E3A">
        <w:rPr>
          <w:i/>
        </w:rPr>
        <w:t>Dozvoljeni troškovi za pomoćne usluge u relevantnoj godini</w:t>
      </w:r>
      <w:r w:rsidRPr="001471C5">
        <w:rPr>
          <w:rFonts w:eastAsia="Times New Roman"/>
          <w:i/>
          <w:szCs w:val="24"/>
          <w:lang w:eastAsia="en-GB"/>
        </w:rPr>
        <w:t xml:space="preserve"> t </w:t>
      </w:r>
    </w:p>
    <w:p w14:paraId="2D4F0E88" w14:textId="6D78ADC1" w:rsidR="003D1F55" w:rsidRPr="001471C5" w:rsidRDefault="00810CB8" w:rsidP="003D1F55">
      <w:pPr>
        <w:ind w:left="720"/>
        <w:rPr>
          <w:rFonts w:eastAsia="Times New Roman"/>
          <w:i/>
          <w:szCs w:val="24"/>
          <w:lang w:eastAsia="en-GB"/>
        </w:rPr>
      </w:pPr>
      <w:r w:rsidRPr="001471C5">
        <w:rPr>
          <w:rFonts w:eastAsia="Times New Roman"/>
          <w:i/>
          <w:szCs w:val="24"/>
          <w:lang w:eastAsia="en-GB"/>
        </w:rPr>
        <w:t xml:space="preserve">LSSCt </w:t>
      </w:r>
      <w:r w:rsidR="003D1F55" w:rsidRPr="001471C5">
        <w:rPr>
          <w:rFonts w:eastAsia="Times New Roman"/>
          <w:i/>
          <w:szCs w:val="24"/>
          <w:lang w:eastAsia="en-GB"/>
        </w:rPr>
        <w:t xml:space="preserve">- </w:t>
      </w:r>
      <w:r w:rsidR="00F91E3A" w:rsidRPr="00F91E3A">
        <w:rPr>
          <w:i/>
        </w:rPr>
        <w:t>Dozvoljeni troškovi gubitaka u relevantnoj godini</w:t>
      </w:r>
      <w:r w:rsidRPr="001471C5">
        <w:rPr>
          <w:rFonts w:eastAsia="Times New Roman"/>
          <w:i/>
          <w:szCs w:val="24"/>
          <w:lang w:eastAsia="en-GB"/>
        </w:rPr>
        <w:t xml:space="preserve"> t</w:t>
      </w:r>
      <w:r w:rsidR="003D1F55" w:rsidRPr="001471C5">
        <w:rPr>
          <w:rFonts w:eastAsia="Times New Roman"/>
          <w:i/>
          <w:szCs w:val="24"/>
          <w:lang w:eastAsia="en-GB"/>
        </w:rPr>
        <w:t xml:space="preserve"> </w:t>
      </w:r>
    </w:p>
    <w:p w14:paraId="4CED4DF3" w14:textId="115539A9" w:rsidR="003D1F55" w:rsidRPr="001471C5" w:rsidRDefault="00810CB8" w:rsidP="003D1F55">
      <w:pPr>
        <w:ind w:left="720"/>
        <w:rPr>
          <w:rFonts w:eastAsia="Times New Roman"/>
          <w:i/>
          <w:szCs w:val="24"/>
          <w:lang w:eastAsia="en-GB"/>
        </w:rPr>
      </w:pPr>
      <w:r w:rsidRPr="001471C5">
        <w:rPr>
          <w:rFonts w:eastAsia="Times New Roman"/>
          <w:i/>
          <w:szCs w:val="24"/>
          <w:lang w:eastAsia="en-GB"/>
        </w:rPr>
        <w:t xml:space="preserve">LICCt </w:t>
      </w:r>
      <w:r w:rsidR="003D1F55" w:rsidRPr="00F91E3A">
        <w:rPr>
          <w:rFonts w:eastAsia="Times New Roman"/>
          <w:szCs w:val="24"/>
          <w:lang w:eastAsia="en-GB"/>
        </w:rPr>
        <w:t xml:space="preserve">- </w:t>
      </w:r>
      <w:r w:rsidR="00F91E3A" w:rsidRPr="00F91E3A">
        <w:t>Troškovi takse za licencu u relevantnoj godin</w:t>
      </w:r>
      <w:r w:rsidR="00F91E3A" w:rsidRPr="00F91E3A">
        <w:t>i</w:t>
      </w:r>
      <w:r w:rsidRPr="001471C5">
        <w:rPr>
          <w:rFonts w:eastAsia="Times New Roman"/>
          <w:i/>
          <w:szCs w:val="24"/>
          <w:lang w:eastAsia="en-GB"/>
        </w:rPr>
        <w:t xml:space="preserve"> t </w:t>
      </w:r>
    </w:p>
    <w:p w14:paraId="46D43540" w14:textId="3143B70A" w:rsidR="003D1F55" w:rsidRPr="001471C5" w:rsidRDefault="00810CB8" w:rsidP="003D1F55">
      <w:pPr>
        <w:ind w:left="720"/>
        <w:rPr>
          <w:rFonts w:eastAsia="Times New Roman"/>
          <w:i/>
          <w:szCs w:val="24"/>
          <w:lang w:eastAsia="en-GB"/>
        </w:rPr>
      </w:pPr>
      <w:r w:rsidRPr="001471C5">
        <w:rPr>
          <w:rFonts w:eastAsia="Times New Roman"/>
          <w:i/>
          <w:szCs w:val="24"/>
          <w:lang w:eastAsia="en-GB"/>
        </w:rPr>
        <w:t xml:space="preserve">ITCRt </w:t>
      </w:r>
      <w:r w:rsidR="003D1F55" w:rsidRPr="001471C5">
        <w:rPr>
          <w:rFonts w:eastAsia="Times New Roman"/>
          <w:i/>
          <w:szCs w:val="24"/>
          <w:lang w:eastAsia="en-GB"/>
        </w:rPr>
        <w:t xml:space="preserve">- </w:t>
      </w:r>
      <w:r w:rsidR="00F91E3A" w:rsidRPr="00F91E3A">
        <w:rPr>
          <w:i/>
        </w:rPr>
        <w:t>Neto prihodi od OPS / OT od među-OPS kompenzacijskog mehanizma u relevantnoj godini</w:t>
      </w:r>
      <w:r w:rsidR="00F91E3A" w:rsidRPr="00F91E3A">
        <w:rPr>
          <w:rFonts w:eastAsia="Times New Roman"/>
          <w:i/>
          <w:szCs w:val="24"/>
          <w:lang w:eastAsia="en-GB"/>
        </w:rPr>
        <w:t xml:space="preserve"> </w:t>
      </w:r>
      <w:r w:rsidRPr="00F91E3A">
        <w:rPr>
          <w:rFonts w:eastAsia="Times New Roman"/>
          <w:i/>
          <w:szCs w:val="24"/>
          <w:lang w:eastAsia="en-GB"/>
        </w:rPr>
        <w:t>t</w:t>
      </w:r>
      <w:r w:rsidRPr="001471C5">
        <w:rPr>
          <w:rFonts w:eastAsia="Times New Roman"/>
          <w:i/>
          <w:szCs w:val="24"/>
          <w:lang w:eastAsia="en-GB"/>
        </w:rPr>
        <w:t xml:space="preserve"> </w:t>
      </w:r>
    </w:p>
    <w:p w14:paraId="560BA726" w14:textId="1C3771E5" w:rsidR="00810CB8" w:rsidRPr="001471C5" w:rsidRDefault="003D1F55" w:rsidP="003D1F55">
      <w:pPr>
        <w:ind w:left="720"/>
        <w:rPr>
          <w:rFonts w:eastAsia="Times New Roman"/>
          <w:i/>
          <w:szCs w:val="24"/>
          <w:lang w:eastAsia="en-GB"/>
        </w:rPr>
      </w:pPr>
      <w:r w:rsidRPr="001471C5">
        <w:rPr>
          <w:rFonts w:eastAsia="Times New Roman"/>
          <w:i/>
          <w:szCs w:val="24"/>
          <w:lang w:eastAsia="en-GB"/>
        </w:rPr>
        <w:t>NTFR t -</w:t>
      </w:r>
      <w:r w:rsidR="00810CB8" w:rsidRPr="001471C5">
        <w:rPr>
          <w:rFonts w:eastAsia="Times New Roman"/>
          <w:i/>
          <w:szCs w:val="24"/>
          <w:lang w:eastAsia="en-GB"/>
        </w:rPr>
        <w:t xml:space="preserve"> </w:t>
      </w:r>
      <w:r w:rsidR="00F91E3A">
        <w:t xml:space="preserve">- </w:t>
      </w:r>
      <w:r w:rsidR="00F91E3A" w:rsidRPr="00F91E3A">
        <w:rPr>
          <w:i/>
        </w:rPr>
        <w:t>Netarifni prihodi u relevantnoj godini</w:t>
      </w:r>
      <w:r w:rsidR="00F91E3A">
        <w:rPr>
          <w:rFonts w:eastAsia="Times New Roman"/>
          <w:i/>
          <w:szCs w:val="24"/>
          <w:lang w:eastAsia="en-GB"/>
        </w:rPr>
        <w:t xml:space="preserve"> </w:t>
      </w:r>
      <w:r w:rsidR="00810CB8" w:rsidRPr="001471C5">
        <w:rPr>
          <w:rFonts w:eastAsia="Times New Roman"/>
          <w:i/>
          <w:szCs w:val="24"/>
          <w:lang w:eastAsia="en-GB"/>
        </w:rPr>
        <w:t xml:space="preserve">t </w:t>
      </w:r>
    </w:p>
    <w:p w14:paraId="181840E9" w14:textId="663238A9" w:rsidR="003D1F55" w:rsidRPr="001471C5" w:rsidRDefault="00810CB8" w:rsidP="003D1F55">
      <w:pPr>
        <w:ind w:left="720"/>
        <w:rPr>
          <w:rFonts w:eastAsia="Times New Roman"/>
          <w:i/>
          <w:szCs w:val="24"/>
          <w:lang w:eastAsia="en-GB"/>
        </w:rPr>
      </w:pPr>
      <w:r w:rsidRPr="001471C5">
        <w:rPr>
          <w:rFonts w:eastAsia="Times New Roman"/>
          <w:i/>
          <w:szCs w:val="24"/>
          <w:lang w:eastAsia="en-GB"/>
        </w:rPr>
        <w:t>ADJt</w:t>
      </w:r>
      <w:r w:rsidR="003D1F55" w:rsidRPr="001471C5">
        <w:rPr>
          <w:rFonts w:eastAsia="Times New Roman"/>
          <w:i/>
          <w:szCs w:val="24"/>
          <w:lang w:eastAsia="en-GB"/>
        </w:rPr>
        <w:t xml:space="preserve"> - </w:t>
      </w:r>
      <w:r w:rsidR="00FC4C9D" w:rsidRPr="00FC4C9D">
        <w:rPr>
          <w:i/>
        </w:rPr>
        <w:t>Usklađivanje troškova</w:t>
      </w:r>
      <w:r w:rsidRPr="001471C5">
        <w:rPr>
          <w:rFonts w:eastAsia="Times New Roman"/>
          <w:i/>
          <w:szCs w:val="24"/>
          <w:lang w:eastAsia="en-GB"/>
        </w:rPr>
        <w:t xml:space="preserve"> </w:t>
      </w:r>
    </w:p>
    <w:p w14:paraId="757EF7E5" w14:textId="0E7B72D3" w:rsidR="003D1F55" w:rsidRPr="001471C5" w:rsidRDefault="00810CB8" w:rsidP="003D1F55">
      <w:pPr>
        <w:ind w:left="720"/>
        <w:rPr>
          <w:rFonts w:eastAsia="Times New Roman"/>
          <w:i/>
          <w:szCs w:val="24"/>
          <w:lang w:eastAsia="en-GB"/>
        </w:rPr>
      </w:pPr>
      <w:r w:rsidRPr="001471C5">
        <w:rPr>
          <w:rFonts w:eastAsia="Times New Roman"/>
          <w:i/>
          <w:szCs w:val="24"/>
          <w:lang w:eastAsia="en-GB"/>
        </w:rPr>
        <w:t xml:space="preserve">KREVt </w:t>
      </w:r>
      <w:r w:rsidR="003D1F55" w:rsidRPr="001471C5">
        <w:rPr>
          <w:rFonts w:eastAsia="Times New Roman"/>
          <w:i/>
          <w:szCs w:val="24"/>
          <w:lang w:eastAsia="en-GB"/>
        </w:rPr>
        <w:t xml:space="preserve">- </w:t>
      </w:r>
      <w:r w:rsidR="00FC4C9D" w:rsidRPr="00FC4C9D">
        <w:rPr>
          <w:i/>
        </w:rPr>
        <w:t>Korektivni faktor prihoda u relevantnoj godin</w:t>
      </w:r>
      <w:r w:rsidR="00FC4C9D" w:rsidRPr="00FC4C9D">
        <w:rPr>
          <w:i/>
        </w:rPr>
        <w:t>i</w:t>
      </w:r>
      <w:r w:rsidRPr="001471C5">
        <w:rPr>
          <w:rFonts w:eastAsia="Times New Roman"/>
          <w:i/>
          <w:szCs w:val="24"/>
          <w:lang w:eastAsia="en-GB"/>
        </w:rPr>
        <w:t xml:space="preserve"> t </w:t>
      </w:r>
    </w:p>
    <w:p w14:paraId="22F8F073" w14:textId="5DB0B6CE" w:rsidR="00F815F2" w:rsidRPr="001471C5" w:rsidRDefault="00FC4C9D" w:rsidP="00810CB8">
      <w:pPr>
        <w:rPr>
          <w:rFonts w:eastAsia="Times New Roman"/>
          <w:i/>
          <w:szCs w:val="24"/>
          <w:lang w:eastAsia="en-GB"/>
        </w:rPr>
      </w:pPr>
      <w:r>
        <w:t>Izračunavanje svake od ovih komponenti razmatra se u nastavku.</w:t>
      </w:r>
    </w:p>
    <w:p w14:paraId="432D20C0" w14:textId="77777777" w:rsidR="00F815F2" w:rsidRPr="001471C5" w:rsidRDefault="00F815F2" w:rsidP="00F815F2">
      <w:pPr>
        <w:jc w:val="both"/>
      </w:pPr>
    </w:p>
    <w:p w14:paraId="354E4FB3" w14:textId="77777777" w:rsidR="0056576C" w:rsidRPr="001471C5" w:rsidRDefault="0056576C" w:rsidP="00F815F2">
      <w:pPr>
        <w:jc w:val="both"/>
      </w:pPr>
    </w:p>
    <w:p w14:paraId="185459BA" w14:textId="77777777" w:rsidR="0056576C" w:rsidRPr="001471C5" w:rsidRDefault="0056576C" w:rsidP="00F815F2">
      <w:pPr>
        <w:jc w:val="both"/>
      </w:pPr>
    </w:p>
    <w:p w14:paraId="7702E3EC" w14:textId="77777777" w:rsidR="0056576C" w:rsidRPr="001471C5" w:rsidRDefault="0056576C" w:rsidP="00F815F2">
      <w:pPr>
        <w:jc w:val="both"/>
      </w:pPr>
    </w:p>
    <w:p w14:paraId="44EECD25" w14:textId="77777777" w:rsidR="0056576C" w:rsidRPr="001471C5" w:rsidRDefault="0056576C" w:rsidP="00F815F2">
      <w:pPr>
        <w:jc w:val="both"/>
      </w:pPr>
    </w:p>
    <w:p w14:paraId="1840DA63" w14:textId="77777777" w:rsidR="0056576C" w:rsidRPr="001471C5" w:rsidRDefault="0056576C" w:rsidP="00F815F2">
      <w:pPr>
        <w:jc w:val="both"/>
      </w:pPr>
    </w:p>
    <w:p w14:paraId="0B06C88E" w14:textId="77777777" w:rsidR="0056576C" w:rsidRPr="001471C5" w:rsidRDefault="0056576C" w:rsidP="00F815F2">
      <w:pPr>
        <w:jc w:val="both"/>
      </w:pPr>
    </w:p>
    <w:p w14:paraId="1E48B918" w14:textId="77777777" w:rsidR="0056576C" w:rsidRPr="001471C5" w:rsidRDefault="0056576C" w:rsidP="00F815F2">
      <w:pPr>
        <w:jc w:val="both"/>
      </w:pPr>
    </w:p>
    <w:p w14:paraId="66F18876" w14:textId="77777777" w:rsidR="0056576C" w:rsidRPr="001471C5" w:rsidRDefault="0056576C" w:rsidP="00F815F2">
      <w:pPr>
        <w:jc w:val="both"/>
      </w:pPr>
    </w:p>
    <w:p w14:paraId="5B0D004A" w14:textId="77777777" w:rsidR="002F53EA" w:rsidRPr="001471C5" w:rsidRDefault="002F53EA" w:rsidP="00F815F2">
      <w:pPr>
        <w:jc w:val="both"/>
      </w:pPr>
    </w:p>
    <w:p w14:paraId="1CD10687" w14:textId="2D42FA92" w:rsidR="002F53EA" w:rsidRPr="001471C5" w:rsidRDefault="002F53EA" w:rsidP="002F53EA">
      <w:pPr>
        <w:pStyle w:val="Caption"/>
        <w:spacing w:after="0"/>
        <w:rPr>
          <w:lang w:val="sq-AL"/>
        </w:rPr>
      </w:pPr>
      <w:r w:rsidRPr="001D246A">
        <w:rPr>
          <w:lang w:val="sq-AL"/>
        </w:rPr>
        <w:lastRenderedPageBreak/>
        <w:t xml:space="preserve">Tabela </w:t>
      </w:r>
      <w:r w:rsidR="00093103" w:rsidRPr="001D246A">
        <w:rPr>
          <w:lang w:val="sq-AL"/>
        </w:rPr>
        <w:fldChar w:fldCharType="begin"/>
      </w:r>
      <w:r w:rsidRPr="001D246A">
        <w:rPr>
          <w:lang w:val="sq-AL"/>
        </w:rPr>
        <w:instrText xml:space="preserve"> SEQ Table \* ARABIC </w:instrText>
      </w:r>
      <w:r w:rsidR="00093103" w:rsidRPr="001D246A">
        <w:rPr>
          <w:lang w:val="sq-AL"/>
        </w:rPr>
        <w:fldChar w:fldCharType="separate"/>
      </w:r>
      <w:r w:rsidRPr="001D246A">
        <w:rPr>
          <w:noProof/>
          <w:lang w:val="sq-AL"/>
        </w:rPr>
        <w:t>3</w:t>
      </w:r>
      <w:r w:rsidR="00093103" w:rsidRPr="001D246A">
        <w:rPr>
          <w:lang w:val="sq-AL"/>
        </w:rPr>
        <w:fldChar w:fldCharType="end"/>
      </w:r>
      <w:r w:rsidR="00514B4E">
        <w:rPr>
          <w:lang w:val="sq-AL"/>
        </w:rPr>
        <w:t xml:space="preserve"> - </w:t>
      </w:r>
      <w:proofErr w:type="spellStart"/>
      <w:r w:rsidR="00514B4E">
        <w:t>Predlog</w:t>
      </w:r>
      <w:proofErr w:type="spellEnd"/>
      <w:r w:rsidR="00514B4E">
        <w:t xml:space="preserve"> MAR </w:t>
      </w:r>
      <w:proofErr w:type="spellStart"/>
      <w:r w:rsidR="00514B4E">
        <w:t>za</w:t>
      </w:r>
      <w:proofErr w:type="spellEnd"/>
      <w:r w:rsidR="00514B4E">
        <w:t xml:space="preserve"> OPS/OT</w:t>
      </w:r>
    </w:p>
    <w:tbl>
      <w:tblPr>
        <w:tblW w:w="8982" w:type="dxa"/>
        <w:tblInd w:w="108" w:type="dxa"/>
        <w:tblLayout w:type="fixed"/>
        <w:tblLook w:val="04A0" w:firstRow="1" w:lastRow="0" w:firstColumn="1" w:lastColumn="0" w:noHBand="0" w:noVBand="1"/>
      </w:tblPr>
      <w:tblGrid>
        <w:gridCol w:w="5278"/>
        <w:gridCol w:w="1364"/>
        <w:gridCol w:w="1350"/>
        <w:gridCol w:w="990"/>
      </w:tblGrid>
      <w:tr w:rsidR="0056576C" w:rsidRPr="001471C5" w14:paraId="5E8EBA32" w14:textId="77777777" w:rsidTr="00825E63">
        <w:trPr>
          <w:trHeight w:val="510"/>
        </w:trPr>
        <w:tc>
          <w:tcPr>
            <w:tcW w:w="5278" w:type="dxa"/>
            <w:tcBorders>
              <w:top w:val="nil"/>
              <w:left w:val="nil"/>
              <w:bottom w:val="nil"/>
              <w:right w:val="nil"/>
            </w:tcBorders>
            <w:shd w:val="clear" w:color="000000" w:fill="002060"/>
            <w:noWrap/>
            <w:vAlign w:val="center"/>
            <w:hideMark/>
          </w:tcPr>
          <w:p w14:paraId="19F4353F" w14:textId="36BB68E0" w:rsidR="0056576C" w:rsidRPr="001471C5" w:rsidRDefault="00514B4E" w:rsidP="00013BA5">
            <w:pPr>
              <w:spacing w:after="0" w:line="240" w:lineRule="auto"/>
              <w:rPr>
                <w:rFonts w:asciiTheme="minorHAnsi" w:eastAsia="Times New Roman" w:hAnsiTheme="minorHAnsi" w:cstheme="minorHAnsi"/>
                <w:color w:val="FFFFFF"/>
                <w:sz w:val="20"/>
                <w:szCs w:val="20"/>
              </w:rPr>
            </w:pPr>
            <w:r w:rsidRPr="00514B4E">
              <w:rPr>
                <w:rFonts w:asciiTheme="minorHAnsi" w:eastAsia="Times New Roman" w:hAnsiTheme="minorHAnsi" w:cstheme="minorHAnsi"/>
                <w:color w:val="FFFFFF"/>
                <w:sz w:val="20"/>
                <w:szCs w:val="20"/>
              </w:rPr>
              <w:t>Maksimalno Dozvoljeni Prihodi</w:t>
            </w:r>
          </w:p>
        </w:tc>
        <w:tc>
          <w:tcPr>
            <w:tcW w:w="1364" w:type="dxa"/>
            <w:tcBorders>
              <w:top w:val="nil"/>
              <w:left w:val="nil"/>
              <w:bottom w:val="nil"/>
              <w:right w:val="nil"/>
            </w:tcBorders>
            <w:shd w:val="clear" w:color="000000" w:fill="002060"/>
            <w:vAlign w:val="center"/>
            <w:hideMark/>
          </w:tcPr>
          <w:p w14:paraId="48AB814F" w14:textId="0B7A8E95" w:rsidR="0056576C" w:rsidRPr="00514B4E" w:rsidRDefault="00514B4E" w:rsidP="00A85FFA">
            <w:pPr>
              <w:spacing w:after="0" w:line="240" w:lineRule="auto"/>
              <w:jc w:val="center"/>
              <w:rPr>
                <w:rFonts w:asciiTheme="minorHAnsi" w:eastAsia="Times New Roman" w:hAnsiTheme="minorHAnsi" w:cstheme="minorHAnsi"/>
                <w:color w:val="FFFFFF"/>
                <w:sz w:val="20"/>
                <w:szCs w:val="20"/>
              </w:rPr>
            </w:pPr>
            <w:r w:rsidRPr="00514B4E">
              <w:rPr>
                <w:sz w:val="20"/>
                <w:szCs w:val="20"/>
              </w:rPr>
              <w:t xml:space="preserve">Dozvoljeno </w:t>
            </w:r>
            <w:r w:rsidR="00BA4B2C">
              <w:rPr>
                <w:rFonts w:asciiTheme="minorHAnsi" w:eastAsia="Times New Roman" w:hAnsiTheme="minorHAnsi" w:cstheme="minorHAnsi"/>
                <w:color w:val="FFFFFF"/>
                <w:sz w:val="20"/>
                <w:szCs w:val="20"/>
              </w:rPr>
              <w:t>/Tekuće</w:t>
            </w:r>
            <w:r w:rsidR="00825E63" w:rsidRPr="00514B4E">
              <w:rPr>
                <w:rFonts w:asciiTheme="minorHAnsi" w:eastAsia="Times New Roman" w:hAnsiTheme="minorHAnsi" w:cstheme="minorHAnsi"/>
                <w:color w:val="FFFFFF"/>
                <w:sz w:val="20"/>
                <w:szCs w:val="20"/>
              </w:rPr>
              <w:t xml:space="preserve"> </w:t>
            </w:r>
            <w:r w:rsidR="00A85FFA" w:rsidRPr="00514B4E">
              <w:rPr>
                <w:rFonts w:asciiTheme="minorHAnsi" w:eastAsia="Times New Roman" w:hAnsiTheme="minorHAnsi" w:cstheme="minorHAnsi"/>
                <w:color w:val="FFFFFF"/>
                <w:sz w:val="20"/>
                <w:szCs w:val="20"/>
              </w:rPr>
              <w:t>2019</w:t>
            </w:r>
          </w:p>
        </w:tc>
        <w:tc>
          <w:tcPr>
            <w:tcW w:w="1350" w:type="dxa"/>
            <w:tcBorders>
              <w:top w:val="nil"/>
              <w:left w:val="nil"/>
              <w:bottom w:val="nil"/>
              <w:right w:val="nil"/>
            </w:tcBorders>
            <w:shd w:val="clear" w:color="000000" w:fill="002060"/>
            <w:vAlign w:val="center"/>
            <w:hideMark/>
          </w:tcPr>
          <w:p w14:paraId="768CA237" w14:textId="0C2C36ED" w:rsidR="0056576C" w:rsidRPr="00514B4E" w:rsidRDefault="00514B4E" w:rsidP="00A85FFA">
            <w:pPr>
              <w:spacing w:after="0" w:line="240" w:lineRule="auto"/>
              <w:jc w:val="center"/>
              <w:rPr>
                <w:rFonts w:asciiTheme="minorHAnsi" w:eastAsia="Times New Roman" w:hAnsiTheme="minorHAnsi" w:cstheme="minorHAnsi"/>
                <w:color w:val="FFFFFF"/>
                <w:sz w:val="20"/>
                <w:szCs w:val="20"/>
              </w:rPr>
            </w:pPr>
            <w:r w:rsidRPr="00514B4E">
              <w:rPr>
                <w:sz w:val="20"/>
                <w:szCs w:val="20"/>
              </w:rPr>
              <w:t xml:space="preserve">Dozvoljeno </w:t>
            </w:r>
            <w:r w:rsidR="00BA4B2C">
              <w:rPr>
                <w:rFonts w:asciiTheme="minorHAnsi" w:eastAsia="Times New Roman" w:hAnsiTheme="minorHAnsi" w:cstheme="minorHAnsi"/>
                <w:color w:val="FFFFFF"/>
                <w:sz w:val="20"/>
                <w:szCs w:val="20"/>
              </w:rPr>
              <w:t>/Tekuće</w:t>
            </w:r>
            <w:r w:rsidRPr="00514B4E">
              <w:rPr>
                <w:rFonts w:asciiTheme="minorHAnsi" w:eastAsia="Times New Roman" w:hAnsiTheme="minorHAnsi" w:cstheme="minorHAnsi"/>
                <w:color w:val="FFFFFF"/>
                <w:sz w:val="20"/>
                <w:szCs w:val="20"/>
              </w:rPr>
              <w:t xml:space="preserve"> </w:t>
            </w:r>
            <w:r w:rsidR="00A85FFA" w:rsidRPr="00514B4E">
              <w:rPr>
                <w:rFonts w:asciiTheme="minorHAnsi" w:eastAsia="Times New Roman" w:hAnsiTheme="minorHAnsi" w:cstheme="minorHAnsi"/>
                <w:color w:val="FFFFFF"/>
                <w:sz w:val="20"/>
                <w:szCs w:val="20"/>
              </w:rPr>
              <w:t>2020</w:t>
            </w:r>
          </w:p>
        </w:tc>
        <w:tc>
          <w:tcPr>
            <w:tcW w:w="990" w:type="dxa"/>
            <w:tcBorders>
              <w:top w:val="nil"/>
              <w:left w:val="nil"/>
              <w:bottom w:val="nil"/>
              <w:right w:val="nil"/>
            </w:tcBorders>
            <w:shd w:val="clear" w:color="000000" w:fill="002060"/>
            <w:vAlign w:val="center"/>
            <w:hideMark/>
          </w:tcPr>
          <w:p w14:paraId="0C38151D" w14:textId="49C13A6E" w:rsidR="0056576C" w:rsidRPr="00514B4E" w:rsidRDefault="00514B4E" w:rsidP="00825E63">
            <w:pPr>
              <w:spacing w:after="0" w:line="240" w:lineRule="auto"/>
              <w:jc w:val="center"/>
              <w:rPr>
                <w:rFonts w:asciiTheme="minorHAnsi" w:eastAsia="Times New Roman" w:hAnsiTheme="minorHAnsi" w:cstheme="minorHAnsi"/>
                <w:color w:val="FFFFFF"/>
                <w:sz w:val="20"/>
                <w:szCs w:val="20"/>
              </w:rPr>
            </w:pPr>
            <w:r w:rsidRPr="00514B4E">
              <w:rPr>
                <w:sz w:val="20"/>
                <w:szCs w:val="20"/>
              </w:rPr>
              <w:t>Predloženo</w:t>
            </w:r>
            <w:r w:rsidR="00013BA5" w:rsidRPr="00514B4E">
              <w:rPr>
                <w:rFonts w:asciiTheme="minorHAnsi" w:eastAsia="Times New Roman" w:hAnsiTheme="minorHAnsi" w:cstheme="minorHAnsi"/>
                <w:color w:val="FFFFFF"/>
                <w:sz w:val="20"/>
                <w:szCs w:val="20"/>
              </w:rPr>
              <w:t xml:space="preserve"> </w:t>
            </w:r>
            <w:r w:rsidR="00A85FFA" w:rsidRPr="00514B4E">
              <w:rPr>
                <w:rFonts w:asciiTheme="minorHAnsi" w:eastAsia="Times New Roman" w:hAnsiTheme="minorHAnsi" w:cstheme="minorHAnsi"/>
                <w:color w:val="FFFFFF"/>
                <w:sz w:val="20"/>
                <w:szCs w:val="20"/>
              </w:rPr>
              <w:t>2021</w:t>
            </w:r>
          </w:p>
        </w:tc>
      </w:tr>
      <w:tr w:rsidR="0056576C" w:rsidRPr="001471C5" w14:paraId="4FD85451" w14:textId="77777777" w:rsidTr="00825E63">
        <w:trPr>
          <w:trHeight w:val="300"/>
        </w:trPr>
        <w:tc>
          <w:tcPr>
            <w:tcW w:w="5278" w:type="dxa"/>
            <w:tcBorders>
              <w:top w:val="nil"/>
              <w:left w:val="nil"/>
              <w:bottom w:val="nil"/>
              <w:right w:val="nil"/>
            </w:tcBorders>
            <w:shd w:val="clear" w:color="000000" w:fill="DBE5F1"/>
            <w:noWrap/>
            <w:vAlign w:val="center"/>
            <w:hideMark/>
          </w:tcPr>
          <w:p w14:paraId="248A0701" w14:textId="6F627D66" w:rsidR="0056576C" w:rsidRPr="0008227F" w:rsidRDefault="00514B4E" w:rsidP="0056576C">
            <w:pPr>
              <w:spacing w:after="0" w:line="240" w:lineRule="auto"/>
              <w:rPr>
                <w:rFonts w:asciiTheme="minorHAnsi" w:eastAsia="Times New Roman" w:hAnsiTheme="minorHAnsi" w:cstheme="minorHAnsi"/>
                <w:b/>
                <w:bCs/>
                <w:sz w:val="20"/>
                <w:szCs w:val="20"/>
              </w:rPr>
            </w:pPr>
            <w:r w:rsidRPr="0008227F">
              <w:rPr>
                <w:sz w:val="20"/>
                <w:szCs w:val="20"/>
              </w:rPr>
              <w:t>Parametri indeksiranja</w:t>
            </w:r>
          </w:p>
        </w:tc>
        <w:tc>
          <w:tcPr>
            <w:tcW w:w="1364" w:type="dxa"/>
            <w:tcBorders>
              <w:top w:val="nil"/>
              <w:left w:val="nil"/>
              <w:bottom w:val="single" w:sz="4" w:space="0" w:color="auto"/>
              <w:right w:val="nil"/>
            </w:tcBorders>
            <w:shd w:val="clear" w:color="000000" w:fill="DBE5F1"/>
            <w:noWrap/>
            <w:vAlign w:val="center"/>
            <w:hideMark/>
          </w:tcPr>
          <w:p w14:paraId="5E3B67FC" w14:textId="77777777" w:rsidR="0056576C" w:rsidRPr="001471C5" w:rsidRDefault="0056576C" w:rsidP="0056576C">
            <w:pPr>
              <w:spacing w:after="0" w:line="240" w:lineRule="auto"/>
              <w:jc w:val="center"/>
              <w:rPr>
                <w:rFonts w:asciiTheme="minorHAnsi" w:eastAsia="Times New Roman" w:hAnsiTheme="minorHAnsi" w:cstheme="minorHAnsi"/>
                <w:b/>
                <w:bCs/>
                <w:sz w:val="20"/>
                <w:szCs w:val="20"/>
              </w:rPr>
            </w:pPr>
          </w:p>
        </w:tc>
        <w:tc>
          <w:tcPr>
            <w:tcW w:w="1350" w:type="dxa"/>
            <w:tcBorders>
              <w:top w:val="nil"/>
              <w:left w:val="nil"/>
              <w:bottom w:val="single" w:sz="4" w:space="0" w:color="auto"/>
              <w:right w:val="nil"/>
            </w:tcBorders>
            <w:shd w:val="clear" w:color="000000" w:fill="DBE5F1"/>
            <w:noWrap/>
            <w:vAlign w:val="center"/>
            <w:hideMark/>
          </w:tcPr>
          <w:p w14:paraId="28111859" w14:textId="77777777" w:rsidR="0056576C" w:rsidRPr="001471C5" w:rsidRDefault="0056576C" w:rsidP="0056576C">
            <w:pPr>
              <w:spacing w:after="0" w:line="240" w:lineRule="auto"/>
              <w:jc w:val="center"/>
              <w:rPr>
                <w:rFonts w:asciiTheme="minorHAnsi" w:eastAsia="Times New Roman" w:hAnsiTheme="minorHAnsi" w:cstheme="minorHAnsi"/>
                <w:b/>
                <w:bCs/>
                <w:sz w:val="20"/>
                <w:szCs w:val="20"/>
              </w:rPr>
            </w:pPr>
          </w:p>
        </w:tc>
        <w:tc>
          <w:tcPr>
            <w:tcW w:w="990" w:type="dxa"/>
            <w:tcBorders>
              <w:top w:val="nil"/>
              <w:left w:val="nil"/>
              <w:bottom w:val="single" w:sz="4" w:space="0" w:color="auto"/>
              <w:right w:val="nil"/>
            </w:tcBorders>
            <w:shd w:val="clear" w:color="000000" w:fill="DBE5F1"/>
            <w:noWrap/>
            <w:vAlign w:val="center"/>
            <w:hideMark/>
          </w:tcPr>
          <w:p w14:paraId="32DFD417" w14:textId="77777777" w:rsidR="0056576C" w:rsidRPr="001471C5" w:rsidRDefault="0056576C" w:rsidP="0056576C">
            <w:pPr>
              <w:spacing w:after="0" w:line="240" w:lineRule="auto"/>
              <w:jc w:val="center"/>
              <w:rPr>
                <w:rFonts w:asciiTheme="minorHAnsi" w:eastAsia="Times New Roman" w:hAnsiTheme="minorHAnsi" w:cstheme="minorHAnsi"/>
                <w:b/>
                <w:bCs/>
                <w:sz w:val="20"/>
                <w:szCs w:val="20"/>
              </w:rPr>
            </w:pPr>
          </w:p>
        </w:tc>
      </w:tr>
      <w:tr w:rsidR="00A85FFA" w:rsidRPr="001471C5" w14:paraId="65774B25"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392778B9" w14:textId="61212195" w:rsidR="00A85FFA" w:rsidRPr="0008227F" w:rsidRDefault="00514B4E" w:rsidP="00A85FFA">
            <w:pPr>
              <w:spacing w:after="0" w:line="240" w:lineRule="auto"/>
              <w:rPr>
                <w:rFonts w:asciiTheme="minorHAnsi" w:eastAsia="Times New Roman" w:hAnsiTheme="minorHAnsi" w:cstheme="minorHAnsi"/>
                <w:sz w:val="20"/>
                <w:szCs w:val="20"/>
              </w:rPr>
            </w:pPr>
            <w:r w:rsidRPr="0008227F">
              <w:rPr>
                <w:sz w:val="20"/>
                <w:szCs w:val="20"/>
              </w:rPr>
              <w:t>Faktor efikasnosti</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F2E1E" w14:textId="5792045B"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1.5%</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917BC" w14:textId="728628A9"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1.5%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02AD1"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1.5%</w:t>
            </w:r>
          </w:p>
        </w:tc>
      </w:tr>
      <w:tr w:rsidR="00A85FFA" w:rsidRPr="001471C5" w14:paraId="3833C4AF" w14:textId="77777777" w:rsidTr="00825E63">
        <w:trPr>
          <w:trHeight w:val="300"/>
        </w:trPr>
        <w:tc>
          <w:tcPr>
            <w:tcW w:w="5278" w:type="dxa"/>
            <w:tcBorders>
              <w:top w:val="nil"/>
              <w:left w:val="nil"/>
              <w:bottom w:val="nil"/>
              <w:right w:val="nil"/>
            </w:tcBorders>
            <w:shd w:val="clear" w:color="auto" w:fill="FFFFFF" w:themeFill="background1"/>
            <w:noWrap/>
            <w:vAlign w:val="center"/>
            <w:hideMark/>
          </w:tcPr>
          <w:p w14:paraId="2C8AC5A0" w14:textId="77777777" w:rsidR="00A85FFA" w:rsidRPr="001471C5" w:rsidRDefault="00A85FFA" w:rsidP="00A85FFA">
            <w:pPr>
              <w:spacing w:after="0" w:line="240" w:lineRule="auto"/>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HICP</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CC5647" w14:textId="1FD2DC6C"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1.19%</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416C2C0" w14:textId="3FDEE4D8" w:rsidR="00A85FFA" w:rsidRPr="001471C5" w:rsidRDefault="001D246A"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0.26%</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83A1B3E"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6185BB63" w14:textId="77777777" w:rsidTr="00825E63">
        <w:trPr>
          <w:trHeight w:val="300"/>
        </w:trPr>
        <w:tc>
          <w:tcPr>
            <w:tcW w:w="5278" w:type="dxa"/>
            <w:tcBorders>
              <w:top w:val="nil"/>
              <w:left w:val="nil"/>
              <w:bottom w:val="nil"/>
              <w:right w:val="nil"/>
            </w:tcBorders>
            <w:shd w:val="clear" w:color="auto" w:fill="FFFFFF" w:themeFill="background1"/>
            <w:noWrap/>
            <w:vAlign w:val="center"/>
            <w:hideMark/>
          </w:tcPr>
          <w:p w14:paraId="350D3907" w14:textId="77777777" w:rsidR="00A85FFA" w:rsidRPr="001471C5" w:rsidRDefault="00A85FFA" w:rsidP="00A85FFA">
            <w:pPr>
              <w:spacing w:after="0" w:line="240" w:lineRule="auto"/>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Euribor</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519802" w14:textId="0FB6398B"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-0.2%</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70417617" w14:textId="7C4277D6" w:rsidR="00A85FFA" w:rsidRPr="001471C5" w:rsidRDefault="001D246A"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-0.3%</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1A5C49BE"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4E35C827" w14:textId="77777777" w:rsidTr="00825E63">
        <w:trPr>
          <w:trHeight w:val="300"/>
        </w:trPr>
        <w:tc>
          <w:tcPr>
            <w:tcW w:w="5278" w:type="dxa"/>
            <w:tcBorders>
              <w:top w:val="nil"/>
              <w:left w:val="nil"/>
              <w:bottom w:val="nil"/>
              <w:right w:val="nil"/>
            </w:tcBorders>
            <w:shd w:val="clear" w:color="auto" w:fill="FFFFFF" w:themeFill="background1"/>
            <w:noWrap/>
            <w:vAlign w:val="center"/>
            <w:hideMark/>
          </w:tcPr>
          <w:p w14:paraId="6272BC19" w14:textId="76208922" w:rsidR="00A85FFA" w:rsidRPr="001471C5" w:rsidRDefault="00514B4E" w:rsidP="00A85FFA">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S Faktor</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A703F0" w14:textId="58FBC6D0"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7.60%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304F0DDE" w14:textId="62821350" w:rsidR="00A85FFA" w:rsidRPr="001471C5" w:rsidRDefault="001D246A"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7.60%</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63D3C4E7"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6096AC5E" w14:textId="77777777" w:rsidTr="00825E63">
        <w:trPr>
          <w:trHeight w:val="300"/>
        </w:trPr>
        <w:tc>
          <w:tcPr>
            <w:tcW w:w="5278" w:type="dxa"/>
            <w:tcBorders>
              <w:top w:val="nil"/>
              <w:left w:val="nil"/>
              <w:bottom w:val="nil"/>
              <w:right w:val="nil"/>
            </w:tcBorders>
            <w:shd w:val="clear" w:color="auto" w:fill="FFFFFF" w:themeFill="background1"/>
            <w:noWrap/>
            <w:vAlign w:val="center"/>
            <w:hideMark/>
          </w:tcPr>
          <w:p w14:paraId="004C7223" w14:textId="3D33855B" w:rsidR="00A85FFA" w:rsidRPr="001471C5" w:rsidRDefault="00514B4E" w:rsidP="00A85FFA">
            <w:pPr>
              <w:spacing w:after="0" w:line="240" w:lineRule="auto"/>
              <w:rPr>
                <w:rFonts w:asciiTheme="minorHAnsi" w:eastAsia="Times New Roman" w:hAnsiTheme="minorHAnsi" w:cstheme="minorHAnsi"/>
                <w:sz w:val="20"/>
                <w:szCs w:val="20"/>
              </w:rPr>
            </w:pPr>
            <w:r w:rsidRPr="00514B4E">
              <w:rPr>
                <w:rFonts w:asciiTheme="minorHAnsi" w:eastAsia="Times New Roman" w:hAnsiTheme="minorHAnsi" w:cstheme="minorHAnsi"/>
                <w:sz w:val="20"/>
                <w:szCs w:val="20"/>
              </w:rPr>
              <w:t>Kamatna stopa</w:t>
            </w:r>
            <w:r w:rsidR="00A85FFA" w:rsidRPr="001471C5">
              <w:rPr>
                <w:rFonts w:asciiTheme="minorHAnsi" w:eastAsia="Times New Roman" w:hAnsiTheme="minorHAnsi" w:cstheme="minorHAnsi"/>
                <w:sz w:val="20"/>
                <w:szCs w:val="20"/>
              </w:rPr>
              <w:t xml:space="preserve"> - It</w:t>
            </w:r>
          </w:p>
        </w:tc>
        <w:tc>
          <w:tcPr>
            <w:tcW w:w="13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C366C2" w14:textId="7D9D321A"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7.38%</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5649E33D" w14:textId="2700DCA6" w:rsidR="00A85FFA" w:rsidRPr="001471C5" w:rsidRDefault="001D246A" w:rsidP="00A85FFA">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7.30%</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6B9F7D4C"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r>
      <w:tr w:rsidR="00A85FFA" w:rsidRPr="001471C5" w14:paraId="250AD5D1" w14:textId="77777777" w:rsidTr="00825E63">
        <w:trPr>
          <w:trHeight w:val="300"/>
        </w:trPr>
        <w:tc>
          <w:tcPr>
            <w:tcW w:w="5278" w:type="dxa"/>
            <w:tcBorders>
              <w:top w:val="nil"/>
              <w:left w:val="nil"/>
              <w:bottom w:val="nil"/>
              <w:right w:val="nil"/>
            </w:tcBorders>
            <w:shd w:val="clear" w:color="000000" w:fill="DBE5F1"/>
            <w:noWrap/>
            <w:vAlign w:val="center"/>
            <w:hideMark/>
          </w:tcPr>
          <w:p w14:paraId="0F5F7163" w14:textId="5C651F56" w:rsidR="00A85FFA" w:rsidRPr="0008227F" w:rsidRDefault="0008227F" w:rsidP="00A85FFA">
            <w:pPr>
              <w:spacing w:after="0" w:line="240" w:lineRule="auto"/>
              <w:rPr>
                <w:rFonts w:asciiTheme="minorHAnsi" w:eastAsia="Times New Roman" w:hAnsiTheme="minorHAnsi" w:cstheme="minorHAnsi"/>
                <w:b/>
                <w:bCs/>
                <w:sz w:val="20"/>
                <w:szCs w:val="20"/>
              </w:rPr>
            </w:pPr>
            <w:r w:rsidRPr="0008227F">
              <w:rPr>
                <w:sz w:val="20"/>
                <w:szCs w:val="20"/>
              </w:rPr>
              <w:t>Operativni troškovi i održavanja (OPMCt)</w:t>
            </w:r>
          </w:p>
        </w:tc>
        <w:tc>
          <w:tcPr>
            <w:tcW w:w="1364" w:type="dxa"/>
            <w:tcBorders>
              <w:top w:val="nil"/>
              <w:left w:val="nil"/>
              <w:bottom w:val="single" w:sz="4" w:space="0" w:color="auto"/>
              <w:right w:val="nil"/>
            </w:tcBorders>
            <w:shd w:val="clear" w:color="000000" w:fill="DBE5F1"/>
            <w:noWrap/>
            <w:vAlign w:val="center"/>
            <w:hideMark/>
          </w:tcPr>
          <w:p w14:paraId="5B8D9145"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nil"/>
              <w:left w:val="nil"/>
              <w:bottom w:val="nil"/>
              <w:right w:val="nil"/>
            </w:tcBorders>
            <w:shd w:val="clear" w:color="000000" w:fill="DBE5F1"/>
            <w:noWrap/>
            <w:vAlign w:val="center"/>
            <w:hideMark/>
          </w:tcPr>
          <w:p w14:paraId="610AE7A5"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nil"/>
              <w:left w:val="nil"/>
              <w:bottom w:val="nil"/>
              <w:right w:val="nil"/>
            </w:tcBorders>
            <w:shd w:val="clear" w:color="000000" w:fill="DBE5F1"/>
            <w:noWrap/>
            <w:vAlign w:val="center"/>
            <w:hideMark/>
          </w:tcPr>
          <w:p w14:paraId="7A658E23"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6AE5A0CF"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2BB98B91" w14:textId="445F8480" w:rsidR="00A85FFA" w:rsidRPr="001471C5" w:rsidRDefault="0008227F" w:rsidP="00A85FFA">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Pregled tokom </w:t>
            </w:r>
            <w:r w:rsidR="00A85FFA" w:rsidRPr="001471C5">
              <w:rPr>
                <w:rFonts w:asciiTheme="minorHAnsi" w:eastAsia="Times New Roman" w:hAnsiTheme="minorHAnsi" w:cstheme="minorHAnsi"/>
                <w:color w:val="000000"/>
                <w:sz w:val="20"/>
                <w:szCs w:val="20"/>
              </w:rPr>
              <w:t>PRR2</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nil"/>
            </w:tcBorders>
            <w:shd w:val="clear" w:color="auto" w:fill="FFFFFF" w:themeFill="background1"/>
            <w:vAlign w:val="center"/>
            <w:hideMark/>
          </w:tcPr>
          <w:p w14:paraId="082C0EF3" w14:textId="6AE424FE"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7.30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62884" w14:textId="6D0AB728"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7.19</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8D1830" w14:textId="4F215B63"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7.</w:t>
            </w:r>
            <w:r>
              <w:rPr>
                <w:rFonts w:asciiTheme="minorHAnsi" w:eastAsia="Times New Roman" w:hAnsiTheme="minorHAnsi" w:cstheme="minorHAnsi"/>
                <w:color w:val="000000"/>
                <w:sz w:val="20"/>
                <w:szCs w:val="20"/>
              </w:rPr>
              <w:t>0</w:t>
            </w:r>
            <w:r w:rsidRPr="001471C5">
              <w:rPr>
                <w:rFonts w:asciiTheme="minorHAnsi" w:eastAsia="Times New Roman" w:hAnsiTheme="minorHAnsi" w:cstheme="minorHAnsi"/>
                <w:color w:val="000000"/>
                <w:sz w:val="20"/>
                <w:szCs w:val="20"/>
              </w:rPr>
              <w:t>9</w:t>
            </w:r>
          </w:p>
        </w:tc>
      </w:tr>
      <w:tr w:rsidR="00A85FFA" w:rsidRPr="001471C5" w14:paraId="3F94492E" w14:textId="77777777" w:rsidTr="00825E63">
        <w:trPr>
          <w:trHeight w:val="300"/>
        </w:trPr>
        <w:tc>
          <w:tcPr>
            <w:tcW w:w="5278" w:type="dxa"/>
            <w:tcBorders>
              <w:top w:val="nil"/>
              <w:left w:val="nil"/>
              <w:bottom w:val="nil"/>
              <w:right w:val="nil"/>
            </w:tcBorders>
            <w:shd w:val="clear" w:color="000000" w:fill="FFFFFF"/>
            <w:noWrap/>
            <w:vAlign w:val="center"/>
            <w:hideMark/>
          </w:tcPr>
          <w:p w14:paraId="065707F5" w14:textId="75673F80" w:rsidR="00A85FFA" w:rsidRPr="001471C5" w:rsidRDefault="0008227F" w:rsidP="00A85FFA">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Dozvoljeno</w:t>
            </w:r>
            <w:r w:rsidR="00A85FFA" w:rsidRPr="001471C5">
              <w:rPr>
                <w:rFonts w:asciiTheme="minorHAnsi" w:eastAsia="Times New Roman" w:hAnsiTheme="minorHAnsi" w:cstheme="minorHAnsi"/>
                <w:color w:val="000000"/>
                <w:sz w:val="20"/>
                <w:szCs w:val="20"/>
              </w:rPr>
              <w:t xml:space="preserve"> -OPMCt = OPMCt-1 * (1 + CPIt-1) * (1 – Et)* (1 – Pt)</w:t>
            </w:r>
            <w:r w:rsidR="003312AF" w:rsidRPr="004633ED">
              <w:rPr>
                <w:rFonts w:cstheme="minorHAnsi"/>
              </w:rPr>
              <w:t xml:space="preserve"> €m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90510" w14:textId="4DBBC77F"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7.42</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47A42675" w14:textId="37E12782"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7.28</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7F6422B4" w14:textId="72473D24" w:rsidR="00A85FFA" w:rsidRPr="001471C5" w:rsidRDefault="00A85FFA" w:rsidP="00FE3C9D">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7.</w:t>
            </w:r>
            <w:r>
              <w:rPr>
                <w:rFonts w:asciiTheme="minorHAnsi" w:eastAsia="Times New Roman" w:hAnsiTheme="minorHAnsi" w:cstheme="minorHAnsi"/>
                <w:b/>
                <w:bCs/>
                <w:color w:val="000000"/>
                <w:sz w:val="20"/>
                <w:szCs w:val="20"/>
              </w:rPr>
              <w:t>11</w:t>
            </w:r>
          </w:p>
        </w:tc>
      </w:tr>
      <w:tr w:rsidR="00A85FFA" w:rsidRPr="001471C5" w14:paraId="40DAA4BA" w14:textId="77777777" w:rsidTr="00825E63">
        <w:trPr>
          <w:trHeight w:val="300"/>
        </w:trPr>
        <w:tc>
          <w:tcPr>
            <w:tcW w:w="5278" w:type="dxa"/>
            <w:tcBorders>
              <w:top w:val="nil"/>
              <w:left w:val="nil"/>
              <w:bottom w:val="nil"/>
              <w:right w:val="nil"/>
            </w:tcBorders>
            <w:shd w:val="clear" w:color="000000" w:fill="FFFFFF"/>
            <w:noWrap/>
            <w:vAlign w:val="center"/>
            <w:hideMark/>
          </w:tcPr>
          <w:p w14:paraId="36C831DE" w14:textId="7E4F2459" w:rsidR="00A85FFA" w:rsidRPr="001471C5" w:rsidRDefault="0008227F" w:rsidP="00A85FFA">
            <w:pPr>
              <w:spacing w:after="0" w:line="240" w:lineRule="auto"/>
              <w:rPr>
                <w:rFonts w:asciiTheme="minorHAnsi" w:eastAsia="Times New Roman" w:hAnsiTheme="minorHAnsi" w:cstheme="minorHAnsi"/>
                <w:sz w:val="20"/>
                <w:szCs w:val="20"/>
              </w:rPr>
            </w:pPr>
            <w:r w:rsidRPr="0008227F">
              <w:rPr>
                <w:sz w:val="20"/>
                <w:szCs w:val="20"/>
              </w:rPr>
              <w:t>Usklađivanje troškova održavanja</w:t>
            </w:r>
            <w:r w:rsidR="00A85FFA" w:rsidRPr="001471C5">
              <w:rPr>
                <w:rFonts w:asciiTheme="minorHAnsi" w:eastAsia="Times New Roman" w:hAnsiTheme="minorHAnsi" w:cstheme="minorHAnsi"/>
                <w:sz w:val="20"/>
                <w:szCs w:val="20"/>
              </w:rPr>
              <w:t>:</w:t>
            </w:r>
            <w:r w:rsidR="003312AF">
              <w:rPr>
                <w:rFonts w:asciiTheme="minorHAnsi" w:eastAsia="Times New Roman" w:hAnsiTheme="minorHAnsi" w:cstheme="minorHAnsi"/>
                <w:sz w:val="20"/>
                <w:szCs w:val="20"/>
              </w:rPr>
              <w:t xml:space="preserve"> </w:t>
            </w:r>
            <w:r w:rsidR="003312AF" w:rsidRPr="004633ED">
              <w:rPr>
                <w:rFonts w:cstheme="minorHAnsi"/>
              </w:rPr>
              <w:t>€m</w:t>
            </w:r>
          </w:p>
        </w:tc>
        <w:tc>
          <w:tcPr>
            <w:tcW w:w="13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2DE86B" w14:textId="32018DAF"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1.06</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313A1163" w14:textId="60D9C321" w:rsidR="00A85FFA" w:rsidRPr="001471C5" w:rsidRDefault="001D246A" w:rsidP="00A85FFA">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1.04</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1BB9C581"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r>
      <w:tr w:rsidR="00A85FFA" w:rsidRPr="001471C5" w14:paraId="3D318854" w14:textId="77777777" w:rsidTr="00825E63">
        <w:trPr>
          <w:trHeight w:val="300"/>
        </w:trPr>
        <w:tc>
          <w:tcPr>
            <w:tcW w:w="5278" w:type="dxa"/>
            <w:tcBorders>
              <w:top w:val="nil"/>
              <w:left w:val="nil"/>
              <w:bottom w:val="nil"/>
              <w:right w:val="nil"/>
            </w:tcBorders>
            <w:shd w:val="clear" w:color="000000" w:fill="FFFFFF"/>
            <w:noWrap/>
            <w:vAlign w:val="center"/>
            <w:hideMark/>
          </w:tcPr>
          <w:p w14:paraId="1EEE5C9F" w14:textId="68803661" w:rsidR="00A85FFA" w:rsidRPr="001471C5" w:rsidRDefault="00A85FFA" w:rsidP="00A85FFA">
            <w:pPr>
              <w:spacing w:after="0" w:line="240" w:lineRule="auto"/>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 xml:space="preserve">        </w:t>
            </w:r>
            <w:r w:rsidR="00BA4B2C">
              <w:rPr>
                <w:rFonts w:asciiTheme="minorHAnsi" w:eastAsia="Times New Roman" w:hAnsiTheme="minorHAnsi" w:cstheme="minorHAnsi"/>
                <w:sz w:val="20"/>
                <w:szCs w:val="20"/>
              </w:rPr>
              <w:t xml:space="preserve">Tekuće </w:t>
            </w:r>
            <w:r w:rsidR="0008227F">
              <w:rPr>
                <w:rFonts w:asciiTheme="minorHAnsi" w:eastAsia="Times New Roman" w:hAnsiTheme="minorHAnsi" w:cstheme="minorHAnsi"/>
                <w:sz w:val="20"/>
                <w:szCs w:val="20"/>
              </w:rPr>
              <w:t xml:space="preserve"> </w:t>
            </w:r>
            <w:r w:rsidR="003312AF" w:rsidRPr="004633ED">
              <w:rPr>
                <w:rFonts w:cstheme="minorHAnsi"/>
              </w:rPr>
              <w:t>€m</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640C90" w14:textId="5C9FFC26"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0.68</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4E42D11F" w14:textId="7D685BB5" w:rsidR="00A85FFA" w:rsidRPr="001471C5" w:rsidRDefault="001D246A"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0.75</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745D5FCF"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06404C32"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3047C95F" w14:textId="05DE7C09" w:rsidR="00A85FFA" w:rsidRPr="001471C5" w:rsidRDefault="00A85FFA" w:rsidP="0008227F">
            <w:pPr>
              <w:spacing w:after="0" w:line="240" w:lineRule="auto"/>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 xml:space="preserve">        </w:t>
            </w:r>
            <w:r w:rsidR="0008227F" w:rsidRPr="0008227F">
              <w:rPr>
                <w:rFonts w:asciiTheme="minorHAnsi" w:eastAsia="Times New Roman" w:hAnsiTheme="minorHAnsi" w:cstheme="minorHAnsi"/>
                <w:sz w:val="20"/>
                <w:szCs w:val="20"/>
              </w:rPr>
              <w:t>R</w:t>
            </w:r>
            <w:r w:rsidR="00BA4B2C">
              <w:rPr>
                <w:rFonts w:asciiTheme="minorHAnsi" w:eastAsia="Times New Roman" w:hAnsiTheme="minorHAnsi" w:cstheme="minorHAnsi"/>
                <w:sz w:val="20"/>
                <w:szCs w:val="20"/>
              </w:rPr>
              <w:t>azlika primenom faktora podele</w:t>
            </w:r>
            <w:r w:rsidR="0008227F" w:rsidRPr="0008227F">
              <w:rPr>
                <w:rFonts w:asciiTheme="minorHAnsi" w:eastAsia="Times New Roman" w:hAnsiTheme="minorHAnsi" w:cstheme="minorHAnsi"/>
                <w:sz w:val="20"/>
                <w:szCs w:val="20"/>
              </w:rPr>
              <w:t xml:space="preserve"> </w:t>
            </w:r>
            <w:r w:rsidRPr="001471C5">
              <w:rPr>
                <w:rFonts w:asciiTheme="minorHAnsi" w:eastAsia="Times New Roman" w:hAnsiTheme="minorHAnsi" w:cstheme="minorHAnsi"/>
                <w:sz w:val="20"/>
                <w:szCs w:val="20"/>
              </w:rPr>
              <w:t>50/50</w:t>
            </w:r>
            <w:r w:rsidR="003312AF">
              <w:rPr>
                <w:rFonts w:asciiTheme="minorHAnsi" w:eastAsia="Times New Roman" w:hAnsiTheme="minorHAnsi" w:cstheme="minorHAnsi"/>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050698" w14:textId="20B31029" w:rsidR="00A85FFA" w:rsidRPr="001471C5" w:rsidRDefault="001A758C"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00A85FFA" w:rsidRPr="001471C5">
              <w:rPr>
                <w:rFonts w:asciiTheme="minorHAnsi" w:eastAsia="Times New Roman" w:hAnsiTheme="minorHAnsi" w:cstheme="minorHAnsi"/>
                <w:sz w:val="20"/>
                <w:szCs w:val="20"/>
              </w:rPr>
              <w:t>0.19</w:t>
            </w:r>
            <w:r>
              <w:rPr>
                <w:rFonts w:asciiTheme="minorHAnsi" w:eastAsia="Times New Roman" w:hAnsiTheme="minorHAnsi" w:cstheme="minorHAnsi"/>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DAE131" w14:textId="670D1B04" w:rsidR="00A85FFA" w:rsidRPr="001471C5" w:rsidRDefault="001A758C"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001D246A">
              <w:rPr>
                <w:rFonts w:asciiTheme="minorHAnsi" w:eastAsia="Times New Roman" w:hAnsiTheme="minorHAnsi" w:cstheme="minorHAnsi"/>
                <w:sz w:val="20"/>
                <w:szCs w:val="20"/>
              </w:rPr>
              <w:t>0.15</w:t>
            </w:r>
            <w:r>
              <w:rPr>
                <w:rFonts w:asciiTheme="minorHAnsi" w:eastAsia="Times New Roman" w:hAnsiTheme="minorHAnsi" w:cstheme="minorHAnsi"/>
                <w:sz w:val="20"/>
                <w:szCs w:val="20"/>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FDE4D2"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1C47ED2E" w14:textId="77777777" w:rsidTr="00825E63">
        <w:trPr>
          <w:trHeight w:val="315"/>
        </w:trPr>
        <w:tc>
          <w:tcPr>
            <w:tcW w:w="5278" w:type="dxa"/>
            <w:tcBorders>
              <w:top w:val="nil"/>
              <w:left w:val="nil"/>
              <w:bottom w:val="nil"/>
              <w:right w:val="single" w:sz="4" w:space="0" w:color="auto"/>
            </w:tcBorders>
            <w:shd w:val="clear" w:color="000000" w:fill="FFFFFF"/>
            <w:noWrap/>
            <w:vAlign w:val="center"/>
            <w:hideMark/>
          </w:tcPr>
          <w:p w14:paraId="6BB7D009" w14:textId="73CC8625" w:rsidR="00A85FFA" w:rsidRPr="001471C5" w:rsidRDefault="00BA4B2C" w:rsidP="00A85FFA">
            <w:pPr>
              <w:spacing w:after="0" w:line="240" w:lineRule="auto"/>
              <w:rPr>
                <w:rFonts w:asciiTheme="minorHAnsi" w:eastAsia="Times New Roman" w:hAnsiTheme="minorHAnsi" w:cstheme="minorHAnsi"/>
                <w:sz w:val="20"/>
                <w:szCs w:val="20"/>
              </w:rPr>
            </w:pPr>
            <w:r>
              <w:rPr>
                <w:sz w:val="20"/>
                <w:szCs w:val="20"/>
              </w:rPr>
              <w:t>Usklađivanja za</w:t>
            </w:r>
            <w:r>
              <w:rPr>
                <w:rFonts w:asciiTheme="minorHAnsi" w:eastAsia="Times New Roman" w:hAnsiTheme="minorHAnsi" w:cstheme="minorHAnsi"/>
                <w:sz w:val="20"/>
                <w:szCs w:val="20"/>
              </w:rPr>
              <w:t xml:space="preserve"> OPEX për Vallać</w:t>
            </w:r>
            <w:r w:rsidR="003312AF">
              <w:rPr>
                <w:rFonts w:asciiTheme="minorHAnsi" w:eastAsia="Times New Roman" w:hAnsiTheme="minorHAnsi" w:cstheme="minorHAnsi"/>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05B4DA1E" w14:textId="22E916AD" w:rsidR="00A85FFA" w:rsidRPr="001471C5" w:rsidRDefault="001A758C"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00A85FFA" w:rsidRPr="001471C5">
              <w:rPr>
                <w:rFonts w:asciiTheme="minorHAnsi" w:eastAsia="Times New Roman" w:hAnsiTheme="minorHAnsi" w:cstheme="minorHAnsi"/>
                <w:sz w:val="20"/>
                <w:szCs w:val="20"/>
              </w:rPr>
              <w:t>0.16</w:t>
            </w:r>
            <w:r>
              <w:rPr>
                <w:rFonts w:asciiTheme="minorHAnsi" w:eastAsia="Times New Roman" w:hAnsiTheme="minorHAnsi" w:cstheme="minorHAnsi"/>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20534B" w14:textId="26B0D186" w:rsidR="00A85FFA" w:rsidRPr="001471C5" w:rsidRDefault="001A758C"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001D246A">
              <w:rPr>
                <w:rFonts w:asciiTheme="minorHAnsi" w:eastAsia="Times New Roman" w:hAnsiTheme="minorHAnsi" w:cstheme="minorHAnsi"/>
                <w:sz w:val="20"/>
                <w:szCs w:val="20"/>
              </w:rPr>
              <w:t>0.08</w:t>
            </w:r>
            <w:r>
              <w:rPr>
                <w:rFonts w:asciiTheme="minorHAnsi" w:eastAsia="Times New Roman" w:hAnsiTheme="minorHAnsi" w:cstheme="minorHAnsi"/>
                <w:sz w:val="20"/>
                <w:szCs w:val="20"/>
              </w:rPr>
              <w:t>)</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282609"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0FA1C6A2" w14:textId="77777777" w:rsidTr="00825E63">
        <w:trPr>
          <w:trHeight w:val="300"/>
        </w:trPr>
        <w:tc>
          <w:tcPr>
            <w:tcW w:w="5278" w:type="dxa"/>
            <w:tcBorders>
              <w:top w:val="nil"/>
              <w:left w:val="nil"/>
              <w:bottom w:val="nil"/>
              <w:right w:val="nil"/>
            </w:tcBorders>
            <w:shd w:val="clear" w:color="000000" w:fill="DBE5F1"/>
            <w:noWrap/>
            <w:vAlign w:val="center"/>
            <w:hideMark/>
          </w:tcPr>
          <w:p w14:paraId="0E62C33F" w14:textId="2704EFF0" w:rsidR="00A85FFA" w:rsidRPr="001471C5" w:rsidRDefault="00BA4B2C" w:rsidP="00A85FFA">
            <w:pPr>
              <w:spacing w:after="0" w:line="240" w:lineRule="auto"/>
              <w:rPr>
                <w:rFonts w:asciiTheme="minorHAnsi" w:eastAsia="Times New Roman" w:hAnsiTheme="minorHAnsi" w:cstheme="minorHAnsi"/>
                <w:b/>
                <w:bCs/>
                <w:sz w:val="20"/>
                <w:szCs w:val="20"/>
              </w:rPr>
            </w:pPr>
            <w:r w:rsidRPr="00BA4B2C">
              <w:rPr>
                <w:rFonts w:asciiTheme="minorHAnsi" w:eastAsia="Times New Roman" w:hAnsiTheme="minorHAnsi" w:cstheme="minorHAnsi"/>
                <w:b/>
                <w:bCs/>
                <w:sz w:val="20"/>
                <w:szCs w:val="20"/>
              </w:rPr>
              <w:t>Troškovi amortizacije</w:t>
            </w:r>
            <w:r w:rsidR="00A85FFA" w:rsidRPr="001471C5">
              <w:rPr>
                <w:rFonts w:asciiTheme="minorHAnsi" w:eastAsia="Times New Roman" w:hAnsiTheme="minorHAnsi" w:cstheme="minorHAnsi"/>
                <w:b/>
                <w:bCs/>
                <w:sz w:val="20"/>
                <w:szCs w:val="20"/>
              </w:rPr>
              <w:t xml:space="preserve"> (DEPCt)</w:t>
            </w:r>
          </w:p>
        </w:tc>
        <w:tc>
          <w:tcPr>
            <w:tcW w:w="1364" w:type="dxa"/>
            <w:tcBorders>
              <w:top w:val="single" w:sz="4" w:space="0" w:color="auto"/>
              <w:left w:val="nil"/>
              <w:bottom w:val="single" w:sz="4" w:space="0" w:color="auto"/>
              <w:right w:val="nil"/>
            </w:tcBorders>
            <w:shd w:val="clear" w:color="000000" w:fill="DBE5F1"/>
            <w:noWrap/>
            <w:vAlign w:val="center"/>
            <w:hideMark/>
          </w:tcPr>
          <w:p w14:paraId="7DE910F0"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nil"/>
              <w:left w:val="nil"/>
              <w:bottom w:val="nil"/>
              <w:right w:val="nil"/>
            </w:tcBorders>
            <w:shd w:val="clear" w:color="000000" w:fill="DBE5F1"/>
            <w:noWrap/>
            <w:vAlign w:val="center"/>
            <w:hideMark/>
          </w:tcPr>
          <w:p w14:paraId="713BCB35"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single" w:sz="4" w:space="0" w:color="auto"/>
              <w:left w:val="nil"/>
              <w:bottom w:val="nil"/>
              <w:right w:val="nil"/>
            </w:tcBorders>
            <w:shd w:val="clear" w:color="000000" w:fill="DBE5F1"/>
            <w:noWrap/>
            <w:vAlign w:val="center"/>
            <w:hideMark/>
          </w:tcPr>
          <w:p w14:paraId="1DEFB28E"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7F0E9AF9"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4C4DEE8C" w14:textId="49295029" w:rsidR="00A85FFA" w:rsidRPr="001471C5" w:rsidRDefault="00BA4B2C"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Pregled tokom</w:t>
            </w:r>
            <w:r w:rsidR="00A85FFA" w:rsidRPr="001471C5">
              <w:rPr>
                <w:rFonts w:asciiTheme="minorHAnsi" w:eastAsia="Times New Roman" w:hAnsiTheme="minorHAnsi" w:cstheme="minorHAnsi"/>
                <w:color w:val="000000"/>
                <w:sz w:val="20"/>
                <w:szCs w:val="20"/>
              </w:rPr>
              <w:t xml:space="preserve"> PRR2</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nil"/>
            </w:tcBorders>
            <w:shd w:val="clear" w:color="auto" w:fill="FFFFFF" w:themeFill="background1"/>
            <w:vAlign w:val="center"/>
            <w:hideMark/>
          </w:tcPr>
          <w:p w14:paraId="64C54574" w14:textId="2E394392"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10.46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064FC0" w14:textId="7ED972E2" w:rsidR="00A85FFA" w:rsidRPr="001471C5" w:rsidRDefault="00A85FFA" w:rsidP="001D246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11.2</w:t>
            </w:r>
            <w:r w:rsidR="001D246A">
              <w:rPr>
                <w:rFonts w:asciiTheme="minorHAnsi" w:eastAsia="Times New Roman" w:hAnsiTheme="minorHAnsi" w:cstheme="minorHAnsi"/>
                <w:color w:val="000000"/>
                <w:sz w:val="20"/>
                <w:szCs w:val="20"/>
              </w:rPr>
              <w:t>3</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2E6612" w14:textId="7D9BB3F4"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11.</w:t>
            </w:r>
            <w:r>
              <w:rPr>
                <w:rFonts w:asciiTheme="minorHAnsi" w:eastAsia="Times New Roman" w:hAnsiTheme="minorHAnsi" w:cstheme="minorHAnsi"/>
                <w:color w:val="000000"/>
                <w:sz w:val="20"/>
                <w:szCs w:val="20"/>
              </w:rPr>
              <w:t>71</w:t>
            </w:r>
          </w:p>
        </w:tc>
      </w:tr>
      <w:tr w:rsidR="00A85FFA" w:rsidRPr="001471C5" w14:paraId="7E3F3E5A" w14:textId="77777777" w:rsidTr="00825E63">
        <w:trPr>
          <w:trHeight w:val="300"/>
        </w:trPr>
        <w:tc>
          <w:tcPr>
            <w:tcW w:w="5278" w:type="dxa"/>
            <w:tcBorders>
              <w:top w:val="nil"/>
              <w:left w:val="nil"/>
              <w:bottom w:val="nil"/>
              <w:right w:val="nil"/>
            </w:tcBorders>
            <w:shd w:val="clear" w:color="000000" w:fill="FFFFFF"/>
            <w:noWrap/>
            <w:vAlign w:val="center"/>
            <w:hideMark/>
          </w:tcPr>
          <w:p w14:paraId="6E5C4BDF" w14:textId="24C2F632" w:rsidR="00A85FFA" w:rsidRPr="001471C5" w:rsidRDefault="00BA4B2C"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Dozvoljeno</w:t>
            </w:r>
            <w:r w:rsidRPr="001471C5">
              <w:rPr>
                <w:rFonts w:asciiTheme="minorHAnsi" w:eastAsia="Times New Roman" w:hAnsiTheme="minorHAnsi" w:cstheme="minorHAnsi"/>
                <w:color w:val="000000"/>
                <w:sz w:val="20"/>
                <w:szCs w:val="20"/>
              </w:rPr>
              <w:t xml:space="preserve"> </w:t>
            </w:r>
            <w:r w:rsidR="00A85FFA" w:rsidRPr="001471C5">
              <w:rPr>
                <w:rFonts w:asciiTheme="minorHAnsi" w:eastAsia="Times New Roman" w:hAnsiTheme="minorHAnsi" w:cstheme="minorHAnsi"/>
                <w:color w:val="000000"/>
                <w:sz w:val="20"/>
                <w:szCs w:val="20"/>
              </w:rPr>
              <w:t>- DEPCt = DEPCt-1 * (1 + CPIt-1) * (1 – Pt)</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7AF4F" w14:textId="59539392"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10.63</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1E6D48EF" w14:textId="017F8DE8" w:rsidR="00A85FFA" w:rsidRPr="001471C5" w:rsidRDefault="001D246A" w:rsidP="00A85FFA">
            <w:pPr>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11.36</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6193CD7E" w14:textId="24116971"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11.</w:t>
            </w:r>
            <w:r>
              <w:rPr>
                <w:rFonts w:asciiTheme="minorHAnsi" w:eastAsia="Times New Roman" w:hAnsiTheme="minorHAnsi" w:cstheme="minorHAnsi"/>
                <w:b/>
                <w:bCs/>
                <w:color w:val="000000"/>
                <w:sz w:val="20"/>
                <w:szCs w:val="20"/>
              </w:rPr>
              <w:t>74</w:t>
            </w:r>
          </w:p>
        </w:tc>
      </w:tr>
      <w:tr w:rsidR="00A85FFA" w:rsidRPr="001471C5" w14:paraId="0C2CAFEF" w14:textId="77777777" w:rsidTr="00825E63">
        <w:trPr>
          <w:trHeight w:val="300"/>
        </w:trPr>
        <w:tc>
          <w:tcPr>
            <w:tcW w:w="5278" w:type="dxa"/>
            <w:tcBorders>
              <w:top w:val="nil"/>
              <w:left w:val="nil"/>
              <w:bottom w:val="nil"/>
              <w:right w:val="nil"/>
            </w:tcBorders>
            <w:shd w:val="clear" w:color="000000" w:fill="DBE5F1"/>
            <w:noWrap/>
            <w:vAlign w:val="center"/>
            <w:hideMark/>
          </w:tcPr>
          <w:p w14:paraId="5B47EBE5" w14:textId="1FAE86CA" w:rsidR="00A85FFA" w:rsidRPr="001471C5" w:rsidRDefault="00BA4B2C" w:rsidP="00BA4B2C">
            <w:pPr>
              <w:spacing w:after="0" w:line="240" w:lineRule="auto"/>
              <w:rPr>
                <w:rFonts w:asciiTheme="minorHAnsi" w:eastAsia="Times New Roman" w:hAnsiTheme="minorHAnsi" w:cstheme="minorHAnsi"/>
                <w:b/>
                <w:bCs/>
                <w:sz w:val="20"/>
                <w:szCs w:val="20"/>
              </w:rPr>
            </w:pPr>
            <w:r w:rsidRPr="00BA4B2C">
              <w:rPr>
                <w:b/>
                <w:sz w:val="20"/>
                <w:szCs w:val="20"/>
              </w:rPr>
              <w:t>Dozvoljeni povratak</w:t>
            </w:r>
            <w:r w:rsidR="00A85FFA" w:rsidRPr="001471C5">
              <w:rPr>
                <w:rFonts w:asciiTheme="minorHAnsi" w:eastAsia="Times New Roman" w:hAnsiTheme="minorHAnsi" w:cstheme="minorHAnsi"/>
                <w:b/>
                <w:bCs/>
                <w:sz w:val="20"/>
                <w:szCs w:val="20"/>
              </w:rPr>
              <w:t xml:space="preserve"> (RTNCt)</w:t>
            </w:r>
          </w:p>
        </w:tc>
        <w:tc>
          <w:tcPr>
            <w:tcW w:w="1364" w:type="dxa"/>
            <w:tcBorders>
              <w:top w:val="nil"/>
              <w:left w:val="nil"/>
              <w:bottom w:val="single" w:sz="4" w:space="0" w:color="auto"/>
              <w:right w:val="nil"/>
            </w:tcBorders>
            <w:shd w:val="clear" w:color="000000" w:fill="DBE5F1"/>
            <w:noWrap/>
            <w:vAlign w:val="center"/>
            <w:hideMark/>
          </w:tcPr>
          <w:p w14:paraId="71318AED"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nil"/>
              <w:left w:val="nil"/>
              <w:bottom w:val="nil"/>
              <w:right w:val="nil"/>
            </w:tcBorders>
            <w:shd w:val="clear" w:color="000000" w:fill="DBE5F1"/>
            <w:noWrap/>
            <w:vAlign w:val="center"/>
            <w:hideMark/>
          </w:tcPr>
          <w:p w14:paraId="14ABA507"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nil"/>
              <w:left w:val="nil"/>
              <w:bottom w:val="nil"/>
              <w:right w:val="nil"/>
            </w:tcBorders>
            <w:shd w:val="clear" w:color="000000" w:fill="DBE5F1"/>
            <w:noWrap/>
            <w:vAlign w:val="center"/>
            <w:hideMark/>
          </w:tcPr>
          <w:p w14:paraId="17E6CBFF"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79F59956"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29662371" w14:textId="67795F24" w:rsidR="00A85FFA" w:rsidRPr="001471C5" w:rsidRDefault="00BA4B2C"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Pregled tokom</w:t>
            </w:r>
            <w:r w:rsidR="00A85FFA" w:rsidRPr="001471C5">
              <w:rPr>
                <w:rFonts w:asciiTheme="minorHAnsi" w:eastAsia="Times New Roman" w:hAnsiTheme="minorHAnsi" w:cstheme="minorHAnsi"/>
                <w:color w:val="000000"/>
                <w:sz w:val="20"/>
                <w:szCs w:val="20"/>
              </w:rPr>
              <w:t xml:space="preserve"> PRR2</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nil"/>
            </w:tcBorders>
            <w:shd w:val="clear" w:color="auto" w:fill="FFFFFF" w:themeFill="background1"/>
            <w:vAlign w:val="center"/>
            <w:hideMark/>
          </w:tcPr>
          <w:p w14:paraId="4E6A61B1" w14:textId="5269FA92"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9.44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32B39E" w14:textId="358644F8" w:rsidR="00A85FFA" w:rsidRPr="001471C5" w:rsidRDefault="001D246A" w:rsidP="00A85FFA">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10.22</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2198F4" w14:textId="63799A2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10.</w:t>
            </w:r>
            <w:r>
              <w:rPr>
                <w:rFonts w:asciiTheme="minorHAnsi" w:eastAsia="Times New Roman" w:hAnsiTheme="minorHAnsi" w:cstheme="minorHAnsi"/>
                <w:color w:val="000000"/>
                <w:sz w:val="20"/>
                <w:szCs w:val="20"/>
              </w:rPr>
              <w:t>85</w:t>
            </w:r>
          </w:p>
        </w:tc>
      </w:tr>
      <w:tr w:rsidR="00A85FFA" w:rsidRPr="001471C5" w14:paraId="52F3D24A" w14:textId="77777777" w:rsidTr="00825E63">
        <w:trPr>
          <w:trHeight w:val="300"/>
        </w:trPr>
        <w:tc>
          <w:tcPr>
            <w:tcW w:w="5278" w:type="dxa"/>
            <w:tcBorders>
              <w:top w:val="nil"/>
              <w:left w:val="nil"/>
              <w:bottom w:val="nil"/>
              <w:right w:val="nil"/>
            </w:tcBorders>
            <w:shd w:val="clear" w:color="000000" w:fill="FFFFFF"/>
            <w:noWrap/>
            <w:vAlign w:val="center"/>
            <w:hideMark/>
          </w:tcPr>
          <w:p w14:paraId="5E086A22" w14:textId="6E294B5F" w:rsidR="00A85FFA" w:rsidRPr="001471C5" w:rsidRDefault="00BA4B2C"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Dozvoljeno</w:t>
            </w:r>
            <w:r w:rsidR="00A85FFA" w:rsidRPr="001471C5">
              <w:rPr>
                <w:rFonts w:asciiTheme="minorHAnsi" w:eastAsia="Times New Roman" w:hAnsiTheme="minorHAnsi" w:cstheme="minorHAnsi"/>
                <w:color w:val="000000"/>
                <w:sz w:val="20"/>
                <w:szCs w:val="20"/>
              </w:rPr>
              <w:t xml:space="preserve"> - RTNCt = RTNCt-1 * (1 + CPIt-1) * (1 – Pt)</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C77CB" w14:textId="4B1BC4D3"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9.59</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3BEC4744" w14:textId="6FEC1A94" w:rsidR="00A85FFA" w:rsidRPr="001471C5" w:rsidRDefault="001D246A" w:rsidP="00A85FFA">
            <w:pPr>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10.34</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7276CF18" w14:textId="50103873"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10.</w:t>
            </w:r>
            <w:r w:rsidR="00FE3C9D">
              <w:rPr>
                <w:rFonts w:asciiTheme="minorHAnsi" w:eastAsia="Times New Roman" w:hAnsiTheme="minorHAnsi" w:cstheme="minorHAnsi"/>
                <w:b/>
                <w:bCs/>
                <w:color w:val="000000"/>
                <w:sz w:val="20"/>
                <w:szCs w:val="20"/>
              </w:rPr>
              <w:t>88</w:t>
            </w:r>
          </w:p>
        </w:tc>
      </w:tr>
      <w:tr w:rsidR="00A85FFA" w:rsidRPr="001471C5" w14:paraId="1FBA1952" w14:textId="77777777" w:rsidTr="00825E63">
        <w:trPr>
          <w:trHeight w:val="300"/>
        </w:trPr>
        <w:tc>
          <w:tcPr>
            <w:tcW w:w="5278" w:type="dxa"/>
            <w:tcBorders>
              <w:top w:val="nil"/>
              <w:left w:val="nil"/>
              <w:bottom w:val="nil"/>
              <w:right w:val="nil"/>
            </w:tcBorders>
            <w:shd w:val="clear" w:color="000000" w:fill="DBE5F1"/>
            <w:noWrap/>
            <w:vAlign w:val="center"/>
            <w:hideMark/>
          </w:tcPr>
          <w:p w14:paraId="6ED74369" w14:textId="1F04C1B4" w:rsidR="00A85FFA" w:rsidRPr="001471C5" w:rsidRDefault="00BA4B2C" w:rsidP="00A85FFA">
            <w:pPr>
              <w:spacing w:after="0" w:line="240" w:lineRule="auto"/>
              <w:rPr>
                <w:rFonts w:asciiTheme="minorHAnsi" w:eastAsia="Times New Roman" w:hAnsiTheme="minorHAnsi" w:cstheme="minorHAnsi"/>
                <w:b/>
                <w:bCs/>
                <w:sz w:val="20"/>
                <w:szCs w:val="20"/>
              </w:rPr>
            </w:pPr>
            <w:r w:rsidRPr="00BA4B2C">
              <w:rPr>
                <w:rFonts w:asciiTheme="minorHAnsi" w:eastAsia="Times New Roman" w:hAnsiTheme="minorHAnsi" w:cstheme="minorHAnsi"/>
                <w:b/>
                <w:bCs/>
                <w:sz w:val="20"/>
                <w:szCs w:val="20"/>
              </w:rPr>
              <w:t>Gubitak troškova</w:t>
            </w:r>
            <w:r w:rsidR="00A85FFA" w:rsidRPr="001471C5">
              <w:rPr>
                <w:rFonts w:asciiTheme="minorHAnsi" w:eastAsia="Times New Roman" w:hAnsiTheme="minorHAnsi" w:cstheme="minorHAnsi"/>
                <w:b/>
                <w:bCs/>
                <w:sz w:val="20"/>
                <w:szCs w:val="20"/>
              </w:rPr>
              <w:t xml:space="preserve"> (LSSCt)</w:t>
            </w:r>
          </w:p>
        </w:tc>
        <w:tc>
          <w:tcPr>
            <w:tcW w:w="1364" w:type="dxa"/>
            <w:tcBorders>
              <w:top w:val="nil"/>
              <w:left w:val="nil"/>
              <w:bottom w:val="nil"/>
              <w:right w:val="nil"/>
            </w:tcBorders>
            <w:shd w:val="clear" w:color="000000" w:fill="DBE5F1"/>
            <w:noWrap/>
            <w:vAlign w:val="center"/>
            <w:hideMark/>
          </w:tcPr>
          <w:p w14:paraId="53420DE0"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nil"/>
              <w:left w:val="nil"/>
              <w:bottom w:val="nil"/>
              <w:right w:val="nil"/>
            </w:tcBorders>
            <w:shd w:val="clear" w:color="000000" w:fill="DBE5F1"/>
            <w:noWrap/>
            <w:vAlign w:val="center"/>
            <w:hideMark/>
          </w:tcPr>
          <w:p w14:paraId="281B3899"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nil"/>
              <w:left w:val="nil"/>
              <w:bottom w:val="nil"/>
              <w:right w:val="nil"/>
            </w:tcBorders>
            <w:shd w:val="clear" w:color="000000" w:fill="DBE5F1"/>
            <w:noWrap/>
            <w:vAlign w:val="center"/>
            <w:hideMark/>
          </w:tcPr>
          <w:p w14:paraId="3757007A"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2F7EDA14" w14:textId="77777777" w:rsidTr="00825E63">
        <w:trPr>
          <w:trHeight w:val="300"/>
        </w:trPr>
        <w:tc>
          <w:tcPr>
            <w:tcW w:w="5278" w:type="dxa"/>
            <w:tcBorders>
              <w:top w:val="nil"/>
              <w:left w:val="nil"/>
              <w:bottom w:val="nil"/>
              <w:right w:val="nil"/>
            </w:tcBorders>
            <w:shd w:val="clear" w:color="000000" w:fill="FFFFFF"/>
            <w:noWrap/>
            <w:vAlign w:val="center"/>
            <w:hideMark/>
          </w:tcPr>
          <w:p w14:paraId="416A1FD4" w14:textId="1FBE1604" w:rsidR="00A85FFA" w:rsidRPr="001471C5" w:rsidRDefault="00BA4B2C" w:rsidP="00A85FFA">
            <w:pPr>
              <w:spacing w:after="0" w:line="240" w:lineRule="auto"/>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Predviđe</w:t>
            </w:r>
            <w:r w:rsidRPr="00BA4B2C">
              <w:rPr>
                <w:rFonts w:asciiTheme="minorHAnsi" w:eastAsia="Times New Roman" w:hAnsiTheme="minorHAnsi" w:cstheme="minorHAnsi"/>
                <w:b/>
                <w:bCs/>
                <w:sz w:val="20"/>
                <w:szCs w:val="20"/>
              </w:rPr>
              <w:t>nje</w:t>
            </w:r>
          </w:p>
        </w:tc>
        <w:tc>
          <w:tcPr>
            <w:tcW w:w="1364" w:type="dxa"/>
            <w:tcBorders>
              <w:top w:val="nil"/>
              <w:left w:val="nil"/>
              <w:bottom w:val="nil"/>
              <w:right w:val="nil"/>
            </w:tcBorders>
            <w:shd w:val="clear" w:color="000000" w:fill="FFFFFF"/>
            <w:noWrap/>
            <w:vAlign w:val="center"/>
            <w:hideMark/>
          </w:tcPr>
          <w:p w14:paraId="1F53D4F8"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1350" w:type="dxa"/>
            <w:tcBorders>
              <w:top w:val="nil"/>
              <w:left w:val="nil"/>
              <w:bottom w:val="nil"/>
              <w:right w:val="nil"/>
            </w:tcBorders>
            <w:shd w:val="clear" w:color="000000" w:fill="FFFFFF"/>
            <w:noWrap/>
            <w:vAlign w:val="center"/>
            <w:hideMark/>
          </w:tcPr>
          <w:p w14:paraId="6E1DF679"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990" w:type="dxa"/>
            <w:tcBorders>
              <w:top w:val="nil"/>
              <w:left w:val="nil"/>
              <w:bottom w:val="nil"/>
              <w:right w:val="nil"/>
            </w:tcBorders>
            <w:shd w:val="clear" w:color="000000" w:fill="FFFFFF"/>
            <w:noWrap/>
            <w:vAlign w:val="center"/>
            <w:hideMark/>
          </w:tcPr>
          <w:p w14:paraId="0E856BA2"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r>
      <w:tr w:rsidR="00A85FFA" w:rsidRPr="001471C5" w14:paraId="5C7B74D5" w14:textId="77777777" w:rsidTr="00825E63">
        <w:trPr>
          <w:trHeight w:val="300"/>
        </w:trPr>
        <w:tc>
          <w:tcPr>
            <w:tcW w:w="5278" w:type="dxa"/>
            <w:tcBorders>
              <w:top w:val="nil"/>
              <w:left w:val="nil"/>
              <w:bottom w:val="nil"/>
              <w:right w:val="nil"/>
            </w:tcBorders>
            <w:shd w:val="clear" w:color="000000" w:fill="FFFFFF"/>
            <w:noWrap/>
            <w:vAlign w:val="center"/>
            <w:hideMark/>
          </w:tcPr>
          <w:p w14:paraId="3080FBE5" w14:textId="77777777" w:rsidR="00A85FFA" w:rsidRPr="001471C5" w:rsidRDefault="00A85FFA" w:rsidP="00A85FFA">
            <w:pPr>
              <w:spacing w:after="0" w:line="240" w:lineRule="auto"/>
              <w:ind w:firstLineChars="100" w:firstLine="200"/>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LSSAt</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C56BB" w14:textId="19527DF4"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1.78%</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A83C46" w14:textId="0CB6BBE1"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1.78%</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1CF1F7"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1.78%</w:t>
            </w:r>
          </w:p>
        </w:tc>
      </w:tr>
      <w:tr w:rsidR="00A85FFA" w:rsidRPr="001471C5" w14:paraId="5DD98439" w14:textId="77777777" w:rsidTr="00825E63">
        <w:trPr>
          <w:trHeight w:val="300"/>
        </w:trPr>
        <w:tc>
          <w:tcPr>
            <w:tcW w:w="5278" w:type="dxa"/>
            <w:tcBorders>
              <w:top w:val="nil"/>
              <w:left w:val="nil"/>
              <w:bottom w:val="nil"/>
              <w:right w:val="nil"/>
            </w:tcBorders>
            <w:shd w:val="clear" w:color="000000" w:fill="FFFFFF"/>
            <w:noWrap/>
            <w:vAlign w:val="center"/>
            <w:hideMark/>
          </w:tcPr>
          <w:p w14:paraId="073E02FF" w14:textId="2D5A2055" w:rsidR="00A85FFA" w:rsidRPr="001471C5" w:rsidRDefault="00A85FFA" w:rsidP="00A85FFA">
            <w:pPr>
              <w:spacing w:after="0" w:line="240" w:lineRule="auto"/>
              <w:ind w:firstLineChars="100" w:firstLine="200"/>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REUEt</w:t>
            </w:r>
            <w:r w:rsidR="003312AF">
              <w:rPr>
                <w:rFonts w:asciiTheme="minorHAnsi" w:eastAsia="Times New Roman" w:hAnsiTheme="minorHAnsi" w:cstheme="minorHAnsi"/>
                <w:sz w:val="20"/>
                <w:szCs w:val="20"/>
              </w:rPr>
              <w:t xml:space="preserve"> GWh</w:t>
            </w:r>
          </w:p>
        </w:tc>
        <w:tc>
          <w:tcPr>
            <w:tcW w:w="13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05AE86" w14:textId="59527018"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6,395</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02054C3C" w14:textId="4AA31BE4"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6,238</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204A4F86" w14:textId="48B1BE59"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6,</w:t>
            </w:r>
            <w:r w:rsidR="00FE3C9D">
              <w:rPr>
                <w:rFonts w:asciiTheme="minorHAnsi" w:eastAsia="Times New Roman" w:hAnsiTheme="minorHAnsi" w:cstheme="minorHAnsi"/>
                <w:color w:val="000000"/>
                <w:sz w:val="20"/>
                <w:szCs w:val="20"/>
              </w:rPr>
              <w:t>645</w:t>
            </w:r>
          </w:p>
        </w:tc>
      </w:tr>
      <w:tr w:rsidR="00A85FFA" w:rsidRPr="001471C5" w14:paraId="6CD2A8E3" w14:textId="77777777" w:rsidTr="00825E63">
        <w:trPr>
          <w:trHeight w:val="300"/>
        </w:trPr>
        <w:tc>
          <w:tcPr>
            <w:tcW w:w="5278" w:type="dxa"/>
            <w:tcBorders>
              <w:top w:val="nil"/>
              <w:left w:val="nil"/>
              <w:bottom w:val="nil"/>
              <w:right w:val="nil"/>
            </w:tcBorders>
            <w:shd w:val="clear" w:color="000000" w:fill="FFFFFF"/>
            <w:noWrap/>
            <w:vAlign w:val="center"/>
            <w:hideMark/>
          </w:tcPr>
          <w:p w14:paraId="7CB2668E" w14:textId="66F71BB0" w:rsidR="00A85FFA" w:rsidRPr="001471C5" w:rsidRDefault="00A85FFA" w:rsidP="00A85FFA">
            <w:pPr>
              <w:spacing w:after="0" w:line="240" w:lineRule="auto"/>
              <w:ind w:firstLineChars="100" w:firstLine="200"/>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WHEAt</w:t>
            </w:r>
            <w:r w:rsidR="003312AF">
              <w:rPr>
                <w:rFonts w:asciiTheme="minorHAnsi" w:eastAsia="Times New Roman" w:hAnsiTheme="minorHAnsi" w:cstheme="minorHAnsi"/>
                <w:sz w:val="20"/>
                <w:szCs w:val="20"/>
              </w:rPr>
              <w:t xml:space="preserve"> €/Mwh</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154C58" w14:textId="65E02E9A"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47.46</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431EC86D" w14:textId="6468B4B7"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b/>
                <w:bCs/>
                <w:color w:val="000000"/>
                <w:sz w:val="20"/>
                <w:szCs w:val="20"/>
              </w:rPr>
              <w:t>46.46</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0EFBCC20" w14:textId="1FE9CA77"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46.</w:t>
            </w:r>
            <w:r w:rsidR="00FE3C9D">
              <w:rPr>
                <w:rFonts w:asciiTheme="minorHAnsi" w:eastAsia="Times New Roman" w:hAnsiTheme="minorHAnsi" w:cstheme="minorHAnsi"/>
                <w:b/>
                <w:bCs/>
                <w:color w:val="000000"/>
                <w:sz w:val="20"/>
                <w:szCs w:val="20"/>
              </w:rPr>
              <w:t>1</w:t>
            </w:r>
            <w:r w:rsidRPr="001471C5">
              <w:rPr>
                <w:rFonts w:asciiTheme="minorHAnsi" w:eastAsia="Times New Roman" w:hAnsiTheme="minorHAnsi" w:cstheme="minorHAnsi"/>
                <w:b/>
                <w:bCs/>
                <w:color w:val="000000"/>
                <w:sz w:val="20"/>
                <w:szCs w:val="20"/>
              </w:rPr>
              <w:t>6</w:t>
            </w:r>
          </w:p>
        </w:tc>
      </w:tr>
      <w:tr w:rsidR="00A85FFA" w:rsidRPr="001471C5" w14:paraId="5C015B57" w14:textId="77777777" w:rsidTr="00825E63">
        <w:trPr>
          <w:trHeight w:val="300"/>
        </w:trPr>
        <w:tc>
          <w:tcPr>
            <w:tcW w:w="5278" w:type="dxa"/>
            <w:tcBorders>
              <w:top w:val="nil"/>
              <w:left w:val="nil"/>
              <w:bottom w:val="nil"/>
              <w:right w:val="nil"/>
            </w:tcBorders>
            <w:shd w:val="clear" w:color="000000" w:fill="FFFFFF"/>
            <w:noWrap/>
            <w:vAlign w:val="center"/>
            <w:hideMark/>
          </w:tcPr>
          <w:p w14:paraId="68A5EE52" w14:textId="15713CE4" w:rsidR="00A85FFA" w:rsidRPr="001471C5" w:rsidRDefault="00BA4B2C" w:rsidP="00A85FFA">
            <w:pPr>
              <w:spacing w:after="0" w:line="240" w:lineRule="auto"/>
              <w:ind w:firstLineChars="100" w:firstLine="200"/>
              <w:rPr>
                <w:rFonts w:asciiTheme="minorHAnsi" w:eastAsia="Times New Roman" w:hAnsiTheme="minorHAnsi" w:cstheme="minorHAnsi"/>
                <w:sz w:val="20"/>
                <w:szCs w:val="20"/>
              </w:rPr>
            </w:pPr>
            <w:r w:rsidRPr="00BA4B2C">
              <w:rPr>
                <w:rFonts w:cstheme="minorHAnsi"/>
                <w:sz w:val="20"/>
                <w:szCs w:val="20"/>
              </w:rPr>
              <w:t>Predviđeni troškovi gubitaka</w:t>
            </w:r>
            <w:r w:rsidRPr="00BA4B2C">
              <w:rPr>
                <w:rFonts w:cstheme="minorHAnsi"/>
              </w:rPr>
              <w:t xml:space="preserve"> </w:t>
            </w:r>
            <w:r w:rsidR="003312AF" w:rsidRPr="004633ED">
              <w:rPr>
                <w:rFonts w:cstheme="minorHAnsi"/>
              </w:rPr>
              <w:t>€m</w:t>
            </w:r>
          </w:p>
        </w:tc>
        <w:tc>
          <w:tcPr>
            <w:tcW w:w="13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B4A252" w14:textId="670905FA"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5.40</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6CC3F828" w14:textId="60374459"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5.16</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3514049A" w14:textId="43460630"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5.1</w:t>
            </w:r>
            <w:r w:rsidR="00FE3C9D">
              <w:rPr>
                <w:rFonts w:asciiTheme="minorHAnsi" w:eastAsia="Times New Roman" w:hAnsiTheme="minorHAnsi" w:cstheme="minorHAnsi"/>
                <w:b/>
                <w:bCs/>
                <w:color w:val="000000"/>
                <w:sz w:val="20"/>
                <w:szCs w:val="20"/>
              </w:rPr>
              <w:t>9</w:t>
            </w:r>
          </w:p>
        </w:tc>
      </w:tr>
      <w:tr w:rsidR="00A85FFA" w:rsidRPr="001471C5" w14:paraId="3BBC5DE0" w14:textId="77777777" w:rsidTr="00825E63">
        <w:trPr>
          <w:trHeight w:val="300"/>
        </w:trPr>
        <w:tc>
          <w:tcPr>
            <w:tcW w:w="5278" w:type="dxa"/>
            <w:tcBorders>
              <w:top w:val="nil"/>
              <w:left w:val="nil"/>
              <w:bottom w:val="nil"/>
              <w:right w:val="nil"/>
            </w:tcBorders>
            <w:shd w:val="clear" w:color="000000" w:fill="FFFFFF"/>
            <w:noWrap/>
            <w:vAlign w:val="center"/>
            <w:hideMark/>
          </w:tcPr>
          <w:p w14:paraId="3B19F8D0" w14:textId="26EA59AE" w:rsidR="00A85FFA" w:rsidRPr="001471C5" w:rsidRDefault="00BA4B2C" w:rsidP="00A85FFA">
            <w:pPr>
              <w:spacing w:after="0" w:line="240" w:lineRule="auto"/>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Tekuće</w:t>
            </w:r>
          </w:p>
        </w:tc>
        <w:tc>
          <w:tcPr>
            <w:tcW w:w="1364" w:type="dxa"/>
            <w:tcBorders>
              <w:top w:val="nil"/>
              <w:left w:val="nil"/>
              <w:bottom w:val="nil"/>
              <w:right w:val="nil"/>
            </w:tcBorders>
            <w:shd w:val="clear" w:color="000000" w:fill="FFFFFF"/>
            <w:noWrap/>
            <w:vAlign w:val="center"/>
            <w:hideMark/>
          </w:tcPr>
          <w:p w14:paraId="6E6B2617"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1350" w:type="dxa"/>
            <w:tcBorders>
              <w:top w:val="nil"/>
              <w:left w:val="nil"/>
              <w:bottom w:val="nil"/>
              <w:right w:val="nil"/>
            </w:tcBorders>
            <w:shd w:val="clear" w:color="000000" w:fill="FFFFFF"/>
            <w:noWrap/>
            <w:vAlign w:val="center"/>
            <w:hideMark/>
          </w:tcPr>
          <w:p w14:paraId="1FA13B17"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990" w:type="dxa"/>
            <w:tcBorders>
              <w:top w:val="nil"/>
              <w:left w:val="nil"/>
              <w:bottom w:val="nil"/>
              <w:right w:val="nil"/>
            </w:tcBorders>
            <w:shd w:val="clear" w:color="000000" w:fill="FFFFFF"/>
            <w:noWrap/>
            <w:vAlign w:val="center"/>
            <w:hideMark/>
          </w:tcPr>
          <w:p w14:paraId="0764A937"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r>
      <w:tr w:rsidR="00A85FFA" w:rsidRPr="001471C5" w14:paraId="7247CB0E" w14:textId="77777777" w:rsidTr="00825E63">
        <w:trPr>
          <w:trHeight w:val="300"/>
        </w:trPr>
        <w:tc>
          <w:tcPr>
            <w:tcW w:w="5278" w:type="dxa"/>
            <w:tcBorders>
              <w:top w:val="nil"/>
              <w:left w:val="nil"/>
              <w:bottom w:val="nil"/>
              <w:right w:val="nil"/>
            </w:tcBorders>
            <w:shd w:val="clear" w:color="000000" w:fill="FFFFFF"/>
            <w:noWrap/>
            <w:vAlign w:val="center"/>
            <w:hideMark/>
          </w:tcPr>
          <w:p w14:paraId="446A2B5F" w14:textId="77777777" w:rsidR="00A85FFA" w:rsidRPr="001471C5" w:rsidRDefault="00A85FFA" w:rsidP="00A85FFA">
            <w:pPr>
              <w:spacing w:after="0" w:line="240" w:lineRule="auto"/>
              <w:ind w:firstLineChars="100" w:firstLine="200"/>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LSSAt</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0EC2EA" w14:textId="706842F1"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1.78%</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5857F6" w14:textId="3A674C9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1.78%</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3340C0"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1.78%</w:t>
            </w:r>
          </w:p>
        </w:tc>
      </w:tr>
      <w:tr w:rsidR="00A85FFA" w:rsidRPr="001471C5" w14:paraId="44473B6F" w14:textId="77777777" w:rsidTr="00934368">
        <w:trPr>
          <w:trHeight w:val="300"/>
        </w:trPr>
        <w:tc>
          <w:tcPr>
            <w:tcW w:w="5278" w:type="dxa"/>
            <w:tcBorders>
              <w:top w:val="nil"/>
              <w:left w:val="nil"/>
              <w:bottom w:val="nil"/>
              <w:right w:val="nil"/>
            </w:tcBorders>
            <w:shd w:val="clear" w:color="000000" w:fill="FFFFFF"/>
            <w:noWrap/>
            <w:vAlign w:val="center"/>
            <w:hideMark/>
          </w:tcPr>
          <w:p w14:paraId="4745D8F6" w14:textId="75ECC062" w:rsidR="00A85FFA" w:rsidRPr="001471C5" w:rsidRDefault="00A85FFA" w:rsidP="00A85FFA">
            <w:pPr>
              <w:spacing w:after="0" w:line="240" w:lineRule="auto"/>
              <w:ind w:firstLineChars="100" w:firstLine="200"/>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REUEt</w:t>
            </w:r>
            <w:r w:rsidR="003312AF">
              <w:rPr>
                <w:rFonts w:asciiTheme="minorHAnsi" w:eastAsia="Times New Roman" w:hAnsiTheme="minorHAnsi" w:cstheme="minorHAnsi"/>
                <w:sz w:val="20"/>
                <w:szCs w:val="20"/>
              </w:rPr>
              <w:t xml:space="preserve"> GWh</w:t>
            </w:r>
          </w:p>
        </w:tc>
        <w:tc>
          <w:tcPr>
            <w:tcW w:w="13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A13F64" w14:textId="27F21C1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6,070</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0E09B9FF" w14:textId="1D986394" w:rsidR="00A85FFA" w:rsidRPr="001471C5" w:rsidRDefault="001D246A" w:rsidP="00A85FFA">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6,205</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263116DF" w14:textId="676AC8A9"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0F99E4DF" w14:textId="77777777" w:rsidTr="00934368">
        <w:trPr>
          <w:trHeight w:val="300"/>
        </w:trPr>
        <w:tc>
          <w:tcPr>
            <w:tcW w:w="5278" w:type="dxa"/>
            <w:tcBorders>
              <w:top w:val="nil"/>
              <w:left w:val="nil"/>
              <w:bottom w:val="nil"/>
              <w:right w:val="single" w:sz="4" w:space="0" w:color="auto"/>
            </w:tcBorders>
            <w:shd w:val="clear" w:color="000000" w:fill="FFFFFF"/>
            <w:noWrap/>
            <w:vAlign w:val="center"/>
            <w:hideMark/>
          </w:tcPr>
          <w:p w14:paraId="7BBFE3AB" w14:textId="63C88C61" w:rsidR="00A85FFA" w:rsidRPr="001471C5" w:rsidRDefault="00A85FFA" w:rsidP="00A85FFA">
            <w:pPr>
              <w:spacing w:after="0" w:line="240" w:lineRule="auto"/>
              <w:ind w:firstLineChars="100" w:firstLine="200"/>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WHEAt</w:t>
            </w:r>
            <w:r w:rsidR="003312AF">
              <w:rPr>
                <w:rFonts w:asciiTheme="minorHAnsi" w:eastAsia="Times New Roman" w:hAnsiTheme="minorHAnsi" w:cstheme="minorHAnsi"/>
                <w:sz w:val="20"/>
                <w:szCs w:val="20"/>
              </w:rPr>
              <w:t xml:space="preserve">  €/Mwh</w:t>
            </w:r>
          </w:p>
        </w:tc>
        <w:tc>
          <w:tcPr>
            <w:tcW w:w="1364"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0B8E08DE" w14:textId="5A4590C2"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42.37</w:t>
            </w:r>
          </w:p>
        </w:tc>
        <w:tc>
          <w:tcPr>
            <w:tcW w:w="13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F6D5EF" w14:textId="563EF716" w:rsidR="00A85FFA" w:rsidRPr="001471C5" w:rsidRDefault="001D246A"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41.54</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327A0EE3" w14:textId="06A0E19A"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7706927C" w14:textId="77777777" w:rsidTr="00934368">
        <w:trPr>
          <w:trHeight w:val="300"/>
        </w:trPr>
        <w:tc>
          <w:tcPr>
            <w:tcW w:w="5278" w:type="dxa"/>
            <w:tcBorders>
              <w:top w:val="nil"/>
              <w:left w:val="nil"/>
              <w:bottom w:val="nil"/>
              <w:right w:val="nil"/>
            </w:tcBorders>
            <w:shd w:val="clear" w:color="000000" w:fill="FFFFFF"/>
            <w:noWrap/>
            <w:vAlign w:val="center"/>
            <w:hideMark/>
          </w:tcPr>
          <w:p w14:paraId="1DEE00A7" w14:textId="2222F943" w:rsidR="00A85FFA" w:rsidRPr="001471C5" w:rsidRDefault="00BA4B2C" w:rsidP="00A85FFA">
            <w:pPr>
              <w:spacing w:after="0" w:line="240" w:lineRule="auto"/>
              <w:ind w:firstLineChars="100" w:firstLine="201"/>
              <w:rPr>
                <w:rFonts w:asciiTheme="minorHAnsi" w:eastAsia="Times New Roman" w:hAnsiTheme="minorHAnsi" w:cstheme="minorHAnsi"/>
                <w:sz w:val="20"/>
                <w:szCs w:val="20"/>
              </w:rPr>
            </w:pPr>
            <w:r w:rsidRPr="00BA4B2C">
              <w:rPr>
                <w:rFonts w:asciiTheme="minorHAnsi" w:eastAsia="Times New Roman" w:hAnsiTheme="minorHAnsi" w:cstheme="minorHAnsi"/>
                <w:b/>
                <w:sz w:val="20"/>
                <w:szCs w:val="20"/>
              </w:rPr>
              <w:t>Tekući troškovi gubitaka</w:t>
            </w:r>
            <w:r w:rsidRPr="00BA4B2C">
              <w:rPr>
                <w:rStyle w:val="FootnoteReference"/>
                <w:rFonts w:asciiTheme="minorHAnsi" w:eastAsia="Times New Roman" w:hAnsiTheme="minorHAnsi" w:cstheme="minorHAnsi"/>
                <w:sz w:val="20"/>
                <w:szCs w:val="20"/>
                <w:vertAlign w:val="baseline"/>
              </w:rPr>
              <w:t xml:space="preserve"> </w:t>
            </w:r>
            <w:r w:rsidR="00A85FFA" w:rsidRPr="001471C5">
              <w:rPr>
                <w:rStyle w:val="FootnoteReference"/>
                <w:rFonts w:asciiTheme="minorHAnsi" w:eastAsia="Times New Roman" w:hAnsiTheme="minorHAnsi" w:cstheme="minorHAnsi"/>
                <w:b/>
                <w:bCs/>
                <w:color w:val="000000"/>
                <w:sz w:val="20"/>
                <w:szCs w:val="20"/>
              </w:rPr>
              <w:footnoteReference w:id="4"/>
            </w:r>
            <w:r w:rsidR="003312AF">
              <w:rPr>
                <w:rFonts w:asciiTheme="minorHAnsi" w:eastAsia="Times New Roman" w:hAnsiTheme="minorHAnsi" w:cstheme="minorHAnsi"/>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9BBEA4" w14:textId="60970696"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4.35</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47ED675B" w14:textId="27EDB444" w:rsidR="00A85FFA" w:rsidRPr="001471C5" w:rsidRDefault="001D246A" w:rsidP="00A85FFA">
            <w:pPr>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4.34</w:t>
            </w:r>
          </w:p>
        </w:tc>
        <w:tc>
          <w:tcPr>
            <w:tcW w:w="990" w:type="dxa"/>
            <w:tcBorders>
              <w:top w:val="nil"/>
              <w:left w:val="nil"/>
              <w:bottom w:val="single" w:sz="4" w:space="0" w:color="auto"/>
              <w:right w:val="single" w:sz="4" w:space="0" w:color="auto"/>
            </w:tcBorders>
            <w:shd w:val="clear" w:color="auto" w:fill="FFFFFF" w:themeFill="background1"/>
            <w:vAlign w:val="center"/>
          </w:tcPr>
          <w:p w14:paraId="79A2D65C" w14:textId="64FB7B21"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p>
        </w:tc>
      </w:tr>
      <w:tr w:rsidR="00A85FFA" w:rsidRPr="001471C5" w14:paraId="2DF939C5" w14:textId="77777777" w:rsidTr="00825E63">
        <w:trPr>
          <w:trHeight w:val="300"/>
        </w:trPr>
        <w:tc>
          <w:tcPr>
            <w:tcW w:w="5278" w:type="dxa"/>
            <w:tcBorders>
              <w:top w:val="nil"/>
              <w:left w:val="nil"/>
              <w:bottom w:val="nil"/>
              <w:right w:val="nil"/>
            </w:tcBorders>
            <w:shd w:val="clear" w:color="000000" w:fill="DBE5F1"/>
            <w:noWrap/>
            <w:vAlign w:val="center"/>
            <w:hideMark/>
          </w:tcPr>
          <w:p w14:paraId="522EA40B" w14:textId="65F8B0AF" w:rsidR="00A85FFA" w:rsidRPr="001471C5" w:rsidRDefault="00BA4B2C" w:rsidP="00A85FFA">
            <w:pPr>
              <w:spacing w:after="0" w:line="240" w:lineRule="auto"/>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Fond</w:t>
            </w:r>
          </w:p>
        </w:tc>
        <w:tc>
          <w:tcPr>
            <w:tcW w:w="1364" w:type="dxa"/>
            <w:tcBorders>
              <w:top w:val="nil"/>
              <w:left w:val="nil"/>
              <w:bottom w:val="nil"/>
              <w:right w:val="nil"/>
            </w:tcBorders>
            <w:shd w:val="clear" w:color="000000" w:fill="DBE5F1"/>
            <w:noWrap/>
            <w:vAlign w:val="center"/>
            <w:hideMark/>
          </w:tcPr>
          <w:p w14:paraId="625823B8"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nil"/>
              <w:left w:val="nil"/>
              <w:bottom w:val="nil"/>
              <w:right w:val="nil"/>
            </w:tcBorders>
            <w:shd w:val="clear" w:color="000000" w:fill="DBE5F1"/>
            <w:noWrap/>
            <w:vAlign w:val="center"/>
            <w:hideMark/>
          </w:tcPr>
          <w:p w14:paraId="6A5F2EFF"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nil"/>
              <w:left w:val="nil"/>
              <w:bottom w:val="nil"/>
              <w:right w:val="nil"/>
            </w:tcBorders>
            <w:shd w:val="clear" w:color="000000" w:fill="DBE5F1"/>
            <w:noWrap/>
            <w:vAlign w:val="center"/>
            <w:hideMark/>
          </w:tcPr>
          <w:p w14:paraId="609ACEB7"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14801B27" w14:textId="77777777" w:rsidTr="00825E63">
        <w:trPr>
          <w:trHeight w:val="300"/>
        </w:trPr>
        <w:tc>
          <w:tcPr>
            <w:tcW w:w="5278" w:type="dxa"/>
            <w:tcBorders>
              <w:top w:val="nil"/>
              <w:left w:val="nil"/>
              <w:bottom w:val="nil"/>
              <w:right w:val="nil"/>
            </w:tcBorders>
            <w:shd w:val="clear" w:color="000000" w:fill="FFFFFF"/>
            <w:noWrap/>
            <w:vAlign w:val="center"/>
            <w:hideMark/>
          </w:tcPr>
          <w:p w14:paraId="4D29F4A3" w14:textId="790D4003" w:rsidR="00A85FFA" w:rsidRPr="001471C5" w:rsidRDefault="00BA4B2C" w:rsidP="00A85FFA">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Predviđenje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AE249" w14:textId="0537EAC1"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13.74</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E7F8E4" w14:textId="4D359A78"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17.78</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440BA8" w14:textId="6DD10FEB"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1</w:t>
            </w:r>
            <w:r w:rsidR="00FE3C9D">
              <w:rPr>
                <w:rFonts w:asciiTheme="minorHAnsi" w:eastAsia="Times New Roman" w:hAnsiTheme="minorHAnsi" w:cstheme="minorHAnsi"/>
                <w:b/>
                <w:bCs/>
                <w:color w:val="000000"/>
                <w:sz w:val="20"/>
                <w:szCs w:val="20"/>
              </w:rPr>
              <w:t>6.67</w:t>
            </w:r>
          </w:p>
        </w:tc>
      </w:tr>
      <w:tr w:rsidR="00A85FFA" w:rsidRPr="001471C5" w14:paraId="50D63940" w14:textId="77777777" w:rsidTr="00825E63">
        <w:trPr>
          <w:trHeight w:val="300"/>
        </w:trPr>
        <w:tc>
          <w:tcPr>
            <w:tcW w:w="5278" w:type="dxa"/>
            <w:tcBorders>
              <w:top w:val="nil"/>
              <w:left w:val="nil"/>
              <w:bottom w:val="nil"/>
              <w:right w:val="nil"/>
            </w:tcBorders>
            <w:shd w:val="clear" w:color="000000" w:fill="FFFFFF"/>
            <w:noWrap/>
            <w:vAlign w:val="center"/>
            <w:hideMark/>
          </w:tcPr>
          <w:p w14:paraId="119E6908" w14:textId="61FD063E" w:rsidR="00A85FFA" w:rsidRPr="001471C5" w:rsidRDefault="00BA4B2C" w:rsidP="00A85FFA">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Tekuće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3024C9" w14:textId="085C9DB1"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(2.86)</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22FFF46F" w14:textId="10DD2F48" w:rsidR="00A85FFA" w:rsidRPr="001471C5" w:rsidRDefault="001D246A"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(6.71)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50510FC1"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50F2EA85" w14:textId="77777777" w:rsidTr="00825E63">
        <w:trPr>
          <w:trHeight w:val="300"/>
        </w:trPr>
        <w:tc>
          <w:tcPr>
            <w:tcW w:w="5278" w:type="dxa"/>
            <w:tcBorders>
              <w:top w:val="nil"/>
              <w:left w:val="nil"/>
              <w:bottom w:val="nil"/>
              <w:right w:val="single" w:sz="4" w:space="0" w:color="auto"/>
            </w:tcBorders>
            <w:shd w:val="clear" w:color="auto" w:fill="FFFFFF" w:themeFill="background1"/>
            <w:noWrap/>
            <w:vAlign w:val="center"/>
            <w:hideMark/>
          </w:tcPr>
          <w:p w14:paraId="455F39CC" w14:textId="36438977" w:rsidR="00A85FFA" w:rsidRPr="001471C5" w:rsidRDefault="00BA4B2C" w:rsidP="00A85FFA">
            <w:pPr>
              <w:spacing w:after="0" w:line="240" w:lineRule="auto"/>
              <w:rPr>
                <w:rFonts w:asciiTheme="minorHAnsi" w:eastAsia="Times New Roman" w:hAnsiTheme="minorHAnsi" w:cstheme="minorHAnsi"/>
                <w:color w:val="000000"/>
                <w:sz w:val="20"/>
                <w:szCs w:val="20"/>
              </w:rPr>
            </w:pPr>
            <w:r w:rsidRPr="00BA4B2C">
              <w:rPr>
                <w:rFonts w:cstheme="minorHAnsi"/>
                <w:sz w:val="20"/>
                <w:szCs w:val="20"/>
              </w:rPr>
              <w:t>Prilagođavanja inflacije OIE</w:t>
            </w:r>
            <w:r w:rsidRPr="00BA4B2C">
              <w:rPr>
                <w:rFonts w:cstheme="minorHAnsi"/>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71391003" w14:textId="6355A27F"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0.41</w:t>
            </w:r>
          </w:p>
        </w:tc>
        <w:tc>
          <w:tcPr>
            <w:tcW w:w="13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28392E" w14:textId="5BE5BBF8" w:rsidR="00A85FFA" w:rsidRPr="001471C5" w:rsidRDefault="00A85FFA" w:rsidP="00A85FFA">
            <w:pPr>
              <w:spacing w:after="0" w:line="240" w:lineRule="auto"/>
              <w:jc w:val="center"/>
              <w:rPr>
                <w:rFonts w:asciiTheme="minorHAnsi" w:eastAsia="Times New Roman" w:hAnsiTheme="minorHAnsi" w:cstheme="minorHAnsi"/>
                <w:sz w:val="20"/>
                <w:szCs w:val="20"/>
              </w:rPr>
            </w:pP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3265760"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363DA6F1" w14:textId="77777777" w:rsidTr="00825E63">
        <w:trPr>
          <w:trHeight w:val="300"/>
        </w:trPr>
        <w:tc>
          <w:tcPr>
            <w:tcW w:w="5278" w:type="dxa"/>
            <w:tcBorders>
              <w:top w:val="nil"/>
              <w:left w:val="nil"/>
              <w:bottom w:val="nil"/>
              <w:right w:val="nil"/>
            </w:tcBorders>
            <w:shd w:val="clear" w:color="000000" w:fill="DBE5F1"/>
            <w:noWrap/>
            <w:vAlign w:val="center"/>
            <w:hideMark/>
          </w:tcPr>
          <w:p w14:paraId="121BD8B2" w14:textId="2A5D3A2A" w:rsidR="00A85FFA" w:rsidRPr="001471C5" w:rsidRDefault="002F7E75" w:rsidP="00A85FFA">
            <w:pPr>
              <w:spacing w:after="0" w:line="240" w:lineRule="auto"/>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Pomoćne usluge</w:t>
            </w:r>
          </w:p>
        </w:tc>
        <w:tc>
          <w:tcPr>
            <w:tcW w:w="1364" w:type="dxa"/>
            <w:tcBorders>
              <w:top w:val="single" w:sz="4" w:space="0" w:color="auto"/>
              <w:left w:val="nil"/>
              <w:bottom w:val="nil"/>
              <w:right w:val="nil"/>
            </w:tcBorders>
            <w:shd w:val="clear" w:color="000000" w:fill="DBE5F1"/>
            <w:noWrap/>
            <w:vAlign w:val="center"/>
            <w:hideMark/>
          </w:tcPr>
          <w:p w14:paraId="5154D91D"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nil"/>
              <w:left w:val="nil"/>
              <w:bottom w:val="nil"/>
              <w:right w:val="nil"/>
            </w:tcBorders>
            <w:shd w:val="clear" w:color="000000" w:fill="DBE5F1"/>
            <w:noWrap/>
            <w:vAlign w:val="center"/>
            <w:hideMark/>
          </w:tcPr>
          <w:p w14:paraId="3F1A0D12"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single" w:sz="4" w:space="0" w:color="auto"/>
              <w:left w:val="nil"/>
              <w:bottom w:val="nil"/>
              <w:right w:val="nil"/>
            </w:tcBorders>
            <w:shd w:val="clear" w:color="000000" w:fill="DBE5F1"/>
            <w:noWrap/>
            <w:vAlign w:val="center"/>
            <w:hideMark/>
          </w:tcPr>
          <w:p w14:paraId="657435B7"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56472854" w14:textId="77777777" w:rsidTr="00825E63">
        <w:trPr>
          <w:trHeight w:val="300"/>
        </w:trPr>
        <w:tc>
          <w:tcPr>
            <w:tcW w:w="5278" w:type="dxa"/>
            <w:tcBorders>
              <w:top w:val="nil"/>
              <w:left w:val="nil"/>
              <w:bottom w:val="nil"/>
              <w:right w:val="nil"/>
            </w:tcBorders>
            <w:shd w:val="clear" w:color="000000" w:fill="FFFFFF"/>
            <w:noWrap/>
            <w:vAlign w:val="center"/>
            <w:hideMark/>
          </w:tcPr>
          <w:p w14:paraId="763A2FE2" w14:textId="659417D3" w:rsidR="00A85FFA" w:rsidRPr="001471C5" w:rsidRDefault="002F7E75" w:rsidP="00A85FFA">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Predviđenje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BE41E" w14:textId="1768EF7D"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2.66</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7B25D8" w14:textId="2FB85272" w:rsidR="00A85FFA" w:rsidRPr="001471C5" w:rsidRDefault="00A85FFA" w:rsidP="00A85FFA">
            <w:pPr>
              <w:spacing w:after="0" w:line="240" w:lineRule="auto"/>
              <w:jc w:val="center"/>
              <w:rPr>
                <w:rFonts w:asciiTheme="minorHAnsi" w:eastAsia="Times New Roman" w:hAnsiTheme="minorHAnsi" w:cstheme="minorHAnsi"/>
                <w:b/>
                <w:bCs/>
                <w:color w:val="000000"/>
                <w:sz w:val="20"/>
                <w:szCs w:val="20"/>
              </w:rPr>
            </w:pPr>
            <w:r w:rsidRPr="001471C5">
              <w:rPr>
                <w:rFonts w:asciiTheme="minorHAnsi" w:eastAsia="Times New Roman" w:hAnsiTheme="minorHAnsi" w:cstheme="minorHAnsi"/>
                <w:b/>
                <w:bCs/>
                <w:color w:val="000000"/>
                <w:sz w:val="20"/>
                <w:szCs w:val="20"/>
              </w:rPr>
              <w:t>2.73</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67AC3B" w14:textId="4D3FB68E" w:rsidR="00A85FFA" w:rsidRPr="001471C5" w:rsidRDefault="00FE3C9D" w:rsidP="00A85FFA">
            <w:pPr>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9.53</w:t>
            </w:r>
          </w:p>
        </w:tc>
      </w:tr>
      <w:tr w:rsidR="00A85FFA" w:rsidRPr="001471C5" w14:paraId="67297F47" w14:textId="77777777" w:rsidTr="00825E63">
        <w:trPr>
          <w:trHeight w:val="300"/>
        </w:trPr>
        <w:tc>
          <w:tcPr>
            <w:tcW w:w="5278" w:type="dxa"/>
            <w:tcBorders>
              <w:top w:val="nil"/>
              <w:left w:val="nil"/>
              <w:bottom w:val="nil"/>
              <w:right w:val="nil"/>
            </w:tcBorders>
            <w:shd w:val="clear" w:color="000000" w:fill="FFFFFF"/>
            <w:noWrap/>
            <w:vAlign w:val="center"/>
            <w:hideMark/>
          </w:tcPr>
          <w:p w14:paraId="02E2F0A4" w14:textId="61537FF5" w:rsidR="00A85FFA" w:rsidRPr="001471C5" w:rsidRDefault="002F7E75" w:rsidP="002F7E75">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Tekuće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367A0D" w14:textId="458F50E7" w:rsidR="00A85FFA" w:rsidRPr="001471C5" w:rsidRDefault="00934368"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5FF52096" w14:textId="455EBA60" w:rsidR="00A85FFA" w:rsidRPr="001471C5" w:rsidRDefault="0089635A"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0.23</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59EFFF7F"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3A03CB90" w14:textId="77777777" w:rsidTr="00825E63">
        <w:trPr>
          <w:trHeight w:val="300"/>
        </w:trPr>
        <w:tc>
          <w:tcPr>
            <w:tcW w:w="5278" w:type="dxa"/>
            <w:tcBorders>
              <w:top w:val="nil"/>
              <w:left w:val="nil"/>
              <w:bottom w:val="nil"/>
              <w:right w:val="nil"/>
            </w:tcBorders>
            <w:shd w:val="clear" w:color="000000" w:fill="DBE5F1"/>
            <w:noWrap/>
            <w:vAlign w:val="center"/>
            <w:hideMark/>
          </w:tcPr>
          <w:p w14:paraId="3E04C652" w14:textId="19BCEFEF" w:rsidR="00A85FFA" w:rsidRPr="001471C5" w:rsidRDefault="002F7E75" w:rsidP="00A85FFA">
            <w:pPr>
              <w:spacing w:after="0" w:line="240" w:lineRule="auto"/>
              <w:rPr>
                <w:rFonts w:asciiTheme="minorHAnsi" w:eastAsia="Times New Roman" w:hAnsiTheme="minorHAnsi" w:cstheme="minorHAnsi"/>
                <w:b/>
                <w:bCs/>
                <w:sz w:val="20"/>
                <w:szCs w:val="20"/>
              </w:rPr>
            </w:pPr>
            <w:r w:rsidRPr="002F7E75">
              <w:rPr>
                <w:rFonts w:asciiTheme="minorHAnsi" w:eastAsia="Times New Roman" w:hAnsiTheme="minorHAnsi" w:cstheme="minorHAnsi"/>
                <w:b/>
                <w:bCs/>
                <w:sz w:val="20"/>
                <w:szCs w:val="20"/>
              </w:rPr>
              <w:t>Usklađivanja</w:t>
            </w:r>
          </w:p>
        </w:tc>
        <w:tc>
          <w:tcPr>
            <w:tcW w:w="1364" w:type="dxa"/>
            <w:tcBorders>
              <w:top w:val="nil"/>
              <w:left w:val="nil"/>
              <w:bottom w:val="nil"/>
              <w:right w:val="nil"/>
            </w:tcBorders>
            <w:shd w:val="clear" w:color="000000" w:fill="DBE5F1"/>
            <w:noWrap/>
            <w:vAlign w:val="center"/>
            <w:hideMark/>
          </w:tcPr>
          <w:p w14:paraId="58391779"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nil"/>
              <w:left w:val="nil"/>
              <w:bottom w:val="nil"/>
              <w:right w:val="nil"/>
            </w:tcBorders>
            <w:shd w:val="clear" w:color="000000" w:fill="DBE5F1"/>
            <w:noWrap/>
            <w:vAlign w:val="center"/>
            <w:hideMark/>
          </w:tcPr>
          <w:p w14:paraId="21465513"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nil"/>
              <w:left w:val="nil"/>
              <w:bottom w:val="nil"/>
              <w:right w:val="nil"/>
            </w:tcBorders>
            <w:shd w:val="clear" w:color="000000" w:fill="DBE5F1"/>
            <w:noWrap/>
            <w:vAlign w:val="center"/>
            <w:hideMark/>
          </w:tcPr>
          <w:p w14:paraId="223A84C2"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1D15B6E9" w14:textId="77777777" w:rsidTr="00825E63">
        <w:trPr>
          <w:trHeight w:val="300"/>
        </w:trPr>
        <w:tc>
          <w:tcPr>
            <w:tcW w:w="5278" w:type="dxa"/>
            <w:tcBorders>
              <w:top w:val="nil"/>
              <w:left w:val="nil"/>
              <w:bottom w:val="nil"/>
              <w:right w:val="nil"/>
            </w:tcBorders>
            <w:shd w:val="clear" w:color="000000" w:fill="FFFFFF"/>
            <w:noWrap/>
            <w:vAlign w:val="center"/>
            <w:hideMark/>
          </w:tcPr>
          <w:p w14:paraId="3EA518EC" w14:textId="149AADD8" w:rsidR="00A85FFA" w:rsidRPr="001471C5" w:rsidRDefault="0099332D" w:rsidP="00A85FFA">
            <w:pPr>
              <w:spacing w:after="0" w:line="240" w:lineRule="auto"/>
              <w:rPr>
                <w:rFonts w:asciiTheme="minorHAnsi" w:eastAsia="Times New Roman" w:hAnsiTheme="minorHAnsi" w:cstheme="minorHAnsi"/>
                <w:color w:val="000000"/>
                <w:sz w:val="20"/>
                <w:szCs w:val="20"/>
              </w:rPr>
            </w:pPr>
            <w:r w:rsidRPr="0099332D">
              <w:rPr>
                <w:rFonts w:asciiTheme="minorHAnsi" w:eastAsia="Times New Roman" w:hAnsiTheme="minorHAnsi" w:cstheme="minorHAnsi"/>
                <w:color w:val="000000"/>
                <w:sz w:val="20"/>
                <w:szCs w:val="20"/>
              </w:rPr>
              <w:lastRenderedPageBreak/>
              <w:t>Neregulisani prihodi</w:t>
            </w:r>
          </w:p>
        </w:tc>
        <w:tc>
          <w:tcPr>
            <w:tcW w:w="1364" w:type="dxa"/>
            <w:tcBorders>
              <w:top w:val="nil"/>
              <w:left w:val="nil"/>
              <w:bottom w:val="nil"/>
              <w:right w:val="nil"/>
            </w:tcBorders>
            <w:shd w:val="clear" w:color="000000" w:fill="FFFFFF"/>
            <w:noWrap/>
            <w:vAlign w:val="center"/>
            <w:hideMark/>
          </w:tcPr>
          <w:p w14:paraId="5EB9E5C2"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1350" w:type="dxa"/>
            <w:tcBorders>
              <w:top w:val="nil"/>
              <w:left w:val="nil"/>
              <w:bottom w:val="nil"/>
              <w:right w:val="nil"/>
            </w:tcBorders>
            <w:shd w:val="clear" w:color="000000" w:fill="FFFFFF"/>
            <w:noWrap/>
            <w:vAlign w:val="center"/>
            <w:hideMark/>
          </w:tcPr>
          <w:p w14:paraId="1CB01D05"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990" w:type="dxa"/>
            <w:tcBorders>
              <w:top w:val="nil"/>
              <w:left w:val="nil"/>
              <w:bottom w:val="nil"/>
              <w:right w:val="nil"/>
            </w:tcBorders>
            <w:shd w:val="clear" w:color="000000" w:fill="FFFFFF"/>
            <w:noWrap/>
            <w:vAlign w:val="center"/>
            <w:hideMark/>
          </w:tcPr>
          <w:p w14:paraId="2B55FE9E"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r>
      <w:tr w:rsidR="00A85FFA" w:rsidRPr="001471C5" w14:paraId="02AFE05D" w14:textId="77777777" w:rsidTr="00825E63">
        <w:trPr>
          <w:trHeight w:val="300"/>
        </w:trPr>
        <w:tc>
          <w:tcPr>
            <w:tcW w:w="5278" w:type="dxa"/>
            <w:tcBorders>
              <w:top w:val="nil"/>
              <w:left w:val="nil"/>
              <w:bottom w:val="nil"/>
              <w:right w:val="nil"/>
            </w:tcBorders>
            <w:shd w:val="clear" w:color="000000" w:fill="FFFFFF"/>
            <w:noWrap/>
            <w:vAlign w:val="center"/>
            <w:hideMark/>
          </w:tcPr>
          <w:p w14:paraId="6516D55F" w14:textId="27ACEB6E" w:rsidR="00A85FFA" w:rsidRPr="001471C5" w:rsidRDefault="0099332D" w:rsidP="0099332D">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Predviđenje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04775A" w14:textId="66FE5A91"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(0.06)</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63895F" w14:textId="46E56A7C"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(0.06)</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9B489"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(0.06)</w:t>
            </w:r>
          </w:p>
        </w:tc>
      </w:tr>
      <w:tr w:rsidR="00A85FFA" w:rsidRPr="001471C5" w14:paraId="1048C08A" w14:textId="77777777" w:rsidTr="00825E63">
        <w:trPr>
          <w:trHeight w:val="300"/>
        </w:trPr>
        <w:tc>
          <w:tcPr>
            <w:tcW w:w="5278" w:type="dxa"/>
            <w:tcBorders>
              <w:top w:val="nil"/>
              <w:left w:val="nil"/>
              <w:bottom w:val="nil"/>
              <w:right w:val="nil"/>
            </w:tcBorders>
            <w:shd w:val="clear" w:color="000000" w:fill="FFFFFF"/>
            <w:noWrap/>
            <w:vAlign w:val="center"/>
            <w:hideMark/>
          </w:tcPr>
          <w:p w14:paraId="303EF52D" w14:textId="4ACEF218" w:rsidR="00A85FFA" w:rsidRPr="001471C5" w:rsidRDefault="0099332D"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Tekuće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508B53" w14:textId="6A32E08D"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(0.25)</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7EFDE709" w14:textId="2C3000AB" w:rsidR="00A85FFA" w:rsidRPr="001471C5" w:rsidRDefault="0089635A" w:rsidP="0089635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(0.43</w:t>
            </w:r>
            <w:r w:rsidR="001A758C">
              <w:rPr>
                <w:rFonts w:asciiTheme="minorHAnsi" w:eastAsia="Times New Roman" w:hAnsiTheme="minorHAnsi" w:cstheme="minorHAnsi"/>
                <w:sz w:val="20"/>
                <w:szCs w:val="20"/>
              </w:rPr>
              <w:t>)</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6D953615"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255D04AF" w14:textId="77777777" w:rsidTr="00825E63">
        <w:trPr>
          <w:trHeight w:val="300"/>
        </w:trPr>
        <w:tc>
          <w:tcPr>
            <w:tcW w:w="5278" w:type="dxa"/>
            <w:tcBorders>
              <w:top w:val="nil"/>
              <w:left w:val="nil"/>
              <w:bottom w:val="nil"/>
              <w:right w:val="nil"/>
            </w:tcBorders>
            <w:shd w:val="clear" w:color="000000" w:fill="FFFFFF"/>
            <w:noWrap/>
            <w:vAlign w:val="center"/>
            <w:hideMark/>
          </w:tcPr>
          <w:p w14:paraId="520F19D1" w14:textId="2513B5DB" w:rsidR="00A85FFA" w:rsidRPr="001471C5" w:rsidRDefault="0099332D" w:rsidP="00A85FFA">
            <w:pPr>
              <w:spacing w:after="0" w:line="240" w:lineRule="auto"/>
              <w:rPr>
                <w:rFonts w:asciiTheme="minorHAnsi" w:eastAsia="Times New Roman" w:hAnsiTheme="minorHAnsi" w:cstheme="minorHAnsi"/>
                <w:color w:val="000000"/>
                <w:sz w:val="20"/>
                <w:szCs w:val="20"/>
              </w:rPr>
            </w:pPr>
            <w:r w:rsidRPr="0099332D">
              <w:rPr>
                <w:rFonts w:asciiTheme="minorHAnsi" w:eastAsia="Times New Roman" w:hAnsiTheme="minorHAnsi" w:cstheme="minorHAnsi"/>
                <w:color w:val="000000"/>
                <w:sz w:val="20"/>
                <w:szCs w:val="20"/>
              </w:rPr>
              <w:t xml:space="preserve">Prihodi od mehanizma </w:t>
            </w:r>
            <w:r w:rsidR="00A85FFA" w:rsidRPr="001471C5">
              <w:rPr>
                <w:rFonts w:asciiTheme="minorHAnsi" w:eastAsia="Times New Roman" w:hAnsiTheme="minorHAnsi" w:cstheme="minorHAnsi"/>
                <w:color w:val="000000"/>
                <w:sz w:val="20"/>
                <w:szCs w:val="20"/>
              </w:rPr>
              <w:t xml:space="preserve">ITC </w:t>
            </w:r>
          </w:p>
        </w:tc>
        <w:tc>
          <w:tcPr>
            <w:tcW w:w="1364" w:type="dxa"/>
            <w:tcBorders>
              <w:top w:val="nil"/>
              <w:left w:val="nil"/>
              <w:bottom w:val="nil"/>
              <w:right w:val="nil"/>
            </w:tcBorders>
            <w:shd w:val="clear" w:color="000000" w:fill="FFFFFF"/>
            <w:noWrap/>
            <w:vAlign w:val="center"/>
            <w:hideMark/>
          </w:tcPr>
          <w:p w14:paraId="285E3CCC"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1350" w:type="dxa"/>
            <w:tcBorders>
              <w:top w:val="nil"/>
              <w:left w:val="nil"/>
              <w:bottom w:val="nil"/>
              <w:right w:val="nil"/>
            </w:tcBorders>
            <w:shd w:val="clear" w:color="000000" w:fill="FFFFFF"/>
            <w:noWrap/>
            <w:vAlign w:val="center"/>
            <w:hideMark/>
          </w:tcPr>
          <w:p w14:paraId="424F17BB"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990" w:type="dxa"/>
            <w:tcBorders>
              <w:top w:val="nil"/>
              <w:left w:val="nil"/>
              <w:bottom w:val="nil"/>
              <w:right w:val="nil"/>
            </w:tcBorders>
            <w:shd w:val="clear" w:color="000000" w:fill="FFFFFF"/>
            <w:noWrap/>
            <w:vAlign w:val="center"/>
            <w:hideMark/>
          </w:tcPr>
          <w:p w14:paraId="6F4E2E8F"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r>
      <w:tr w:rsidR="00A85FFA" w:rsidRPr="001471C5" w14:paraId="700CF7B4" w14:textId="77777777" w:rsidTr="00825E63">
        <w:trPr>
          <w:trHeight w:val="300"/>
        </w:trPr>
        <w:tc>
          <w:tcPr>
            <w:tcW w:w="5278" w:type="dxa"/>
            <w:tcBorders>
              <w:top w:val="nil"/>
              <w:left w:val="nil"/>
              <w:bottom w:val="nil"/>
              <w:right w:val="nil"/>
            </w:tcBorders>
            <w:shd w:val="clear" w:color="000000" w:fill="FFFFFF"/>
            <w:noWrap/>
            <w:vAlign w:val="center"/>
            <w:hideMark/>
          </w:tcPr>
          <w:p w14:paraId="7C89743A" w14:textId="72AA2BD4" w:rsidR="00A85FFA" w:rsidRPr="001471C5" w:rsidRDefault="0099332D"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Predviđenj</w:t>
            </w:r>
            <w:r>
              <w:rPr>
                <w:rFonts w:asciiTheme="minorHAnsi" w:eastAsia="Times New Roman" w:hAnsiTheme="minorHAnsi" w:cstheme="minorHAnsi"/>
                <w:color w:val="000000"/>
                <w:sz w:val="20"/>
                <w:szCs w:val="20"/>
              </w:rPr>
              <w:t>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3CE04A" w14:textId="141219F1"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(0.40)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753D3D" w14:textId="1579FBD5"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(0.40)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BB3C80" w14:textId="03BEE696" w:rsidR="00A85FFA" w:rsidRPr="001471C5" w:rsidRDefault="00A85FFA" w:rsidP="00FE3C9D">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w:t>
            </w:r>
            <w:r w:rsidR="00FE3C9D">
              <w:rPr>
                <w:rFonts w:asciiTheme="minorHAnsi" w:eastAsia="Times New Roman" w:hAnsiTheme="minorHAnsi" w:cstheme="minorHAnsi"/>
                <w:color w:val="000000"/>
                <w:sz w:val="20"/>
                <w:szCs w:val="20"/>
              </w:rPr>
              <w:t>3.60</w:t>
            </w:r>
            <w:r w:rsidRPr="001471C5">
              <w:rPr>
                <w:rFonts w:asciiTheme="minorHAnsi" w:eastAsia="Times New Roman" w:hAnsiTheme="minorHAnsi" w:cstheme="minorHAnsi"/>
                <w:color w:val="000000"/>
                <w:sz w:val="20"/>
                <w:szCs w:val="20"/>
              </w:rPr>
              <w:t>)</w:t>
            </w:r>
          </w:p>
        </w:tc>
      </w:tr>
      <w:tr w:rsidR="00A85FFA" w:rsidRPr="001471C5" w14:paraId="75C6F0F5" w14:textId="77777777" w:rsidTr="00825E63">
        <w:trPr>
          <w:trHeight w:val="300"/>
        </w:trPr>
        <w:tc>
          <w:tcPr>
            <w:tcW w:w="5278" w:type="dxa"/>
            <w:tcBorders>
              <w:top w:val="nil"/>
              <w:left w:val="nil"/>
              <w:bottom w:val="nil"/>
              <w:right w:val="nil"/>
            </w:tcBorders>
            <w:shd w:val="clear" w:color="000000" w:fill="FFFFFF"/>
            <w:noWrap/>
            <w:vAlign w:val="center"/>
            <w:hideMark/>
          </w:tcPr>
          <w:p w14:paraId="3C87A250" w14:textId="38314F44" w:rsidR="00A85FFA" w:rsidRPr="001471C5" w:rsidRDefault="0099332D"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Tekuće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6A9C86" w14:textId="4DA0B18D"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(0.86)</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270382C5" w14:textId="101F060F" w:rsidR="00A85FFA" w:rsidRPr="001471C5" w:rsidRDefault="001A758C"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(0.22)</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4CBC7AFC"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38947EC9" w14:textId="77777777" w:rsidTr="00825E63">
        <w:trPr>
          <w:trHeight w:val="300"/>
        </w:trPr>
        <w:tc>
          <w:tcPr>
            <w:tcW w:w="5278" w:type="dxa"/>
            <w:tcBorders>
              <w:top w:val="nil"/>
              <w:left w:val="nil"/>
              <w:bottom w:val="nil"/>
              <w:right w:val="nil"/>
            </w:tcBorders>
            <w:shd w:val="clear" w:color="000000" w:fill="FFFFFF"/>
            <w:noWrap/>
            <w:vAlign w:val="center"/>
            <w:hideMark/>
          </w:tcPr>
          <w:p w14:paraId="6C16D7EB" w14:textId="244210AB" w:rsidR="00A85FFA" w:rsidRPr="001471C5" w:rsidRDefault="00637DEE" w:rsidP="00A85FFA">
            <w:pPr>
              <w:spacing w:after="0" w:line="240" w:lineRule="auto"/>
              <w:rPr>
                <w:rFonts w:asciiTheme="minorHAnsi" w:eastAsia="Times New Roman" w:hAnsiTheme="minorHAnsi" w:cstheme="minorHAnsi"/>
                <w:color w:val="000000"/>
                <w:sz w:val="20"/>
                <w:szCs w:val="20"/>
              </w:rPr>
            </w:pPr>
            <w:r w:rsidRPr="00637DEE">
              <w:rPr>
                <w:rFonts w:asciiTheme="minorHAnsi" w:eastAsia="Times New Roman" w:hAnsiTheme="minorHAnsi" w:cstheme="minorHAnsi"/>
                <w:bCs/>
                <w:sz w:val="20"/>
                <w:szCs w:val="20"/>
              </w:rPr>
              <w:t>Usklađivanja</w:t>
            </w:r>
            <w:r w:rsidRPr="00637DEE">
              <w:rPr>
                <w:rFonts w:asciiTheme="minorHAnsi" w:eastAsia="Times New Roman" w:hAnsiTheme="minorHAnsi" w:cstheme="minorHAnsi"/>
                <w:bCs/>
                <w:sz w:val="20"/>
                <w:szCs w:val="20"/>
              </w:rPr>
              <w:t xml:space="preserve"> za</w:t>
            </w:r>
            <w:r>
              <w:rPr>
                <w:rFonts w:asciiTheme="minorHAnsi" w:eastAsia="Times New Roman" w:hAnsiTheme="minorHAnsi" w:cstheme="minorHAnsi"/>
                <w:color w:val="000000"/>
                <w:sz w:val="20"/>
                <w:szCs w:val="20"/>
              </w:rPr>
              <w:t xml:space="preserve">  (2017 i </w:t>
            </w:r>
            <w:r w:rsidR="00A85FFA" w:rsidRPr="001471C5">
              <w:rPr>
                <w:rFonts w:asciiTheme="minorHAnsi" w:eastAsia="Times New Roman" w:hAnsiTheme="minorHAnsi" w:cstheme="minorHAnsi"/>
                <w:color w:val="000000"/>
                <w:sz w:val="20"/>
                <w:szCs w:val="20"/>
              </w:rPr>
              <w:t>PR1)</w:t>
            </w:r>
          </w:p>
        </w:tc>
        <w:tc>
          <w:tcPr>
            <w:tcW w:w="13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664862" w14:textId="299ABBCB"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(1.26)</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45F3B4BD" w14:textId="30231B43"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(1.26)</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31698809"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(1.26)</w:t>
            </w:r>
          </w:p>
        </w:tc>
      </w:tr>
      <w:tr w:rsidR="00A85FFA" w:rsidRPr="001471C5" w14:paraId="02E7130A" w14:textId="77777777" w:rsidTr="00825E63">
        <w:trPr>
          <w:trHeight w:val="300"/>
        </w:trPr>
        <w:tc>
          <w:tcPr>
            <w:tcW w:w="5278" w:type="dxa"/>
            <w:tcBorders>
              <w:top w:val="nil"/>
              <w:left w:val="nil"/>
              <w:bottom w:val="nil"/>
              <w:right w:val="nil"/>
            </w:tcBorders>
            <w:shd w:val="clear" w:color="000000" w:fill="FFFFFF"/>
            <w:noWrap/>
            <w:vAlign w:val="center"/>
            <w:hideMark/>
          </w:tcPr>
          <w:p w14:paraId="33D0C3BB" w14:textId="27ACE35F" w:rsidR="00A85FFA" w:rsidRPr="001471C5" w:rsidRDefault="00637DEE" w:rsidP="00A85FFA">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Prihodi od </w:t>
            </w:r>
            <w:r w:rsidR="00A85FFA" w:rsidRPr="001471C5">
              <w:rPr>
                <w:rFonts w:asciiTheme="minorHAnsi" w:eastAsia="Times New Roman" w:hAnsiTheme="minorHAnsi" w:cstheme="minorHAnsi"/>
                <w:color w:val="000000"/>
                <w:sz w:val="20"/>
                <w:szCs w:val="20"/>
              </w:rPr>
              <w:t>KEK:</w:t>
            </w:r>
          </w:p>
        </w:tc>
        <w:tc>
          <w:tcPr>
            <w:tcW w:w="1364" w:type="dxa"/>
            <w:tcBorders>
              <w:top w:val="nil"/>
              <w:left w:val="nil"/>
              <w:bottom w:val="nil"/>
              <w:right w:val="nil"/>
            </w:tcBorders>
            <w:shd w:val="clear" w:color="auto" w:fill="FFFFFF" w:themeFill="background1"/>
            <w:noWrap/>
            <w:vAlign w:val="center"/>
            <w:hideMark/>
          </w:tcPr>
          <w:p w14:paraId="6AF1A72F"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1350" w:type="dxa"/>
            <w:tcBorders>
              <w:top w:val="nil"/>
              <w:left w:val="nil"/>
              <w:bottom w:val="nil"/>
              <w:right w:val="nil"/>
            </w:tcBorders>
            <w:shd w:val="clear" w:color="auto" w:fill="FFFFFF" w:themeFill="background1"/>
            <w:noWrap/>
            <w:vAlign w:val="center"/>
            <w:hideMark/>
          </w:tcPr>
          <w:p w14:paraId="53A7B680"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990" w:type="dxa"/>
            <w:tcBorders>
              <w:top w:val="nil"/>
              <w:left w:val="nil"/>
              <w:bottom w:val="nil"/>
              <w:right w:val="nil"/>
            </w:tcBorders>
            <w:shd w:val="clear" w:color="auto" w:fill="FFFFFF" w:themeFill="background1"/>
            <w:noWrap/>
            <w:vAlign w:val="center"/>
            <w:hideMark/>
          </w:tcPr>
          <w:p w14:paraId="6411333A"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r>
      <w:tr w:rsidR="00A85FFA" w:rsidRPr="001471C5" w14:paraId="7E81F7A1" w14:textId="77777777" w:rsidTr="00825E63">
        <w:trPr>
          <w:trHeight w:val="300"/>
        </w:trPr>
        <w:tc>
          <w:tcPr>
            <w:tcW w:w="5278" w:type="dxa"/>
            <w:tcBorders>
              <w:top w:val="nil"/>
              <w:left w:val="nil"/>
              <w:bottom w:val="nil"/>
              <w:right w:val="nil"/>
            </w:tcBorders>
            <w:shd w:val="clear" w:color="000000" w:fill="FFFFFF"/>
            <w:noWrap/>
            <w:vAlign w:val="center"/>
            <w:hideMark/>
          </w:tcPr>
          <w:p w14:paraId="75D20760" w14:textId="74A4972A" w:rsidR="00A85FFA" w:rsidRPr="001471C5" w:rsidRDefault="00637DEE"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Predviđenje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71D62E" w14:textId="4DD99BE0"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(3.33)</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326745" w14:textId="303DC59B"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(3.33)</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B0A39F"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(3.33)</w:t>
            </w:r>
          </w:p>
        </w:tc>
      </w:tr>
      <w:tr w:rsidR="00A85FFA" w:rsidRPr="001471C5" w14:paraId="2FA011D0" w14:textId="77777777" w:rsidTr="00825E63">
        <w:trPr>
          <w:trHeight w:val="300"/>
        </w:trPr>
        <w:tc>
          <w:tcPr>
            <w:tcW w:w="5278" w:type="dxa"/>
            <w:tcBorders>
              <w:top w:val="nil"/>
              <w:left w:val="nil"/>
              <w:bottom w:val="nil"/>
              <w:right w:val="nil"/>
            </w:tcBorders>
            <w:shd w:val="clear" w:color="000000" w:fill="FFFFFF"/>
            <w:noWrap/>
            <w:vAlign w:val="center"/>
            <w:hideMark/>
          </w:tcPr>
          <w:p w14:paraId="5B05D8C4" w14:textId="55337504" w:rsidR="00A85FFA" w:rsidRPr="001471C5" w:rsidRDefault="00637DEE" w:rsidP="00A85FFA">
            <w:pPr>
              <w:spacing w:after="0" w:line="240" w:lineRule="auto"/>
              <w:ind w:firstLineChars="100" w:firstLine="20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Tekuće</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59CC05" w14:textId="4CD28DFF"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(2.77)</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31F4961D" w14:textId="5A639898" w:rsidR="00A85FFA" w:rsidRPr="001471C5" w:rsidRDefault="001A758C"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(3.05)</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0F2F9627"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424A8B90"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2AD82285" w14:textId="38BA43B9" w:rsidR="00A85FFA" w:rsidRPr="001471C5" w:rsidRDefault="00637DEE" w:rsidP="00A85FFA">
            <w:pPr>
              <w:spacing w:after="0" w:line="240" w:lineRule="auto"/>
              <w:rPr>
                <w:rFonts w:asciiTheme="minorHAnsi" w:eastAsia="Times New Roman" w:hAnsiTheme="minorHAnsi" w:cstheme="minorHAnsi"/>
                <w:color w:val="000000"/>
                <w:sz w:val="20"/>
                <w:szCs w:val="20"/>
              </w:rPr>
            </w:pPr>
            <w:r w:rsidRPr="00637DEE">
              <w:rPr>
                <w:rFonts w:asciiTheme="minorHAnsi" w:eastAsia="Times New Roman" w:hAnsiTheme="minorHAnsi" w:cstheme="minorHAnsi"/>
                <w:color w:val="000000"/>
                <w:sz w:val="20"/>
                <w:szCs w:val="20"/>
              </w:rPr>
              <w:t>Korekcija neravnoteža</w:t>
            </w:r>
            <w:r>
              <w:rPr>
                <w:rFonts w:asciiTheme="minorHAnsi" w:eastAsia="Times New Roman" w:hAnsiTheme="minorHAnsi" w:cstheme="minorHAnsi"/>
                <w:color w:val="000000"/>
                <w:sz w:val="20"/>
                <w:szCs w:val="20"/>
              </w:rPr>
              <w:t xml:space="preserve"> 2017 i</w:t>
            </w:r>
            <w:r w:rsidR="00A85FFA" w:rsidRPr="001471C5">
              <w:rPr>
                <w:rFonts w:asciiTheme="minorHAnsi" w:eastAsia="Times New Roman" w:hAnsiTheme="minorHAnsi" w:cstheme="minorHAnsi"/>
                <w:color w:val="000000"/>
                <w:sz w:val="20"/>
                <w:szCs w:val="20"/>
              </w:rPr>
              <w:t xml:space="preserve"> 2018</w:t>
            </w:r>
          </w:p>
        </w:tc>
        <w:tc>
          <w:tcPr>
            <w:tcW w:w="1364" w:type="dxa"/>
            <w:tcBorders>
              <w:top w:val="single" w:sz="4" w:space="0" w:color="auto"/>
              <w:left w:val="single" w:sz="4" w:space="0" w:color="auto"/>
              <w:bottom w:val="single" w:sz="4" w:space="0" w:color="auto"/>
              <w:right w:val="nil"/>
            </w:tcBorders>
            <w:shd w:val="clear" w:color="000000" w:fill="FFFFFF"/>
            <w:noWrap/>
            <w:vAlign w:val="center"/>
            <w:hideMark/>
          </w:tcPr>
          <w:p w14:paraId="40B10682" w14:textId="2F422015"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color w:val="000000"/>
                <w:sz w:val="20"/>
                <w:szCs w:val="20"/>
              </w:rPr>
              <w:t>0.23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379EC" w14:textId="05817580"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377944A0"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2C43C42F" w14:textId="77777777" w:rsidTr="00825E63">
        <w:trPr>
          <w:trHeight w:val="300"/>
        </w:trPr>
        <w:tc>
          <w:tcPr>
            <w:tcW w:w="5278" w:type="dxa"/>
            <w:tcBorders>
              <w:top w:val="nil"/>
              <w:left w:val="nil"/>
              <w:bottom w:val="nil"/>
              <w:right w:val="nil"/>
            </w:tcBorders>
            <w:shd w:val="clear" w:color="000000" w:fill="DBE5F1"/>
            <w:noWrap/>
            <w:vAlign w:val="center"/>
            <w:hideMark/>
          </w:tcPr>
          <w:p w14:paraId="40D8DA32" w14:textId="36953037" w:rsidR="00A85FFA" w:rsidRPr="001471C5" w:rsidRDefault="00A85FFA" w:rsidP="00AF3492">
            <w:pPr>
              <w:spacing w:after="0" w:line="240" w:lineRule="auto"/>
              <w:rPr>
                <w:rFonts w:asciiTheme="minorHAnsi" w:eastAsia="Times New Roman" w:hAnsiTheme="minorHAnsi" w:cstheme="minorHAnsi"/>
                <w:b/>
                <w:bCs/>
                <w:sz w:val="20"/>
                <w:szCs w:val="20"/>
              </w:rPr>
            </w:pPr>
            <w:r w:rsidRPr="001471C5">
              <w:rPr>
                <w:rFonts w:asciiTheme="minorHAnsi" w:eastAsia="Times New Roman" w:hAnsiTheme="minorHAnsi" w:cstheme="minorHAnsi"/>
                <w:b/>
                <w:bCs/>
                <w:sz w:val="20"/>
                <w:szCs w:val="20"/>
              </w:rPr>
              <w:t xml:space="preserve">KREV – </w:t>
            </w:r>
            <w:r w:rsidR="00AF3492" w:rsidRPr="00AF3492">
              <w:rPr>
                <w:rFonts w:asciiTheme="minorHAnsi" w:eastAsia="Times New Roman" w:hAnsiTheme="minorHAnsi" w:cstheme="minorHAnsi"/>
                <w:b/>
                <w:bCs/>
                <w:sz w:val="20"/>
                <w:szCs w:val="20"/>
              </w:rPr>
              <w:t>faktor korekcije prihoda</w:t>
            </w:r>
          </w:p>
        </w:tc>
        <w:tc>
          <w:tcPr>
            <w:tcW w:w="1364" w:type="dxa"/>
            <w:tcBorders>
              <w:top w:val="single" w:sz="4" w:space="0" w:color="auto"/>
              <w:left w:val="nil"/>
              <w:bottom w:val="single" w:sz="4" w:space="0" w:color="auto"/>
              <w:right w:val="nil"/>
            </w:tcBorders>
            <w:shd w:val="clear" w:color="000000" w:fill="DBE5F1"/>
            <w:noWrap/>
            <w:vAlign w:val="center"/>
            <w:hideMark/>
          </w:tcPr>
          <w:p w14:paraId="5A37838F"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single" w:sz="4" w:space="0" w:color="auto"/>
              <w:left w:val="nil"/>
              <w:bottom w:val="single" w:sz="4" w:space="0" w:color="auto"/>
              <w:right w:val="nil"/>
            </w:tcBorders>
            <w:shd w:val="clear" w:color="000000" w:fill="DBE5F1"/>
            <w:noWrap/>
            <w:vAlign w:val="center"/>
            <w:hideMark/>
          </w:tcPr>
          <w:p w14:paraId="1EBEE529"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single" w:sz="4" w:space="0" w:color="auto"/>
              <w:left w:val="nil"/>
              <w:bottom w:val="single" w:sz="4" w:space="0" w:color="auto"/>
              <w:right w:val="nil"/>
            </w:tcBorders>
            <w:shd w:val="clear" w:color="000000" w:fill="DBE5F1"/>
            <w:noWrap/>
            <w:vAlign w:val="center"/>
            <w:hideMark/>
          </w:tcPr>
          <w:p w14:paraId="1C6A1210"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718D3470"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3ECA06C8" w14:textId="64878944" w:rsidR="00A85FFA" w:rsidRPr="001471C5" w:rsidRDefault="00AF3492" w:rsidP="00A85FFA">
            <w:pPr>
              <w:spacing w:after="0" w:line="240" w:lineRule="auto"/>
              <w:rPr>
                <w:rFonts w:asciiTheme="minorHAnsi" w:eastAsia="Times New Roman" w:hAnsiTheme="minorHAnsi" w:cstheme="minorHAnsi"/>
                <w:color w:val="000000"/>
                <w:sz w:val="20"/>
                <w:szCs w:val="20"/>
              </w:rPr>
            </w:pPr>
            <w:r w:rsidRPr="00AF3492">
              <w:rPr>
                <w:rFonts w:asciiTheme="minorHAnsi" w:eastAsia="Times New Roman" w:hAnsiTheme="minorHAnsi" w:cstheme="minorHAnsi"/>
                <w:color w:val="000000"/>
                <w:sz w:val="20"/>
                <w:szCs w:val="20"/>
              </w:rPr>
              <w:t xml:space="preserve">faktor korekcije prihoda </w:t>
            </w:r>
            <w:r w:rsidR="00A85FFA" w:rsidRPr="001471C5">
              <w:rPr>
                <w:rFonts w:asciiTheme="minorHAnsi" w:eastAsia="Times New Roman" w:hAnsiTheme="minorHAnsi" w:cstheme="minorHAnsi"/>
                <w:color w:val="000000"/>
                <w:sz w:val="20"/>
                <w:szCs w:val="20"/>
              </w:rPr>
              <w:t>t-1</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72F9F9" w14:textId="16D58B04" w:rsidR="00A85FFA" w:rsidRPr="001A758C" w:rsidRDefault="00A85FFA" w:rsidP="00A85FFA">
            <w:pPr>
              <w:spacing w:after="0" w:line="240" w:lineRule="auto"/>
              <w:jc w:val="center"/>
              <w:rPr>
                <w:rFonts w:asciiTheme="minorHAnsi" w:eastAsia="Times New Roman" w:hAnsiTheme="minorHAnsi" w:cstheme="minorHAnsi"/>
                <w:sz w:val="20"/>
                <w:szCs w:val="20"/>
              </w:rPr>
            </w:pPr>
            <w:r w:rsidRPr="001A758C">
              <w:rPr>
                <w:rFonts w:asciiTheme="minorHAnsi" w:eastAsia="Times New Roman" w:hAnsiTheme="minorHAnsi" w:cstheme="minorHAnsi"/>
                <w:sz w:val="20"/>
                <w:szCs w:val="20"/>
              </w:rPr>
              <w:t>9.61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ECC50F" w14:textId="528556B0" w:rsidR="00A85FFA" w:rsidRPr="001A758C" w:rsidRDefault="00FE3C9D" w:rsidP="00A85FFA">
            <w:pPr>
              <w:spacing w:after="0" w:line="240" w:lineRule="auto"/>
              <w:jc w:val="center"/>
              <w:rPr>
                <w:rFonts w:asciiTheme="minorHAnsi" w:eastAsia="Times New Roman" w:hAnsiTheme="minorHAnsi" w:cstheme="minorHAnsi"/>
                <w:sz w:val="20"/>
                <w:szCs w:val="20"/>
              </w:rPr>
            </w:pPr>
            <w:r w:rsidRPr="001A758C">
              <w:rPr>
                <w:rFonts w:asciiTheme="minorHAnsi" w:eastAsia="Times New Roman" w:hAnsiTheme="minorHAnsi" w:cstheme="minorHAnsi"/>
                <w:sz w:val="20"/>
                <w:szCs w:val="20"/>
              </w:rPr>
              <w:t>(</w:t>
            </w:r>
            <w:r w:rsidR="00A85FFA" w:rsidRPr="001A758C">
              <w:rPr>
                <w:rFonts w:asciiTheme="minorHAnsi" w:eastAsia="Times New Roman" w:hAnsiTheme="minorHAnsi" w:cstheme="minorHAnsi"/>
                <w:sz w:val="20"/>
                <w:szCs w:val="20"/>
              </w:rPr>
              <w:t>3.72</w:t>
            </w:r>
            <w:r w:rsidRPr="001A758C">
              <w:rPr>
                <w:rFonts w:asciiTheme="minorHAnsi" w:eastAsia="Times New Roman" w:hAnsiTheme="minorHAnsi" w:cstheme="minorHAnsi"/>
                <w:sz w:val="20"/>
                <w:szCs w:val="20"/>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0B71A" w14:textId="10C4ABC1" w:rsidR="00A85FFA" w:rsidRPr="001A758C" w:rsidRDefault="0089635A" w:rsidP="00FE3C9D">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(15.91</w:t>
            </w:r>
            <w:r w:rsidR="00FE3C9D" w:rsidRPr="001A758C">
              <w:rPr>
                <w:rFonts w:asciiTheme="minorHAnsi" w:eastAsia="Times New Roman" w:hAnsiTheme="minorHAnsi" w:cstheme="minorHAnsi"/>
                <w:sz w:val="20"/>
                <w:szCs w:val="20"/>
              </w:rPr>
              <w:t>)</w:t>
            </w:r>
          </w:p>
        </w:tc>
      </w:tr>
      <w:tr w:rsidR="00A85FFA" w:rsidRPr="001471C5" w14:paraId="4B5E23E2"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51219E47" w14:textId="6689426E" w:rsidR="00A85FFA" w:rsidRPr="001471C5" w:rsidRDefault="00A85FFA" w:rsidP="00AF3492">
            <w:pPr>
              <w:spacing w:after="0" w:line="240" w:lineRule="auto"/>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 xml:space="preserve">AACt-1 </w:t>
            </w:r>
            <w:r w:rsidR="00AF3492">
              <w:rPr>
                <w:rFonts w:asciiTheme="minorHAnsi" w:eastAsia="Times New Roman" w:hAnsiTheme="minorHAnsi" w:cstheme="minorHAnsi"/>
                <w:color w:val="000000"/>
                <w:sz w:val="20"/>
                <w:szCs w:val="20"/>
              </w:rPr>
              <w:t>–</w:t>
            </w:r>
            <w:r w:rsidRPr="001471C5">
              <w:rPr>
                <w:rFonts w:asciiTheme="minorHAnsi" w:eastAsia="Times New Roman" w:hAnsiTheme="minorHAnsi" w:cstheme="minorHAnsi"/>
                <w:color w:val="000000"/>
                <w:sz w:val="20"/>
                <w:szCs w:val="20"/>
              </w:rPr>
              <w:t xml:space="preserve"> </w:t>
            </w:r>
            <w:r w:rsidR="00AF3492">
              <w:rPr>
                <w:rFonts w:asciiTheme="minorHAnsi" w:eastAsia="Times New Roman" w:hAnsiTheme="minorHAnsi" w:cstheme="minorHAnsi"/>
                <w:color w:val="000000"/>
                <w:sz w:val="20"/>
                <w:szCs w:val="20"/>
              </w:rPr>
              <w:t xml:space="preserve">tekući </w:t>
            </w:r>
            <w:r w:rsidR="00AF3492" w:rsidRPr="00AF3492">
              <w:rPr>
                <w:rFonts w:asciiTheme="minorHAnsi" w:eastAsia="Times New Roman" w:hAnsiTheme="minorHAnsi" w:cstheme="minorHAnsi"/>
                <w:color w:val="000000"/>
                <w:sz w:val="20"/>
                <w:szCs w:val="20"/>
              </w:rPr>
              <w:t xml:space="preserve">troškovi za godinu </w:t>
            </w:r>
            <w:r w:rsidRPr="001471C5">
              <w:rPr>
                <w:rFonts w:asciiTheme="minorHAnsi" w:eastAsia="Times New Roman" w:hAnsiTheme="minorHAnsi" w:cstheme="minorHAnsi"/>
                <w:color w:val="000000"/>
                <w:sz w:val="20"/>
                <w:szCs w:val="20"/>
              </w:rPr>
              <w:t xml:space="preserve">t-1 </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C1F1B9" w14:textId="5746193A"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33.90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62F735" w14:textId="096CDF09" w:rsidR="00A85FFA" w:rsidRPr="001471C5" w:rsidRDefault="0089635A" w:rsidP="00A85FF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17.94</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2A483" w14:textId="77777777" w:rsidR="00A85FFA" w:rsidRPr="001471C5" w:rsidRDefault="00A85FFA" w:rsidP="00A85FFA">
            <w:pPr>
              <w:spacing w:after="0" w:line="240" w:lineRule="auto"/>
              <w:jc w:val="center"/>
              <w:rPr>
                <w:rFonts w:asciiTheme="minorHAnsi" w:eastAsia="Times New Roman" w:hAnsiTheme="minorHAnsi" w:cstheme="minorHAnsi"/>
                <w:sz w:val="20"/>
                <w:szCs w:val="20"/>
              </w:rPr>
            </w:pPr>
          </w:p>
        </w:tc>
      </w:tr>
      <w:tr w:rsidR="00A85FFA" w:rsidRPr="001471C5" w14:paraId="33233315" w14:textId="77777777" w:rsidTr="00825E63">
        <w:trPr>
          <w:trHeight w:val="300"/>
        </w:trPr>
        <w:tc>
          <w:tcPr>
            <w:tcW w:w="5278" w:type="dxa"/>
            <w:tcBorders>
              <w:top w:val="nil"/>
              <w:left w:val="nil"/>
              <w:bottom w:val="nil"/>
              <w:right w:val="single" w:sz="4" w:space="0" w:color="auto"/>
            </w:tcBorders>
            <w:shd w:val="clear" w:color="000000" w:fill="FFFFFF"/>
            <w:noWrap/>
            <w:vAlign w:val="center"/>
            <w:hideMark/>
          </w:tcPr>
          <w:p w14:paraId="75937D53" w14:textId="170E3E92" w:rsidR="00A85FFA" w:rsidRPr="001471C5" w:rsidRDefault="00A85FFA" w:rsidP="00A85FFA">
            <w:pPr>
              <w:spacing w:after="0" w:line="240" w:lineRule="auto"/>
              <w:rPr>
                <w:rFonts w:asciiTheme="minorHAnsi" w:eastAsia="Times New Roman" w:hAnsiTheme="minorHAnsi" w:cstheme="minorHAnsi"/>
                <w:color w:val="000000"/>
                <w:sz w:val="20"/>
                <w:szCs w:val="20"/>
              </w:rPr>
            </w:pPr>
            <w:r w:rsidRPr="001471C5">
              <w:rPr>
                <w:rFonts w:asciiTheme="minorHAnsi" w:eastAsia="Times New Roman" w:hAnsiTheme="minorHAnsi" w:cstheme="minorHAnsi"/>
                <w:color w:val="000000"/>
                <w:sz w:val="20"/>
                <w:szCs w:val="20"/>
              </w:rPr>
              <w:t>ARRt</w:t>
            </w:r>
            <w:r w:rsidR="00AF3492">
              <w:rPr>
                <w:rFonts w:asciiTheme="minorHAnsi" w:eastAsia="Times New Roman" w:hAnsiTheme="minorHAnsi" w:cstheme="minorHAnsi"/>
                <w:color w:val="000000"/>
                <w:sz w:val="20"/>
                <w:szCs w:val="20"/>
              </w:rPr>
              <w:t xml:space="preserve">-1 -  </w:t>
            </w:r>
            <w:r w:rsidR="00AF3492">
              <w:rPr>
                <w:rFonts w:asciiTheme="minorHAnsi" w:eastAsia="Times New Roman" w:hAnsiTheme="minorHAnsi" w:cstheme="minorHAnsi"/>
                <w:color w:val="000000"/>
                <w:sz w:val="20"/>
                <w:szCs w:val="20"/>
              </w:rPr>
              <w:t xml:space="preserve">tekući </w:t>
            </w:r>
            <w:r w:rsidR="00AF3492" w:rsidRPr="00AF3492">
              <w:rPr>
                <w:rFonts w:asciiTheme="minorHAnsi" w:eastAsia="Times New Roman" w:hAnsiTheme="minorHAnsi" w:cstheme="minorHAnsi"/>
                <w:color w:val="000000"/>
                <w:sz w:val="20"/>
                <w:szCs w:val="20"/>
              </w:rPr>
              <w:t>troškovi za godinu</w:t>
            </w:r>
            <w:r w:rsidRPr="001471C5">
              <w:rPr>
                <w:rFonts w:asciiTheme="minorHAnsi" w:eastAsia="Times New Roman" w:hAnsiTheme="minorHAnsi" w:cstheme="minorHAnsi"/>
                <w:color w:val="000000"/>
                <w:sz w:val="20"/>
                <w:szCs w:val="20"/>
              </w:rPr>
              <w:t xml:space="preserve"> t-1</w:t>
            </w:r>
            <w:r w:rsidR="003312AF">
              <w:rPr>
                <w:rFonts w:asciiTheme="minorHAnsi" w:eastAsia="Times New Roman" w:hAnsiTheme="minorHAnsi" w:cstheme="minorHAnsi"/>
                <w:color w:val="000000"/>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3BCC65" w14:textId="15F151CC" w:rsidR="00A85FFA" w:rsidRPr="001471C5" w:rsidRDefault="00A85FFA" w:rsidP="00A85FFA">
            <w:pPr>
              <w:spacing w:after="0" w:line="240" w:lineRule="auto"/>
              <w:jc w:val="center"/>
              <w:rPr>
                <w:rFonts w:asciiTheme="minorHAnsi" w:eastAsia="Times New Roman" w:hAnsiTheme="minorHAnsi" w:cstheme="minorHAnsi"/>
                <w:sz w:val="20"/>
                <w:szCs w:val="20"/>
              </w:rPr>
            </w:pPr>
            <w:r w:rsidRPr="001471C5">
              <w:rPr>
                <w:rFonts w:asciiTheme="minorHAnsi" w:eastAsia="Times New Roman" w:hAnsiTheme="minorHAnsi" w:cstheme="minorHAnsi"/>
                <w:sz w:val="20"/>
                <w:szCs w:val="20"/>
              </w:rPr>
              <w:t>37.37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1D0041" w14:textId="11DBAECA" w:rsidR="00A85FFA" w:rsidRPr="001471C5" w:rsidRDefault="00D13875" w:rsidP="0089635A">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w:t>
            </w:r>
            <w:r w:rsidR="0089635A">
              <w:rPr>
                <w:rFonts w:asciiTheme="minorHAnsi" w:eastAsia="Times New Roman" w:hAnsiTheme="minorHAnsi" w:cstheme="minorHAnsi"/>
                <w:sz w:val="20"/>
                <w:szCs w:val="20"/>
              </w:rPr>
              <w:t>2</w:t>
            </w:r>
            <w:r>
              <w:rPr>
                <w:rFonts w:asciiTheme="minorHAnsi" w:eastAsia="Times New Roman" w:hAnsiTheme="minorHAnsi" w:cstheme="minorHAnsi"/>
                <w:sz w:val="20"/>
                <w:szCs w:val="20"/>
              </w:rPr>
              <w:t>.77</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F94FC" w14:textId="77777777" w:rsidR="00A85FFA" w:rsidRPr="001471C5" w:rsidRDefault="00A85FFA" w:rsidP="00A85FFA">
            <w:pPr>
              <w:spacing w:after="0" w:line="240" w:lineRule="auto"/>
              <w:jc w:val="center"/>
              <w:rPr>
                <w:rFonts w:asciiTheme="minorHAnsi" w:eastAsia="Times New Roman" w:hAnsiTheme="minorHAnsi" w:cstheme="minorHAnsi"/>
                <w:color w:val="000000"/>
                <w:sz w:val="20"/>
                <w:szCs w:val="20"/>
              </w:rPr>
            </w:pPr>
          </w:p>
        </w:tc>
      </w:tr>
      <w:tr w:rsidR="00A85FFA" w:rsidRPr="001471C5" w14:paraId="3E140D4B" w14:textId="77777777" w:rsidTr="00825E63">
        <w:trPr>
          <w:trHeight w:val="300"/>
        </w:trPr>
        <w:tc>
          <w:tcPr>
            <w:tcW w:w="5278" w:type="dxa"/>
            <w:tcBorders>
              <w:top w:val="nil"/>
              <w:left w:val="nil"/>
              <w:bottom w:val="nil"/>
              <w:right w:val="single" w:sz="4" w:space="0" w:color="auto"/>
            </w:tcBorders>
            <w:shd w:val="clear" w:color="000000" w:fill="DBE5F1"/>
            <w:noWrap/>
            <w:vAlign w:val="center"/>
            <w:hideMark/>
          </w:tcPr>
          <w:p w14:paraId="686B748F" w14:textId="395312CF" w:rsidR="00A85FFA" w:rsidRPr="001A758C" w:rsidRDefault="00A85FFA" w:rsidP="00A85FFA">
            <w:pPr>
              <w:spacing w:after="0" w:line="240" w:lineRule="auto"/>
              <w:rPr>
                <w:rFonts w:asciiTheme="minorHAnsi" w:eastAsia="Times New Roman" w:hAnsiTheme="minorHAnsi" w:cstheme="minorHAnsi"/>
                <w:b/>
                <w:bCs/>
                <w:sz w:val="20"/>
                <w:szCs w:val="20"/>
              </w:rPr>
            </w:pPr>
            <w:r w:rsidRPr="001A758C">
              <w:rPr>
                <w:rFonts w:asciiTheme="minorHAnsi" w:eastAsia="Times New Roman" w:hAnsiTheme="minorHAnsi" w:cstheme="minorHAnsi"/>
                <w:b/>
                <w:bCs/>
                <w:sz w:val="20"/>
                <w:szCs w:val="20"/>
              </w:rPr>
              <w:t>KREVt = (AACat-1 – ARRt-1) * (1+ It)</w:t>
            </w:r>
            <w:r w:rsidR="003312AF">
              <w:rPr>
                <w:rFonts w:asciiTheme="minorHAnsi" w:eastAsia="Times New Roman" w:hAnsiTheme="minorHAnsi" w:cstheme="minorHAnsi"/>
                <w:b/>
                <w:bCs/>
                <w:sz w:val="20"/>
                <w:szCs w:val="20"/>
              </w:rPr>
              <w:t xml:space="preserve">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7D637A2C" w14:textId="010A8141" w:rsidR="00A85FFA" w:rsidRPr="00BA0D6F" w:rsidRDefault="001A758C" w:rsidP="00A85FFA">
            <w:pPr>
              <w:spacing w:after="0" w:line="240" w:lineRule="auto"/>
              <w:jc w:val="center"/>
              <w:rPr>
                <w:rFonts w:asciiTheme="minorHAnsi" w:eastAsia="Times New Roman" w:hAnsiTheme="minorHAnsi" w:cstheme="minorHAnsi"/>
                <w:b/>
                <w:bCs/>
                <w:sz w:val="20"/>
                <w:szCs w:val="20"/>
                <w:highlight w:val="yellow"/>
              </w:rPr>
            </w:pPr>
            <w:r>
              <w:rPr>
                <w:rFonts w:asciiTheme="minorHAnsi" w:eastAsia="Times New Roman" w:hAnsiTheme="minorHAnsi" w:cstheme="minorHAnsi"/>
                <w:b/>
                <w:bCs/>
                <w:sz w:val="20"/>
                <w:szCs w:val="20"/>
              </w:rPr>
              <w:t>(</w:t>
            </w:r>
            <w:r w:rsidR="00A85FFA" w:rsidRPr="001A758C">
              <w:rPr>
                <w:rFonts w:asciiTheme="minorHAnsi" w:eastAsia="Times New Roman" w:hAnsiTheme="minorHAnsi" w:cstheme="minorHAnsi"/>
                <w:b/>
                <w:bCs/>
                <w:sz w:val="20"/>
                <w:szCs w:val="20"/>
              </w:rPr>
              <w:t>3.72</w:t>
            </w:r>
            <w:r>
              <w:rPr>
                <w:rFonts w:asciiTheme="minorHAnsi" w:eastAsia="Times New Roman" w:hAnsiTheme="minorHAnsi" w:cstheme="minorHAnsi"/>
                <w:b/>
                <w:bCs/>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6C52DD39" w14:textId="5E0DBFDE" w:rsidR="00A85FFA" w:rsidRPr="001471C5" w:rsidRDefault="0089635A" w:rsidP="0089635A">
            <w:pPr>
              <w:spacing w:after="0" w:line="240" w:lineRule="auto"/>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(15.91</w:t>
            </w:r>
            <w:r w:rsidR="00D13875">
              <w:rPr>
                <w:rFonts w:asciiTheme="minorHAnsi" w:eastAsia="Times New Roman" w:hAnsiTheme="minorHAnsi" w:cstheme="minorHAnsi"/>
                <w:b/>
                <w:bCs/>
                <w:sz w:val="20"/>
                <w:szCs w:val="20"/>
              </w:rPr>
              <w:t>)</w:t>
            </w:r>
          </w:p>
        </w:tc>
        <w:tc>
          <w:tcPr>
            <w:tcW w:w="990"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41FDBBA2"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1FFA1ADD" w14:textId="77777777" w:rsidTr="00825E63">
        <w:trPr>
          <w:trHeight w:val="62"/>
        </w:trPr>
        <w:tc>
          <w:tcPr>
            <w:tcW w:w="5278" w:type="dxa"/>
            <w:tcBorders>
              <w:top w:val="nil"/>
              <w:left w:val="nil"/>
              <w:bottom w:val="nil"/>
              <w:right w:val="single" w:sz="4" w:space="0" w:color="auto"/>
            </w:tcBorders>
            <w:shd w:val="clear" w:color="auto" w:fill="FFFFFF" w:themeFill="background1"/>
            <w:noWrap/>
            <w:vAlign w:val="center"/>
            <w:hideMark/>
          </w:tcPr>
          <w:p w14:paraId="224ECF1D" w14:textId="77777777" w:rsidR="00A85FFA" w:rsidRPr="001471C5" w:rsidRDefault="00A85FFA" w:rsidP="00A85FFA">
            <w:pPr>
              <w:spacing w:after="0" w:line="240" w:lineRule="auto"/>
              <w:rPr>
                <w:rFonts w:asciiTheme="minorHAnsi" w:eastAsia="Times New Roman" w:hAnsiTheme="minorHAnsi" w:cstheme="minorHAnsi"/>
                <w:b/>
                <w:bCs/>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6C4F58"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2CCB92"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8A6964" w14:textId="77777777" w:rsidR="00A85FFA" w:rsidRPr="001471C5" w:rsidRDefault="00A85FFA" w:rsidP="00A85FFA">
            <w:pPr>
              <w:spacing w:after="0" w:line="240" w:lineRule="auto"/>
              <w:jc w:val="center"/>
              <w:rPr>
                <w:rFonts w:asciiTheme="minorHAnsi" w:eastAsia="Times New Roman" w:hAnsiTheme="minorHAnsi" w:cstheme="minorHAnsi"/>
                <w:b/>
                <w:bCs/>
                <w:sz w:val="20"/>
                <w:szCs w:val="20"/>
              </w:rPr>
            </w:pPr>
          </w:p>
        </w:tc>
      </w:tr>
      <w:tr w:rsidR="00A85FFA" w:rsidRPr="001471C5" w14:paraId="5CB42BD8" w14:textId="77777777" w:rsidTr="00825E63">
        <w:trPr>
          <w:trHeight w:val="300"/>
        </w:trPr>
        <w:tc>
          <w:tcPr>
            <w:tcW w:w="5278" w:type="dxa"/>
            <w:tcBorders>
              <w:top w:val="nil"/>
              <w:left w:val="nil"/>
              <w:bottom w:val="nil"/>
              <w:right w:val="single" w:sz="4" w:space="0" w:color="auto"/>
            </w:tcBorders>
            <w:shd w:val="clear" w:color="auto" w:fill="B8CCE4" w:themeFill="accent1" w:themeFillTint="66"/>
            <w:noWrap/>
            <w:vAlign w:val="center"/>
            <w:hideMark/>
          </w:tcPr>
          <w:p w14:paraId="58E55BBD" w14:textId="062780FB" w:rsidR="00A85FFA" w:rsidRPr="001471C5" w:rsidRDefault="00A85FFA" w:rsidP="00AF3492">
            <w:pPr>
              <w:spacing w:after="0" w:line="240" w:lineRule="auto"/>
              <w:rPr>
                <w:rFonts w:asciiTheme="minorHAnsi" w:eastAsia="Times New Roman" w:hAnsiTheme="minorHAnsi" w:cstheme="minorHAnsi"/>
                <w:b/>
                <w:bCs/>
                <w:sz w:val="20"/>
                <w:szCs w:val="20"/>
              </w:rPr>
            </w:pPr>
            <w:r w:rsidRPr="001471C5">
              <w:rPr>
                <w:rFonts w:asciiTheme="minorHAnsi" w:eastAsia="Times New Roman" w:hAnsiTheme="minorHAnsi" w:cstheme="minorHAnsi"/>
                <w:b/>
                <w:bCs/>
                <w:sz w:val="20"/>
                <w:szCs w:val="20"/>
              </w:rPr>
              <w:t>MAR –</w:t>
            </w:r>
            <w:r w:rsidR="00AF3492">
              <w:t xml:space="preserve"> </w:t>
            </w:r>
            <w:r w:rsidR="00AF3492" w:rsidRPr="00AF3492">
              <w:rPr>
                <w:rFonts w:asciiTheme="minorHAnsi" w:eastAsia="Times New Roman" w:hAnsiTheme="minorHAnsi" w:cstheme="minorHAnsi"/>
                <w:b/>
                <w:bCs/>
                <w:sz w:val="20"/>
                <w:szCs w:val="20"/>
              </w:rPr>
              <w:t xml:space="preserve">maksimalno dozvoljeni prihodi </w:t>
            </w:r>
            <w:r w:rsidR="003312AF" w:rsidRPr="004633ED">
              <w:rPr>
                <w:rFonts w:cstheme="minorHAnsi"/>
              </w:rPr>
              <w:t>€m</w:t>
            </w:r>
          </w:p>
        </w:tc>
        <w:tc>
          <w:tcPr>
            <w:tcW w:w="136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1FD3820" w14:textId="59731AC7" w:rsidR="00A85FFA" w:rsidRPr="001471C5" w:rsidRDefault="00A85FFA" w:rsidP="00A85FFA">
            <w:pPr>
              <w:spacing w:after="0" w:line="240" w:lineRule="auto"/>
              <w:jc w:val="center"/>
              <w:rPr>
                <w:rFonts w:asciiTheme="minorHAnsi" w:eastAsia="Times New Roman" w:hAnsiTheme="minorHAnsi" w:cstheme="minorHAnsi"/>
                <w:b/>
                <w:bCs/>
                <w:sz w:val="20"/>
                <w:szCs w:val="20"/>
              </w:rPr>
            </w:pPr>
            <w:r w:rsidRPr="001471C5">
              <w:rPr>
                <w:rFonts w:asciiTheme="minorHAnsi" w:eastAsia="Times New Roman" w:hAnsiTheme="minorHAnsi" w:cstheme="minorHAnsi"/>
                <w:b/>
                <w:bCs/>
                <w:sz w:val="20"/>
                <w:szCs w:val="20"/>
              </w:rPr>
              <w:t>54.25</w:t>
            </w:r>
          </w:p>
        </w:tc>
        <w:tc>
          <w:tcPr>
            <w:tcW w:w="13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A5F14FE" w14:textId="2FD72C85" w:rsidR="00A85FFA" w:rsidRPr="001471C5" w:rsidRDefault="00A85FFA" w:rsidP="00A85FFA">
            <w:pPr>
              <w:spacing w:after="0" w:line="240" w:lineRule="auto"/>
              <w:jc w:val="center"/>
              <w:rPr>
                <w:rFonts w:asciiTheme="minorHAnsi" w:eastAsia="Times New Roman" w:hAnsiTheme="minorHAnsi" w:cstheme="minorHAnsi"/>
                <w:b/>
                <w:bCs/>
                <w:sz w:val="20"/>
                <w:szCs w:val="20"/>
              </w:rPr>
            </w:pPr>
            <w:r w:rsidRPr="001471C5">
              <w:rPr>
                <w:rFonts w:asciiTheme="minorHAnsi" w:eastAsia="Times New Roman" w:hAnsiTheme="minorHAnsi" w:cstheme="minorHAnsi"/>
                <w:b/>
                <w:bCs/>
                <w:sz w:val="20"/>
                <w:szCs w:val="20"/>
              </w:rPr>
              <w:t>4</w:t>
            </w:r>
            <w:r>
              <w:rPr>
                <w:rFonts w:asciiTheme="minorHAnsi" w:eastAsia="Times New Roman" w:hAnsiTheme="minorHAnsi" w:cstheme="minorHAnsi"/>
                <w:b/>
                <w:bCs/>
                <w:sz w:val="20"/>
                <w:szCs w:val="20"/>
              </w:rPr>
              <w:t>5.84</w:t>
            </w:r>
          </w:p>
        </w:tc>
        <w:tc>
          <w:tcPr>
            <w:tcW w:w="99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CB5275E" w14:textId="0BE655FD" w:rsidR="00A85FFA" w:rsidRPr="001471C5" w:rsidRDefault="0089635A" w:rsidP="00A85FFA">
            <w:pPr>
              <w:spacing w:after="0" w:line="240" w:lineRule="auto"/>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36.95</w:t>
            </w:r>
          </w:p>
        </w:tc>
      </w:tr>
    </w:tbl>
    <w:p w14:paraId="0702F07D" w14:textId="77777777" w:rsidR="00953A22" w:rsidRPr="001471C5" w:rsidRDefault="00953A22" w:rsidP="00953A22">
      <w:pPr>
        <w:spacing w:after="0" w:line="240" w:lineRule="auto"/>
      </w:pPr>
    </w:p>
    <w:p w14:paraId="16D097EC" w14:textId="6CAB9BDA" w:rsidR="00F815F2" w:rsidRPr="001471C5" w:rsidRDefault="00AF3492" w:rsidP="00953A22">
      <w:pPr>
        <w:spacing w:after="0" w:line="240" w:lineRule="auto"/>
      </w:pPr>
      <w:r>
        <w:t>Kao rezultat izračunavanja svake komponente troškova, MAR koj</w:t>
      </w:r>
      <w:r>
        <w:t>i je predložen za OPS/OT za 2021. godinu iznosi 36,95 miliona E</w:t>
      </w:r>
      <w:r>
        <w:t>vra.</w:t>
      </w:r>
      <w:r w:rsidRPr="001471C5">
        <w:t xml:space="preserve"> </w:t>
      </w:r>
    </w:p>
    <w:p w14:paraId="5B60E82A" w14:textId="77777777" w:rsidR="00F815F2" w:rsidRPr="001471C5" w:rsidRDefault="00F815F2">
      <w:pPr>
        <w:spacing w:after="0" w:line="240" w:lineRule="auto"/>
      </w:pPr>
      <w:bookmarkStart w:id="9" w:name="_GoBack"/>
      <w:bookmarkEnd w:id="9"/>
    </w:p>
    <w:sectPr w:rsidR="00F815F2" w:rsidRPr="001471C5" w:rsidSect="00366EF2">
      <w:pgSz w:w="11907" w:h="16839" w:code="9"/>
      <w:pgMar w:top="1440" w:right="1440" w:bottom="144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BC0F3" w14:textId="77777777" w:rsidR="003A1262" w:rsidRDefault="003A1262" w:rsidP="002F09BD">
      <w:pPr>
        <w:spacing w:after="0" w:line="240" w:lineRule="auto"/>
      </w:pPr>
      <w:r>
        <w:separator/>
      </w:r>
    </w:p>
  </w:endnote>
  <w:endnote w:type="continuationSeparator" w:id="0">
    <w:p w14:paraId="4B45C57E" w14:textId="77777777" w:rsidR="003A1262" w:rsidRDefault="003A1262" w:rsidP="002F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F207" w14:textId="77777777" w:rsidR="00193AA8" w:rsidRDefault="00193AA8" w:rsidP="00415BD8">
    <w:pPr>
      <w:pStyle w:val="Footer"/>
      <w:pBdr>
        <w:top w:val="single" w:sz="4" w:space="1" w:color="4F81BD"/>
      </w:pBdr>
      <w:tabs>
        <w:tab w:val="clear" w:pos="8640"/>
        <w:tab w:val="left" w:pos="6240"/>
      </w:tabs>
      <w:spacing w:after="0" w:line="240" w:lineRule="auto"/>
      <w:ind w:left="-57"/>
      <w:rPr>
        <w:rFonts w:ascii="Calibri" w:hAnsi="Calibri"/>
        <w:color w:val="005F91"/>
        <w:sz w:val="18"/>
        <w:szCs w:val="18"/>
      </w:rPr>
    </w:pPr>
    <w:proofErr w:type="spellStart"/>
    <w:r w:rsidRPr="00661073">
      <w:rPr>
        <w:rFonts w:ascii="Calibri" w:hAnsi="Calibri"/>
        <w:color w:val="005F91"/>
        <w:sz w:val="18"/>
        <w:szCs w:val="18"/>
      </w:rPr>
      <w:t>Adresa</w:t>
    </w:r>
    <w:proofErr w:type="spellEnd"/>
    <w:r w:rsidRPr="00661073">
      <w:rPr>
        <w:rFonts w:ascii="Calibri" w:hAnsi="Calibri"/>
        <w:color w:val="005F91"/>
        <w:sz w:val="18"/>
        <w:szCs w:val="18"/>
      </w:rPr>
      <w:t xml:space="preserve">: </w:t>
    </w:r>
    <w:proofErr w:type="spellStart"/>
    <w:r w:rsidRPr="00661073">
      <w:rPr>
        <w:rFonts w:ascii="Calibri" w:hAnsi="Calibri"/>
        <w:color w:val="005F91"/>
        <w:sz w:val="18"/>
        <w:szCs w:val="18"/>
      </w:rPr>
      <w:t>Rr</w:t>
    </w:r>
    <w:proofErr w:type="spellEnd"/>
    <w:r w:rsidRPr="00661073">
      <w:rPr>
        <w:rFonts w:ascii="Calibri" w:hAnsi="Calibri"/>
        <w:color w:val="005F91"/>
        <w:sz w:val="18"/>
        <w:szCs w:val="18"/>
      </w:rPr>
      <w:t xml:space="preserve">. </w:t>
    </w:r>
    <w:r>
      <w:rPr>
        <w:rFonts w:ascii="Calibri" w:hAnsi="Calibri"/>
        <w:color w:val="005F91"/>
        <w:sz w:val="18"/>
        <w:szCs w:val="18"/>
      </w:rPr>
      <w:t xml:space="preserve">Dervish </w:t>
    </w:r>
    <w:proofErr w:type="spellStart"/>
    <w:r>
      <w:rPr>
        <w:rFonts w:ascii="Calibri" w:hAnsi="Calibri"/>
        <w:color w:val="005F91"/>
        <w:sz w:val="18"/>
        <w:szCs w:val="18"/>
      </w:rPr>
      <w:t>Rozhaja</w:t>
    </w:r>
    <w:proofErr w:type="spellEnd"/>
    <w:r w:rsidRPr="00661073">
      <w:rPr>
        <w:rFonts w:ascii="Calibri" w:hAnsi="Calibri"/>
        <w:color w:val="005F91"/>
        <w:sz w:val="18"/>
        <w:szCs w:val="18"/>
      </w:rPr>
      <w:t xml:space="preserve"> nr. 1</w:t>
    </w:r>
    <w:r>
      <w:rPr>
        <w:rFonts w:ascii="Calibri" w:hAnsi="Calibri"/>
        <w:color w:val="005F91"/>
        <w:sz w:val="18"/>
        <w:szCs w:val="18"/>
      </w:rPr>
      <w:t>2</w:t>
    </w:r>
    <w:r w:rsidRPr="00661073">
      <w:rPr>
        <w:rFonts w:ascii="Calibri" w:hAnsi="Calibri"/>
        <w:color w:val="005F91"/>
        <w:sz w:val="18"/>
        <w:szCs w:val="18"/>
      </w:rPr>
      <w:t xml:space="preserve">, 10000 </w:t>
    </w:r>
    <w:proofErr w:type="spellStart"/>
    <w:r w:rsidRPr="00661073">
      <w:rPr>
        <w:rFonts w:ascii="Calibri" w:hAnsi="Calibri"/>
        <w:color w:val="005F91"/>
        <w:sz w:val="18"/>
        <w:szCs w:val="18"/>
      </w:rPr>
      <w:t>Prishtinë</w:t>
    </w:r>
    <w:proofErr w:type="spellEnd"/>
    <w:r w:rsidRPr="00661073">
      <w:rPr>
        <w:rFonts w:ascii="Calibri" w:hAnsi="Calibri"/>
        <w:color w:val="005F91"/>
        <w:sz w:val="18"/>
        <w:szCs w:val="18"/>
      </w:rPr>
      <w:t xml:space="preserve">, </w:t>
    </w:r>
    <w:proofErr w:type="spellStart"/>
    <w:r w:rsidRPr="00661073">
      <w:rPr>
        <w:rFonts w:ascii="Calibri" w:hAnsi="Calibri"/>
        <w:color w:val="005F91"/>
        <w:sz w:val="18"/>
        <w:szCs w:val="18"/>
      </w:rPr>
      <w:t>Kosovë</w:t>
    </w:r>
    <w:proofErr w:type="spellEnd"/>
  </w:p>
  <w:p w14:paraId="5F21A49F" w14:textId="77777777" w:rsidR="00193AA8" w:rsidRPr="00CC5C73" w:rsidRDefault="00193AA8" w:rsidP="00415BD8">
    <w:pPr>
      <w:pStyle w:val="Footer"/>
      <w:pBdr>
        <w:top w:val="single" w:sz="4" w:space="1" w:color="4F81BD"/>
      </w:pBd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 xml:space="preserve">Tel: 038 247 615 </w:t>
    </w:r>
    <w:proofErr w:type="spellStart"/>
    <w:r w:rsidRPr="00661073">
      <w:rPr>
        <w:rFonts w:ascii="Calibri" w:hAnsi="Calibri"/>
        <w:color w:val="005F91"/>
        <w:sz w:val="18"/>
        <w:szCs w:val="18"/>
      </w:rPr>
      <w:t>lok</w:t>
    </w:r>
    <w:proofErr w:type="spellEnd"/>
    <w:r w:rsidRPr="00661073">
      <w:rPr>
        <w:rFonts w:ascii="Calibri" w:hAnsi="Calibri"/>
        <w:color w:val="005F91"/>
        <w:sz w:val="18"/>
        <w:szCs w:val="18"/>
      </w:rPr>
      <w:t xml:space="preserve">. 101, Fax: 038 247 620, E-mail: info@ero-ks.org, </w:t>
    </w:r>
    <w:r>
      <w:rPr>
        <w:rFonts w:ascii="Calibri" w:hAnsi="Calibri"/>
        <w:color w:val="005F91"/>
        <w:sz w:val="18"/>
        <w:szCs w:val="18"/>
      </w:rPr>
      <w:t>w</w:t>
    </w:r>
    <w:r w:rsidRPr="00661073">
      <w:rPr>
        <w:rFonts w:ascii="Calibri" w:hAnsi="Calibri"/>
        <w:color w:val="005F91"/>
        <w:sz w:val="18"/>
        <w:szCs w:val="18"/>
      </w:rPr>
      <w:t xml:space="preserve">eb: </w:t>
    </w:r>
    <w:r>
      <w:rPr>
        <w:rFonts w:ascii="Calibri" w:hAnsi="Calibri"/>
        <w:color w:val="005F91"/>
        <w:sz w:val="18"/>
        <w:szCs w:val="18"/>
      </w:rPr>
      <w:t>www</w:t>
    </w:r>
    <w:r w:rsidRPr="00661073">
      <w:rPr>
        <w:rFonts w:ascii="Calibri" w:hAnsi="Calibri"/>
        <w:color w:val="005F91"/>
        <w:sz w:val="18"/>
        <w:szCs w:val="18"/>
      </w:rPr>
      <w:t>.ero-ks.org</w:t>
    </w:r>
  </w:p>
  <w:p w14:paraId="28B55CCE" w14:textId="77777777" w:rsidR="00193AA8" w:rsidRDefault="00193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BADB5" w14:textId="028ED4C0" w:rsidR="00193AA8" w:rsidRPr="00FE03A4" w:rsidRDefault="00193AA8" w:rsidP="002F09BD">
    <w:pPr>
      <w:pStyle w:val="Footer"/>
      <w:spacing w:after="0" w:line="240" w:lineRule="auto"/>
      <w:jc w:val="right"/>
      <w:rPr>
        <w:sz w:val="20"/>
        <w:szCs w:val="20"/>
        <w:lang w:bidi="th-T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F0304" w14:textId="77777777" w:rsidR="003A1262" w:rsidRDefault="003A1262" w:rsidP="002F09BD">
      <w:pPr>
        <w:spacing w:after="0" w:line="240" w:lineRule="auto"/>
      </w:pPr>
      <w:r>
        <w:separator/>
      </w:r>
    </w:p>
  </w:footnote>
  <w:footnote w:type="continuationSeparator" w:id="0">
    <w:p w14:paraId="10F661B8" w14:textId="77777777" w:rsidR="003A1262" w:rsidRDefault="003A1262" w:rsidP="002F09BD">
      <w:pPr>
        <w:spacing w:after="0" w:line="240" w:lineRule="auto"/>
      </w:pPr>
      <w:r>
        <w:continuationSeparator/>
      </w:r>
    </w:p>
  </w:footnote>
  <w:footnote w:id="1">
    <w:p w14:paraId="75655006" w14:textId="11CBDC8E" w:rsidR="000B60D5" w:rsidRPr="00995A0D" w:rsidRDefault="000B60D5" w:rsidP="000B60D5">
      <w:pPr>
        <w:pStyle w:val="FootnoteText"/>
        <w:spacing w:after="0"/>
        <w:ind w:right="-693"/>
        <w:rPr>
          <w:lang w:val="sq-AL"/>
        </w:rPr>
      </w:pPr>
      <w:r w:rsidRPr="00995A0D">
        <w:rPr>
          <w:rStyle w:val="FootnoteReference"/>
          <w:lang w:val="sq-AL"/>
        </w:rPr>
        <w:footnoteRef/>
      </w:r>
      <w:r w:rsidR="00D17585">
        <w:rPr>
          <w:lang w:val="sq-AL"/>
        </w:rPr>
        <w:t>Izvor</w:t>
      </w:r>
      <w:r w:rsidRPr="00995A0D">
        <w:rPr>
          <w:lang w:val="sq-AL"/>
        </w:rPr>
        <w:t xml:space="preserve">: Eurostat, </w:t>
      </w:r>
      <w:r>
        <w:fldChar w:fldCharType="begin"/>
      </w:r>
      <w:r>
        <w:instrText xml:space="preserve"> HYPERLINK "https://appsso.eurostat.ec.europa.eu/nui/submitViewTableAction.do" </w:instrText>
      </w:r>
      <w:r>
        <w:fldChar w:fldCharType="separate"/>
      </w:r>
      <w:r w:rsidRPr="00995A0D">
        <w:rPr>
          <w:lang w:val="sq-AL"/>
        </w:rPr>
        <w:t>https://appsso.eurostat.ec.europa.eu/nui/submitViewTableAction.do</w:t>
      </w:r>
      <w:r>
        <w:rPr>
          <w:lang w:val="sq-AL"/>
        </w:rPr>
        <w:fldChar w:fldCharType="end"/>
      </w:r>
      <w:r w:rsidRPr="00995A0D">
        <w:rPr>
          <w:lang w:val="sq-AL"/>
        </w:rPr>
        <w:t xml:space="preserve"> (</w:t>
      </w:r>
      <w:r w:rsidR="00D17585">
        <w:rPr>
          <w:lang w:val="sq-AL"/>
        </w:rPr>
        <w:t xml:space="preserve">posetili dana </w:t>
      </w:r>
      <w:r w:rsidRPr="00995A0D">
        <w:rPr>
          <w:lang w:val="sq-AL"/>
        </w:rPr>
        <w:t>27.01.2020)</w:t>
      </w:r>
    </w:p>
  </w:footnote>
  <w:footnote w:id="2">
    <w:p w14:paraId="6D690F80" w14:textId="02303742" w:rsidR="00193AA8" w:rsidRPr="00995A0D" w:rsidRDefault="00193AA8" w:rsidP="00F815F2">
      <w:pPr>
        <w:pStyle w:val="FootnoteText"/>
        <w:spacing w:after="0"/>
        <w:rPr>
          <w:lang w:val="sq-AL"/>
        </w:rPr>
      </w:pPr>
      <w:r w:rsidRPr="00995A0D">
        <w:rPr>
          <w:rStyle w:val="FootnoteReference"/>
          <w:lang w:val="sq-AL"/>
        </w:rPr>
        <w:footnoteRef/>
      </w:r>
      <w:r w:rsidRPr="00995A0D">
        <w:rPr>
          <w:lang w:val="sq-AL"/>
        </w:rPr>
        <w:t xml:space="preserve"> </w:t>
      </w:r>
      <w:r w:rsidR="00D17585" w:rsidRPr="00D17585">
        <w:rPr>
          <w:lang w:val="sq-AL"/>
        </w:rPr>
        <w:t xml:space="preserve">Prema Dozvoljenim Periodičnim Pregledom </w:t>
      </w:r>
      <w:r w:rsidR="00D17585">
        <w:rPr>
          <w:lang w:val="sq-AL"/>
        </w:rPr>
        <w:t>2018-2022 link</w:t>
      </w:r>
      <w:r w:rsidRPr="00995A0D">
        <w:rPr>
          <w:lang w:val="sq-AL"/>
        </w:rPr>
        <w:t>:</w:t>
      </w:r>
    </w:p>
    <w:p w14:paraId="72848F7E" w14:textId="77777777" w:rsidR="00193AA8" w:rsidRPr="00966ECD" w:rsidRDefault="00193AA8" w:rsidP="00F815F2">
      <w:pPr>
        <w:pStyle w:val="FootnoteText"/>
        <w:spacing w:after="0"/>
        <w:rPr>
          <w:lang w:val="en-US"/>
        </w:rPr>
      </w:pPr>
      <w:r w:rsidRPr="00995A0D">
        <w:rPr>
          <w:lang w:val="sq-AL"/>
        </w:rPr>
        <w:t xml:space="preserve"> http://ero-ks.org/2018/Raportet/Pergjigje%20ndaj%20komenteve%20te%20KOSTT_PRR2_final.pdf</w:t>
      </w:r>
    </w:p>
  </w:footnote>
  <w:footnote w:id="3">
    <w:p w14:paraId="6281C77D" w14:textId="0752559A" w:rsidR="00193AA8" w:rsidRPr="000F24A8" w:rsidRDefault="00193AA8" w:rsidP="00F815F2">
      <w:pPr>
        <w:pStyle w:val="FootnoteText"/>
        <w:rPr>
          <w:rFonts w:ascii="Arial" w:hAnsi="Arial"/>
          <w:lang w:val="sq-AL"/>
        </w:rPr>
      </w:pPr>
      <w:r>
        <w:rPr>
          <w:rStyle w:val="FootnoteReference"/>
        </w:rPr>
        <w:footnoteRef/>
      </w:r>
      <w:r>
        <w:t xml:space="preserve"> </w:t>
      </w:r>
      <w:proofErr w:type="spellStart"/>
      <w:r w:rsidR="00504082" w:rsidRPr="00504082">
        <w:rPr>
          <w:szCs w:val="20"/>
        </w:rPr>
        <w:t>Ovi</w:t>
      </w:r>
      <w:proofErr w:type="spellEnd"/>
      <w:r w:rsidR="00504082" w:rsidRPr="00504082">
        <w:rPr>
          <w:szCs w:val="20"/>
        </w:rPr>
        <w:t xml:space="preserve"> </w:t>
      </w:r>
      <w:proofErr w:type="spellStart"/>
      <w:r w:rsidR="00504082" w:rsidRPr="00504082">
        <w:rPr>
          <w:szCs w:val="20"/>
        </w:rPr>
        <w:t>troškovi</w:t>
      </w:r>
      <w:proofErr w:type="spellEnd"/>
      <w:r w:rsidR="00504082" w:rsidRPr="00504082">
        <w:rPr>
          <w:szCs w:val="20"/>
        </w:rPr>
        <w:t xml:space="preserve"> </w:t>
      </w:r>
      <w:proofErr w:type="spellStart"/>
      <w:r w:rsidR="00504082" w:rsidRPr="00504082">
        <w:rPr>
          <w:szCs w:val="20"/>
        </w:rPr>
        <w:t>su</w:t>
      </w:r>
      <w:proofErr w:type="spellEnd"/>
      <w:r w:rsidR="00504082" w:rsidRPr="00504082">
        <w:rPr>
          <w:szCs w:val="20"/>
        </w:rPr>
        <w:t xml:space="preserve"> </w:t>
      </w:r>
      <w:proofErr w:type="spellStart"/>
      <w:r w:rsidR="00504082" w:rsidRPr="00504082">
        <w:rPr>
          <w:szCs w:val="20"/>
        </w:rPr>
        <w:t>deo</w:t>
      </w:r>
      <w:proofErr w:type="spellEnd"/>
      <w:r w:rsidR="00504082" w:rsidRPr="00504082">
        <w:rPr>
          <w:szCs w:val="20"/>
        </w:rPr>
        <w:t xml:space="preserve"> </w:t>
      </w:r>
      <w:proofErr w:type="spellStart"/>
      <w:r w:rsidR="00504082" w:rsidRPr="00504082">
        <w:rPr>
          <w:szCs w:val="20"/>
        </w:rPr>
        <w:t>ukupnih</w:t>
      </w:r>
      <w:proofErr w:type="spellEnd"/>
      <w:r w:rsidR="00504082" w:rsidRPr="00504082">
        <w:rPr>
          <w:szCs w:val="20"/>
        </w:rPr>
        <w:t xml:space="preserve"> </w:t>
      </w:r>
      <w:proofErr w:type="spellStart"/>
      <w:r w:rsidR="00504082" w:rsidRPr="00504082">
        <w:rPr>
          <w:szCs w:val="20"/>
        </w:rPr>
        <w:t>ažuriranja</w:t>
      </w:r>
      <w:proofErr w:type="spellEnd"/>
      <w:r w:rsidR="00504082" w:rsidRPr="00504082">
        <w:rPr>
          <w:szCs w:val="20"/>
        </w:rPr>
        <w:t xml:space="preserve"> </w:t>
      </w:r>
      <w:proofErr w:type="spellStart"/>
      <w:r w:rsidR="00504082" w:rsidRPr="00504082">
        <w:rPr>
          <w:szCs w:val="20"/>
        </w:rPr>
        <w:t>i</w:t>
      </w:r>
      <w:proofErr w:type="spellEnd"/>
      <w:r w:rsidR="00504082" w:rsidRPr="00504082">
        <w:rPr>
          <w:szCs w:val="20"/>
        </w:rPr>
        <w:t xml:space="preserve"> </w:t>
      </w:r>
      <w:proofErr w:type="spellStart"/>
      <w:r w:rsidR="00504082" w:rsidRPr="00504082">
        <w:rPr>
          <w:szCs w:val="20"/>
        </w:rPr>
        <w:t>odražavaju</w:t>
      </w:r>
      <w:proofErr w:type="spellEnd"/>
      <w:r w:rsidR="00504082" w:rsidRPr="00504082">
        <w:rPr>
          <w:szCs w:val="20"/>
        </w:rPr>
        <w:t xml:space="preserve"> se u MAR -u </w:t>
      </w:r>
      <w:proofErr w:type="spellStart"/>
      <w:r w:rsidR="00504082" w:rsidRPr="00504082">
        <w:rPr>
          <w:szCs w:val="20"/>
        </w:rPr>
        <w:t>godine</w:t>
      </w:r>
      <w:proofErr w:type="spellEnd"/>
      <w:r w:rsidR="00504082" w:rsidRPr="00504082">
        <w:rPr>
          <w:szCs w:val="20"/>
        </w:rPr>
        <w:t xml:space="preserve"> </w:t>
      </w:r>
      <w:r w:rsidRPr="00504082">
        <w:rPr>
          <w:szCs w:val="20"/>
          <w:lang w:val="sq-AL"/>
        </w:rPr>
        <w:t>2020.</w:t>
      </w:r>
      <w:r w:rsidRPr="000F24A8">
        <w:rPr>
          <w:lang w:val="sq-AL"/>
        </w:rPr>
        <w:t xml:space="preserve">  </w:t>
      </w:r>
    </w:p>
  </w:footnote>
  <w:footnote w:id="4">
    <w:p w14:paraId="27CEE3D9" w14:textId="506C16A4" w:rsidR="00193AA8" w:rsidRPr="001471C5" w:rsidRDefault="00193AA8" w:rsidP="00C563BD">
      <w:pPr>
        <w:pStyle w:val="FootnoteText"/>
        <w:rPr>
          <w:lang w:val="sq-AL"/>
        </w:rPr>
      </w:pPr>
      <w:r>
        <w:rPr>
          <w:rStyle w:val="FootnoteReference"/>
        </w:rPr>
        <w:footnoteRef/>
      </w:r>
      <w:r>
        <w:t xml:space="preserve"> </w:t>
      </w:r>
      <w:proofErr w:type="spellStart"/>
      <w:r w:rsidR="002F7E75">
        <w:t>Uskla</w:t>
      </w:r>
      <w:r w:rsidR="002F7E75" w:rsidRPr="002F7E75">
        <w:t>đeno</w:t>
      </w:r>
      <w:proofErr w:type="spellEnd"/>
      <w:r w:rsidR="002F7E75" w:rsidRPr="002F7E75">
        <w:t xml:space="preserve"> </w:t>
      </w:r>
      <w:proofErr w:type="spellStart"/>
      <w:r w:rsidR="002F7E75" w:rsidRPr="002F7E75">
        <w:t>severnom</w:t>
      </w:r>
      <w:proofErr w:type="spellEnd"/>
      <w:r w:rsidR="002F7E75" w:rsidRPr="002F7E75">
        <w:t xml:space="preserve"> </w:t>
      </w:r>
      <w:proofErr w:type="spellStart"/>
      <w:r w:rsidR="002F7E75" w:rsidRPr="002F7E75">
        <w:t>opterećenju</w:t>
      </w:r>
      <w:proofErr w:type="spellEnd"/>
      <w:r w:rsidR="002F7E75" w:rsidRPr="002F7E7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9960" w14:textId="77777777" w:rsidR="00193AA8" w:rsidRDefault="00193AA8" w:rsidP="007D6036">
    <w:pPr>
      <w:pStyle w:val="Header"/>
      <w:ind w:left="-810"/>
      <w:jc w:val="center"/>
    </w:pPr>
    <w:r>
      <w:rPr>
        <w:noProof/>
        <w:lang w:val="en-US"/>
      </w:rPr>
      <w:drawing>
        <wp:inline distT="0" distB="0" distL="0" distR="0" wp14:anchorId="0C06ED0A" wp14:editId="00C06237">
          <wp:extent cx="5734050" cy="117475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34050" cy="11747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5F65" w14:textId="77777777" w:rsidR="00193AA8" w:rsidRPr="00DA0B5E" w:rsidRDefault="00193AA8" w:rsidP="00366EF2">
    <w:pPr>
      <w:pStyle w:val="Header"/>
      <w:ind w:left="-990"/>
      <w:rPr>
        <w:rFonts w:ascii="Arial" w:hAnsi="Arial"/>
        <w:color w:val="DF8D1D"/>
        <w:sz w:val="18"/>
        <w:lang w:val="sq-AL"/>
      </w:rPr>
    </w:pPr>
    <w:r>
      <w:object w:dxaOrig="1171" w:dyaOrig="1740" w14:anchorId="6F849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7.75pt" o:ole="">
          <v:imagedata r:id="rId1" o:title=""/>
        </v:shape>
        <o:OLEObject Type="Embed" ProgID="CorelDRAW.Graphic.14" ShapeID="_x0000_i1025" DrawAspect="Content" ObjectID="_169140584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D5297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47578"/>
    <w:multiLevelType w:val="multilevel"/>
    <w:tmpl w:val="4B4887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49165AC"/>
    <w:multiLevelType w:val="hybridMultilevel"/>
    <w:tmpl w:val="72606134"/>
    <w:lvl w:ilvl="0" w:tplc="4038083A">
      <w:start w:val="1"/>
      <w:numFmt w:val="bullet"/>
      <w:lvlText w:val=""/>
      <w:lvlJc w:val="left"/>
      <w:pPr>
        <w:tabs>
          <w:tab w:val="num" w:pos="720"/>
        </w:tabs>
        <w:ind w:left="720" w:hanging="360"/>
      </w:pPr>
      <w:rPr>
        <w:rFonts w:ascii="Wingdings" w:hAnsi="Wingdings" w:hint="default"/>
        <w:b w:val="0"/>
        <w:i w:val="0"/>
        <w:color w:val="003366"/>
        <w:sz w:val="22"/>
      </w:rPr>
    </w:lvl>
    <w:lvl w:ilvl="1" w:tplc="04090001">
      <w:start w:val="1"/>
      <w:numFmt w:val="bullet"/>
      <w:lvlText w:val=""/>
      <w:lvlJc w:val="left"/>
      <w:pPr>
        <w:tabs>
          <w:tab w:val="num" w:pos="1440"/>
        </w:tabs>
        <w:ind w:left="1440" w:hanging="360"/>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803403"/>
    <w:multiLevelType w:val="hybridMultilevel"/>
    <w:tmpl w:val="0E20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E74CD"/>
    <w:multiLevelType w:val="hybridMultilevel"/>
    <w:tmpl w:val="59BE5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513FE3"/>
    <w:multiLevelType w:val="hybridMultilevel"/>
    <w:tmpl w:val="2BA8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03CF5"/>
    <w:multiLevelType w:val="hybridMultilevel"/>
    <w:tmpl w:val="95207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DD1224"/>
    <w:multiLevelType w:val="multilevel"/>
    <w:tmpl w:val="451A4D0A"/>
    <w:lvl w:ilvl="0">
      <w:start w:val="17"/>
      <w:numFmt w:val="decimal"/>
      <w:pStyle w:val="ParagraphNumbering"/>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38221C55"/>
    <w:multiLevelType w:val="hybridMultilevel"/>
    <w:tmpl w:val="547806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5C6F91"/>
    <w:multiLevelType w:val="hybridMultilevel"/>
    <w:tmpl w:val="C95C8590"/>
    <w:lvl w:ilvl="0" w:tplc="4038083A">
      <w:start w:val="1"/>
      <w:numFmt w:val="bullet"/>
      <w:lvlText w:val=""/>
      <w:lvlJc w:val="left"/>
      <w:pPr>
        <w:ind w:left="810" w:hanging="360"/>
      </w:pPr>
      <w:rPr>
        <w:rFonts w:ascii="Wingdings" w:hAnsi="Wingdings" w:hint="default"/>
        <w:b w:val="0"/>
        <w:i w:val="0"/>
        <w:color w:val="0033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BD074F"/>
    <w:multiLevelType w:val="multilevel"/>
    <w:tmpl w:val="FDB83042"/>
    <w:lvl w:ilvl="0">
      <w:start w:val="1"/>
      <w:numFmt w:val="decimal"/>
      <w:pStyle w:val="Heading1"/>
      <w:lvlText w:val="%1"/>
      <w:lvlJc w:val="left"/>
      <w:pPr>
        <w:tabs>
          <w:tab w:val="num" w:pos="720"/>
        </w:tabs>
        <w:ind w:left="720" w:hanging="720"/>
      </w:pPr>
      <w:rPr>
        <w:rFonts w:ascii="Calibri" w:hAnsi="Calibri" w:hint="default"/>
        <w:b/>
        <w:i w:val="0"/>
        <w:sz w:val="28"/>
      </w:rPr>
    </w:lvl>
    <w:lvl w:ilvl="1">
      <w:start w:val="1"/>
      <w:numFmt w:val="decimal"/>
      <w:pStyle w:val="Heading2"/>
      <w:lvlText w:val="%1.%2"/>
      <w:lvlJc w:val="left"/>
      <w:pPr>
        <w:tabs>
          <w:tab w:val="num" w:pos="720"/>
        </w:tabs>
        <w:ind w:left="720" w:hanging="720"/>
      </w:pPr>
      <w:rPr>
        <w:rFonts w:ascii="Calibri" w:hAnsi="Calibri" w:hint="default"/>
        <w:b/>
        <w:i w:val="0"/>
        <w:sz w:val="24"/>
      </w:rPr>
    </w:lvl>
    <w:lvl w:ilvl="2">
      <w:start w:val="1"/>
      <w:numFmt w:val="decimal"/>
      <w:pStyle w:val="Heading3"/>
      <w:lvlText w:val="%1.%2.%3"/>
      <w:lvlJc w:val="left"/>
      <w:pPr>
        <w:tabs>
          <w:tab w:val="num" w:pos="1080"/>
        </w:tabs>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439E46CF"/>
    <w:multiLevelType w:val="hybridMultilevel"/>
    <w:tmpl w:val="7BD6373C"/>
    <w:lvl w:ilvl="0" w:tplc="4038083A">
      <w:start w:val="1"/>
      <w:numFmt w:val="bullet"/>
      <w:lvlText w:val=""/>
      <w:lvlJc w:val="left"/>
      <w:pPr>
        <w:ind w:left="720" w:hanging="360"/>
      </w:pPr>
      <w:rPr>
        <w:rFonts w:ascii="Wingdings" w:hAnsi="Wingdings" w:hint="default"/>
        <w:b w:val="0"/>
        <w:i w:val="0"/>
        <w:color w:val="0033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842C82"/>
    <w:multiLevelType w:val="hybridMultilevel"/>
    <w:tmpl w:val="8564DF4C"/>
    <w:lvl w:ilvl="0" w:tplc="04090001">
      <w:start w:val="1"/>
      <w:numFmt w:val="bullet"/>
      <w:lvlText w:val=""/>
      <w:lvlJc w:val="left"/>
      <w:pPr>
        <w:ind w:left="720" w:hanging="360"/>
      </w:pPr>
      <w:rPr>
        <w:rFonts w:ascii="Symbol" w:hAnsi="Symbol" w:hint="default"/>
      </w:rPr>
    </w:lvl>
    <w:lvl w:ilvl="1" w:tplc="179AB55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84135C"/>
    <w:multiLevelType w:val="hybridMultilevel"/>
    <w:tmpl w:val="B412B6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705FE2"/>
    <w:multiLevelType w:val="hybridMultilevel"/>
    <w:tmpl w:val="7DC8E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6015F9"/>
    <w:multiLevelType w:val="multilevel"/>
    <w:tmpl w:val="55E21FB6"/>
    <w:lvl w:ilvl="0">
      <w:start w:val="1"/>
      <w:numFmt w:val="decimal"/>
      <w:lvlText w:val="Schedule %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2"/>
      <w:lvlJc w:val="left"/>
      <w:pPr>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0"/>
        <w:u w:val="none" w:color="000000"/>
        <w:effect w:val="none"/>
        <w:vertAlign w:val="baseline"/>
        <w:em w:val="none"/>
      </w:rPr>
    </w:lvl>
    <w:lvl w:ilvl="2">
      <w:start w:val="1"/>
      <w:numFmt w:val="decimal"/>
      <w:lvlText w:val="%2.%3"/>
      <w:lvlJc w:val="left"/>
      <w:pPr>
        <w:ind w:left="1440" w:hanging="720"/>
      </w:pPr>
      <w:rPr>
        <w:rFonts w:ascii="Times New Roman" w:hAnsi="Times New Roman" w:hint="default"/>
        <w:b w:val="0"/>
        <w:i w:val="0"/>
        <w:sz w:val="22"/>
      </w:rPr>
    </w:lvl>
    <w:lvl w:ilvl="3">
      <w:start w:val="1"/>
      <w:numFmt w:val="lowerRoman"/>
      <w:lvlText w:val="(%4)"/>
      <w:lvlJc w:val="left"/>
      <w:pPr>
        <w:ind w:left="216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E453EA"/>
    <w:multiLevelType w:val="hybridMultilevel"/>
    <w:tmpl w:val="3392D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C66600"/>
    <w:multiLevelType w:val="hybridMultilevel"/>
    <w:tmpl w:val="C06C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675BCC"/>
    <w:multiLevelType w:val="multilevel"/>
    <w:tmpl w:val="8934106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
  </w:num>
  <w:num w:numId="3">
    <w:abstractNumId w:val="0"/>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5"/>
  </w:num>
  <w:num w:numId="9">
    <w:abstractNumId w:val="17"/>
  </w:num>
  <w:num w:numId="10">
    <w:abstractNumId w:val="14"/>
  </w:num>
  <w:num w:numId="11">
    <w:abstractNumId w:val="12"/>
  </w:num>
  <w:num w:numId="12">
    <w:abstractNumId w:val="4"/>
  </w:num>
  <w:num w:numId="13">
    <w:abstractNumId w:val="3"/>
  </w:num>
  <w:num w:numId="14">
    <w:abstractNumId w:val="8"/>
  </w:num>
  <w:num w:numId="15">
    <w:abstractNumId w:val="13"/>
  </w:num>
  <w:num w:numId="16">
    <w:abstractNumId w:val="11"/>
  </w:num>
  <w:num w:numId="17">
    <w:abstractNumId w:val="9"/>
  </w:num>
  <w:num w:numId="18">
    <w:abstractNumId w:val="10"/>
    <w:lvlOverride w:ilvl="0">
      <w:startOverride w:val="3"/>
    </w:lvlOverride>
  </w:num>
  <w:num w:numId="19">
    <w:abstractNumId w:val="1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
  </w:num>
  <w:num w:numId="24">
    <w:abstractNumId w:val="1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BD"/>
    <w:rsid w:val="00001C38"/>
    <w:rsid w:val="00010562"/>
    <w:rsid w:val="00013BA5"/>
    <w:rsid w:val="0001441A"/>
    <w:rsid w:val="000246AC"/>
    <w:rsid w:val="00025F04"/>
    <w:rsid w:val="00027C55"/>
    <w:rsid w:val="0003153C"/>
    <w:rsid w:val="000430F5"/>
    <w:rsid w:val="00045C69"/>
    <w:rsid w:val="000509C4"/>
    <w:rsid w:val="00067C94"/>
    <w:rsid w:val="000727D3"/>
    <w:rsid w:val="0007441E"/>
    <w:rsid w:val="0008227F"/>
    <w:rsid w:val="00084F51"/>
    <w:rsid w:val="000864DD"/>
    <w:rsid w:val="00093103"/>
    <w:rsid w:val="000A0332"/>
    <w:rsid w:val="000A0C46"/>
    <w:rsid w:val="000B2AB1"/>
    <w:rsid w:val="000B36A0"/>
    <w:rsid w:val="000B39F7"/>
    <w:rsid w:val="000B5031"/>
    <w:rsid w:val="000B5C57"/>
    <w:rsid w:val="000B60D5"/>
    <w:rsid w:val="000C0082"/>
    <w:rsid w:val="000C6734"/>
    <w:rsid w:val="000D13E1"/>
    <w:rsid w:val="000D2D2A"/>
    <w:rsid w:val="000E4925"/>
    <w:rsid w:val="000F2414"/>
    <w:rsid w:val="000F241D"/>
    <w:rsid w:val="000F24A8"/>
    <w:rsid w:val="000F52C3"/>
    <w:rsid w:val="001003D6"/>
    <w:rsid w:val="00110A5E"/>
    <w:rsid w:val="00132C9C"/>
    <w:rsid w:val="0013675D"/>
    <w:rsid w:val="00136C14"/>
    <w:rsid w:val="00137A82"/>
    <w:rsid w:val="0014315E"/>
    <w:rsid w:val="001454F3"/>
    <w:rsid w:val="001471C5"/>
    <w:rsid w:val="001511D6"/>
    <w:rsid w:val="00156A64"/>
    <w:rsid w:val="00156B69"/>
    <w:rsid w:val="0016114E"/>
    <w:rsid w:val="00173E88"/>
    <w:rsid w:val="00177385"/>
    <w:rsid w:val="00187AD6"/>
    <w:rsid w:val="001930C2"/>
    <w:rsid w:val="00193864"/>
    <w:rsid w:val="00193977"/>
    <w:rsid w:val="00193AA8"/>
    <w:rsid w:val="001A4619"/>
    <w:rsid w:val="001A7286"/>
    <w:rsid w:val="001A758C"/>
    <w:rsid w:val="001B2F44"/>
    <w:rsid w:val="001B5B44"/>
    <w:rsid w:val="001B7F84"/>
    <w:rsid w:val="001C02F7"/>
    <w:rsid w:val="001C3595"/>
    <w:rsid w:val="001D246A"/>
    <w:rsid w:val="001D34E3"/>
    <w:rsid w:val="001D3DFD"/>
    <w:rsid w:val="001D6D68"/>
    <w:rsid w:val="001E48F2"/>
    <w:rsid w:val="001E4A16"/>
    <w:rsid w:val="001E633A"/>
    <w:rsid w:val="001F1C2E"/>
    <w:rsid w:val="001F26BF"/>
    <w:rsid w:val="00201EEC"/>
    <w:rsid w:val="0022032E"/>
    <w:rsid w:val="00220335"/>
    <w:rsid w:val="00223B01"/>
    <w:rsid w:val="00234F54"/>
    <w:rsid w:val="00236883"/>
    <w:rsid w:val="00240B8D"/>
    <w:rsid w:val="00240E9A"/>
    <w:rsid w:val="00243AC4"/>
    <w:rsid w:val="00265E2C"/>
    <w:rsid w:val="002678D0"/>
    <w:rsid w:val="002725C8"/>
    <w:rsid w:val="002756E9"/>
    <w:rsid w:val="00277524"/>
    <w:rsid w:val="00277861"/>
    <w:rsid w:val="002807C0"/>
    <w:rsid w:val="00284F9D"/>
    <w:rsid w:val="002857FC"/>
    <w:rsid w:val="00285EE4"/>
    <w:rsid w:val="0029323D"/>
    <w:rsid w:val="002B09E9"/>
    <w:rsid w:val="002B1129"/>
    <w:rsid w:val="002B3DA0"/>
    <w:rsid w:val="002C75AB"/>
    <w:rsid w:val="002D1ACF"/>
    <w:rsid w:val="002D26CF"/>
    <w:rsid w:val="002E73D0"/>
    <w:rsid w:val="002F09BD"/>
    <w:rsid w:val="002F2888"/>
    <w:rsid w:val="002F3FF8"/>
    <w:rsid w:val="002F4A59"/>
    <w:rsid w:val="002F53EA"/>
    <w:rsid w:val="002F7E75"/>
    <w:rsid w:val="00301C73"/>
    <w:rsid w:val="00311108"/>
    <w:rsid w:val="00314F8E"/>
    <w:rsid w:val="00327460"/>
    <w:rsid w:val="003312AF"/>
    <w:rsid w:val="003347DA"/>
    <w:rsid w:val="00334AF4"/>
    <w:rsid w:val="00335BC6"/>
    <w:rsid w:val="00336167"/>
    <w:rsid w:val="00336382"/>
    <w:rsid w:val="00345A64"/>
    <w:rsid w:val="00347EF9"/>
    <w:rsid w:val="00351F63"/>
    <w:rsid w:val="00353FF2"/>
    <w:rsid w:val="00355D35"/>
    <w:rsid w:val="003654E7"/>
    <w:rsid w:val="003659BD"/>
    <w:rsid w:val="00366EF2"/>
    <w:rsid w:val="00370BD7"/>
    <w:rsid w:val="00375410"/>
    <w:rsid w:val="00382A53"/>
    <w:rsid w:val="003954DE"/>
    <w:rsid w:val="003A0F05"/>
    <w:rsid w:val="003A1262"/>
    <w:rsid w:val="003C3C49"/>
    <w:rsid w:val="003C4F0D"/>
    <w:rsid w:val="003D1397"/>
    <w:rsid w:val="003D1F55"/>
    <w:rsid w:val="003D5FEB"/>
    <w:rsid w:val="003E1153"/>
    <w:rsid w:val="003E34BA"/>
    <w:rsid w:val="003E7F26"/>
    <w:rsid w:val="003F6A63"/>
    <w:rsid w:val="00400AAD"/>
    <w:rsid w:val="00403407"/>
    <w:rsid w:val="00413349"/>
    <w:rsid w:val="004147B1"/>
    <w:rsid w:val="00415BD8"/>
    <w:rsid w:val="004177E1"/>
    <w:rsid w:val="00450D0E"/>
    <w:rsid w:val="0046512B"/>
    <w:rsid w:val="00470E9F"/>
    <w:rsid w:val="004B1306"/>
    <w:rsid w:val="004B63FB"/>
    <w:rsid w:val="004C47C4"/>
    <w:rsid w:val="004C47E9"/>
    <w:rsid w:val="004C7F1F"/>
    <w:rsid w:val="004E47FE"/>
    <w:rsid w:val="004E512A"/>
    <w:rsid w:val="004F0E4F"/>
    <w:rsid w:val="004F52BB"/>
    <w:rsid w:val="004F52BF"/>
    <w:rsid w:val="005007E4"/>
    <w:rsid w:val="00504082"/>
    <w:rsid w:val="00513445"/>
    <w:rsid w:val="00513E54"/>
    <w:rsid w:val="00514B4E"/>
    <w:rsid w:val="005154F5"/>
    <w:rsid w:val="00520212"/>
    <w:rsid w:val="00520315"/>
    <w:rsid w:val="00527FDC"/>
    <w:rsid w:val="00531A83"/>
    <w:rsid w:val="0053290D"/>
    <w:rsid w:val="00536F9C"/>
    <w:rsid w:val="005404C1"/>
    <w:rsid w:val="00542218"/>
    <w:rsid w:val="0054317C"/>
    <w:rsid w:val="00546E14"/>
    <w:rsid w:val="005572CF"/>
    <w:rsid w:val="00561E58"/>
    <w:rsid w:val="0056204C"/>
    <w:rsid w:val="0056576C"/>
    <w:rsid w:val="00566ADE"/>
    <w:rsid w:val="005670AF"/>
    <w:rsid w:val="00570AEC"/>
    <w:rsid w:val="00571B9A"/>
    <w:rsid w:val="005729A4"/>
    <w:rsid w:val="00574793"/>
    <w:rsid w:val="00577651"/>
    <w:rsid w:val="005C1E00"/>
    <w:rsid w:val="005C4850"/>
    <w:rsid w:val="005C7EBB"/>
    <w:rsid w:val="005D2ABA"/>
    <w:rsid w:val="005D321F"/>
    <w:rsid w:val="005D54A4"/>
    <w:rsid w:val="005E269A"/>
    <w:rsid w:val="005F6030"/>
    <w:rsid w:val="00602CAA"/>
    <w:rsid w:val="006057DA"/>
    <w:rsid w:val="00610C81"/>
    <w:rsid w:val="00615183"/>
    <w:rsid w:val="00630ED8"/>
    <w:rsid w:val="006316A7"/>
    <w:rsid w:val="00632DAE"/>
    <w:rsid w:val="006335B9"/>
    <w:rsid w:val="00633713"/>
    <w:rsid w:val="00637DEE"/>
    <w:rsid w:val="00646630"/>
    <w:rsid w:val="006502BF"/>
    <w:rsid w:val="00651961"/>
    <w:rsid w:val="00653535"/>
    <w:rsid w:val="00653BDA"/>
    <w:rsid w:val="00664AAB"/>
    <w:rsid w:val="006719FD"/>
    <w:rsid w:val="00672537"/>
    <w:rsid w:val="006729CF"/>
    <w:rsid w:val="0067519F"/>
    <w:rsid w:val="0068007E"/>
    <w:rsid w:val="0069144B"/>
    <w:rsid w:val="006B0C3B"/>
    <w:rsid w:val="006B0C4D"/>
    <w:rsid w:val="006B5A69"/>
    <w:rsid w:val="006B72FB"/>
    <w:rsid w:val="006C0A20"/>
    <w:rsid w:val="006C1229"/>
    <w:rsid w:val="006C528A"/>
    <w:rsid w:val="006C57CA"/>
    <w:rsid w:val="006C5C51"/>
    <w:rsid w:val="006C6357"/>
    <w:rsid w:val="006D00C8"/>
    <w:rsid w:val="006E074A"/>
    <w:rsid w:val="006E3D8D"/>
    <w:rsid w:val="006E5C2D"/>
    <w:rsid w:val="006F1778"/>
    <w:rsid w:val="006F34AF"/>
    <w:rsid w:val="007011D2"/>
    <w:rsid w:val="007105BA"/>
    <w:rsid w:val="007163C7"/>
    <w:rsid w:val="007226FE"/>
    <w:rsid w:val="00722DE6"/>
    <w:rsid w:val="00732E9B"/>
    <w:rsid w:val="00735BB4"/>
    <w:rsid w:val="00736EED"/>
    <w:rsid w:val="0074646A"/>
    <w:rsid w:val="00751076"/>
    <w:rsid w:val="00755829"/>
    <w:rsid w:val="007566D5"/>
    <w:rsid w:val="00757CEC"/>
    <w:rsid w:val="00763DC2"/>
    <w:rsid w:val="00764191"/>
    <w:rsid w:val="00764E48"/>
    <w:rsid w:val="00771BD4"/>
    <w:rsid w:val="007768AD"/>
    <w:rsid w:val="00777932"/>
    <w:rsid w:val="007779A5"/>
    <w:rsid w:val="00780389"/>
    <w:rsid w:val="0078095E"/>
    <w:rsid w:val="00782E58"/>
    <w:rsid w:val="007853BD"/>
    <w:rsid w:val="00787445"/>
    <w:rsid w:val="00795781"/>
    <w:rsid w:val="00796658"/>
    <w:rsid w:val="007A3202"/>
    <w:rsid w:val="007A6DDB"/>
    <w:rsid w:val="007D3F1B"/>
    <w:rsid w:val="007D43A1"/>
    <w:rsid w:val="007D5818"/>
    <w:rsid w:val="007D6036"/>
    <w:rsid w:val="007E172E"/>
    <w:rsid w:val="007F0E24"/>
    <w:rsid w:val="007F454D"/>
    <w:rsid w:val="007F7C63"/>
    <w:rsid w:val="00800DF4"/>
    <w:rsid w:val="00801EF8"/>
    <w:rsid w:val="00802C5D"/>
    <w:rsid w:val="00810CB8"/>
    <w:rsid w:val="00814FBB"/>
    <w:rsid w:val="00821F08"/>
    <w:rsid w:val="00825E63"/>
    <w:rsid w:val="0083125C"/>
    <w:rsid w:val="00853E83"/>
    <w:rsid w:val="00863F08"/>
    <w:rsid w:val="00867D16"/>
    <w:rsid w:val="00882B1A"/>
    <w:rsid w:val="00887140"/>
    <w:rsid w:val="0089635A"/>
    <w:rsid w:val="0089662A"/>
    <w:rsid w:val="008A09D4"/>
    <w:rsid w:val="008B226A"/>
    <w:rsid w:val="008B33F1"/>
    <w:rsid w:val="008B3D43"/>
    <w:rsid w:val="008C1674"/>
    <w:rsid w:val="008C7D33"/>
    <w:rsid w:val="008D5C12"/>
    <w:rsid w:val="008D69F6"/>
    <w:rsid w:val="008E05E7"/>
    <w:rsid w:val="008E3CEF"/>
    <w:rsid w:val="008F133E"/>
    <w:rsid w:val="008F2A8D"/>
    <w:rsid w:val="008F6398"/>
    <w:rsid w:val="00905B3F"/>
    <w:rsid w:val="00914444"/>
    <w:rsid w:val="00916661"/>
    <w:rsid w:val="00917510"/>
    <w:rsid w:val="00917513"/>
    <w:rsid w:val="00925225"/>
    <w:rsid w:val="00934368"/>
    <w:rsid w:val="009513E8"/>
    <w:rsid w:val="00953A22"/>
    <w:rsid w:val="009561D2"/>
    <w:rsid w:val="009562B2"/>
    <w:rsid w:val="009651D1"/>
    <w:rsid w:val="00966518"/>
    <w:rsid w:val="00966F6F"/>
    <w:rsid w:val="00971279"/>
    <w:rsid w:val="00971C65"/>
    <w:rsid w:val="00977162"/>
    <w:rsid w:val="0098220F"/>
    <w:rsid w:val="00982CD7"/>
    <w:rsid w:val="009846F0"/>
    <w:rsid w:val="00990F6D"/>
    <w:rsid w:val="0099332D"/>
    <w:rsid w:val="00995A0D"/>
    <w:rsid w:val="009A2D41"/>
    <w:rsid w:val="009B0B66"/>
    <w:rsid w:val="009B1C77"/>
    <w:rsid w:val="009B30BA"/>
    <w:rsid w:val="009B71A4"/>
    <w:rsid w:val="009C0BD5"/>
    <w:rsid w:val="009C1055"/>
    <w:rsid w:val="009C12A4"/>
    <w:rsid w:val="009C1A0D"/>
    <w:rsid w:val="009C2FC0"/>
    <w:rsid w:val="009C4F5E"/>
    <w:rsid w:val="009E094D"/>
    <w:rsid w:val="009E6989"/>
    <w:rsid w:val="009F56CB"/>
    <w:rsid w:val="009F5CF9"/>
    <w:rsid w:val="009F78FD"/>
    <w:rsid w:val="00A147B5"/>
    <w:rsid w:val="00A15717"/>
    <w:rsid w:val="00A15839"/>
    <w:rsid w:val="00A2651E"/>
    <w:rsid w:val="00A3350C"/>
    <w:rsid w:val="00A406A2"/>
    <w:rsid w:val="00A40EA7"/>
    <w:rsid w:val="00A44D20"/>
    <w:rsid w:val="00A450CD"/>
    <w:rsid w:val="00A46AFB"/>
    <w:rsid w:val="00A531FF"/>
    <w:rsid w:val="00A652F5"/>
    <w:rsid w:val="00A700B1"/>
    <w:rsid w:val="00A700FD"/>
    <w:rsid w:val="00A73E46"/>
    <w:rsid w:val="00A7477D"/>
    <w:rsid w:val="00A75056"/>
    <w:rsid w:val="00A81895"/>
    <w:rsid w:val="00A852C2"/>
    <w:rsid w:val="00A85FFA"/>
    <w:rsid w:val="00A976AC"/>
    <w:rsid w:val="00AA5A6E"/>
    <w:rsid w:val="00AB57EE"/>
    <w:rsid w:val="00AC36E1"/>
    <w:rsid w:val="00AD000F"/>
    <w:rsid w:val="00AD0EC2"/>
    <w:rsid w:val="00AF0767"/>
    <w:rsid w:val="00AF3492"/>
    <w:rsid w:val="00AF758A"/>
    <w:rsid w:val="00B00141"/>
    <w:rsid w:val="00B06D9B"/>
    <w:rsid w:val="00B10351"/>
    <w:rsid w:val="00B2210C"/>
    <w:rsid w:val="00B254DC"/>
    <w:rsid w:val="00B26E14"/>
    <w:rsid w:val="00B30A85"/>
    <w:rsid w:val="00B328AC"/>
    <w:rsid w:val="00B33F0C"/>
    <w:rsid w:val="00B36ABC"/>
    <w:rsid w:val="00B37E84"/>
    <w:rsid w:val="00B42D12"/>
    <w:rsid w:val="00B5297E"/>
    <w:rsid w:val="00B5734B"/>
    <w:rsid w:val="00B60343"/>
    <w:rsid w:val="00B62BEB"/>
    <w:rsid w:val="00B6788D"/>
    <w:rsid w:val="00B70813"/>
    <w:rsid w:val="00B80164"/>
    <w:rsid w:val="00B93A16"/>
    <w:rsid w:val="00BA0CC8"/>
    <w:rsid w:val="00BA0D6F"/>
    <w:rsid w:val="00BA4B2C"/>
    <w:rsid w:val="00BB0169"/>
    <w:rsid w:val="00BB393A"/>
    <w:rsid w:val="00BB438A"/>
    <w:rsid w:val="00BB67D9"/>
    <w:rsid w:val="00BC42CD"/>
    <w:rsid w:val="00BE32A7"/>
    <w:rsid w:val="00BE546F"/>
    <w:rsid w:val="00BF0E8B"/>
    <w:rsid w:val="00BF3012"/>
    <w:rsid w:val="00BF7EB2"/>
    <w:rsid w:val="00C00E24"/>
    <w:rsid w:val="00C03DC7"/>
    <w:rsid w:val="00C0582A"/>
    <w:rsid w:val="00C12E63"/>
    <w:rsid w:val="00C20693"/>
    <w:rsid w:val="00C2145B"/>
    <w:rsid w:val="00C275AA"/>
    <w:rsid w:val="00C3500C"/>
    <w:rsid w:val="00C355F3"/>
    <w:rsid w:val="00C417D7"/>
    <w:rsid w:val="00C43B58"/>
    <w:rsid w:val="00C4488D"/>
    <w:rsid w:val="00C45216"/>
    <w:rsid w:val="00C549E2"/>
    <w:rsid w:val="00C55FC6"/>
    <w:rsid w:val="00C563BD"/>
    <w:rsid w:val="00C608F4"/>
    <w:rsid w:val="00C6298C"/>
    <w:rsid w:val="00C66CDD"/>
    <w:rsid w:val="00C729CF"/>
    <w:rsid w:val="00C74A04"/>
    <w:rsid w:val="00C82E8C"/>
    <w:rsid w:val="00C940D3"/>
    <w:rsid w:val="00C957A1"/>
    <w:rsid w:val="00C95D50"/>
    <w:rsid w:val="00CA020C"/>
    <w:rsid w:val="00CA5FB5"/>
    <w:rsid w:val="00CA60CC"/>
    <w:rsid w:val="00CA6770"/>
    <w:rsid w:val="00CB03CA"/>
    <w:rsid w:val="00CB15CA"/>
    <w:rsid w:val="00CB7D82"/>
    <w:rsid w:val="00CD2EFD"/>
    <w:rsid w:val="00CE7BEE"/>
    <w:rsid w:val="00CF5D16"/>
    <w:rsid w:val="00CF7B05"/>
    <w:rsid w:val="00D00000"/>
    <w:rsid w:val="00D0643B"/>
    <w:rsid w:val="00D13875"/>
    <w:rsid w:val="00D14FB8"/>
    <w:rsid w:val="00D17585"/>
    <w:rsid w:val="00D26115"/>
    <w:rsid w:val="00D339C6"/>
    <w:rsid w:val="00D36649"/>
    <w:rsid w:val="00D36D15"/>
    <w:rsid w:val="00D41FBE"/>
    <w:rsid w:val="00D43486"/>
    <w:rsid w:val="00D50B14"/>
    <w:rsid w:val="00D5314C"/>
    <w:rsid w:val="00D55216"/>
    <w:rsid w:val="00D56141"/>
    <w:rsid w:val="00D57D46"/>
    <w:rsid w:val="00D614E9"/>
    <w:rsid w:val="00D67548"/>
    <w:rsid w:val="00D67B32"/>
    <w:rsid w:val="00D73769"/>
    <w:rsid w:val="00D8461C"/>
    <w:rsid w:val="00D8688D"/>
    <w:rsid w:val="00D92A57"/>
    <w:rsid w:val="00D93C26"/>
    <w:rsid w:val="00D968E5"/>
    <w:rsid w:val="00DA2B38"/>
    <w:rsid w:val="00DA32B6"/>
    <w:rsid w:val="00DA721E"/>
    <w:rsid w:val="00DB6420"/>
    <w:rsid w:val="00DB738F"/>
    <w:rsid w:val="00DD5029"/>
    <w:rsid w:val="00DD5DC7"/>
    <w:rsid w:val="00DD6C80"/>
    <w:rsid w:val="00DD742B"/>
    <w:rsid w:val="00DE0514"/>
    <w:rsid w:val="00DE4CA6"/>
    <w:rsid w:val="00E10DCC"/>
    <w:rsid w:val="00E1493C"/>
    <w:rsid w:val="00E152CA"/>
    <w:rsid w:val="00E1702F"/>
    <w:rsid w:val="00E2331F"/>
    <w:rsid w:val="00E260D5"/>
    <w:rsid w:val="00E402FA"/>
    <w:rsid w:val="00E40420"/>
    <w:rsid w:val="00E4454A"/>
    <w:rsid w:val="00E44ED4"/>
    <w:rsid w:val="00E45ED1"/>
    <w:rsid w:val="00E5789B"/>
    <w:rsid w:val="00E62DF0"/>
    <w:rsid w:val="00E63143"/>
    <w:rsid w:val="00E7018C"/>
    <w:rsid w:val="00E72614"/>
    <w:rsid w:val="00E7350F"/>
    <w:rsid w:val="00E83C68"/>
    <w:rsid w:val="00E842F0"/>
    <w:rsid w:val="00E854BF"/>
    <w:rsid w:val="00E945BA"/>
    <w:rsid w:val="00E95952"/>
    <w:rsid w:val="00EA70E1"/>
    <w:rsid w:val="00EB6374"/>
    <w:rsid w:val="00EC060B"/>
    <w:rsid w:val="00EC0FD0"/>
    <w:rsid w:val="00EE5FAE"/>
    <w:rsid w:val="00EE69CA"/>
    <w:rsid w:val="00EF0D1A"/>
    <w:rsid w:val="00F12E11"/>
    <w:rsid w:val="00F1379E"/>
    <w:rsid w:val="00F17D1D"/>
    <w:rsid w:val="00F23B93"/>
    <w:rsid w:val="00F25657"/>
    <w:rsid w:val="00F30779"/>
    <w:rsid w:val="00F420E3"/>
    <w:rsid w:val="00F430FF"/>
    <w:rsid w:val="00F45C51"/>
    <w:rsid w:val="00F50784"/>
    <w:rsid w:val="00F57475"/>
    <w:rsid w:val="00F6034F"/>
    <w:rsid w:val="00F62C8F"/>
    <w:rsid w:val="00F64B7C"/>
    <w:rsid w:val="00F70D9C"/>
    <w:rsid w:val="00F74744"/>
    <w:rsid w:val="00F815F2"/>
    <w:rsid w:val="00F846E0"/>
    <w:rsid w:val="00F84F64"/>
    <w:rsid w:val="00F9112D"/>
    <w:rsid w:val="00F91E3A"/>
    <w:rsid w:val="00F93EC0"/>
    <w:rsid w:val="00F956C5"/>
    <w:rsid w:val="00FA0298"/>
    <w:rsid w:val="00FA362F"/>
    <w:rsid w:val="00FA532E"/>
    <w:rsid w:val="00FB3C9E"/>
    <w:rsid w:val="00FC4C9D"/>
    <w:rsid w:val="00FD4451"/>
    <w:rsid w:val="00FD4E9E"/>
    <w:rsid w:val="00FE021E"/>
    <w:rsid w:val="00FE03A4"/>
    <w:rsid w:val="00FE282D"/>
    <w:rsid w:val="00FE3C9D"/>
    <w:rsid w:val="00FF1593"/>
    <w:rsid w:val="00FF3BFC"/>
    <w:rsid w:val="00FF510E"/>
    <w:rsid w:val="00FF7475"/>
    <w:rsid w:val="00FF74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8A696"/>
  <w15:docId w15:val="{42FBF289-EA73-4F30-BFB1-BE2C2DAC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9BD"/>
    <w:pPr>
      <w:spacing w:after="200" w:line="276" w:lineRule="auto"/>
    </w:pPr>
    <w:rPr>
      <w:sz w:val="22"/>
      <w:szCs w:val="22"/>
      <w:lang w:val="sq-AL" w:eastAsia="en-US"/>
    </w:rPr>
  </w:style>
  <w:style w:type="paragraph" w:styleId="Heading1">
    <w:name w:val="heading 1"/>
    <w:basedOn w:val="Normal"/>
    <w:next w:val="Normal"/>
    <w:link w:val="Heading1Char"/>
    <w:uiPriority w:val="99"/>
    <w:qFormat/>
    <w:rsid w:val="002F09BD"/>
    <w:pPr>
      <w:keepNext/>
      <w:numPr>
        <w:numId w:val="1"/>
      </w:numPr>
      <w:spacing w:before="360"/>
      <w:outlineLvl w:val="0"/>
    </w:pPr>
    <w:rPr>
      <w:rFonts w:eastAsia="Times New Roman" w:cs="Arial"/>
      <w:b/>
      <w:bCs/>
      <w:color w:val="003366"/>
      <w:sz w:val="28"/>
      <w:szCs w:val="24"/>
      <w:lang w:val="en-GB"/>
    </w:rPr>
  </w:style>
  <w:style w:type="paragraph" w:styleId="Heading2">
    <w:name w:val="heading 2"/>
    <w:basedOn w:val="Normal"/>
    <w:next w:val="Normal"/>
    <w:link w:val="Heading2Char"/>
    <w:autoRedefine/>
    <w:uiPriority w:val="99"/>
    <w:qFormat/>
    <w:rsid w:val="0014315E"/>
    <w:pPr>
      <w:keepNext/>
      <w:numPr>
        <w:ilvl w:val="1"/>
        <w:numId w:val="1"/>
      </w:numPr>
      <w:autoSpaceDE w:val="0"/>
      <w:autoSpaceDN w:val="0"/>
      <w:adjustRightInd w:val="0"/>
      <w:spacing w:before="360"/>
      <w:jc w:val="both"/>
      <w:outlineLvl w:val="1"/>
    </w:pPr>
    <w:rPr>
      <w:rFonts w:eastAsia="Times New Roman" w:cs="Arial"/>
      <w:b/>
      <w:bCs/>
      <w:color w:val="003366"/>
      <w:sz w:val="24"/>
      <w:lang w:val="en-GB"/>
    </w:rPr>
  </w:style>
  <w:style w:type="paragraph" w:styleId="Heading3">
    <w:name w:val="heading 3"/>
    <w:basedOn w:val="Heading2"/>
    <w:next w:val="Normal"/>
    <w:link w:val="Heading3Char"/>
    <w:uiPriority w:val="99"/>
    <w:qFormat/>
    <w:rsid w:val="002F09BD"/>
    <w:pPr>
      <w:numPr>
        <w:ilvl w:val="2"/>
      </w:numPr>
      <w:tabs>
        <w:tab w:val="left" w:pos="2160"/>
      </w:tabs>
      <w:spacing w:after="120"/>
      <w:outlineLvl w:val="2"/>
    </w:pPr>
    <w:rPr>
      <w:i/>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09BD"/>
    <w:rPr>
      <w:rFonts w:eastAsia="Times New Roman" w:cs="Arial"/>
      <w:b/>
      <w:bCs/>
      <w:color w:val="003366"/>
      <w:sz w:val="28"/>
      <w:szCs w:val="24"/>
      <w:lang w:eastAsia="en-US"/>
    </w:rPr>
  </w:style>
  <w:style w:type="character" w:customStyle="1" w:styleId="Heading2Char">
    <w:name w:val="Heading 2 Char"/>
    <w:basedOn w:val="DefaultParagraphFont"/>
    <w:link w:val="Heading2"/>
    <w:uiPriority w:val="99"/>
    <w:rsid w:val="0014315E"/>
    <w:rPr>
      <w:rFonts w:eastAsia="Times New Roman" w:cs="Arial"/>
      <w:b/>
      <w:bCs/>
      <w:color w:val="003366"/>
      <w:sz w:val="24"/>
      <w:szCs w:val="22"/>
      <w:lang w:eastAsia="en-US"/>
    </w:rPr>
  </w:style>
  <w:style w:type="character" w:customStyle="1" w:styleId="Heading3Char">
    <w:name w:val="Heading 3 Char"/>
    <w:basedOn w:val="DefaultParagraphFont"/>
    <w:link w:val="Heading3"/>
    <w:uiPriority w:val="99"/>
    <w:rsid w:val="002F09BD"/>
    <w:rPr>
      <w:rFonts w:ascii="Calibri" w:eastAsia="Times New Roman" w:hAnsi="Calibri" w:cs="Arial"/>
      <w:b/>
      <w:bCs/>
      <w:i/>
      <w:color w:val="003366"/>
      <w:szCs w:val="20"/>
      <w:lang w:val="en-GB"/>
    </w:rPr>
  </w:style>
  <w:style w:type="paragraph" w:styleId="Header">
    <w:name w:val="header"/>
    <w:basedOn w:val="Normal"/>
    <w:link w:val="HeaderChar"/>
    <w:uiPriority w:val="99"/>
    <w:rsid w:val="002F09BD"/>
    <w:pPr>
      <w:tabs>
        <w:tab w:val="center" w:pos="4320"/>
        <w:tab w:val="right" w:pos="8640"/>
      </w:tabs>
      <w:spacing w:after="0" w:line="240" w:lineRule="auto"/>
      <w:jc w:val="both"/>
    </w:pPr>
    <w:rPr>
      <w:rFonts w:eastAsia="Times New Roman" w:cs="Arial"/>
      <w:b/>
      <w:color w:val="FFCC00"/>
      <w:szCs w:val="24"/>
      <w:lang w:val="en-GB"/>
    </w:rPr>
  </w:style>
  <w:style w:type="character" w:customStyle="1" w:styleId="HeaderChar">
    <w:name w:val="Header Char"/>
    <w:basedOn w:val="DefaultParagraphFont"/>
    <w:link w:val="Header"/>
    <w:uiPriority w:val="99"/>
    <w:rsid w:val="002F09BD"/>
    <w:rPr>
      <w:rFonts w:ascii="Calibri" w:eastAsia="Times New Roman" w:hAnsi="Calibri" w:cs="Arial"/>
      <w:b/>
      <w:color w:val="FFCC00"/>
      <w:szCs w:val="24"/>
      <w:lang w:val="en-GB"/>
    </w:rPr>
  </w:style>
  <w:style w:type="paragraph" w:styleId="Footer">
    <w:name w:val="footer"/>
    <w:basedOn w:val="Normal"/>
    <w:link w:val="FooterChar"/>
    <w:uiPriority w:val="99"/>
    <w:rsid w:val="002F09BD"/>
    <w:pPr>
      <w:tabs>
        <w:tab w:val="center" w:pos="4320"/>
        <w:tab w:val="right" w:pos="8640"/>
      </w:tabs>
      <w:jc w:val="both"/>
    </w:pPr>
    <w:rPr>
      <w:rFonts w:ascii="Arial" w:eastAsia="Times New Roman" w:hAnsi="Arial" w:cs="Arial"/>
      <w:szCs w:val="24"/>
      <w:lang w:val="en-GB"/>
    </w:rPr>
  </w:style>
  <w:style w:type="character" w:customStyle="1" w:styleId="FooterChar">
    <w:name w:val="Footer Char"/>
    <w:basedOn w:val="DefaultParagraphFont"/>
    <w:link w:val="Footer"/>
    <w:uiPriority w:val="99"/>
    <w:rsid w:val="002F09BD"/>
    <w:rPr>
      <w:rFonts w:ascii="Arial" w:eastAsia="Times New Roman" w:hAnsi="Arial" w:cs="Arial"/>
      <w:szCs w:val="24"/>
      <w:lang w:val="en-GB"/>
    </w:rPr>
  </w:style>
  <w:style w:type="character" w:styleId="PageNumber">
    <w:name w:val="page number"/>
    <w:basedOn w:val="DefaultParagraphFont"/>
    <w:uiPriority w:val="99"/>
    <w:rsid w:val="002F09BD"/>
    <w:rPr>
      <w:rFonts w:ascii="Calibri" w:hAnsi="Calibri"/>
      <w:sz w:val="18"/>
    </w:rPr>
  </w:style>
  <w:style w:type="paragraph" w:styleId="Title">
    <w:name w:val="Title"/>
    <w:basedOn w:val="Normal"/>
    <w:link w:val="TitleChar"/>
    <w:uiPriority w:val="99"/>
    <w:qFormat/>
    <w:rsid w:val="002F09BD"/>
    <w:pPr>
      <w:shd w:val="pct10" w:color="auto" w:fill="auto"/>
      <w:tabs>
        <w:tab w:val="center" w:pos="4320"/>
      </w:tabs>
      <w:spacing w:before="240"/>
    </w:pPr>
    <w:rPr>
      <w:rFonts w:eastAsia="Times New Roman" w:cs="Arial"/>
      <w:b/>
      <w:bCs/>
      <w:sz w:val="32"/>
      <w:szCs w:val="24"/>
    </w:rPr>
  </w:style>
  <w:style w:type="character" w:customStyle="1" w:styleId="TitleChar">
    <w:name w:val="Title Char"/>
    <w:basedOn w:val="DefaultParagraphFont"/>
    <w:link w:val="Title"/>
    <w:uiPriority w:val="99"/>
    <w:rsid w:val="002F09BD"/>
    <w:rPr>
      <w:rFonts w:ascii="Calibri" w:eastAsia="Times New Roman" w:hAnsi="Calibri" w:cs="Arial"/>
      <w:b/>
      <w:bCs/>
      <w:sz w:val="32"/>
      <w:szCs w:val="24"/>
      <w:shd w:val="pct10" w:color="auto" w:fill="auto"/>
      <w:lang w:val="sq-AL"/>
    </w:rPr>
  </w:style>
  <w:style w:type="paragraph" w:styleId="Caption">
    <w:name w:val="caption"/>
    <w:aliases w:val="Tabellen"/>
    <w:basedOn w:val="Normal"/>
    <w:next w:val="Normal"/>
    <w:uiPriority w:val="35"/>
    <w:qFormat/>
    <w:rsid w:val="002F09BD"/>
    <w:pPr>
      <w:keepNext/>
      <w:jc w:val="both"/>
    </w:pPr>
    <w:rPr>
      <w:rFonts w:eastAsia="Times New Roman" w:cs="Arial"/>
      <w:b/>
      <w:bCs/>
      <w:i/>
      <w:color w:val="003366"/>
      <w:szCs w:val="24"/>
      <w:lang w:val="en-GB"/>
    </w:rPr>
  </w:style>
  <w:style w:type="paragraph" w:styleId="FootnoteText">
    <w:name w:val="footnote text"/>
    <w:basedOn w:val="Normal"/>
    <w:link w:val="FootnoteTextChar"/>
    <w:uiPriority w:val="99"/>
    <w:rsid w:val="002F09BD"/>
    <w:pPr>
      <w:jc w:val="both"/>
    </w:pPr>
    <w:rPr>
      <w:rFonts w:eastAsia="Times New Roman" w:cs="Arial"/>
      <w:sz w:val="20"/>
      <w:szCs w:val="24"/>
      <w:lang w:val="en-GB"/>
    </w:rPr>
  </w:style>
  <w:style w:type="character" w:customStyle="1" w:styleId="FootnoteTextChar">
    <w:name w:val="Footnote Text Char"/>
    <w:basedOn w:val="DefaultParagraphFont"/>
    <w:link w:val="FootnoteText"/>
    <w:uiPriority w:val="99"/>
    <w:rsid w:val="002F09BD"/>
    <w:rPr>
      <w:rFonts w:ascii="Calibri" w:eastAsia="Times New Roman" w:hAnsi="Calibri" w:cs="Arial"/>
      <w:sz w:val="20"/>
      <w:szCs w:val="24"/>
      <w:lang w:val="en-GB"/>
    </w:rPr>
  </w:style>
  <w:style w:type="character" w:styleId="FootnoteReference">
    <w:name w:val="footnote reference"/>
    <w:basedOn w:val="DefaultParagraphFont"/>
    <w:uiPriority w:val="99"/>
    <w:rsid w:val="002F09BD"/>
    <w:rPr>
      <w:vertAlign w:val="superscript"/>
    </w:rPr>
  </w:style>
  <w:style w:type="character" w:styleId="Hyperlink">
    <w:name w:val="Hyperlink"/>
    <w:basedOn w:val="DefaultParagraphFont"/>
    <w:uiPriority w:val="99"/>
    <w:rsid w:val="002F09BD"/>
    <w:rPr>
      <w:color w:val="0000FF"/>
      <w:u w:val="single"/>
    </w:rPr>
  </w:style>
  <w:style w:type="paragraph" w:styleId="ListBullet">
    <w:name w:val="List Bullet"/>
    <w:basedOn w:val="Normal"/>
    <w:uiPriority w:val="99"/>
    <w:rsid w:val="002F09BD"/>
    <w:pPr>
      <w:numPr>
        <w:numId w:val="3"/>
      </w:numPr>
      <w:tabs>
        <w:tab w:val="clear" w:pos="360"/>
        <w:tab w:val="num" w:pos="720"/>
      </w:tabs>
      <w:ind w:left="720"/>
      <w:jc w:val="both"/>
    </w:pPr>
    <w:rPr>
      <w:rFonts w:eastAsia="Times New Roman" w:cs="Arial"/>
      <w:szCs w:val="24"/>
      <w:lang w:val="en-GB"/>
    </w:rPr>
  </w:style>
  <w:style w:type="paragraph" w:styleId="TOC1">
    <w:name w:val="toc 1"/>
    <w:basedOn w:val="Normal"/>
    <w:next w:val="Normal"/>
    <w:autoRedefine/>
    <w:uiPriority w:val="39"/>
    <w:rsid w:val="002F09BD"/>
    <w:pPr>
      <w:spacing w:before="200"/>
      <w:jc w:val="both"/>
    </w:pPr>
    <w:rPr>
      <w:rFonts w:eastAsia="Times New Roman" w:cs="Arial"/>
      <w:b/>
      <w:szCs w:val="24"/>
      <w:lang w:val="en-GB"/>
    </w:rPr>
  </w:style>
  <w:style w:type="paragraph" w:styleId="TOC2">
    <w:name w:val="toc 2"/>
    <w:basedOn w:val="Normal"/>
    <w:next w:val="Normal"/>
    <w:autoRedefine/>
    <w:uiPriority w:val="39"/>
    <w:rsid w:val="002F09BD"/>
    <w:pPr>
      <w:spacing w:after="100"/>
      <w:ind w:left="245"/>
      <w:jc w:val="both"/>
    </w:pPr>
    <w:rPr>
      <w:rFonts w:eastAsia="Times New Roman" w:cs="Arial"/>
      <w:szCs w:val="24"/>
      <w:lang w:val="en-GB"/>
    </w:rPr>
  </w:style>
  <w:style w:type="paragraph" w:styleId="ListParagraph">
    <w:name w:val="List Paragraph"/>
    <w:basedOn w:val="Normal"/>
    <w:uiPriority w:val="34"/>
    <w:qFormat/>
    <w:rsid w:val="002F09BD"/>
    <w:pPr>
      <w:ind w:left="720"/>
      <w:contextualSpacing/>
      <w:jc w:val="both"/>
    </w:pPr>
    <w:rPr>
      <w:rFonts w:eastAsia="Times New Roman" w:cs="Arial"/>
      <w:szCs w:val="24"/>
      <w:lang w:val="en-GB"/>
    </w:rPr>
  </w:style>
  <w:style w:type="paragraph" w:customStyle="1" w:styleId="TextS">
    <w:name w:val="TextS"/>
    <w:basedOn w:val="Normal"/>
    <w:link w:val="TextSChar"/>
    <w:qFormat/>
    <w:rsid w:val="002F09BD"/>
    <w:pPr>
      <w:spacing w:before="240" w:after="240" w:line="240" w:lineRule="auto"/>
      <w:ind w:left="720" w:hanging="720"/>
    </w:pPr>
    <w:rPr>
      <w:rFonts w:eastAsia="Times New Roman"/>
      <w:szCs w:val="24"/>
      <w:lang w:val="en-AU" w:eastAsia="en-GB"/>
    </w:rPr>
  </w:style>
  <w:style w:type="character" w:customStyle="1" w:styleId="TextSChar">
    <w:name w:val="TextS Char"/>
    <w:basedOn w:val="DefaultParagraphFont"/>
    <w:link w:val="TextS"/>
    <w:rsid w:val="002F09BD"/>
    <w:rPr>
      <w:rFonts w:ascii="Calibri" w:eastAsia="Times New Roman" w:hAnsi="Calibri" w:cs="Times New Roman"/>
      <w:szCs w:val="24"/>
      <w:lang w:val="en-AU" w:eastAsia="en-GB"/>
    </w:rPr>
  </w:style>
  <w:style w:type="paragraph" w:customStyle="1" w:styleId="Equation">
    <w:name w:val="Equation"/>
    <w:basedOn w:val="TextS"/>
    <w:link w:val="EquationChar"/>
    <w:qFormat/>
    <w:rsid w:val="002F09BD"/>
    <w:pPr>
      <w:ind w:left="2160" w:hanging="1440"/>
    </w:pPr>
    <w:rPr>
      <w:i/>
      <w:lang w:val="en-GB"/>
    </w:rPr>
  </w:style>
  <w:style w:type="character" w:customStyle="1" w:styleId="EquationChar">
    <w:name w:val="Equation Char"/>
    <w:basedOn w:val="TextSChar"/>
    <w:link w:val="Equation"/>
    <w:rsid w:val="002F09BD"/>
    <w:rPr>
      <w:rFonts w:ascii="Calibri" w:eastAsia="Times New Roman" w:hAnsi="Calibri" w:cs="Times New Roman"/>
      <w:i/>
      <w:szCs w:val="24"/>
      <w:lang w:val="en-GB" w:eastAsia="en-GB"/>
    </w:rPr>
  </w:style>
  <w:style w:type="paragraph" w:customStyle="1" w:styleId="ParagraphNumbering">
    <w:name w:val="Paragraph Numbering"/>
    <w:basedOn w:val="Normal"/>
    <w:rsid w:val="002F09BD"/>
    <w:pPr>
      <w:numPr>
        <w:numId w:val="6"/>
      </w:numPr>
      <w:jc w:val="both"/>
    </w:pPr>
    <w:rPr>
      <w:rFonts w:cs="Arial"/>
      <w:szCs w:val="20"/>
      <w:lang w:val="en-GB"/>
    </w:rPr>
  </w:style>
  <w:style w:type="paragraph" w:styleId="TOC3">
    <w:name w:val="toc 3"/>
    <w:basedOn w:val="Normal"/>
    <w:next w:val="Normal"/>
    <w:autoRedefine/>
    <w:uiPriority w:val="39"/>
    <w:semiHidden/>
    <w:unhideWhenUsed/>
    <w:rsid w:val="00F93EC0"/>
    <w:pPr>
      <w:spacing w:after="100"/>
      <w:ind w:left="440"/>
    </w:pPr>
  </w:style>
  <w:style w:type="character" w:styleId="FollowedHyperlink">
    <w:name w:val="FollowedHyperlink"/>
    <w:basedOn w:val="DefaultParagraphFont"/>
    <w:uiPriority w:val="99"/>
    <w:semiHidden/>
    <w:unhideWhenUsed/>
    <w:rsid w:val="00265E2C"/>
    <w:rPr>
      <w:color w:val="954F72"/>
      <w:u w:val="single"/>
    </w:rPr>
  </w:style>
  <w:style w:type="paragraph" w:styleId="BalloonText">
    <w:name w:val="Balloon Text"/>
    <w:basedOn w:val="Normal"/>
    <w:link w:val="BalloonTextChar"/>
    <w:uiPriority w:val="99"/>
    <w:semiHidden/>
    <w:unhideWhenUsed/>
    <w:rsid w:val="00814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BB"/>
    <w:rPr>
      <w:rFonts w:ascii="Tahoma" w:hAnsi="Tahoma" w:cs="Tahoma"/>
      <w:sz w:val="16"/>
      <w:szCs w:val="16"/>
    </w:rPr>
  </w:style>
  <w:style w:type="character" w:styleId="CommentReference">
    <w:name w:val="annotation reference"/>
    <w:basedOn w:val="DefaultParagraphFont"/>
    <w:unhideWhenUsed/>
    <w:rsid w:val="00F846E0"/>
    <w:rPr>
      <w:sz w:val="16"/>
      <w:szCs w:val="16"/>
    </w:rPr>
  </w:style>
  <w:style w:type="paragraph" w:styleId="CommentText">
    <w:name w:val="annotation text"/>
    <w:basedOn w:val="Normal"/>
    <w:link w:val="CommentTextChar"/>
    <w:uiPriority w:val="99"/>
    <w:semiHidden/>
    <w:unhideWhenUsed/>
    <w:rsid w:val="00F846E0"/>
    <w:pPr>
      <w:spacing w:line="240" w:lineRule="auto"/>
    </w:pPr>
    <w:rPr>
      <w:sz w:val="20"/>
      <w:szCs w:val="20"/>
    </w:rPr>
  </w:style>
  <w:style w:type="character" w:customStyle="1" w:styleId="CommentTextChar">
    <w:name w:val="Comment Text Char"/>
    <w:basedOn w:val="DefaultParagraphFont"/>
    <w:link w:val="CommentText"/>
    <w:uiPriority w:val="99"/>
    <w:semiHidden/>
    <w:rsid w:val="00F846E0"/>
    <w:rPr>
      <w:sz w:val="20"/>
      <w:szCs w:val="20"/>
    </w:rPr>
  </w:style>
  <w:style w:type="paragraph" w:styleId="CommentSubject">
    <w:name w:val="annotation subject"/>
    <w:basedOn w:val="CommentText"/>
    <w:next w:val="CommentText"/>
    <w:link w:val="CommentSubjectChar"/>
    <w:uiPriority w:val="99"/>
    <w:semiHidden/>
    <w:unhideWhenUsed/>
    <w:rsid w:val="00F846E0"/>
    <w:rPr>
      <w:b/>
      <w:bCs/>
    </w:rPr>
  </w:style>
  <w:style w:type="character" w:customStyle="1" w:styleId="CommentSubjectChar">
    <w:name w:val="Comment Subject Char"/>
    <w:basedOn w:val="CommentTextChar"/>
    <w:link w:val="CommentSubject"/>
    <w:uiPriority w:val="99"/>
    <w:semiHidden/>
    <w:rsid w:val="00F846E0"/>
    <w:rPr>
      <w:b/>
      <w:bCs/>
      <w:sz w:val="20"/>
      <w:szCs w:val="20"/>
    </w:rPr>
  </w:style>
  <w:style w:type="paragraph" w:customStyle="1" w:styleId="HeadingS">
    <w:name w:val="Heading S"/>
    <w:basedOn w:val="Heading1"/>
    <w:next w:val="TextS"/>
    <w:qFormat/>
    <w:rsid w:val="002F2888"/>
    <w:pPr>
      <w:pageBreakBefore/>
      <w:numPr>
        <w:numId w:val="0"/>
      </w:numPr>
      <w:spacing w:before="480" w:after="480" w:line="312" w:lineRule="auto"/>
      <w:ind w:left="360" w:hanging="360"/>
      <w:jc w:val="center"/>
    </w:pPr>
    <w:rPr>
      <w:rFonts w:cs="Times New Roman"/>
      <w:bCs w:val="0"/>
      <w:caps/>
      <w:color w:val="auto"/>
      <w:sz w:val="22"/>
      <w:szCs w:val="22"/>
      <w:lang w:val="en-AU" w:eastAsia="en-GB"/>
    </w:rPr>
  </w:style>
  <w:style w:type="paragraph" w:styleId="Date">
    <w:name w:val="Date"/>
    <w:basedOn w:val="Normal"/>
    <w:next w:val="Normal"/>
    <w:link w:val="DateChar"/>
    <w:uiPriority w:val="99"/>
    <w:semiHidden/>
    <w:unhideWhenUsed/>
    <w:rsid w:val="002F2888"/>
    <w:rPr>
      <w:rFonts w:eastAsia="Calibri"/>
    </w:rPr>
  </w:style>
  <w:style w:type="character" w:customStyle="1" w:styleId="DateChar">
    <w:name w:val="Date Char"/>
    <w:basedOn w:val="DefaultParagraphFont"/>
    <w:link w:val="Date"/>
    <w:uiPriority w:val="99"/>
    <w:semiHidden/>
    <w:rsid w:val="002F2888"/>
    <w:rPr>
      <w:rFonts w:ascii="Calibri" w:eastAsia="Calibri" w:hAnsi="Calibri" w:cs="Times New Roman"/>
      <w:sz w:val="22"/>
      <w:szCs w:val="22"/>
    </w:rPr>
  </w:style>
  <w:style w:type="paragraph" w:customStyle="1" w:styleId="ReportTitle">
    <w:name w:val="Report Title"/>
    <w:basedOn w:val="Title"/>
    <w:link w:val="ReportTitleChar"/>
    <w:qFormat/>
    <w:rsid w:val="002F2888"/>
    <w:pPr>
      <w:shd w:val="clear" w:color="auto" w:fill="005D97"/>
      <w:spacing w:before="0" w:after="0"/>
      <w:jc w:val="center"/>
    </w:pPr>
    <w:rPr>
      <w:color w:val="8064A2"/>
      <w:sz w:val="48"/>
      <w:szCs w:val="40"/>
      <w:lang w:val="en-US"/>
    </w:rPr>
  </w:style>
  <w:style w:type="paragraph" w:customStyle="1" w:styleId="ReportSubTitle">
    <w:name w:val="Report SubTitle"/>
    <w:basedOn w:val="Title"/>
    <w:link w:val="ReportSubTitleChar"/>
    <w:qFormat/>
    <w:rsid w:val="002F2888"/>
    <w:pPr>
      <w:shd w:val="clear" w:color="auto" w:fill="005D97"/>
      <w:spacing w:before="0" w:after="0"/>
      <w:jc w:val="center"/>
    </w:pPr>
    <w:rPr>
      <w:color w:val="8064A2"/>
      <w:sz w:val="28"/>
      <w:lang w:val="en-US"/>
    </w:rPr>
  </w:style>
  <w:style w:type="character" w:customStyle="1" w:styleId="ReportTitleChar">
    <w:name w:val="Report Title Char"/>
    <w:basedOn w:val="TitleChar"/>
    <w:link w:val="ReportTitle"/>
    <w:rsid w:val="002F2888"/>
    <w:rPr>
      <w:rFonts w:ascii="Calibri" w:eastAsia="Times New Roman" w:hAnsi="Calibri" w:cs="Arial"/>
      <w:b/>
      <w:bCs/>
      <w:color w:val="8064A2"/>
      <w:sz w:val="48"/>
      <w:szCs w:val="40"/>
      <w:shd w:val="clear" w:color="auto" w:fill="005D97"/>
      <w:lang w:val="sq-AL"/>
    </w:rPr>
  </w:style>
  <w:style w:type="paragraph" w:customStyle="1" w:styleId="ReportDate">
    <w:name w:val="Report Date"/>
    <w:basedOn w:val="Normal"/>
    <w:link w:val="ReportDateChar"/>
    <w:qFormat/>
    <w:rsid w:val="002F2888"/>
    <w:pPr>
      <w:tabs>
        <w:tab w:val="left" w:pos="2175"/>
      </w:tabs>
      <w:jc w:val="center"/>
    </w:pPr>
    <w:rPr>
      <w:rFonts w:eastAsia="Calibri"/>
      <w:b/>
      <w:bCs/>
      <w:color w:val="005D97"/>
      <w:sz w:val="36"/>
      <w:szCs w:val="36"/>
    </w:rPr>
  </w:style>
  <w:style w:type="character" w:customStyle="1" w:styleId="ReportSubTitleChar">
    <w:name w:val="Report SubTitle Char"/>
    <w:basedOn w:val="TitleChar"/>
    <w:link w:val="ReportSubTitle"/>
    <w:rsid w:val="002F2888"/>
    <w:rPr>
      <w:rFonts w:ascii="Calibri" w:eastAsia="Times New Roman" w:hAnsi="Calibri" w:cs="Arial"/>
      <w:b/>
      <w:bCs/>
      <w:color w:val="8064A2"/>
      <w:sz w:val="28"/>
      <w:szCs w:val="24"/>
      <w:shd w:val="clear" w:color="auto" w:fill="005D97"/>
      <w:lang w:val="sq-AL"/>
    </w:rPr>
  </w:style>
  <w:style w:type="character" w:customStyle="1" w:styleId="ReportDateChar">
    <w:name w:val="Report Date Char"/>
    <w:basedOn w:val="DefaultParagraphFont"/>
    <w:link w:val="ReportDate"/>
    <w:rsid w:val="002F2888"/>
    <w:rPr>
      <w:rFonts w:ascii="Calibri" w:eastAsia="Calibri" w:hAnsi="Calibri" w:cs="Times New Roman"/>
      <w:b/>
      <w:bCs/>
      <w:color w:val="005D97"/>
      <w:sz w:val="36"/>
      <w:szCs w:val="36"/>
    </w:rPr>
  </w:style>
  <w:style w:type="paragraph" w:styleId="HTMLPreformatted">
    <w:name w:val="HTML Preformatted"/>
    <w:basedOn w:val="Normal"/>
    <w:link w:val="HTMLPreformattedChar"/>
    <w:uiPriority w:val="99"/>
    <w:unhideWhenUsed/>
    <w:rsid w:val="002F2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2888"/>
    <w:rPr>
      <w:rFonts w:ascii="Courier New" w:eastAsia="Times New Roman" w:hAnsi="Courier New" w:cs="Courier New"/>
    </w:rPr>
  </w:style>
  <w:style w:type="paragraph" w:styleId="BodyText">
    <w:name w:val="Body Text"/>
    <w:basedOn w:val="Normal"/>
    <w:link w:val="BodyTextChar"/>
    <w:rsid w:val="009B0B66"/>
    <w:pPr>
      <w:spacing w:after="180" w:line="280" w:lineRule="atLeast"/>
    </w:pPr>
    <w:rPr>
      <w:rFonts w:ascii="Times New Roman" w:hAnsi="Times New Roman"/>
      <w:sz w:val="24"/>
      <w:szCs w:val="24"/>
    </w:rPr>
  </w:style>
  <w:style w:type="character" w:customStyle="1" w:styleId="BodyTextChar">
    <w:name w:val="Body Text Char"/>
    <w:basedOn w:val="DefaultParagraphFont"/>
    <w:link w:val="BodyText"/>
    <w:rsid w:val="009B0B66"/>
    <w:rPr>
      <w:rFonts w:ascii="Times New Roman" w:hAnsi="Times New Roman"/>
      <w:sz w:val="24"/>
      <w:szCs w:val="24"/>
    </w:rPr>
  </w:style>
  <w:style w:type="table" w:styleId="TableGrid">
    <w:name w:val="Table Grid"/>
    <w:basedOn w:val="TableNormal"/>
    <w:uiPriority w:val="59"/>
    <w:rsid w:val="00F815F2"/>
    <w:rPr>
      <w:rFonts w:eastAsia="Times New Roman" w:cs="Calibri"/>
      <w:lang w:val="sq-A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rsid w:val="005729A4"/>
    <w:pPr>
      <w:suppressAutoHyphens/>
      <w:autoSpaceDN w:val="0"/>
      <w:textAlignment w:val="baseline"/>
    </w:pPr>
    <w:rPr>
      <w:rFonts w:eastAsia="Calibri"/>
      <w:sz w:val="22"/>
      <w:szCs w:val="22"/>
      <w:lang w:eastAsia="en-US"/>
    </w:rPr>
  </w:style>
  <w:style w:type="paragraph" w:styleId="Revision">
    <w:name w:val="Revision"/>
    <w:hidden/>
    <w:uiPriority w:val="99"/>
    <w:semiHidden/>
    <w:rsid w:val="00E1493C"/>
    <w:rPr>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5336">
      <w:bodyDiv w:val="1"/>
      <w:marLeft w:val="0"/>
      <w:marRight w:val="0"/>
      <w:marTop w:val="0"/>
      <w:marBottom w:val="0"/>
      <w:divBdr>
        <w:top w:val="none" w:sz="0" w:space="0" w:color="auto"/>
        <w:left w:val="none" w:sz="0" w:space="0" w:color="auto"/>
        <w:bottom w:val="none" w:sz="0" w:space="0" w:color="auto"/>
        <w:right w:val="none" w:sz="0" w:space="0" w:color="auto"/>
      </w:divBdr>
    </w:div>
    <w:div w:id="202837098">
      <w:bodyDiv w:val="1"/>
      <w:marLeft w:val="0"/>
      <w:marRight w:val="0"/>
      <w:marTop w:val="0"/>
      <w:marBottom w:val="0"/>
      <w:divBdr>
        <w:top w:val="none" w:sz="0" w:space="0" w:color="auto"/>
        <w:left w:val="none" w:sz="0" w:space="0" w:color="auto"/>
        <w:bottom w:val="none" w:sz="0" w:space="0" w:color="auto"/>
        <w:right w:val="none" w:sz="0" w:space="0" w:color="auto"/>
      </w:divBdr>
    </w:div>
    <w:div w:id="369721250">
      <w:bodyDiv w:val="1"/>
      <w:marLeft w:val="0"/>
      <w:marRight w:val="0"/>
      <w:marTop w:val="0"/>
      <w:marBottom w:val="0"/>
      <w:divBdr>
        <w:top w:val="none" w:sz="0" w:space="0" w:color="auto"/>
        <w:left w:val="none" w:sz="0" w:space="0" w:color="auto"/>
        <w:bottom w:val="none" w:sz="0" w:space="0" w:color="auto"/>
        <w:right w:val="none" w:sz="0" w:space="0" w:color="auto"/>
      </w:divBdr>
    </w:div>
    <w:div w:id="416943100">
      <w:bodyDiv w:val="1"/>
      <w:marLeft w:val="0"/>
      <w:marRight w:val="0"/>
      <w:marTop w:val="0"/>
      <w:marBottom w:val="0"/>
      <w:divBdr>
        <w:top w:val="none" w:sz="0" w:space="0" w:color="auto"/>
        <w:left w:val="none" w:sz="0" w:space="0" w:color="auto"/>
        <w:bottom w:val="none" w:sz="0" w:space="0" w:color="auto"/>
        <w:right w:val="none" w:sz="0" w:space="0" w:color="auto"/>
      </w:divBdr>
    </w:div>
    <w:div w:id="556471562">
      <w:bodyDiv w:val="1"/>
      <w:marLeft w:val="0"/>
      <w:marRight w:val="0"/>
      <w:marTop w:val="0"/>
      <w:marBottom w:val="0"/>
      <w:divBdr>
        <w:top w:val="none" w:sz="0" w:space="0" w:color="auto"/>
        <w:left w:val="none" w:sz="0" w:space="0" w:color="auto"/>
        <w:bottom w:val="none" w:sz="0" w:space="0" w:color="auto"/>
        <w:right w:val="none" w:sz="0" w:space="0" w:color="auto"/>
      </w:divBdr>
    </w:div>
    <w:div w:id="633414324">
      <w:bodyDiv w:val="1"/>
      <w:marLeft w:val="0"/>
      <w:marRight w:val="0"/>
      <w:marTop w:val="0"/>
      <w:marBottom w:val="0"/>
      <w:divBdr>
        <w:top w:val="none" w:sz="0" w:space="0" w:color="auto"/>
        <w:left w:val="none" w:sz="0" w:space="0" w:color="auto"/>
        <w:bottom w:val="none" w:sz="0" w:space="0" w:color="auto"/>
        <w:right w:val="none" w:sz="0" w:space="0" w:color="auto"/>
      </w:divBdr>
    </w:div>
    <w:div w:id="742219529">
      <w:bodyDiv w:val="1"/>
      <w:marLeft w:val="0"/>
      <w:marRight w:val="0"/>
      <w:marTop w:val="0"/>
      <w:marBottom w:val="0"/>
      <w:divBdr>
        <w:top w:val="none" w:sz="0" w:space="0" w:color="auto"/>
        <w:left w:val="none" w:sz="0" w:space="0" w:color="auto"/>
        <w:bottom w:val="none" w:sz="0" w:space="0" w:color="auto"/>
        <w:right w:val="none" w:sz="0" w:space="0" w:color="auto"/>
      </w:divBdr>
    </w:div>
    <w:div w:id="1055813712">
      <w:bodyDiv w:val="1"/>
      <w:marLeft w:val="0"/>
      <w:marRight w:val="0"/>
      <w:marTop w:val="0"/>
      <w:marBottom w:val="0"/>
      <w:divBdr>
        <w:top w:val="none" w:sz="0" w:space="0" w:color="auto"/>
        <w:left w:val="none" w:sz="0" w:space="0" w:color="auto"/>
        <w:bottom w:val="none" w:sz="0" w:space="0" w:color="auto"/>
        <w:right w:val="none" w:sz="0" w:space="0" w:color="auto"/>
      </w:divBdr>
    </w:div>
    <w:div w:id="1112935825">
      <w:bodyDiv w:val="1"/>
      <w:marLeft w:val="0"/>
      <w:marRight w:val="0"/>
      <w:marTop w:val="0"/>
      <w:marBottom w:val="0"/>
      <w:divBdr>
        <w:top w:val="none" w:sz="0" w:space="0" w:color="auto"/>
        <w:left w:val="none" w:sz="0" w:space="0" w:color="auto"/>
        <w:bottom w:val="none" w:sz="0" w:space="0" w:color="auto"/>
        <w:right w:val="none" w:sz="0" w:space="0" w:color="auto"/>
      </w:divBdr>
    </w:div>
    <w:div w:id="1146824267">
      <w:bodyDiv w:val="1"/>
      <w:marLeft w:val="0"/>
      <w:marRight w:val="0"/>
      <w:marTop w:val="0"/>
      <w:marBottom w:val="0"/>
      <w:divBdr>
        <w:top w:val="none" w:sz="0" w:space="0" w:color="auto"/>
        <w:left w:val="none" w:sz="0" w:space="0" w:color="auto"/>
        <w:bottom w:val="none" w:sz="0" w:space="0" w:color="auto"/>
        <w:right w:val="none" w:sz="0" w:space="0" w:color="auto"/>
      </w:divBdr>
    </w:div>
    <w:div w:id="1170439696">
      <w:bodyDiv w:val="1"/>
      <w:marLeft w:val="0"/>
      <w:marRight w:val="0"/>
      <w:marTop w:val="0"/>
      <w:marBottom w:val="0"/>
      <w:divBdr>
        <w:top w:val="none" w:sz="0" w:space="0" w:color="auto"/>
        <w:left w:val="none" w:sz="0" w:space="0" w:color="auto"/>
        <w:bottom w:val="none" w:sz="0" w:space="0" w:color="auto"/>
        <w:right w:val="none" w:sz="0" w:space="0" w:color="auto"/>
      </w:divBdr>
    </w:div>
    <w:div w:id="1246959235">
      <w:bodyDiv w:val="1"/>
      <w:marLeft w:val="0"/>
      <w:marRight w:val="0"/>
      <w:marTop w:val="0"/>
      <w:marBottom w:val="0"/>
      <w:divBdr>
        <w:top w:val="none" w:sz="0" w:space="0" w:color="auto"/>
        <w:left w:val="none" w:sz="0" w:space="0" w:color="auto"/>
        <w:bottom w:val="none" w:sz="0" w:space="0" w:color="auto"/>
        <w:right w:val="none" w:sz="0" w:space="0" w:color="auto"/>
      </w:divBdr>
    </w:div>
    <w:div w:id="1349796090">
      <w:bodyDiv w:val="1"/>
      <w:marLeft w:val="0"/>
      <w:marRight w:val="0"/>
      <w:marTop w:val="0"/>
      <w:marBottom w:val="0"/>
      <w:divBdr>
        <w:top w:val="none" w:sz="0" w:space="0" w:color="auto"/>
        <w:left w:val="none" w:sz="0" w:space="0" w:color="auto"/>
        <w:bottom w:val="none" w:sz="0" w:space="0" w:color="auto"/>
        <w:right w:val="none" w:sz="0" w:space="0" w:color="auto"/>
      </w:divBdr>
    </w:div>
    <w:div w:id="1429502530">
      <w:bodyDiv w:val="1"/>
      <w:marLeft w:val="0"/>
      <w:marRight w:val="0"/>
      <w:marTop w:val="0"/>
      <w:marBottom w:val="0"/>
      <w:divBdr>
        <w:top w:val="none" w:sz="0" w:space="0" w:color="auto"/>
        <w:left w:val="none" w:sz="0" w:space="0" w:color="auto"/>
        <w:bottom w:val="none" w:sz="0" w:space="0" w:color="auto"/>
        <w:right w:val="none" w:sz="0" w:space="0" w:color="auto"/>
      </w:divBdr>
    </w:div>
    <w:div w:id="1430658128">
      <w:bodyDiv w:val="1"/>
      <w:marLeft w:val="0"/>
      <w:marRight w:val="0"/>
      <w:marTop w:val="0"/>
      <w:marBottom w:val="0"/>
      <w:divBdr>
        <w:top w:val="none" w:sz="0" w:space="0" w:color="auto"/>
        <w:left w:val="none" w:sz="0" w:space="0" w:color="auto"/>
        <w:bottom w:val="none" w:sz="0" w:space="0" w:color="auto"/>
        <w:right w:val="none" w:sz="0" w:space="0" w:color="auto"/>
      </w:divBdr>
    </w:div>
    <w:div w:id="1459060477">
      <w:bodyDiv w:val="1"/>
      <w:marLeft w:val="0"/>
      <w:marRight w:val="0"/>
      <w:marTop w:val="0"/>
      <w:marBottom w:val="0"/>
      <w:divBdr>
        <w:top w:val="none" w:sz="0" w:space="0" w:color="auto"/>
        <w:left w:val="none" w:sz="0" w:space="0" w:color="auto"/>
        <w:bottom w:val="none" w:sz="0" w:space="0" w:color="auto"/>
        <w:right w:val="none" w:sz="0" w:space="0" w:color="auto"/>
      </w:divBdr>
    </w:div>
    <w:div w:id="1678801358">
      <w:bodyDiv w:val="1"/>
      <w:marLeft w:val="0"/>
      <w:marRight w:val="0"/>
      <w:marTop w:val="0"/>
      <w:marBottom w:val="0"/>
      <w:divBdr>
        <w:top w:val="none" w:sz="0" w:space="0" w:color="auto"/>
        <w:left w:val="none" w:sz="0" w:space="0" w:color="auto"/>
        <w:bottom w:val="none" w:sz="0" w:space="0" w:color="auto"/>
        <w:right w:val="none" w:sz="0" w:space="0" w:color="auto"/>
      </w:divBdr>
    </w:div>
    <w:div w:id="1729062698">
      <w:bodyDiv w:val="1"/>
      <w:marLeft w:val="0"/>
      <w:marRight w:val="0"/>
      <w:marTop w:val="0"/>
      <w:marBottom w:val="0"/>
      <w:divBdr>
        <w:top w:val="none" w:sz="0" w:space="0" w:color="auto"/>
        <w:left w:val="none" w:sz="0" w:space="0" w:color="auto"/>
        <w:bottom w:val="none" w:sz="0" w:space="0" w:color="auto"/>
        <w:right w:val="none" w:sz="0" w:space="0" w:color="auto"/>
      </w:divBdr>
    </w:div>
    <w:div w:id="1737508735">
      <w:bodyDiv w:val="1"/>
      <w:marLeft w:val="0"/>
      <w:marRight w:val="0"/>
      <w:marTop w:val="0"/>
      <w:marBottom w:val="0"/>
      <w:divBdr>
        <w:top w:val="none" w:sz="0" w:space="0" w:color="auto"/>
        <w:left w:val="none" w:sz="0" w:space="0" w:color="auto"/>
        <w:bottom w:val="none" w:sz="0" w:space="0" w:color="auto"/>
        <w:right w:val="none" w:sz="0" w:space="0" w:color="auto"/>
      </w:divBdr>
    </w:div>
    <w:div w:id="1741754908">
      <w:bodyDiv w:val="1"/>
      <w:marLeft w:val="0"/>
      <w:marRight w:val="0"/>
      <w:marTop w:val="0"/>
      <w:marBottom w:val="0"/>
      <w:divBdr>
        <w:top w:val="none" w:sz="0" w:space="0" w:color="auto"/>
        <w:left w:val="none" w:sz="0" w:space="0" w:color="auto"/>
        <w:bottom w:val="none" w:sz="0" w:space="0" w:color="auto"/>
        <w:right w:val="none" w:sz="0" w:space="0" w:color="auto"/>
      </w:divBdr>
    </w:div>
    <w:div w:id="1786270962">
      <w:bodyDiv w:val="1"/>
      <w:marLeft w:val="0"/>
      <w:marRight w:val="0"/>
      <w:marTop w:val="0"/>
      <w:marBottom w:val="0"/>
      <w:divBdr>
        <w:top w:val="none" w:sz="0" w:space="0" w:color="auto"/>
        <w:left w:val="none" w:sz="0" w:space="0" w:color="auto"/>
        <w:bottom w:val="none" w:sz="0" w:space="0" w:color="auto"/>
        <w:right w:val="none" w:sz="0" w:space="0" w:color="auto"/>
      </w:divBdr>
    </w:div>
    <w:div w:id="1802308718">
      <w:bodyDiv w:val="1"/>
      <w:marLeft w:val="0"/>
      <w:marRight w:val="0"/>
      <w:marTop w:val="0"/>
      <w:marBottom w:val="0"/>
      <w:divBdr>
        <w:top w:val="none" w:sz="0" w:space="0" w:color="auto"/>
        <w:left w:val="none" w:sz="0" w:space="0" w:color="auto"/>
        <w:bottom w:val="none" w:sz="0" w:space="0" w:color="auto"/>
        <w:right w:val="none" w:sz="0" w:space="0" w:color="auto"/>
      </w:divBdr>
    </w:div>
    <w:div w:id="1820264328">
      <w:bodyDiv w:val="1"/>
      <w:marLeft w:val="0"/>
      <w:marRight w:val="0"/>
      <w:marTop w:val="0"/>
      <w:marBottom w:val="0"/>
      <w:divBdr>
        <w:top w:val="none" w:sz="0" w:space="0" w:color="auto"/>
        <w:left w:val="none" w:sz="0" w:space="0" w:color="auto"/>
        <w:bottom w:val="none" w:sz="0" w:space="0" w:color="auto"/>
        <w:right w:val="none" w:sz="0" w:space="0" w:color="auto"/>
      </w:divBdr>
    </w:div>
    <w:div w:id="1830829460">
      <w:bodyDiv w:val="1"/>
      <w:marLeft w:val="0"/>
      <w:marRight w:val="0"/>
      <w:marTop w:val="0"/>
      <w:marBottom w:val="0"/>
      <w:divBdr>
        <w:top w:val="none" w:sz="0" w:space="0" w:color="auto"/>
        <w:left w:val="none" w:sz="0" w:space="0" w:color="auto"/>
        <w:bottom w:val="none" w:sz="0" w:space="0" w:color="auto"/>
        <w:right w:val="none" w:sz="0" w:space="0" w:color="auto"/>
      </w:divBdr>
    </w:div>
    <w:div w:id="2005354894">
      <w:bodyDiv w:val="1"/>
      <w:marLeft w:val="0"/>
      <w:marRight w:val="0"/>
      <w:marTop w:val="0"/>
      <w:marBottom w:val="0"/>
      <w:divBdr>
        <w:top w:val="none" w:sz="0" w:space="0" w:color="auto"/>
        <w:left w:val="none" w:sz="0" w:space="0" w:color="auto"/>
        <w:bottom w:val="none" w:sz="0" w:space="0" w:color="auto"/>
        <w:right w:val="none" w:sz="0" w:space="0" w:color="auto"/>
      </w:divBdr>
    </w:div>
    <w:div w:id="20632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A62AE-F829-4F9B-ADEE-6505D22E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3140</Words>
  <Characters>17997</Characters>
  <Application>Microsoft Office Word</Application>
  <DocSecurity>0</DocSecurity>
  <Lines>461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Fidan Isufi</dc:creator>
  <cp:lastModifiedBy>Alba Begolli</cp:lastModifiedBy>
  <cp:revision>87</cp:revision>
  <cp:lastPrinted>2017-03-01T10:10:00Z</cp:lastPrinted>
  <dcterms:created xsi:type="dcterms:W3CDTF">2021-08-25T06:32:00Z</dcterms:created>
  <dcterms:modified xsi:type="dcterms:W3CDTF">2021-08-25T12:10:00Z</dcterms:modified>
</cp:coreProperties>
</file>