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A8" w:rsidRPr="00AE3781" w:rsidRDefault="002A7EA8" w:rsidP="00D21F08">
      <w:pPr>
        <w:spacing w:line="276" w:lineRule="auto"/>
        <w:rPr>
          <w:rFonts w:cstheme="minorHAnsi"/>
          <w:lang w:val="sq-AL"/>
        </w:rPr>
      </w:pPr>
    </w:p>
    <w:p w:rsidR="00C17E9C" w:rsidRPr="00AE3781" w:rsidRDefault="00C17E9C" w:rsidP="00D21F08">
      <w:pPr>
        <w:spacing w:line="276" w:lineRule="auto"/>
        <w:rPr>
          <w:rFonts w:cstheme="minorHAnsi"/>
          <w:lang w:val="sq-AL"/>
        </w:rPr>
      </w:pPr>
    </w:p>
    <w:p w:rsidR="00C17E9C" w:rsidRPr="00AE3781" w:rsidRDefault="00C17E9C" w:rsidP="00D21F08">
      <w:pPr>
        <w:spacing w:line="276" w:lineRule="auto"/>
        <w:rPr>
          <w:rFonts w:cstheme="minorHAnsi"/>
          <w:lang w:val="sq-AL"/>
        </w:rPr>
      </w:pPr>
    </w:p>
    <w:p w:rsidR="00C17E9C" w:rsidRPr="00AE3781" w:rsidRDefault="00C17E9C" w:rsidP="00D21F08">
      <w:pPr>
        <w:spacing w:line="276" w:lineRule="auto"/>
        <w:rPr>
          <w:rFonts w:cstheme="minorHAnsi"/>
          <w:lang w:val="sq-AL"/>
        </w:rPr>
      </w:pPr>
    </w:p>
    <w:p w:rsidR="00C17E9C" w:rsidRPr="00AE3781" w:rsidRDefault="00C17E9C" w:rsidP="00D21F08">
      <w:pPr>
        <w:spacing w:line="276" w:lineRule="auto"/>
        <w:rPr>
          <w:rFonts w:cstheme="minorHAnsi"/>
          <w:lang w:val="sq-AL"/>
        </w:rPr>
      </w:pPr>
      <w:bookmarkStart w:id="0" w:name="_GoBack"/>
      <w:bookmarkEnd w:id="0"/>
    </w:p>
    <w:p w:rsidR="00C17E9C" w:rsidRPr="00AE3781" w:rsidRDefault="00C17E9C" w:rsidP="00D21F08">
      <w:pPr>
        <w:spacing w:line="276" w:lineRule="auto"/>
        <w:rPr>
          <w:rFonts w:cstheme="minorHAnsi"/>
          <w:lang w:val="sq-AL"/>
        </w:rPr>
      </w:pPr>
    </w:p>
    <w:p w:rsidR="00E63273" w:rsidRDefault="00E63273" w:rsidP="00CE37BF">
      <w:pPr>
        <w:spacing w:line="276" w:lineRule="auto"/>
        <w:jc w:val="center"/>
        <w:rPr>
          <w:rFonts w:cstheme="minorHAnsi"/>
          <w:lang w:val="sq-AL"/>
        </w:rPr>
      </w:pPr>
    </w:p>
    <w:p w:rsidR="00146231" w:rsidRPr="00CE37BF" w:rsidRDefault="00146231" w:rsidP="00CE37BF">
      <w:pPr>
        <w:spacing w:line="276" w:lineRule="auto"/>
        <w:jc w:val="center"/>
        <w:rPr>
          <w:rFonts w:cstheme="minorHAnsi"/>
          <w:b/>
          <w:sz w:val="32"/>
          <w:szCs w:val="32"/>
          <w:lang w:val="sq-AL"/>
        </w:rPr>
      </w:pPr>
      <w:r w:rsidRPr="00CE37BF">
        <w:rPr>
          <w:rFonts w:ascii="Calibri" w:hAnsi="Calibri" w:cs="Calibri"/>
          <w:b/>
          <w:sz w:val="32"/>
          <w:szCs w:val="32"/>
        </w:rPr>
        <w:t xml:space="preserve">PROPOZIMI I TË GJITHA TSO-VE KONTINENTALE EVROPIANE PËR RREGULLAT E PËRBASHKËTA TË BARAZIMIT PËRFUNDIMTAR PËR SHKËMBIMET E QËLLIMSHME TË ENERGJISË SI REZULTAT I PROCESIT TË RREGULLIMIT STABILIZUES TË FREKUENCËS DHE PERIODËS SË NDRYSHIMIT (RRITJE / ULJE) NË PËRPUTHJE ME NENIN 50 (3) TË RREGULLORES SË KOMISIONIT (BE) 2017/2195 TË 23 NËNTORIT </w:t>
      </w:r>
      <w:proofErr w:type="gramStart"/>
      <w:r w:rsidRPr="00CE37BF">
        <w:rPr>
          <w:rFonts w:ascii="Calibri" w:hAnsi="Calibri" w:cs="Calibri"/>
          <w:b/>
          <w:sz w:val="32"/>
          <w:szCs w:val="32"/>
        </w:rPr>
        <w:t>2017  QË</w:t>
      </w:r>
      <w:proofErr w:type="gramEnd"/>
      <w:r w:rsidRPr="00CE37BF">
        <w:rPr>
          <w:rFonts w:ascii="Calibri" w:hAnsi="Calibri" w:cs="Calibri"/>
          <w:b/>
          <w:sz w:val="32"/>
          <w:szCs w:val="32"/>
        </w:rPr>
        <w:t xml:space="preserve"> ËSHTË RREGULLORE UDHËZUESE MBI BALANCIMIN E ENERGJISË ELEKTRIKE</w:t>
      </w:r>
    </w:p>
    <w:p w:rsidR="00A30848" w:rsidRDefault="00A30848" w:rsidP="00CE37BF">
      <w:pPr>
        <w:spacing w:line="276" w:lineRule="auto"/>
        <w:jc w:val="center"/>
        <w:rPr>
          <w:rFonts w:cstheme="minorHAnsi"/>
          <w:lang w:val="sq-AL"/>
        </w:rPr>
      </w:pPr>
    </w:p>
    <w:p w:rsidR="00CE37BF" w:rsidRDefault="00CE37BF" w:rsidP="00D21F08">
      <w:pPr>
        <w:spacing w:line="276" w:lineRule="auto"/>
        <w:rPr>
          <w:rFonts w:cstheme="minorHAnsi"/>
          <w:lang w:val="sq-AL"/>
        </w:rPr>
      </w:pPr>
    </w:p>
    <w:p w:rsidR="00CE37BF" w:rsidRDefault="00CE37BF" w:rsidP="00CE37BF">
      <w:pPr>
        <w:spacing w:line="276" w:lineRule="auto"/>
        <w:jc w:val="both"/>
        <w:rPr>
          <w:rFonts w:cstheme="minorHAnsi"/>
          <w:lang w:val="sq-AL"/>
        </w:rPr>
      </w:pPr>
    </w:p>
    <w:p w:rsidR="00CE37BF" w:rsidRDefault="00CE37BF" w:rsidP="00D21F08">
      <w:pPr>
        <w:spacing w:line="276" w:lineRule="auto"/>
        <w:rPr>
          <w:rFonts w:cstheme="minorHAnsi"/>
          <w:lang w:val="sq-AL"/>
        </w:rPr>
      </w:pPr>
    </w:p>
    <w:p w:rsidR="00CE37BF" w:rsidRDefault="00CE37BF" w:rsidP="00D21F08">
      <w:pPr>
        <w:spacing w:line="276" w:lineRule="auto"/>
        <w:rPr>
          <w:rFonts w:cstheme="minorHAnsi"/>
          <w:lang w:val="sq-AL"/>
        </w:rPr>
      </w:pPr>
    </w:p>
    <w:p w:rsidR="00CE37BF" w:rsidRDefault="00CE37BF" w:rsidP="00D21F08">
      <w:pPr>
        <w:spacing w:line="276" w:lineRule="auto"/>
        <w:rPr>
          <w:rFonts w:cstheme="minorHAnsi"/>
          <w:lang w:val="sq-AL"/>
        </w:rPr>
      </w:pPr>
    </w:p>
    <w:p w:rsidR="00A30848" w:rsidRDefault="00A30848" w:rsidP="00D21F08">
      <w:pPr>
        <w:spacing w:line="276" w:lineRule="auto"/>
        <w:rPr>
          <w:rFonts w:cstheme="minorHAnsi"/>
          <w:lang w:val="sq-AL"/>
        </w:rPr>
      </w:pPr>
    </w:p>
    <w:p w:rsidR="00A30848" w:rsidRDefault="00A30848" w:rsidP="00D21F08">
      <w:pPr>
        <w:spacing w:line="276" w:lineRule="auto"/>
        <w:rPr>
          <w:rFonts w:cstheme="minorHAnsi"/>
          <w:lang w:val="sq-AL"/>
        </w:rPr>
      </w:pPr>
    </w:p>
    <w:p w:rsidR="00A30848" w:rsidRDefault="00A30848" w:rsidP="00D21F08">
      <w:pPr>
        <w:spacing w:line="276" w:lineRule="auto"/>
        <w:rPr>
          <w:rFonts w:cstheme="minorHAnsi"/>
          <w:lang w:val="sq-AL"/>
        </w:rPr>
      </w:pPr>
    </w:p>
    <w:p w:rsidR="00A30848" w:rsidRDefault="00A30848" w:rsidP="00D21F08">
      <w:pPr>
        <w:spacing w:line="276" w:lineRule="auto"/>
        <w:rPr>
          <w:rFonts w:cstheme="minorHAnsi"/>
          <w:lang w:val="sq-AL"/>
        </w:rPr>
      </w:pPr>
    </w:p>
    <w:p w:rsidR="00A30848" w:rsidRDefault="00A30848" w:rsidP="00D21F08">
      <w:pPr>
        <w:spacing w:line="276" w:lineRule="auto"/>
        <w:rPr>
          <w:rFonts w:cstheme="minorHAnsi"/>
          <w:lang w:val="sq-AL"/>
        </w:rPr>
      </w:pPr>
    </w:p>
    <w:p w:rsidR="00A30848" w:rsidRDefault="00A30848" w:rsidP="00D21F08">
      <w:pPr>
        <w:spacing w:line="276" w:lineRule="auto"/>
        <w:rPr>
          <w:rFonts w:cstheme="minorHAnsi"/>
          <w:lang w:val="sq-AL"/>
        </w:rPr>
      </w:pPr>
    </w:p>
    <w:tbl>
      <w:tblPr>
        <w:tblpPr w:leftFromText="180" w:rightFromText="180" w:vertAnchor="text" w:horzAnchor="margin" w:tblpY="47"/>
        <w:tblW w:w="0" w:type="auto"/>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ook w:val="01E0" w:firstRow="1" w:lastRow="1" w:firstColumn="1" w:lastColumn="1" w:noHBand="0" w:noVBand="0"/>
      </w:tblPr>
      <w:tblGrid>
        <w:gridCol w:w="1929"/>
        <w:gridCol w:w="2275"/>
        <w:gridCol w:w="2376"/>
        <w:gridCol w:w="2276"/>
      </w:tblGrid>
      <w:tr w:rsidR="00A30848" w:rsidRPr="00572802" w:rsidTr="00D63C2B">
        <w:tc>
          <w:tcPr>
            <w:tcW w:w="1929" w:type="dxa"/>
            <w:shd w:val="clear" w:color="auto" w:fill="FF6600"/>
          </w:tcPr>
          <w:p w:rsidR="00A30848" w:rsidRPr="00572802" w:rsidRDefault="00A30848" w:rsidP="00D63C2B">
            <w:pPr>
              <w:rPr>
                <w:rFonts w:ascii="Calibri" w:hAnsi="Calibri"/>
                <w:sz w:val="20"/>
                <w:szCs w:val="20"/>
              </w:rPr>
            </w:pPr>
          </w:p>
        </w:tc>
        <w:tc>
          <w:tcPr>
            <w:tcW w:w="2275" w:type="dxa"/>
            <w:shd w:val="clear" w:color="auto" w:fill="FF6600"/>
          </w:tcPr>
          <w:p w:rsidR="00A30848" w:rsidRPr="00572802" w:rsidRDefault="00A30848" w:rsidP="00D63C2B">
            <w:pPr>
              <w:rPr>
                <w:rFonts w:ascii="Calibri" w:hAnsi="Calibri"/>
                <w:sz w:val="20"/>
                <w:szCs w:val="20"/>
              </w:rPr>
            </w:pPr>
            <w:r w:rsidRPr="00572802">
              <w:rPr>
                <w:rFonts w:ascii="Calibri" w:hAnsi="Calibri"/>
                <w:sz w:val="20"/>
                <w:szCs w:val="20"/>
              </w:rPr>
              <w:t>Përgatiti/Rishikoi</w:t>
            </w:r>
          </w:p>
        </w:tc>
        <w:tc>
          <w:tcPr>
            <w:tcW w:w="2376" w:type="dxa"/>
            <w:shd w:val="clear" w:color="auto" w:fill="FF6600"/>
          </w:tcPr>
          <w:p w:rsidR="00A30848" w:rsidRPr="00572802" w:rsidRDefault="00A30848" w:rsidP="00D63C2B">
            <w:pPr>
              <w:rPr>
                <w:rFonts w:ascii="Calibri" w:hAnsi="Calibri"/>
                <w:sz w:val="20"/>
                <w:szCs w:val="20"/>
              </w:rPr>
            </w:pPr>
            <w:r w:rsidRPr="00572802">
              <w:rPr>
                <w:rFonts w:ascii="Calibri" w:hAnsi="Calibri"/>
                <w:sz w:val="20"/>
                <w:szCs w:val="20"/>
              </w:rPr>
              <w:t>Kontrolloi</w:t>
            </w:r>
          </w:p>
        </w:tc>
        <w:tc>
          <w:tcPr>
            <w:tcW w:w="2276" w:type="dxa"/>
            <w:shd w:val="clear" w:color="auto" w:fill="FF6600"/>
          </w:tcPr>
          <w:p w:rsidR="00A30848" w:rsidRPr="00572802" w:rsidRDefault="00A30848" w:rsidP="00D63C2B">
            <w:pPr>
              <w:rPr>
                <w:rFonts w:ascii="Calibri" w:hAnsi="Calibri"/>
                <w:sz w:val="20"/>
                <w:szCs w:val="20"/>
              </w:rPr>
            </w:pPr>
            <w:r w:rsidRPr="00572802">
              <w:rPr>
                <w:rFonts w:ascii="Calibri" w:hAnsi="Calibri"/>
                <w:sz w:val="20"/>
                <w:szCs w:val="20"/>
              </w:rPr>
              <w:t>Aprovoi</w:t>
            </w:r>
          </w:p>
        </w:tc>
      </w:tr>
      <w:tr w:rsidR="00A30848" w:rsidRPr="00572802" w:rsidTr="00D63C2B">
        <w:tc>
          <w:tcPr>
            <w:tcW w:w="1929" w:type="dxa"/>
          </w:tcPr>
          <w:p w:rsidR="00A30848" w:rsidRPr="00572802" w:rsidRDefault="00A30848" w:rsidP="00D63C2B">
            <w:pPr>
              <w:rPr>
                <w:rFonts w:ascii="Calibri" w:hAnsi="Calibri"/>
                <w:sz w:val="20"/>
                <w:szCs w:val="20"/>
              </w:rPr>
            </w:pPr>
            <w:r w:rsidRPr="00572802">
              <w:rPr>
                <w:rFonts w:ascii="Calibri" w:hAnsi="Calibri"/>
                <w:sz w:val="20"/>
                <w:szCs w:val="20"/>
              </w:rPr>
              <w:t>Emri/Mbiemri</w:t>
            </w:r>
          </w:p>
        </w:tc>
        <w:tc>
          <w:tcPr>
            <w:tcW w:w="2275" w:type="dxa"/>
            <w:shd w:val="clear" w:color="auto" w:fill="auto"/>
          </w:tcPr>
          <w:p w:rsidR="00A30848" w:rsidRPr="00572802" w:rsidRDefault="00A30848" w:rsidP="00D63C2B">
            <w:pPr>
              <w:rPr>
                <w:rFonts w:ascii="Calibri" w:hAnsi="Calibri"/>
                <w:sz w:val="20"/>
                <w:szCs w:val="20"/>
              </w:rPr>
            </w:pPr>
            <w:r w:rsidRPr="00572802">
              <w:rPr>
                <w:rFonts w:ascii="Calibri" w:hAnsi="Calibri"/>
                <w:sz w:val="20"/>
                <w:szCs w:val="20"/>
              </w:rPr>
              <w:t>Sherif Dedaqi</w:t>
            </w:r>
          </w:p>
        </w:tc>
        <w:tc>
          <w:tcPr>
            <w:tcW w:w="2376" w:type="dxa"/>
            <w:shd w:val="clear" w:color="auto" w:fill="auto"/>
          </w:tcPr>
          <w:p w:rsidR="00A30848" w:rsidRPr="00572802" w:rsidRDefault="00A30848" w:rsidP="00D63C2B">
            <w:pPr>
              <w:rPr>
                <w:rFonts w:ascii="Calibri" w:hAnsi="Calibri"/>
                <w:sz w:val="20"/>
                <w:szCs w:val="20"/>
              </w:rPr>
            </w:pPr>
            <w:r w:rsidRPr="00572802">
              <w:rPr>
                <w:rFonts w:ascii="Calibri" w:hAnsi="Calibri"/>
                <w:sz w:val="20"/>
                <w:szCs w:val="20"/>
              </w:rPr>
              <w:t>Safete Kelmendi</w:t>
            </w:r>
          </w:p>
        </w:tc>
        <w:tc>
          <w:tcPr>
            <w:tcW w:w="2276" w:type="dxa"/>
            <w:shd w:val="clear" w:color="auto" w:fill="auto"/>
          </w:tcPr>
          <w:p w:rsidR="00A30848" w:rsidRPr="00572802" w:rsidRDefault="00A30848" w:rsidP="00D63C2B">
            <w:pPr>
              <w:rPr>
                <w:rFonts w:ascii="Calibri" w:hAnsi="Calibri"/>
                <w:sz w:val="20"/>
                <w:szCs w:val="20"/>
              </w:rPr>
            </w:pPr>
            <w:smartTag w:uri="urn:schemas-microsoft-com:office:smarttags" w:element="PersonName">
              <w:r w:rsidRPr="00572802">
                <w:rPr>
                  <w:rFonts w:ascii="Calibri" w:hAnsi="Calibri"/>
                  <w:sz w:val="20"/>
                  <w:szCs w:val="20"/>
                </w:rPr>
                <w:t>Skender Gjonbalaj</w:t>
              </w:r>
            </w:smartTag>
          </w:p>
        </w:tc>
      </w:tr>
      <w:tr w:rsidR="00A30848" w:rsidRPr="00572802" w:rsidTr="00D63C2B">
        <w:tc>
          <w:tcPr>
            <w:tcW w:w="1929" w:type="dxa"/>
          </w:tcPr>
          <w:p w:rsidR="00A30848" w:rsidRPr="00572802" w:rsidRDefault="00A30848" w:rsidP="00D63C2B">
            <w:pPr>
              <w:rPr>
                <w:rFonts w:ascii="Calibri" w:hAnsi="Calibri"/>
                <w:sz w:val="20"/>
                <w:szCs w:val="20"/>
              </w:rPr>
            </w:pPr>
            <w:r w:rsidRPr="00572802">
              <w:rPr>
                <w:rFonts w:ascii="Calibri" w:hAnsi="Calibri"/>
                <w:sz w:val="20"/>
                <w:szCs w:val="20"/>
              </w:rPr>
              <w:t>Nënshkrimi</w:t>
            </w:r>
          </w:p>
        </w:tc>
        <w:tc>
          <w:tcPr>
            <w:tcW w:w="2275" w:type="dxa"/>
            <w:shd w:val="clear" w:color="auto" w:fill="auto"/>
          </w:tcPr>
          <w:p w:rsidR="00A30848" w:rsidRPr="00572802" w:rsidRDefault="00A30848" w:rsidP="00D63C2B">
            <w:pPr>
              <w:rPr>
                <w:rFonts w:ascii="Calibri" w:hAnsi="Calibri"/>
                <w:sz w:val="20"/>
                <w:szCs w:val="20"/>
              </w:rPr>
            </w:pPr>
          </w:p>
        </w:tc>
        <w:tc>
          <w:tcPr>
            <w:tcW w:w="2376" w:type="dxa"/>
            <w:shd w:val="clear" w:color="auto" w:fill="auto"/>
          </w:tcPr>
          <w:p w:rsidR="00A30848" w:rsidRPr="00572802" w:rsidRDefault="00A30848" w:rsidP="00D63C2B">
            <w:pPr>
              <w:rPr>
                <w:rFonts w:ascii="Calibri" w:hAnsi="Calibri"/>
                <w:sz w:val="20"/>
                <w:szCs w:val="20"/>
              </w:rPr>
            </w:pPr>
          </w:p>
        </w:tc>
        <w:tc>
          <w:tcPr>
            <w:tcW w:w="2276" w:type="dxa"/>
            <w:shd w:val="clear" w:color="auto" w:fill="auto"/>
          </w:tcPr>
          <w:p w:rsidR="00A30848" w:rsidRPr="00572802" w:rsidRDefault="00A30848" w:rsidP="00D63C2B">
            <w:pPr>
              <w:rPr>
                <w:rFonts w:ascii="Calibri" w:hAnsi="Calibri"/>
                <w:sz w:val="20"/>
                <w:szCs w:val="20"/>
              </w:rPr>
            </w:pPr>
          </w:p>
        </w:tc>
      </w:tr>
      <w:tr w:rsidR="00A30848" w:rsidRPr="00572802" w:rsidTr="00D63C2B">
        <w:tc>
          <w:tcPr>
            <w:tcW w:w="1929" w:type="dxa"/>
          </w:tcPr>
          <w:p w:rsidR="00A30848" w:rsidRPr="00572802" w:rsidRDefault="00A30848" w:rsidP="00D63C2B">
            <w:pPr>
              <w:rPr>
                <w:rFonts w:ascii="Calibri" w:hAnsi="Calibri"/>
                <w:sz w:val="20"/>
                <w:szCs w:val="20"/>
              </w:rPr>
            </w:pPr>
            <w:r w:rsidRPr="00572802">
              <w:rPr>
                <w:rFonts w:ascii="Calibri" w:hAnsi="Calibri"/>
                <w:sz w:val="20"/>
                <w:szCs w:val="20"/>
              </w:rPr>
              <w:t>Data</w:t>
            </w:r>
          </w:p>
        </w:tc>
        <w:tc>
          <w:tcPr>
            <w:tcW w:w="2275" w:type="dxa"/>
            <w:shd w:val="clear" w:color="auto" w:fill="auto"/>
          </w:tcPr>
          <w:p w:rsidR="00A30848" w:rsidRPr="00572802" w:rsidRDefault="00A30848" w:rsidP="00D63C2B">
            <w:pPr>
              <w:rPr>
                <w:rFonts w:ascii="Calibri" w:hAnsi="Calibri"/>
                <w:sz w:val="20"/>
                <w:szCs w:val="20"/>
              </w:rPr>
            </w:pPr>
            <w:r>
              <w:rPr>
                <w:rFonts w:ascii="Calibri" w:hAnsi="Calibri"/>
                <w:sz w:val="20"/>
                <w:szCs w:val="20"/>
              </w:rPr>
              <w:t>22.02.2021</w:t>
            </w:r>
          </w:p>
        </w:tc>
        <w:tc>
          <w:tcPr>
            <w:tcW w:w="2376" w:type="dxa"/>
            <w:shd w:val="clear" w:color="auto" w:fill="auto"/>
          </w:tcPr>
          <w:p w:rsidR="00A30848" w:rsidRPr="00572802" w:rsidRDefault="00A30848" w:rsidP="00D63C2B">
            <w:pPr>
              <w:rPr>
                <w:rFonts w:ascii="Calibri" w:hAnsi="Calibri"/>
                <w:sz w:val="20"/>
                <w:szCs w:val="20"/>
              </w:rPr>
            </w:pPr>
            <w:r w:rsidRPr="00572802">
              <w:rPr>
                <w:rFonts w:ascii="Calibri" w:hAnsi="Calibri"/>
                <w:sz w:val="20"/>
                <w:szCs w:val="20"/>
              </w:rPr>
              <w:t>12.03.2021</w:t>
            </w:r>
          </w:p>
        </w:tc>
        <w:tc>
          <w:tcPr>
            <w:tcW w:w="2276" w:type="dxa"/>
            <w:shd w:val="clear" w:color="auto" w:fill="auto"/>
          </w:tcPr>
          <w:p w:rsidR="00A30848" w:rsidRPr="00572802" w:rsidRDefault="00A30848" w:rsidP="00D63C2B">
            <w:pPr>
              <w:rPr>
                <w:rFonts w:ascii="Calibri" w:hAnsi="Calibri"/>
                <w:sz w:val="20"/>
                <w:szCs w:val="20"/>
              </w:rPr>
            </w:pPr>
            <w:r w:rsidRPr="00572802">
              <w:rPr>
                <w:rFonts w:ascii="Calibri" w:hAnsi="Calibri"/>
                <w:sz w:val="20"/>
                <w:szCs w:val="20"/>
              </w:rPr>
              <w:t>15.</w:t>
            </w:r>
            <w:r>
              <w:rPr>
                <w:rFonts w:ascii="Calibri" w:hAnsi="Calibri"/>
                <w:sz w:val="20"/>
                <w:szCs w:val="20"/>
              </w:rPr>
              <w:t>03.2021</w:t>
            </w:r>
          </w:p>
        </w:tc>
      </w:tr>
    </w:tbl>
    <w:p w:rsidR="00A30848" w:rsidRDefault="00A30848" w:rsidP="00D21F08">
      <w:pPr>
        <w:spacing w:line="276" w:lineRule="auto"/>
        <w:rPr>
          <w:rFonts w:cstheme="minorHAnsi"/>
          <w:lang w:val="sq-AL"/>
        </w:rPr>
      </w:pPr>
    </w:p>
    <w:p w:rsidR="005A21DA" w:rsidRPr="00AE3781" w:rsidRDefault="005A21DA" w:rsidP="00D21F08">
      <w:pPr>
        <w:spacing w:line="276" w:lineRule="auto"/>
        <w:rPr>
          <w:rFonts w:cstheme="minorHAnsi"/>
          <w:lang w:val="sq-AL"/>
        </w:rPr>
      </w:pPr>
      <w:r w:rsidRPr="00AE3781">
        <w:rPr>
          <w:rFonts w:cstheme="minorHAnsi"/>
          <w:lang w:val="sq-AL"/>
        </w:rPr>
        <w:br w:type="page"/>
      </w:r>
    </w:p>
    <w:p w:rsidR="00C17E9C" w:rsidRDefault="00C17E9C" w:rsidP="00900B3B">
      <w:pPr>
        <w:spacing w:line="276" w:lineRule="auto"/>
        <w:rPr>
          <w:rFonts w:cstheme="minorHAnsi"/>
          <w:sz w:val="24"/>
          <w:szCs w:val="24"/>
          <w:lang w:val="sq-AL"/>
        </w:rPr>
      </w:pPr>
    </w:p>
    <w:p w:rsidR="00E534AE" w:rsidRDefault="00E534AE" w:rsidP="00900B3B">
      <w:pPr>
        <w:spacing w:line="276" w:lineRule="auto"/>
        <w:rPr>
          <w:rFonts w:cstheme="minorHAnsi"/>
          <w:sz w:val="24"/>
          <w:szCs w:val="24"/>
          <w:lang w:val="sq-AL"/>
        </w:rPr>
      </w:pPr>
    </w:p>
    <w:p w:rsidR="00E534AE" w:rsidRDefault="00E534AE" w:rsidP="00900B3B">
      <w:pPr>
        <w:spacing w:line="276" w:lineRule="auto"/>
        <w:rPr>
          <w:rFonts w:cstheme="minorHAnsi"/>
          <w:sz w:val="24"/>
          <w:szCs w:val="24"/>
          <w:lang w:val="sq-AL"/>
        </w:rPr>
      </w:pPr>
    </w:p>
    <w:p w:rsidR="00E534AE" w:rsidRDefault="00E534AE" w:rsidP="00900B3B">
      <w:pPr>
        <w:spacing w:line="276" w:lineRule="auto"/>
        <w:rPr>
          <w:rFonts w:cstheme="minorHAnsi"/>
          <w:sz w:val="24"/>
          <w:szCs w:val="24"/>
          <w:lang w:val="sq-AL"/>
        </w:rPr>
      </w:pPr>
    </w:p>
    <w:p w:rsidR="00E534AE" w:rsidRDefault="00E534AE" w:rsidP="00900B3B">
      <w:pPr>
        <w:spacing w:line="276" w:lineRule="auto"/>
        <w:rPr>
          <w:rFonts w:cstheme="minorHAnsi"/>
          <w:sz w:val="24"/>
          <w:szCs w:val="24"/>
          <w:lang w:val="sq-AL"/>
        </w:rPr>
      </w:pPr>
    </w:p>
    <w:p w:rsidR="00E534AE" w:rsidRDefault="00E534AE" w:rsidP="00900B3B">
      <w:pPr>
        <w:spacing w:line="276" w:lineRule="auto"/>
        <w:rPr>
          <w:rFonts w:cstheme="minorHAnsi"/>
          <w:sz w:val="24"/>
          <w:szCs w:val="24"/>
          <w:lang w:val="sq-AL"/>
        </w:rPr>
      </w:pPr>
    </w:p>
    <w:p w:rsidR="00E534AE" w:rsidRPr="00AE3781" w:rsidRDefault="00E534AE" w:rsidP="00900B3B">
      <w:pPr>
        <w:spacing w:line="276" w:lineRule="auto"/>
        <w:rPr>
          <w:rFonts w:cstheme="minorHAnsi"/>
          <w:sz w:val="24"/>
          <w:szCs w:val="24"/>
          <w:lang w:val="sq-AL"/>
        </w:rPr>
      </w:pPr>
    </w:p>
    <w:sdt>
      <w:sdtPr>
        <w:rPr>
          <w:rFonts w:ascii="Calibri" w:hAnsi="Calibri" w:cs="Calibri"/>
          <w:b/>
          <w:bCs/>
          <w:color w:val="auto"/>
          <w:sz w:val="22"/>
          <w:szCs w:val="22"/>
          <w:lang w:val="sq-AL"/>
        </w:rPr>
        <w:id w:val="-1626690228"/>
        <w:docPartObj>
          <w:docPartGallery w:val="Table of Contents"/>
          <w:docPartUnique/>
        </w:docPartObj>
      </w:sdtPr>
      <w:sdtEndPr>
        <w:rPr>
          <w:b w:val="0"/>
          <w:bCs w:val="0"/>
        </w:rPr>
      </w:sdtEndPr>
      <w:sdtContent>
        <w:p w:rsidR="007B3455" w:rsidRPr="00062169" w:rsidRDefault="00D67C6A" w:rsidP="00900B3B">
          <w:pPr>
            <w:pStyle w:val="textheader"/>
            <w:spacing w:after="0" w:line="276" w:lineRule="auto"/>
            <w:rPr>
              <w:rFonts w:ascii="Calibri" w:hAnsi="Calibri" w:cs="Calibri"/>
              <w:b/>
              <w:color w:val="000000" w:themeColor="text1"/>
              <w:sz w:val="22"/>
              <w:szCs w:val="22"/>
              <w:lang w:val="sq-AL"/>
            </w:rPr>
          </w:pPr>
          <w:r w:rsidRPr="00062169">
            <w:rPr>
              <w:rFonts w:ascii="Calibri" w:hAnsi="Calibri" w:cs="Calibri"/>
              <w:b/>
              <w:color w:val="000000" w:themeColor="text1"/>
              <w:sz w:val="22"/>
              <w:szCs w:val="22"/>
              <w:lang w:val="sq-AL"/>
            </w:rPr>
            <w:t>Përmbajtja</w:t>
          </w:r>
        </w:p>
        <w:p w:rsidR="009E556E" w:rsidRPr="00062169" w:rsidRDefault="004F3E60">
          <w:pPr>
            <w:pStyle w:val="TOC2"/>
            <w:tabs>
              <w:tab w:val="right" w:leader="dot" w:pos="9514"/>
            </w:tabs>
            <w:rPr>
              <w:rFonts w:ascii="Calibri" w:eastAsiaTheme="minorEastAsia" w:hAnsi="Calibri" w:cs="Calibri"/>
              <w:noProof/>
              <w:lang w:val="sq-AL" w:eastAsia="sq-AL"/>
            </w:rPr>
          </w:pPr>
          <w:r w:rsidRPr="00062169">
            <w:rPr>
              <w:rFonts w:ascii="Calibri" w:hAnsi="Calibri" w:cs="Calibri"/>
              <w:lang w:val="sq-AL"/>
            </w:rPr>
            <w:fldChar w:fldCharType="begin"/>
          </w:r>
          <w:r w:rsidR="0037308F" w:rsidRPr="00062169">
            <w:rPr>
              <w:rFonts w:ascii="Calibri" w:hAnsi="Calibri" w:cs="Calibri"/>
              <w:lang w:val="sq-AL"/>
            </w:rPr>
            <w:instrText xml:space="preserve"> TOC \o "1-3" \h \z \u </w:instrText>
          </w:r>
          <w:r w:rsidRPr="00062169">
            <w:rPr>
              <w:rFonts w:ascii="Calibri" w:hAnsi="Calibri" w:cs="Calibri"/>
              <w:lang w:val="sq-AL"/>
            </w:rPr>
            <w:fldChar w:fldCharType="separate"/>
          </w:r>
          <w:hyperlink w:anchor="_Toc65219928" w:history="1">
            <w:r w:rsidR="009E556E" w:rsidRPr="00062169">
              <w:rPr>
                <w:rStyle w:val="Hyperlink"/>
                <w:rFonts w:ascii="Calibri" w:hAnsi="Calibri" w:cs="Calibri"/>
                <w:noProof/>
                <w:lang w:val="sq-AL"/>
              </w:rPr>
              <w:t>Shkurtesat</w:t>
            </w:r>
            <w:r w:rsidR="009E556E" w:rsidRPr="00062169">
              <w:rPr>
                <w:rFonts w:ascii="Calibri" w:hAnsi="Calibri" w:cs="Calibri"/>
                <w:noProof/>
                <w:webHidden/>
              </w:rPr>
              <w:tab/>
            </w:r>
            <w:r w:rsidR="009E556E" w:rsidRPr="00062169">
              <w:rPr>
                <w:rFonts w:ascii="Calibri" w:hAnsi="Calibri" w:cs="Calibri"/>
                <w:noProof/>
                <w:webHidden/>
              </w:rPr>
              <w:fldChar w:fldCharType="begin"/>
            </w:r>
            <w:r w:rsidR="009E556E" w:rsidRPr="00062169">
              <w:rPr>
                <w:rFonts w:ascii="Calibri" w:hAnsi="Calibri" w:cs="Calibri"/>
                <w:noProof/>
                <w:webHidden/>
              </w:rPr>
              <w:instrText xml:space="preserve"> PAGEREF _Toc65219928 \h </w:instrText>
            </w:r>
            <w:r w:rsidR="009E556E" w:rsidRPr="00062169">
              <w:rPr>
                <w:rFonts w:ascii="Calibri" w:hAnsi="Calibri" w:cs="Calibri"/>
                <w:noProof/>
                <w:webHidden/>
              </w:rPr>
            </w:r>
            <w:r w:rsidR="009E556E" w:rsidRPr="00062169">
              <w:rPr>
                <w:rFonts w:ascii="Calibri" w:hAnsi="Calibri" w:cs="Calibri"/>
                <w:noProof/>
                <w:webHidden/>
              </w:rPr>
              <w:fldChar w:fldCharType="separate"/>
            </w:r>
            <w:r w:rsidR="009E556E" w:rsidRPr="00062169">
              <w:rPr>
                <w:rFonts w:ascii="Calibri" w:hAnsi="Calibri" w:cs="Calibri"/>
                <w:noProof/>
                <w:webHidden/>
              </w:rPr>
              <w:t>5</w:t>
            </w:r>
            <w:r w:rsidR="009E556E" w:rsidRPr="00062169">
              <w:rPr>
                <w:rFonts w:ascii="Calibri" w:hAnsi="Calibri" w:cs="Calibri"/>
                <w:noProof/>
                <w:webHidden/>
              </w:rPr>
              <w:fldChar w:fldCharType="end"/>
            </w:r>
          </w:hyperlink>
        </w:p>
        <w:p w:rsidR="009E556E" w:rsidRPr="00062169" w:rsidRDefault="001D2183">
          <w:pPr>
            <w:pStyle w:val="TOC2"/>
            <w:tabs>
              <w:tab w:val="right" w:leader="dot" w:pos="9514"/>
            </w:tabs>
            <w:rPr>
              <w:rFonts w:ascii="Calibri" w:eastAsiaTheme="minorEastAsia" w:hAnsi="Calibri" w:cs="Calibri"/>
              <w:noProof/>
              <w:lang w:val="sq-AL" w:eastAsia="sq-AL"/>
            </w:rPr>
          </w:pPr>
          <w:hyperlink w:anchor="_Toc65219929" w:history="1">
            <w:r w:rsidR="009E556E" w:rsidRPr="00062169">
              <w:rPr>
                <w:rStyle w:val="Hyperlink"/>
                <w:rFonts w:ascii="Calibri" w:hAnsi="Calibri" w:cs="Calibri"/>
                <w:noProof/>
                <w:lang w:val="sq-AL"/>
              </w:rPr>
              <w:t>Neni 1 Fushëveprimi dhe qëllimi</w:t>
            </w:r>
            <w:r w:rsidR="009E556E" w:rsidRPr="00062169">
              <w:rPr>
                <w:rFonts w:ascii="Calibri" w:hAnsi="Calibri" w:cs="Calibri"/>
                <w:noProof/>
                <w:webHidden/>
              </w:rPr>
              <w:tab/>
            </w:r>
            <w:r w:rsidR="009E556E" w:rsidRPr="00062169">
              <w:rPr>
                <w:rFonts w:ascii="Calibri" w:hAnsi="Calibri" w:cs="Calibri"/>
                <w:noProof/>
                <w:webHidden/>
              </w:rPr>
              <w:fldChar w:fldCharType="begin"/>
            </w:r>
            <w:r w:rsidR="009E556E" w:rsidRPr="00062169">
              <w:rPr>
                <w:rFonts w:ascii="Calibri" w:hAnsi="Calibri" w:cs="Calibri"/>
                <w:noProof/>
                <w:webHidden/>
              </w:rPr>
              <w:instrText xml:space="preserve"> PAGEREF _Toc65219929 \h </w:instrText>
            </w:r>
            <w:r w:rsidR="009E556E" w:rsidRPr="00062169">
              <w:rPr>
                <w:rFonts w:ascii="Calibri" w:hAnsi="Calibri" w:cs="Calibri"/>
                <w:noProof/>
                <w:webHidden/>
              </w:rPr>
            </w:r>
            <w:r w:rsidR="009E556E" w:rsidRPr="00062169">
              <w:rPr>
                <w:rFonts w:ascii="Calibri" w:hAnsi="Calibri" w:cs="Calibri"/>
                <w:noProof/>
                <w:webHidden/>
              </w:rPr>
              <w:fldChar w:fldCharType="separate"/>
            </w:r>
            <w:r w:rsidR="009E556E" w:rsidRPr="00062169">
              <w:rPr>
                <w:rFonts w:ascii="Calibri" w:hAnsi="Calibri" w:cs="Calibri"/>
                <w:noProof/>
                <w:webHidden/>
              </w:rPr>
              <w:t>6</w:t>
            </w:r>
            <w:r w:rsidR="009E556E" w:rsidRPr="00062169">
              <w:rPr>
                <w:rFonts w:ascii="Calibri" w:hAnsi="Calibri" w:cs="Calibri"/>
                <w:noProof/>
                <w:webHidden/>
              </w:rPr>
              <w:fldChar w:fldCharType="end"/>
            </w:r>
          </w:hyperlink>
        </w:p>
        <w:p w:rsidR="009E556E" w:rsidRPr="00062169" w:rsidRDefault="001D2183">
          <w:pPr>
            <w:pStyle w:val="TOC2"/>
            <w:tabs>
              <w:tab w:val="right" w:leader="dot" w:pos="9514"/>
            </w:tabs>
            <w:rPr>
              <w:rFonts w:ascii="Calibri" w:eastAsiaTheme="minorEastAsia" w:hAnsi="Calibri" w:cs="Calibri"/>
              <w:noProof/>
              <w:lang w:val="sq-AL" w:eastAsia="sq-AL"/>
            </w:rPr>
          </w:pPr>
          <w:hyperlink w:anchor="_Toc65219930" w:history="1">
            <w:r w:rsidR="009E556E" w:rsidRPr="00062169">
              <w:rPr>
                <w:rStyle w:val="Hyperlink"/>
                <w:rFonts w:ascii="Calibri" w:hAnsi="Calibri" w:cs="Calibri"/>
                <w:noProof/>
                <w:lang w:val="sq-AL"/>
              </w:rPr>
              <w:t>Neni 2 Përkufizime dhe interpretime</w:t>
            </w:r>
            <w:r w:rsidR="009E556E" w:rsidRPr="00062169">
              <w:rPr>
                <w:rFonts w:ascii="Calibri" w:hAnsi="Calibri" w:cs="Calibri"/>
                <w:noProof/>
                <w:webHidden/>
              </w:rPr>
              <w:tab/>
            </w:r>
            <w:r w:rsidR="009E556E" w:rsidRPr="00062169">
              <w:rPr>
                <w:rFonts w:ascii="Calibri" w:hAnsi="Calibri" w:cs="Calibri"/>
                <w:noProof/>
                <w:webHidden/>
              </w:rPr>
              <w:fldChar w:fldCharType="begin"/>
            </w:r>
            <w:r w:rsidR="009E556E" w:rsidRPr="00062169">
              <w:rPr>
                <w:rFonts w:ascii="Calibri" w:hAnsi="Calibri" w:cs="Calibri"/>
                <w:noProof/>
                <w:webHidden/>
              </w:rPr>
              <w:instrText xml:space="preserve"> PAGEREF _Toc65219930 \h </w:instrText>
            </w:r>
            <w:r w:rsidR="009E556E" w:rsidRPr="00062169">
              <w:rPr>
                <w:rFonts w:ascii="Calibri" w:hAnsi="Calibri" w:cs="Calibri"/>
                <w:noProof/>
                <w:webHidden/>
              </w:rPr>
            </w:r>
            <w:r w:rsidR="009E556E" w:rsidRPr="00062169">
              <w:rPr>
                <w:rFonts w:ascii="Calibri" w:hAnsi="Calibri" w:cs="Calibri"/>
                <w:noProof/>
                <w:webHidden/>
              </w:rPr>
              <w:fldChar w:fldCharType="separate"/>
            </w:r>
            <w:r w:rsidR="009E556E" w:rsidRPr="00062169">
              <w:rPr>
                <w:rFonts w:ascii="Calibri" w:hAnsi="Calibri" w:cs="Calibri"/>
                <w:noProof/>
                <w:webHidden/>
              </w:rPr>
              <w:t>6</w:t>
            </w:r>
            <w:r w:rsidR="009E556E" w:rsidRPr="00062169">
              <w:rPr>
                <w:rFonts w:ascii="Calibri" w:hAnsi="Calibri" w:cs="Calibri"/>
                <w:noProof/>
                <w:webHidden/>
              </w:rPr>
              <w:fldChar w:fldCharType="end"/>
            </w:r>
          </w:hyperlink>
        </w:p>
        <w:p w:rsidR="009E556E" w:rsidRPr="00062169" w:rsidRDefault="001D2183">
          <w:pPr>
            <w:pStyle w:val="TOC2"/>
            <w:tabs>
              <w:tab w:val="right" w:leader="dot" w:pos="9514"/>
            </w:tabs>
            <w:rPr>
              <w:rFonts w:ascii="Calibri" w:eastAsiaTheme="minorEastAsia" w:hAnsi="Calibri" w:cs="Calibri"/>
              <w:noProof/>
              <w:lang w:val="sq-AL" w:eastAsia="sq-AL"/>
            </w:rPr>
          </w:pPr>
          <w:hyperlink w:anchor="_Toc65219931" w:history="1">
            <w:r w:rsidR="009E556E" w:rsidRPr="00062169">
              <w:rPr>
                <w:rStyle w:val="Hyperlink"/>
                <w:rFonts w:ascii="Calibri" w:hAnsi="Calibri" w:cs="Calibri"/>
                <w:noProof/>
                <w:lang w:val="sq-AL"/>
              </w:rPr>
              <w:t>Neni 3 Përgjithësisht mbi rregullat e përbashkëta të barazimit përfundimtar</w:t>
            </w:r>
            <w:r w:rsidR="009E556E" w:rsidRPr="00062169">
              <w:rPr>
                <w:rFonts w:ascii="Calibri" w:hAnsi="Calibri" w:cs="Calibri"/>
                <w:noProof/>
                <w:webHidden/>
              </w:rPr>
              <w:tab/>
            </w:r>
            <w:r w:rsidR="009E556E" w:rsidRPr="00062169">
              <w:rPr>
                <w:rFonts w:ascii="Calibri" w:hAnsi="Calibri" w:cs="Calibri"/>
                <w:noProof/>
                <w:webHidden/>
              </w:rPr>
              <w:fldChar w:fldCharType="begin"/>
            </w:r>
            <w:r w:rsidR="009E556E" w:rsidRPr="00062169">
              <w:rPr>
                <w:rFonts w:ascii="Calibri" w:hAnsi="Calibri" w:cs="Calibri"/>
                <w:noProof/>
                <w:webHidden/>
              </w:rPr>
              <w:instrText xml:space="preserve"> PAGEREF _Toc65219931 \h </w:instrText>
            </w:r>
            <w:r w:rsidR="009E556E" w:rsidRPr="00062169">
              <w:rPr>
                <w:rFonts w:ascii="Calibri" w:hAnsi="Calibri" w:cs="Calibri"/>
                <w:noProof/>
                <w:webHidden/>
              </w:rPr>
            </w:r>
            <w:r w:rsidR="009E556E" w:rsidRPr="00062169">
              <w:rPr>
                <w:rFonts w:ascii="Calibri" w:hAnsi="Calibri" w:cs="Calibri"/>
                <w:noProof/>
                <w:webHidden/>
              </w:rPr>
              <w:fldChar w:fldCharType="separate"/>
            </w:r>
            <w:r w:rsidR="009E556E" w:rsidRPr="00062169">
              <w:rPr>
                <w:rFonts w:ascii="Calibri" w:hAnsi="Calibri" w:cs="Calibri"/>
                <w:noProof/>
                <w:webHidden/>
              </w:rPr>
              <w:t>7</w:t>
            </w:r>
            <w:r w:rsidR="009E556E" w:rsidRPr="00062169">
              <w:rPr>
                <w:rFonts w:ascii="Calibri" w:hAnsi="Calibri" w:cs="Calibri"/>
                <w:noProof/>
                <w:webHidden/>
              </w:rPr>
              <w:fldChar w:fldCharType="end"/>
            </w:r>
          </w:hyperlink>
        </w:p>
        <w:p w:rsidR="009E556E" w:rsidRPr="00062169" w:rsidRDefault="001D2183">
          <w:pPr>
            <w:pStyle w:val="TOC2"/>
            <w:tabs>
              <w:tab w:val="right" w:leader="dot" w:pos="9514"/>
            </w:tabs>
            <w:rPr>
              <w:rFonts w:ascii="Calibri" w:eastAsiaTheme="minorEastAsia" w:hAnsi="Calibri" w:cs="Calibri"/>
              <w:noProof/>
              <w:lang w:val="sq-AL" w:eastAsia="sq-AL"/>
            </w:rPr>
          </w:pPr>
          <w:hyperlink w:anchor="_Toc65219932" w:history="1">
            <w:r w:rsidR="009E556E" w:rsidRPr="00062169">
              <w:rPr>
                <w:rStyle w:val="Hyperlink"/>
                <w:rFonts w:ascii="Calibri" w:hAnsi="Calibri" w:cs="Calibri"/>
                <w:noProof/>
                <w:lang w:val="sq-AL"/>
              </w:rPr>
              <w:t>Neni 4 Implementimi i barazimit përfundimtar të përbashkët</w:t>
            </w:r>
            <w:r w:rsidR="009E556E" w:rsidRPr="00062169">
              <w:rPr>
                <w:rFonts w:ascii="Calibri" w:hAnsi="Calibri" w:cs="Calibri"/>
                <w:noProof/>
                <w:webHidden/>
              </w:rPr>
              <w:tab/>
            </w:r>
            <w:r w:rsidR="009E556E" w:rsidRPr="00062169">
              <w:rPr>
                <w:rFonts w:ascii="Calibri" w:hAnsi="Calibri" w:cs="Calibri"/>
                <w:noProof/>
                <w:webHidden/>
              </w:rPr>
              <w:fldChar w:fldCharType="begin"/>
            </w:r>
            <w:r w:rsidR="009E556E" w:rsidRPr="00062169">
              <w:rPr>
                <w:rFonts w:ascii="Calibri" w:hAnsi="Calibri" w:cs="Calibri"/>
                <w:noProof/>
                <w:webHidden/>
              </w:rPr>
              <w:instrText xml:space="preserve"> PAGEREF _Toc65219932 \h </w:instrText>
            </w:r>
            <w:r w:rsidR="009E556E" w:rsidRPr="00062169">
              <w:rPr>
                <w:rFonts w:ascii="Calibri" w:hAnsi="Calibri" w:cs="Calibri"/>
                <w:noProof/>
                <w:webHidden/>
              </w:rPr>
            </w:r>
            <w:r w:rsidR="009E556E" w:rsidRPr="00062169">
              <w:rPr>
                <w:rFonts w:ascii="Calibri" w:hAnsi="Calibri" w:cs="Calibri"/>
                <w:noProof/>
                <w:webHidden/>
              </w:rPr>
              <w:fldChar w:fldCharType="separate"/>
            </w:r>
            <w:r w:rsidR="009E556E" w:rsidRPr="00062169">
              <w:rPr>
                <w:rFonts w:ascii="Calibri" w:hAnsi="Calibri" w:cs="Calibri"/>
                <w:noProof/>
                <w:webHidden/>
              </w:rPr>
              <w:t>9</w:t>
            </w:r>
            <w:r w:rsidR="009E556E" w:rsidRPr="00062169">
              <w:rPr>
                <w:rFonts w:ascii="Calibri" w:hAnsi="Calibri" w:cs="Calibri"/>
                <w:noProof/>
                <w:webHidden/>
              </w:rPr>
              <w:fldChar w:fldCharType="end"/>
            </w:r>
          </w:hyperlink>
        </w:p>
        <w:p w:rsidR="009E556E" w:rsidRPr="00062169" w:rsidRDefault="001D2183">
          <w:pPr>
            <w:pStyle w:val="TOC2"/>
            <w:tabs>
              <w:tab w:val="right" w:leader="dot" w:pos="9514"/>
            </w:tabs>
            <w:rPr>
              <w:rFonts w:ascii="Calibri" w:eastAsiaTheme="minorEastAsia" w:hAnsi="Calibri" w:cs="Calibri"/>
              <w:noProof/>
              <w:lang w:val="sq-AL" w:eastAsia="sq-AL"/>
            </w:rPr>
          </w:pPr>
          <w:hyperlink w:anchor="_Toc65219933" w:history="1">
            <w:r w:rsidR="009E556E" w:rsidRPr="00062169">
              <w:rPr>
                <w:rStyle w:val="Hyperlink"/>
                <w:rFonts w:ascii="Calibri" w:hAnsi="Calibri" w:cs="Calibri"/>
                <w:noProof/>
                <w:lang w:val="sq-AL"/>
              </w:rPr>
              <w:t>Neni 5 Funksionet e barazimit përfundimtar të përbashkët</w:t>
            </w:r>
            <w:r w:rsidR="009E556E" w:rsidRPr="00062169">
              <w:rPr>
                <w:rFonts w:ascii="Calibri" w:hAnsi="Calibri" w:cs="Calibri"/>
                <w:noProof/>
                <w:webHidden/>
              </w:rPr>
              <w:tab/>
            </w:r>
            <w:r w:rsidR="009E556E" w:rsidRPr="00062169">
              <w:rPr>
                <w:rFonts w:ascii="Calibri" w:hAnsi="Calibri" w:cs="Calibri"/>
                <w:noProof/>
                <w:webHidden/>
              </w:rPr>
              <w:fldChar w:fldCharType="begin"/>
            </w:r>
            <w:r w:rsidR="009E556E" w:rsidRPr="00062169">
              <w:rPr>
                <w:rFonts w:ascii="Calibri" w:hAnsi="Calibri" w:cs="Calibri"/>
                <w:noProof/>
                <w:webHidden/>
              </w:rPr>
              <w:instrText xml:space="preserve"> PAGEREF _Toc65219933 \h </w:instrText>
            </w:r>
            <w:r w:rsidR="009E556E" w:rsidRPr="00062169">
              <w:rPr>
                <w:rFonts w:ascii="Calibri" w:hAnsi="Calibri" w:cs="Calibri"/>
                <w:noProof/>
                <w:webHidden/>
              </w:rPr>
            </w:r>
            <w:r w:rsidR="009E556E" w:rsidRPr="00062169">
              <w:rPr>
                <w:rFonts w:ascii="Calibri" w:hAnsi="Calibri" w:cs="Calibri"/>
                <w:noProof/>
                <w:webHidden/>
              </w:rPr>
              <w:fldChar w:fldCharType="separate"/>
            </w:r>
            <w:r w:rsidR="009E556E" w:rsidRPr="00062169">
              <w:rPr>
                <w:rFonts w:ascii="Calibri" w:hAnsi="Calibri" w:cs="Calibri"/>
                <w:noProof/>
                <w:webHidden/>
              </w:rPr>
              <w:t>10</w:t>
            </w:r>
            <w:r w:rsidR="009E556E" w:rsidRPr="00062169">
              <w:rPr>
                <w:rFonts w:ascii="Calibri" w:hAnsi="Calibri" w:cs="Calibri"/>
                <w:noProof/>
                <w:webHidden/>
              </w:rPr>
              <w:fldChar w:fldCharType="end"/>
            </w:r>
          </w:hyperlink>
        </w:p>
        <w:p w:rsidR="009E556E" w:rsidRPr="00062169" w:rsidRDefault="001D2183">
          <w:pPr>
            <w:pStyle w:val="TOC2"/>
            <w:tabs>
              <w:tab w:val="right" w:leader="dot" w:pos="9514"/>
            </w:tabs>
            <w:rPr>
              <w:rFonts w:ascii="Calibri" w:eastAsiaTheme="minorEastAsia" w:hAnsi="Calibri" w:cs="Calibri"/>
              <w:noProof/>
              <w:lang w:val="sq-AL" w:eastAsia="sq-AL"/>
            </w:rPr>
          </w:pPr>
          <w:hyperlink w:anchor="_Toc65219934" w:history="1">
            <w:r w:rsidR="009E556E" w:rsidRPr="00062169">
              <w:rPr>
                <w:rStyle w:val="Hyperlink"/>
                <w:rFonts w:ascii="Calibri" w:hAnsi="Calibri" w:cs="Calibri"/>
                <w:noProof/>
                <w:lang w:val="sq-AL"/>
              </w:rPr>
              <w:t>Neni 6 Perioda e barazimit përfundimtar</w:t>
            </w:r>
            <w:r w:rsidR="009E556E" w:rsidRPr="00062169">
              <w:rPr>
                <w:rFonts w:ascii="Calibri" w:hAnsi="Calibri" w:cs="Calibri"/>
                <w:noProof/>
                <w:webHidden/>
              </w:rPr>
              <w:tab/>
            </w:r>
            <w:r w:rsidR="009E556E" w:rsidRPr="00062169">
              <w:rPr>
                <w:rFonts w:ascii="Calibri" w:hAnsi="Calibri" w:cs="Calibri"/>
                <w:noProof/>
                <w:webHidden/>
              </w:rPr>
              <w:fldChar w:fldCharType="begin"/>
            </w:r>
            <w:r w:rsidR="009E556E" w:rsidRPr="00062169">
              <w:rPr>
                <w:rFonts w:ascii="Calibri" w:hAnsi="Calibri" w:cs="Calibri"/>
                <w:noProof/>
                <w:webHidden/>
              </w:rPr>
              <w:instrText xml:space="preserve"> PAGEREF _Toc65219934 \h </w:instrText>
            </w:r>
            <w:r w:rsidR="009E556E" w:rsidRPr="00062169">
              <w:rPr>
                <w:rFonts w:ascii="Calibri" w:hAnsi="Calibri" w:cs="Calibri"/>
                <w:noProof/>
                <w:webHidden/>
              </w:rPr>
            </w:r>
            <w:r w:rsidR="009E556E" w:rsidRPr="00062169">
              <w:rPr>
                <w:rFonts w:ascii="Calibri" w:hAnsi="Calibri" w:cs="Calibri"/>
                <w:noProof/>
                <w:webHidden/>
              </w:rPr>
              <w:fldChar w:fldCharType="separate"/>
            </w:r>
            <w:r w:rsidR="009E556E" w:rsidRPr="00062169">
              <w:rPr>
                <w:rFonts w:ascii="Calibri" w:hAnsi="Calibri" w:cs="Calibri"/>
                <w:noProof/>
                <w:webHidden/>
              </w:rPr>
              <w:t>10</w:t>
            </w:r>
            <w:r w:rsidR="009E556E" w:rsidRPr="00062169">
              <w:rPr>
                <w:rFonts w:ascii="Calibri" w:hAnsi="Calibri" w:cs="Calibri"/>
                <w:noProof/>
                <w:webHidden/>
              </w:rPr>
              <w:fldChar w:fldCharType="end"/>
            </w:r>
          </w:hyperlink>
        </w:p>
        <w:p w:rsidR="009E556E" w:rsidRPr="00062169" w:rsidRDefault="001D2183">
          <w:pPr>
            <w:pStyle w:val="TOC2"/>
            <w:tabs>
              <w:tab w:val="right" w:leader="dot" w:pos="9514"/>
            </w:tabs>
            <w:rPr>
              <w:rFonts w:ascii="Calibri" w:eastAsiaTheme="minorEastAsia" w:hAnsi="Calibri" w:cs="Calibri"/>
              <w:noProof/>
              <w:lang w:val="sq-AL" w:eastAsia="sq-AL"/>
            </w:rPr>
          </w:pPr>
          <w:hyperlink w:anchor="_Toc65219935" w:history="1">
            <w:r w:rsidR="009E556E" w:rsidRPr="00062169">
              <w:rPr>
                <w:rStyle w:val="Hyperlink"/>
                <w:rFonts w:ascii="Calibri" w:hAnsi="Calibri" w:cs="Calibri"/>
                <w:noProof/>
                <w:lang w:val="sq-AL"/>
              </w:rPr>
              <w:t>Neni 7 Përcaktimi i sasive të energjisë për periodë të barazimit përfundimtar TSO  – TSO</w:t>
            </w:r>
            <w:r w:rsidR="009E556E" w:rsidRPr="00062169">
              <w:rPr>
                <w:rFonts w:ascii="Calibri" w:hAnsi="Calibri" w:cs="Calibri"/>
                <w:noProof/>
                <w:webHidden/>
              </w:rPr>
              <w:tab/>
            </w:r>
            <w:r w:rsidR="009E556E" w:rsidRPr="00062169">
              <w:rPr>
                <w:rFonts w:ascii="Calibri" w:hAnsi="Calibri" w:cs="Calibri"/>
                <w:noProof/>
                <w:webHidden/>
              </w:rPr>
              <w:fldChar w:fldCharType="begin"/>
            </w:r>
            <w:r w:rsidR="009E556E" w:rsidRPr="00062169">
              <w:rPr>
                <w:rFonts w:ascii="Calibri" w:hAnsi="Calibri" w:cs="Calibri"/>
                <w:noProof/>
                <w:webHidden/>
              </w:rPr>
              <w:instrText xml:space="preserve"> PAGEREF _Toc65219935 \h </w:instrText>
            </w:r>
            <w:r w:rsidR="009E556E" w:rsidRPr="00062169">
              <w:rPr>
                <w:rFonts w:ascii="Calibri" w:hAnsi="Calibri" w:cs="Calibri"/>
                <w:noProof/>
                <w:webHidden/>
              </w:rPr>
            </w:r>
            <w:r w:rsidR="009E556E" w:rsidRPr="00062169">
              <w:rPr>
                <w:rFonts w:ascii="Calibri" w:hAnsi="Calibri" w:cs="Calibri"/>
                <w:noProof/>
                <w:webHidden/>
              </w:rPr>
              <w:fldChar w:fldCharType="separate"/>
            </w:r>
            <w:r w:rsidR="009E556E" w:rsidRPr="00062169">
              <w:rPr>
                <w:rFonts w:ascii="Calibri" w:hAnsi="Calibri" w:cs="Calibri"/>
                <w:noProof/>
                <w:webHidden/>
              </w:rPr>
              <w:t>11</w:t>
            </w:r>
            <w:r w:rsidR="009E556E" w:rsidRPr="00062169">
              <w:rPr>
                <w:rFonts w:ascii="Calibri" w:hAnsi="Calibri" w:cs="Calibri"/>
                <w:noProof/>
                <w:webHidden/>
              </w:rPr>
              <w:fldChar w:fldCharType="end"/>
            </w:r>
          </w:hyperlink>
        </w:p>
        <w:p w:rsidR="009E556E" w:rsidRPr="00062169" w:rsidRDefault="001D2183">
          <w:pPr>
            <w:pStyle w:val="TOC2"/>
            <w:tabs>
              <w:tab w:val="right" w:leader="dot" w:pos="9514"/>
            </w:tabs>
            <w:rPr>
              <w:rFonts w:ascii="Calibri" w:eastAsiaTheme="minorEastAsia" w:hAnsi="Calibri" w:cs="Calibri"/>
              <w:noProof/>
              <w:lang w:val="sq-AL" w:eastAsia="sq-AL"/>
            </w:rPr>
          </w:pPr>
          <w:hyperlink w:anchor="_Toc65219936" w:history="1">
            <w:r w:rsidR="009E556E" w:rsidRPr="00062169">
              <w:rPr>
                <w:rStyle w:val="Hyperlink"/>
                <w:rFonts w:ascii="Calibri" w:hAnsi="Calibri" w:cs="Calibri"/>
                <w:noProof/>
                <w:lang w:val="sq-AL"/>
              </w:rPr>
              <w:t>Neni 8 Rregullat mbi çmimet për shkëmbimet TSO  – TSO  brenda SA CE</w:t>
            </w:r>
            <w:r w:rsidR="009E556E" w:rsidRPr="00062169">
              <w:rPr>
                <w:rFonts w:ascii="Calibri" w:hAnsi="Calibri" w:cs="Calibri"/>
                <w:noProof/>
                <w:webHidden/>
              </w:rPr>
              <w:tab/>
            </w:r>
            <w:r w:rsidR="009E556E" w:rsidRPr="00062169">
              <w:rPr>
                <w:rFonts w:ascii="Calibri" w:hAnsi="Calibri" w:cs="Calibri"/>
                <w:noProof/>
                <w:webHidden/>
              </w:rPr>
              <w:fldChar w:fldCharType="begin"/>
            </w:r>
            <w:r w:rsidR="009E556E" w:rsidRPr="00062169">
              <w:rPr>
                <w:rFonts w:ascii="Calibri" w:hAnsi="Calibri" w:cs="Calibri"/>
                <w:noProof/>
                <w:webHidden/>
              </w:rPr>
              <w:instrText xml:space="preserve"> PAGEREF _Toc65219936 \h </w:instrText>
            </w:r>
            <w:r w:rsidR="009E556E" w:rsidRPr="00062169">
              <w:rPr>
                <w:rFonts w:ascii="Calibri" w:hAnsi="Calibri" w:cs="Calibri"/>
                <w:noProof/>
                <w:webHidden/>
              </w:rPr>
            </w:r>
            <w:r w:rsidR="009E556E" w:rsidRPr="00062169">
              <w:rPr>
                <w:rFonts w:ascii="Calibri" w:hAnsi="Calibri" w:cs="Calibri"/>
                <w:noProof/>
                <w:webHidden/>
              </w:rPr>
              <w:fldChar w:fldCharType="separate"/>
            </w:r>
            <w:r w:rsidR="009E556E" w:rsidRPr="00062169">
              <w:rPr>
                <w:rFonts w:ascii="Calibri" w:hAnsi="Calibri" w:cs="Calibri"/>
                <w:noProof/>
                <w:webHidden/>
              </w:rPr>
              <w:t>11</w:t>
            </w:r>
            <w:r w:rsidR="009E556E" w:rsidRPr="00062169">
              <w:rPr>
                <w:rFonts w:ascii="Calibri" w:hAnsi="Calibri" w:cs="Calibri"/>
                <w:noProof/>
                <w:webHidden/>
              </w:rPr>
              <w:fldChar w:fldCharType="end"/>
            </w:r>
          </w:hyperlink>
        </w:p>
        <w:p w:rsidR="009E556E" w:rsidRPr="00062169" w:rsidRDefault="001D2183">
          <w:pPr>
            <w:pStyle w:val="TOC2"/>
            <w:tabs>
              <w:tab w:val="right" w:leader="dot" w:pos="9514"/>
            </w:tabs>
            <w:rPr>
              <w:rFonts w:ascii="Calibri" w:eastAsiaTheme="minorEastAsia" w:hAnsi="Calibri" w:cs="Calibri"/>
              <w:noProof/>
              <w:lang w:val="sq-AL" w:eastAsia="sq-AL"/>
            </w:rPr>
          </w:pPr>
          <w:hyperlink w:anchor="_Toc65219937" w:history="1">
            <w:r w:rsidR="009E556E" w:rsidRPr="00062169">
              <w:rPr>
                <w:rStyle w:val="Hyperlink"/>
                <w:rFonts w:ascii="Calibri" w:hAnsi="Calibri" w:cs="Calibri"/>
                <w:noProof/>
                <w:lang w:val="sq-AL"/>
              </w:rPr>
              <w:t>Neni 9 Publikimi dhe implementimi i CCFR</w:t>
            </w:r>
            <w:r w:rsidR="009E556E" w:rsidRPr="00062169">
              <w:rPr>
                <w:rFonts w:ascii="Calibri" w:hAnsi="Calibri" w:cs="Calibri"/>
                <w:noProof/>
                <w:webHidden/>
              </w:rPr>
              <w:tab/>
            </w:r>
            <w:r w:rsidR="009E556E" w:rsidRPr="00062169">
              <w:rPr>
                <w:rFonts w:ascii="Calibri" w:hAnsi="Calibri" w:cs="Calibri"/>
                <w:noProof/>
                <w:webHidden/>
              </w:rPr>
              <w:fldChar w:fldCharType="begin"/>
            </w:r>
            <w:r w:rsidR="009E556E" w:rsidRPr="00062169">
              <w:rPr>
                <w:rFonts w:ascii="Calibri" w:hAnsi="Calibri" w:cs="Calibri"/>
                <w:noProof/>
                <w:webHidden/>
              </w:rPr>
              <w:instrText xml:space="preserve"> PAGEREF _Toc65219937 \h </w:instrText>
            </w:r>
            <w:r w:rsidR="009E556E" w:rsidRPr="00062169">
              <w:rPr>
                <w:rFonts w:ascii="Calibri" w:hAnsi="Calibri" w:cs="Calibri"/>
                <w:noProof/>
                <w:webHidden/>
              </w:rPr>
            </w:r>
            <w:r w:rsidR="009E556E" w:rsidRPr="00062169">
              <w:rPr>
                <w:rFonts w:ascii="Calibri" w:hAnsi="Calibri" w:cs="Calibri"/>
                <w:noProof/>
                <w:webHidden/>
              </w:rPr>
              <w:fldChar w:fldCharType="separate"/>
            </w:r>
            <w:r w:rsidR="009E556E" w:rsidRPr="00062169">
              <w:rPr>
                <w:rFonts w:ascii="Calibri" w:hAnsi="Calibri" w:cs="Calibri"/>
                <w:noProof/>
                <w:webHidden/>
              </w:rPr>
              <w:t>13</w:t>
            </w:r>
            <w:r w:rsidR="009E556E" w:rsidRPr="00062169">
              <w:rPr>
                <w:rFonts w:ascii="Calibri" w:hAnsi="Calibri" w:cs="Calibri"/>
                <w:noProof/>
                <w:webHidden/>
              </w:rPr>
              <w:fldChar w:fldCharType="end"/>
            </w:r>
          </w:hyperlink>
        </w:p>
        <w:p w:rsidR="009E556E" w:rsidRPr="00062169" w:rsidRDefault="001D2183">
          <w:pPr>
            <w:pStyle w:val="TOC2"/>
            <w:tabs>
              <w:tab w:val="right" w:leader="dot" w:pos="9514"/>
            </w:tabs>
            <w:rPr>
              <w:rFonts w:ascii="Calibri" w:eastAsiaTheme="minorEastAsia" w:hAnsi="Calibri" w:cs="Calibri"/>
              <w:noProof/>
              <w:lang w:val="sq-AL" w:eastAsia="sq-AL"/>
            </w:rPr>
          </w:pPr>
          <w:hyperlink w:anchor="_Toc65219938" w:history="1">
            <w:r w:rsidR="009E556E" w:rsidRPr="00062169">
              <w:rPr>
                <w:rStyle w:val="Hyperlink"/>
                <w:rFonts w:ascii="Calibri" w:hAnsi="Calibri" w:cs="Calibri"/>
                <w:noProof/>
                <w:lang w:val="sq-AL"/>
              </w:rPr>
              <w:t>Neni 10 Gjuha</w:t>
            </w:r>
            <w:r w:rsidR="009E556E" w:rsidRPr="00062169">
              <w:rPr>
                <w:rFonts w:ascii="Calibri" w:hAnsi="Calibri" w:cs="Calibri"/>
                <w:noProof/>
                <w:webHidden/>
              </w:rPr>
              <w:tab/>
            </w:r>
            <w:r w:rsidR="009E556E" w:rsidRPr="00062169">
              <w:rPr>
                <w:rFonts w:ascii="Calibri" w:hAnsi="Calibri" w:cs="Calibri"/>
                <w:noProof/>
                <w:webHidden/>
              </w:rPr>
              <w:fldChar w:fldCharType="begin"/>
            </w:r>
            <w:r w:rsidR="009E556E" w:rsidRPr="00062169">
              <w:rPr>
                <w:rFonts w:ascii="Calibri" w:hAnsi="Calibri" w:cs="Calibri"/>
                <w:noProof/>
                <w:webHidden/>
              </w:rPr>
              <w:instrText xml:space="preserve"> PAGEREF _Toc65219938 \h </w:instrText>
            </w:r>
            <w:r w:rsidR="009E556E" w:rsidRPr="00062169">
              <w:rPr>
                <w:rFonts w:ascii="Calibri" w:hAnsi="Calibri" w:cs="Calibri"/>
                <w:noProof/>
                <w:webHidden/>
              </w:rPr>
            </w:r>
            <w:r w:rsidR="009E556E" w:rsidRPr="00062169">
              <w:rPr>
                <w:rFonts w:ascii="Calibri" w:hAnsi="Calibri" w:cs="Calibri"/>
                <w:noProof/>
                <w:webHidden/>
              </w:rPr>
              <w:fldChar w:fldCharType="separate"/>
            </w:r>
            <w:r w:rsidR="009E556E" w:rsidRPr="00062169">
              <w:rPr>
                <w:rFonts w:ascii="Calibri" w:hAnsi="Calibri" w:cs="Calibri"/>
                <w:noProof/>
                <w:webHidden/>
              </w:rPr>
              <w:t>13</w:t>
            </w:r>
            <w:r w:rsidR="009E556E" w:rsidRPr="00062169">
              <w:rPr>
                <w:rFonts w:ascii="Calibri" w:hAnsi="Calibri" w:cs="Calibri"/>
                <w:noProof/>
                <w:webHidden/>
              </w:rPr>
              <w:fldChar w:fldCharType="end"/>
            </w:r>
          </w:hyperlink>
        </w:p>
        <w:p w:rsidR="0037308F" w:rsidRPr="00062169" w:rsidRDefault="004F3E60" w:rsidP="00900B3B">
          <w:pPr>
            <w:spacing w:line="276" w:lineRule="auto"/>
            <w:rPr>
              <w:rFonts w:ascii="Calibri" w:hAnsi="Calibri" w:cs="Calibri"/>
              <w:lang w:val="sq-AL"/>
            </w:rPr>
          </w:pPr>
          <w:r w:rsidRPr="00062169">
            <w:rPr>
              <w:rFonts w:ascii="Calibri" w:hAnsi="Calibri" w:cs="Calibri"/>
              <w:b/>
              <w:bCs/>
              <w:lang w:val="sq-AL"/>
            </w:rPr>
            <w:fldChar w:fldCharType="end"/>
          </w:r>
        </w:p>
      </w:sdtContent>
    </w:sdt>
    <w:p w:rsidR="005E1BC2" w:rsidRPr="00062169" w:rsidRDefault="005E1BC2" w:rsidP="00900B3B">
      <w:pPr>
        <w:spacing w:line="276" w:lineRule="auto"/>
        <w:rPr>
          <w:rFonts w:ascii="Calibri" w:hAnsi="Calibri" w:cs="Calibri"/>
          <w:lang w:val="sq-AL"/>
        </w:rPr>
      </w:pPr>
    </w:p>
    <w:p w:rsidR="00AC2EBD" w:rsidRPr="00062169" w:rsidRDefault="004B6993" w:rsidP="00900B3B">
      <w:pPr>
        <w:spacing w:line="276" w:lineRule="auto"/>
        <w:jc w:val="both"/>
        <w:rPr>
          <w:rFonts w:ascii="Calibri" w:hAnsi="Calibri" w:cs="Calibri"/>
          <w:b/>
          <w:sz w:val="24"/>
          <w:szCs w:val="24"/>
          <w:lang w:val="sq-AL"/>
        </w:rPr>
      </w:pPr>
      <w:r w:rsidRPr="00062169">
        <w:rPr>
          <w:rFonts w:ascii="Calibri" w:hAnsi="Calibri" w:cs="Calibri"/>
          <w:lang w:val="sq-AL"/>
        </w:rPr>
        <w:br w:type="page"/>
      </w:r>
      <w:bookmarkStart w:id="1" w:name="_Toc378091729"/>
      <w:r w:rsidR="00AC2EBD" w:rsidRPr="00062169">
        <w:rPr>
          <w:rFonts w:ascii="Calibri" w:hAnsi="Calibri" w:cs="Calibri"/>
          <w:b/>
          <w:sz w:val="24"/>
          <w:szCs w:val="24"/>
          <w:lang w:val="sq-AL"/>
        </w:rPr>
        <w:lastRenderedPageBreak/>
        <w:t xml:space="preserve">TË GJITHA </w:t>
      </w:r>
      <w:r w:rsidR="00AE3781" w:rsidRPr="00062169">
        <w:rPr>
          <w:rFonts w:ascii="Calibri" w:hAnsi="Calibri" w:cs="Calibri"/>
          <w:b/>
          <w:sz w:val="24"/>
          <w:szCs w:val="24"/>
          <w:lang w:val="sq-AL"/>
        </w:rPr>
        <w:t>TSO</w:t>
      </w:r>
      <w:r w:rsidR="00C555F9" w:rsidRPr="00062169">
        <w:rPr>
          <w:rFonts w:ascii="Calibri" w:hAnsi="Calibri" w:cs="Calibri"/>
          <w:b/>
          <w:sz w:val="24"/>
          <w:szCs w:val="24"/>
          <w:lang w:val="sq-AL"/>
        </w:rPr>
        <w:t>-</w:t>
      </w:r>
      <w:r w:rsidR="00C555F9" w:rsidRPr="00062169">
        <w:rPr>
          <w:rFonts w:ascii="Calibri" w:hAnsi="Calibri" w:cs="Calibri"/>
          <w:b/>
          <w:sz w:val="24"/>
          <w:szCs w:val="24"/>
          <w:lang w:val="en-US"/>
        </w:rPr>
        <w:t>T</w:t>
      </w:r>
      <w:r w:rsidR="00C555F9" w:rsidRPr="00062169">
        <w:rPr>
          <w:rFonts w:ascii="Calibri" w:hAnsi="Calibri" w:cs="Calibri"/>
          <w:b/>
          <w:sz w:val="24"/>
          <w:szCs w:val="24"/>
          <w:lang w:val="sq-AL"/>
        </w:rPr>
        <w:t>Ë</w:t>
      </w:r>
      <w:r w:rsidR="00AE3781" w:rsidRPr="00062169">
        <w:rPr>
          <w:rFonts w:ascii="Calibri" w:hAnsi="Calibri" w:cs="Calibri"/>
          <w:b/>
          <w:sz w:val="24"/>
          <w:szCs w:val="24"/>
          <w:lang w:val="sq-AL"/>
        </w:rPr>
        <w:t xml:space="preserve"> </w:t>
      </w:r>
      <w:r w:rsidR="00AC2EBD" w:rsidRPr="00062169">
        <w:rPr>
          <w:rFonts w:ascii="Calibri" w:hAnsi="Calibri" w:cs="Calibri"/>
          <w:b/>
          <w:sz w:val="24"/>
          <w:szCs w:val="24"/>
          <w:lang w:val="sq-AL"/>
        </w:rPr>
        <w:t xml:space="preserve"> E EVROPËS KONTINENTALE, </w:t>
      </w:r>
      <w:r w:rsidR="00544F07" w:rsidRPr="00062169">
        <w:rPr>
          <w:rFonts w:ascii="Calibri" w:hAnsi="Calibri" w:cs="Calibri"/>
          <w:b/>
          <w:sz w:val="24"/>
          <w:szCs w:val="24"/>
          <w:lang w:val="sq-AL"/>
        </w:rPr>
        <w:t>KONSIDEROJNË SI</w:t>
      </w:r>
      <w:r w:rsidR="00AC2EBD" w:rsidRPr="00062169">
        <w:rPr>
          <w:rFonts w:ascii="Calibri" w:hAnsi="Calibri" w:cs="Calibri"/>
          <w:b/>
          <w:sz w:val="24"/>
          <w:szCs w:val="24"/>
          <w:lang w:val="sq-AL"/>
        </w:rPr>
        <w:t xml:space="preserve"> VIJON:</w:t>
      </w:r>
    </w:p>
    <w:p w:rsidR="00D21F08" w:rsidRPr="00062169" w:rsidRDefault="00D21F08" w:rsidP="00900B3B">
      <w:pPr>
        <w:pStyle w:val="headline2"/>
        <w:spacing w:after="0" w:line="276" w:lineRule="auto"/>
        <w:rPr>
          <w:rFonts w:ascii="Calibri" w:hAnsi="Calibri" w:cs="Calibri"/>
          <w:sz w:val="22"/>
          <w:szCs w:val="22"/>
          <w:lang w:val="sq-AL"/>
        </w:rPr>
      </w:pPr>
    </w:p>
    <w:p w:rsidR="00412B54" w:rsidRPr="00062169" w:rsidRDefault="000C0D5E" w:rsidP="005043E5">
      <w:pPr>
        <w:pStyle w:val="textregular"/>
        <w:rPr>
          <w:rFonts w:ascii="Calibri" w:hAnsi="Calibri" w:cs="Calibri"/>
          <w:lang w:val="sq-AL"/>
        </w:rPr>
      </w:pPr>
      <w:r w:rsidRPr="00062169">
        <w:rPr>
          <w:rFonts w:ascii="Calibri" w:hAnsi="Calibri" w:cs="Calibri"/>
          <w:lang w:val="sq-AL"/>
        </w:rPr>
        <w:t>Duke marrë parasysh që</w:t>
      </w:r>
    </w:p>
    <w:p w:rsidR="00D21F08" w:rsidRPr="00062169" w:rsidRDefault="00D21F08" w:rsidP="00900B3B">
      <w:pPr>
        <w:pStyle w:val="headline2"/>
        <w:spacing w:after="0" w:line="276" w:lineRule="auto"/>
        <w:rPr>
          <w:rFonts w:ascii="Calibri" w:hAnsi="Calibri" w:cs="Calibri"/>
          <w:sz w:val="22"/>
          <w:szCs w:val="22"/>
          <w:lang w:val="sq-AL"/>
        </w:rPr>
      </w:pPr>
    </w:p>
    <w:p w:rsidR="00AC2EBD" w:rsidRPr="00062169" w:rsidRDefault="00AC2EBD" w:rsidP="00900B3B">
      <w:pPr>
        <w:pStyle w:val="ListParagraph"/>
        <w:numPr>
          <w:ilvl w:val="0"/>
          <w:numId w:val="5"/>
        </w:numPr>
        <w:spacing w:after="0" w:line="276" w:lineRule="auto"/>
        <w:ind w:left="1080" w:hanging="720"/>
        <w:contextualSpacing w:val="0"/>
        <w:rPr>
          <w:rFonts w:ascii="Calibri" w:hAnsi="Calibri" w:cs="Calibri"/>
          <w:color w:val="000000" w:themeColor="text1"/>
          <w:lang w:val="sq-AL"/>
        </w:rPr>
      </w:pPr>
      <w:r w:rsidRPr="00062169">
        <w:rPr>
          <w:rFonts w:ascii="Calibri" w:hAnsi="Calibri" w:cs="Calibri"/>
          <w:color w:val="000000" w:themeColor="text1"/>
          <w:lang w:val="sq-AL"/>
        </w:rPr>
        <w:t>Ky dokument është një propozim i përbashkët i zhvilluar nga të gjithë Operatorët e Sistemit të Transmisionit në Zonën Sinkrone të Evropës Kontinentale (në vijim referuar si "</w:t>
      </w:r>
      <w:r w:rsidR="00AE3781" w:rsidRPr="00062169">
        <w:rPr>
          <w:rFonts w:ascii="Calibri" w:hAnsi="Calibri" w:cs="Calibri"/>
          <w:color w:val="000000" w:themeColor="text1"/>
          <w:lang w:val="sq-AL"/>
        </w:rPr>
        <w:t xml:space="preserve">TSO </w:t>
      </w:r>
      <w:r w:rsidRPr="00062169">
        <w:rPr>
          <w:rFonts w:ascii="Calibri" w:hAnsi="Calibri" w:cs="Calibri"/>
          <w:color w:val="000000" w:themeColor="text1"/>
          <w:lang w:val="sq-AL"/>
        </w:rPr>
        <w:t xml:space="preserve">të CE") në lidhje me zhvillimin e rregullave të përbashkëta të </w:t>
      </w:r>
      <w:r w:rsidR="00A0483F" w:rsidRPr="00062169">
        <w:rPr>
          <w:rFonts w:ascii="Calibri" w:hAnsi="Calibri" w:cs="Calibri"/>
          <w:color w:val="000000" w:themeColor="text1"/>
          <w:lang w:val="sq-AL"/>
        </w:rPr>
        <w:t xml:space="preserve">barazimit përfundimtar </w:t>
      </w:r>
      <w:r w:rsidRPr="00062169">
        <w:rPr>
          <w:rFonts w:ascii="Calibri" w:hAnsi="Calibri" w:cs="Calibri"/>
          <w:color w:val="000000" w:themeColor="text1"/>
          <w:lang w:val="sq-AL"/>
        </w:rPr>
        <w:t xml:space="preserve">për të gjitha shkëmbimet e </w:t>
      </w:r>
      <w:r w:rsidR="009206B3" w:rsidRPr="00062169">
        <w:rPr>
          <w:rFonts w:ascii="Calibri" w:hAnsi="Calibri" w:cs="Calibri"/>
          <w:color w:val="000000" w:themeColor="text1"/>
          <w:lang w:val="sq-AL"/>
        </w:rPr>
        <w:t xml:space="preserve">qëllimshme të </w:t>
      </w:r>
      <w:r w:rsidRPr="00062169">
        <w:rPr>
          <w:rFonts w:ascii="Calibri" w:hAnsi="Calibri" w:cs="Calibri"/>
          <w:color w:val="000000" w:themeColor="text1"/>
          <w:lang w:val="sq-AL"/>
        </w:rPr>
        <w:t xml:space="preserve">energjisë </w:t>
      </w:r>
      <w:r w:rsidR="009206B3" w:rsidRPr="00062169">
        <w:rPr>
          <w:rFonts w:ascii="Calibri" w:hAnsi="Calibri" w:cs="Calibri"/>
          <w:color w:val="000000" w:themeColor="text1"/>
          <w:lang w:val="sq-AL"/>
        </w:rPr>
        <w:t xml:space="preserve">si rezultat i procesit të </w:t>
      </w:r>
      <w:r w:rsidR="00A0483F" w:rsidRPr="00062169">
        <w:rPr>
          <w:rFonts w:ascii="Calibri" w:hAnsi="Calibri" w:cs="Calibri"/>
          <w:color w:val="000000" w:themeColor="text1"/>
          <w:lang w:val="sq-AL"/>
        </w:rPr>
        <w:t xml:space="preserve">rregullimit </w:t>
      </w:r>
      <w:r w:rsidR="00C85011" w:rsidRPr="00062169">
        <w:rPr>
          <w:rFonts w:ascii="Calibri" w:hAnsi="Calibri" w:cs="Calibri"/>
          <w:color w:val="000000" w:themeColor="text1"/>
          <w:lang w:val="sq-AL"/>
        </w:rPr>
        <w:t>stabilizues</w:t>
      </w:r>
      <w:r w:rsidR="00A0483F" w:rsidRPr="00062169">
        <w:rPr>
          <w:rFonts w:ascii="Calibri" w:hAnsi="Calibri" w:cs="Calibri"/>
          <w:color w:val="000000" w:themeColor="text1"/>
          <w:lang w:val="sq-AL"/>
        </w:rPr>
        <w:t xml:space="preserve"> </w:t>
      </w:r>
      <w:r w:rsidR="009206B3" w:rsidRPr="00062169">
        <w:rPr>
          <w:rFonts w:ascii="Calibri" w:hAnsi="Calibri" w:cs="Calibri"/>
          <w:color w:val="000000" w:themeColor="text1"/>
          <w:lang w:val="sq-AL"/>
        </w:rPr>
        <w:t xml:space="preserve">të frekuencës dhe </w:t>
      </w:r>
      <w:r w:rsidR="00D33785" w:rsidRPr="00062169">
        <w:rPr>
          <w:rFonts w:ascii="Calibri" w:hAnsi="Calibri" w:cs="Calibri"/>
          <w:color w:val="000000" w:themeColor="text1"/>
          <w:lang w:val="sq-AL"/>
        </w:rPr>
        <w:t xml:space="preserve">periodës </w:t>
      </w:r>
      <w:r w:rsidR="009206B3" w:rsidRPr="00062169">
        <w:rPr>
          <w:rFonts w:ascii="Calibri" w:hAnsi="Calibri" w:cs="Calibri"/>
          <w:color w:val="000000" w:themeColor="text1"/>
          <w:lang w:val="sq-AL"/>
        </w:rPr>
        <w:t xml:space="preserve">së </w:t>
      </w:r>
      <w:r w:rsidR="001876A6" w:rsidRPr="00062169">
        <w:rPr>
          <w:rFonts w:ascii="Calibri" w:hAnsi="Calibri" w:cs="Calibri"/>
          <w:color w:val="000000" w:themeColor="text1"/>
          <w:lang w:val="sq-AL"/>
        </w:rPr>
        <w:t>ndryshimit (rritje / ulje)</w:t>
      </w:r>
      <w:r w:rsidR="009206B3" w:rsidRPr="00062169">
        <w:rPr>
          <w:rFonts w:ascii="Calibri" w:hAnsi="Calibri" w:cs="Calibri"/>
          <w:color w:val="000000" w:themeColor="text1"/>
          <w:lang w:val="sq-AL"/>
        </w:rPr>
        <w:t xml:space="preserve"> </w:t>
      </w:r>
      <w:r w:rsidRPr="00062169">
        <w:rPr>
          <w:rFonts w:ascii="Calibri" w:hAnsi="Calibri" w:cs="Calibri"/>
          <w:color w:val="000000" w:themeColor="text1"/>
          <w:lang w:val="sq-AL"/>
        </w:rPr>
        <w:t>(në tekstin e mëposhtëm "</w:t>
      </w:r>
      <w:r w:rsidR="009206B3" w:rsidRPr="00062169">
        <w:rPr>
          <w:rFonts w:ascii="Calibri" w:hAnsi="Calibri" w:cs="Calibri"/>
          <w:color w:val="000000" w:themeColor="text1"/>
          <w:lang w:val="sq-AL"/>
        </w:rPr>
        <w:t xml:space="preserve">energjia e procesit të </w:t>
      </w:r>
      <w:r w:rsidR="00A0483F" w:rsidRPr="00062169">
        <w:rPr>
          <w:rFonts w:ascii="Calibri" w:hAnsi="Calibri" w:cs="Calibri"/>
          <w:color w:val="000000" w:themeColor="text1"/>
          <w:lang w:val="sq-AL"/>
        </w:rPr>
        <w:t xml:space="preserve">rregullimit </w:t>
      </w:r>
      <w:r w:rsidR="00C85011" w:rsidRPr="00062169">
        <w:rPr>
          <w:rFonts w:ascii="Calibri" w:hAnsi="Calibri" w:cs="Calibri"/>
          <w:color w:val="000000" w:themeColor="text1"/>
          <w:lang w:val="sq-AL"/>
        </w:rPr>
        <w:t>stabilizues</w:t>
      </w:r>
      <w:r w:rsidR="00A0483F" w:rsidRPr="00062169">
        <w:rPr>
          <w:rFonts w:ascii="Calibri" w:hAnsi="Calibri" w:cs="Calibri"/>
          <w:color w:val="000000" w:themeColor="text1"/>
          <w:lang w:val="sq-AL"/>
        </w:rPr>
        <w:t xml:space="preserve"> </w:t>
      </w:r>
      <w:r w:rsidR="009206B3" w:rsidRPr="00062169">
        <w:rPr>
          <w:rFonts w:ascii="Calibri" w:hAnsi="Calibri" w:cs="Calibri"/>
          <w:color w:val="000000" w:themeColor="text1"/>
          <w:lang w:val="sq-AL"/>
        </w:rPr>
        <w:t xml:space="preserve">të frekuencës dhe energjia e </w:t>
      </w:r>
      <w:r w:rsidR="00D33785" w:rsidRPr="00062169">
        <w:rPr>
          <w:rFonts w:ascii="Calibri" w:hAnsi="Calibri" w:cs="Calibri"/>
          <w:color w:val="000000" w:themeColor="text1"/>
          <w:lang w:val="sq-AL"/>
        </w:rPr>
        <w:t xml:space="preserve">periodës </w:t>
      </w:r>
      <w:r w:rsidR="009206B3" w:rsidRPr="00062169">
        <w:rPr>
          <w:rFonts w:ascii="Calibri" w:hAnsi="Calibri" w:cs="Calibri"/>
          <w:color w:val="000000" w:themeColor="text1"/>
          <w:lang w:val="sq-AL"/>
        </w:rPr>
        <w:t xml:space="preserve">së </w:t>
      </w:r>
      <w:r w:rsidR="001876A6" w:rsidRPr="00062169">
        <w:rPr>
          <w:rFonts w:ascii="Calibri" w:hAnsi="Calibri" w:cs="Calibri"/>
          <w:color w:val="000000" w:themeColor="text1"/>
          <w:lang w:val="sq-AL"/>
        </w:rPr>
        <w:t>ndryshimit (rritje / ulje)</w:t>
      </w:r>
      <w:r w:rsidRPr="00062169">
        <w:rPr>
          <w:rFonts w:ascii="Calibri" w:hAnsi="Calibri" w:cs="Calibri"/>
          <w:color w:val="000000" w:themeColor="text1"/>
          <w:lang w:val="sq-AL"/>
        </w:rPr>
        <w:t>") në përputhje me Nenin 5</w:t>
      </w:r>
      <w:r w:rsidR="009206B3" w:rsidRPr="00062169">
        <w:rPr>
          <w:rFonts w:ascii="Calibri" w:hAnsi="Calibri" w:cs="Calibri"/>
          <w:color w:val="000000" w:themeColor="text1"/>
          <w:lang w:val="sq-AL"/>
        </w:rPr>
        <w:t>0</w:t>
      </w:r>
      <w:r w:rsidRPr="00062169">
        <w:rPr>
          <w:rFonts w:ascii="Calibri" w:hAnsi="Calibri" w:cs="Calibri"/>
          <w:color w:val="000000" w:themeColor="text1"/>
          <w:lang w:val="sq-AL"/>
        </w:rPr>
        <w:t xml:space="preserve"> (</w:t>
      </w:r>
      <w:r w:rsidR="009206B3" w:rsidRPr="00062169">
        <w:rPr>
          <w:rFonts w:ascii="Calibri" w:hAnsi="Calibri" w:cs="Calibri"/>
          <w:color w:val="000000" w:themeColor="text1"/>
          <w:lang w:val="sq-AL"/>
        </w:rPr>
        <w:t>3</w:t>
      </w:r>
      <w:r w:rsidRPr="00062169">
        <w:rPr>
          <w:rFonts w:ascii="Calibri" w:hAnsi="Calibri" w:cs="Calibri"/>
          <w:color w:val="000000" w:themeColor="text1"/>
          <w:lang w:val="sq-AL"/>
        </w:rPr>
        <w:t xml:space="preserve">) të Rregullores së Komisionit (BE) 2017/2195 të 23 nëntorit 2017 për krijimin e një udhëzuesi </w:t>
      </w:r>
      <w:r w:rsidR="00320CE0" w:rsidRPr="00062169">
        <w:rPr>
          <w:rFonts w:ascii="Calibri" w:hAnsi="Calibri" w:cs="Calibri"/>
          <w:color w:val="000000" w:themeColor="text1"/>
          <w:lang w:val="sq-AL"/>
        </w:rPr>
        <w:t xml:space="preserve">për </w:t>
      </w:r>
      <w:r w:rsidRPr="00062169">
        <w:rPr>
          <w:rFonts w:ascii="Calibri" w:hAnsi="Calibri" w:cs="Calibri"/>
          <w:color w:val="000000" w:themeColor="text1"/>
          <w:lang w:val="sq-AL"/>
        </w:rPr>
        <w:t>balancimin e energjisë elektrike (në tekstin e mëposhtëm "</w:t>
      </w:r>
      <w:r w:rsidRPr="00062169">
        <w:rPr>
          <w:rFonts w:ascii="Calibri" w:hAnsi="Calibri" w:cs="Calibri"/>
          <w:b/>
          <w:color w:val="000000" w:themeColor="text1"/>
          <w:lang w:val="sq-AL"/>
        </w:rPr>
        <w:t>EBGL</w:t>
      </w:r>
      <w:r w:rsidRPr="00062169">
        <w:rPr>
          <w:rFonts w:ascii="Calibri" w:hAnsi="Calibri" w:cs="Calibri"/>
          <w:color w:val="000000" w:themeColor="text1"/>
          <w:lang w:val="sq-AL"/>
        </w:rPr>
        <w:t>"). Ky propozim më poshtë quhet "</w:t>
      </w:r>
      <w:r w:rsidR="009206B3" w:rsidRPr="00062169">
        <w:rPr>
          <w:rFonts w:ascii="Calibri" w:hAnsi="Calibri" w:cs="Calibri"/>
          <w:b/>
          <w:color w:val="000000" w:themeColor="text1"/>
          <w:lang w:val="sq-AL"/>
        </w:rPr>
        <w:t>CCFR</w:t>
      </w:r>
      <w:r w:rsidRPr="00062169">
        <w:rPr>
          <w:rFonts w:ascii="Calibri" w:hAnsi="Calibri" w:cs="Calibri"/>
          <w:color w:val="000000" w:themeColor="text1"/>
          <w:lang w:val="sq-AL"/>
        </w:rPr>
        <w:t xml:space="preserve">", i cili nënkupton 'rregullat e përbashkëta të </w:t>
      </w:r>
      <w:r w:rsidR="00320CE0" w:rsidRPr="00062169">
        <w:rPr>
          <w:rFonts w:ascii="Calibri" w:hAnsi="Calibri" w:cs="Calibri"/>
          <w:color w:val="000000" w:themeColor="text1"/>
          <w:lang w:val="sq-AL"/>
        </w:rPr>
        <w:t xml:space="preserve">barazimit përfundimtar </w:t>
      </w:r>
      <w:r w:rsidRPr="00062169">
        <w:rPr>
          <w:rFonts w:ascii="Calibri" w:hAnsi="Calibri" w:cs="Calibri"/>
          <w:color w:val="000000" w:themeColor="text1"/>
          <w:lang w:val="sq-AL"/>
        </w:rPr>
        <w:t xml:space="preserve">për Evropën Kontinentale për </w:t>
      </w:r>
      <w:r w:rsidR="00320CE0" w:rsidRPr="00062169">
        <w:rPr>
          <w:rFonts w:ascii="Calibri" w:hAnsi="Calibri" w:cs="Calibri"/>
          <w:color w:val="000000" w:themeColor="text1"/>
          <w:lang w:val="sq-AL"/>
        </w:rPr>
        <w:t xml:space="preserve">shkëmbimet </w:t>
      </w:r>
      <w:r w:rsidRPr="00062169">
        <w:rPr>
          <w:rFonts w:ascii="Calibri" w:hAnsi="Calibri" w:cs="Calibri"/>
          <w:color w:val="000000" w:themeColor="text1"/>
          <w:lang w:val="sq-AL"/>
        </w:rPr>
        <w:t>e qëllimshme të energjisë</w:t>
      </w:r>
      <w:r w:rsidR="009206B3" w:rsidRPr="00062169">
        <w:rPr>
          <w:rFonts w:ascii="Calibri" w:hAnsi="Calibri" w:cs="Calibri"/>
          <w:color w:val="000000" w:themeColor="text1"/>
          <w:lang w:val="sq-AL"/>
        </w:rPr>
        <w:t xml:space="preserve"> si rezultat i procesit të </w:t>
      </w:r>
      <w:r w:rsidR="00320CE0" w:rsidRPr="00062169">
        <w:rPr>
          <w:rFonts w:ascii="Calibri" w:hAnsi="Calibri" w:cs="Calibri"/>
          <w:color w:val="000000" w:themeColor="text1"/>
          <w:lang w:val="sq-AL"/>
        </w:rPr>
        <w:t xml:space="preserve">rregullimit </w:t>
      </w:r>
      <w:r w:rsidR="00C85011" w:rsidRPr="00062169">
        <w:rPr>
          <w:rFonts w:ascii="Calibri" w:hAnsi="Calibri" w:cs="Calibri"/>
          <w:color w:val="000000" w:themeColor="text1"/>
          <w:lang w:val="sq-AL"/>
        </w:rPr>
        <w:t>stabilizues</w:t>
      </w:r>
      <w:r w:rsidR="00320CE0" w:rsidRPr="00062169">
        <w:rPr>
          <w:rFonts w:ascii="Calibri" w:hAnsi="Calibri" w:cs="Calibri"/>
          <w:color w:val="000000" w:themeColor="text1"/>
          <w:lang w:val="sq-AL"/>
        </w:rPr>
        <w:t xml:space="preserve"> </w:t>
      </w:r>
      <w:r w:rsidR="009206B3" w:rsidRPr="00062169">
        <w:rPr>
          <w:rFonts w:ascii="Calibri" w:hAnsi="Calibri" w:cs="Calibri"/>
          <w:color w:val="000000" w:themeColor="text1"/>
          <w:lang w:val="sq-AL"/>
        </w:rPr>
        <w:t xml:space="preserve">të frekuencës dhe </w:t>
      </w:r>
      <w:r w:rsidR="00D33785" w:rsidRPr="00062169">
        <w:rPr>
          <w:rFonts w:ascii="Calibri" w:hAnsi="Calibri" w:cs="Calibri"/>
          <w:color w:val="000000" w:themeColor="text1"/>
          <w:lang w:val="sq-AL"/>
        </w:rPr>
        <w:t xml:space="preserve">periodës </w:t>
      </w:r>
      <w:r w:rsidR="009206B3" w:rsidRPr="00062169">
        <w:rPr>
          <w:rFonts w:ascii="Calibri" w:hAnsi="Calibri" w:cs="Calibri"/>
          <w:color w:val="000000" w:themeColor="text1"/>
          <w:lang w:val="sq-AL"/>
        </w:rPr>
        <w:t xml:space="preserve">së </w:t>
      </w:r>
      <w:r w:rsidR="003264E2" w:rsidRPr="00062169">
        <w:rPr>
          <w:rFonts w:ascii="Calibri" w:hAnsi="Calibri" w:cs="Calibri"/>
          <w:color w:val="000000" w:themeColor="text1"/>
          <w:lang w:val="sq-AL"/>
        </w:rPr>
        <w:t>ndryshimit (rritje / ulje)</w:t>
      </w:r>
      <w:r w:rsidRPr="00062169">
        <w:rPr>
          <w:rFonts w:ascii="Calibri" w:hAnsi="Calibri" w:cs="Calibri"/>
          <w:color w:val="000000" w:themeColor="text1"/>
          <w:lang w:val="sq-AL"/>
        </w:rPr>
        <w:t>'</w:t>
      </w:r>
      <w:r w:rsidR="00320CE0" w:rsidRPr="00062169">
        <w:rPr>
          <w:rFonts w:ascii="Calibri" w:hAnsi="Calibri" w:cs="Calibri"/>
          <w:color w:val="000000" w:themeColor="text1"/>
          <w:lang w:val="sq-AL"/>
        </w:rPr>
        <w:t>.</w:t>
      </w:r>
    </w:p>
    <w:p w:rsidR="005D1200" w:rsidRPr="00062169" w:rsidRDefault="00320CE0" w:rsidP="00900B3B">
      <w:pPr>
        <w:pStyle w:val="ListParagraph"/>
        <w:numPr>
          <w:ilvl w:val="0"/>
          <w:numId w:val="5"/>
        </w:numPr>
        <w:spacing w:after="0" w:line="276" w:lineRule="auto"/>
        <w:ind w:left="1080" w:hanging="720"/>
        <w:contextualSpacing w:val="0"/>
        <w:rPr>
          <w:rFonts w:ascii="Calibri" w:hAnsi="Calibri" w:cs="Calibri"/>
          <w:lang w:val="sq-AL"/>
        </w:rPr>
      </w:pPr>
      <w:r w:rsidRPr="00062169">
        <w:rPr>
          <w:rFonts w:ascii="Calibri" w:hAnsi="Calibri" w:cs="Calibri"/>
          <w:lang w:val="sq-AL"/>
        </w:rPr>
        <w:t xml:space="preserve">Ky </w:t>
      </w:r>
      <w:r w:rsidR="004F3AAA" w:rsidRPr="00062169">
        <w:rPr>
          <w:rFonts w:ascii="Calibri" w:hAnsi="Calibri" w:cs="Calibri"/>
          <w:lang w:val="sq-AL"/>
        </w:rPr>
        <w:t>CCFR</w:t>
      </w:r>
      <w:r w:rsidR="001876A6" w:rsidRPr="00062169">
        <w:rPr>
          <w:rFonts w:ascii="Calibri" w:hAnsi="Calibri" w:cs="Calibri"/>
          <w:lang w:val="sq-AL"/>
        </w:rPr>
        <w:t xml:space="preserve"> </w:t>
      </w:r>
      <w:r w:rsidR="00807256" w:rsidRPr="00062169">
        <w:rPr>
          <w:rFonts w:ascii="Calibri" w:hAnsi="Calibri" w:cs="Calibri"/>
          <w:lang w:val="sq-AL"/>
        </w:rPr>
        <w:t xml:space="preserve">merr parasysh parimet dhe qëllimet e përgjithshme të përcaktuara në EBGL si dhe Rregulloren (EC) Nr 714/2009 të Parlamentit Evropian dhe të Këshillit të datës 13 Korrik 2009 mbi kushtet e </w:t>
      </w:r>
      <w:r w:rsidRPr="00062169">
        <w:rPr>
          <w:rFonts w:ascii="Calibri" w:hAnsi="Calibri" w:cs="Calibri"/>
          <w:lang w:val="sq-AL"/>
        </w:rPr>
        <w:t xml:space="preserve">qasjes </w:t>
      </w:r>
      <w:r w:rsidR="00807256" w:rsidRPr="00062169">
        <w:rPr>
          <w:rFonts w:ascii="Calibri" w:hAnsi="Calibri" w:cs="Calibri"/>
          <w:lang w:val="sq-AL"/>
        </w:rPr>
        <w:t>në rrjet për shkëmbimet ndërkufitare të energjisë elektrike (më poshtë  "</w:t>
      </w:r>
      <w:r w:rsidR="00807256" w:rsidRPr="00062169">
        <w:rPr>
          <w:rFonts w:ascii="Calibri" w:hAnsi="Calibri" w:cs="Calibri"/>
          <w:b/>
          <w:lang w:val="sq-AL"/>
        </w:rPr>
        <w:t>Rregullorja për Energjinë Elektrike</w:t>
      </w:r>
      <w:r w:rsidR="00807256" w:rsidRPr="00062169">
        <w:rPr>
          <w:rFonts w:ascii="Calibri" w:hAnsi="Calibri" w:cs="Calibri"/>
          <w:lang w:val="sq-AL"/>
        </w:rPr>
        <w:t>") si dhe Rregullorja (KE) Nr 2017/1485 e datës 2 gusht 2017 për krijimin e një udhëzuesi mbi operimin e sistemit të transmetimit të energjisë elektrike (më poshtë referuar si "</w:t>
      </w:r>
      <w:r w:rsidR="00807256" w:rsidRPr="00062169">
        <w:rPr>
          <w:rFonts w:ascii="Calibri" w:hAnsi="Calibri" w:cs="Calibri"/>
          <w:b/>
          <w:lang w:val="sq-AL"/>
        </w:rPr>
        <w:t>SOGL</w:t>
      </w:r>
      <w:r w:rsidR="00807256" w:rsidRPr="00062169">
        <w:rPr>
          <w:rFonts w:ascii="Calibri" w:hAnsi="Calibri" w:cs="Calibri"/>
          <w:lang w:val="sq-AL"/>
        </w:rPr>
        <w:t xml:space="preserve">"). Qëllimi i EBGL është integrimi i tregjeve </w:t>
      </w:r>
      <w:r w:rsidRPr="00062169">
        <w:rPr>
          <w:rFonts w:ascii="Calibri" w:hAnsi="Calibri" w:cs="Calibri"/>
          <w:lang w:val="sq-AL"/>
        </w:rPr>
        <w:t>balancuese të energjisë elektrike</w:t>
      </w:r>
      <w:r w:rsidR="00807256" w:rsidRPr="00062169">
        <w:rPr>
          <w:rFonts w:ascii="Calibri" w:hAnsi="Calibri" w:cs="Calibri"/>
          <w:lang w:val="sq-AL"/>
        </w:rPr>
        <w:t xml:space="preserve">. Integrimi i tregjeve </w:t>
      </w:r>
      <w:r w:rsidRPr="00062169">
        <w:rPr>
          <w:rFonts w:ascii="Calibri" w:hAnsi="Calibri" w:cs="Calibri"/>
          <w:lang w:val="sq-AL"/>
        </w:rPr>
        <w:t xml:space="preserve">balancuese të </w:t>
      </w:r>
      <w:r w:rsidR="00807256" w:rsidRPr="00062169">
        <w:rPr>
          <w:rFonts w:ascii="Calibri" w:hAnsi="Calibri" w:cs="Calibri"/>
          <w:lang w:val="sq-AL"/>
        </w:rPr>
        <w:t>energjisë</w:t>
      </w:r>
      <w:r w:rsidRPr="00062169">
        <w:rPr>
          <w:rFonts w:ascii="Calibri" w:hAnsi="Calibri" w:cs="Calibri"/>
          <w:lang w:val="sq-AL"/>
        </w:rPr>
        <w:t xml:space="preserve"> elektrike</w:t>
      </w:r>
      <w:r w:rsidR="00807256" w:rsidRPr="00062169">
        <w:rPr>
          <w:rFonts w:ascii="Calibri" w:hAnsi="Calibri" w:cs="Calibri"/>
          <w:lang w:val="sq-AL"/>
        </w:rPr>
        <w:t xml:space="preserve"> duhet të lehtësohet me krijimin e platformave të përbashkëta Evropiane për operimin e procesit të netimit të </w:t>
      </w:r>
      <w:r w:rsidRPr="00062169">
        <w:rPr>
          <w:rFonts w:ascii="Calibri" w:hAnsi="Calibri" w:cs="Calibri"/>
          <w:lang w:val="sq-AL"/>
        </w:rPr>
        <w:t xml:space="preserve">jobalanceve </w:t>
      </w:r>
      <w:r w:rsidR="00807256" w:rsidRPr="00062169">
        <w:rPr>
          <w:rFonts w:ascii="Calibri" w:hAnsi="Calibri" w:cs="Calibri"/>
          <w:lang w:val="sq-AL"/>
        </w:rPr>
        <w:t>dhe mundësimin e shkëmbimit të energjisë balancuese nga rezervat e restaurimit të frekuenc</w:t>
      </w:r>
      <w:r w:rsidRPr="00062169">
        <w:rPr>
          <w:rFonts w:ascii="Calibri" w:hAnsi="Calibri" w:cs="Calibri"/>
          <w:lang w:val="sq-AL"/>
        </w:rPr>
        <w:t>ës</w:t>
      </w:r>
      <w:r w:rsidR="00807256" w:rsidRPr="00062169">
        <w:rPr>
          <w:rFonts w:ascii="Calibri" w:hAnsi="Calibri" w:cs="Calibri"/>
          <w:lang w:val="sq-AL"/>
        </w:rPr>
        <w:t xml:space="preserve"> dhe rezervat zëvendësuese. Bashkëpunimi midis </w:t>
      </w:r>
      <w:r w:rsidR="00AE3781" w:rsidRPr="00062169">
        <w:rPr>
          <w:rFonts w:ascii="Calibri" w:hAnsi="Calibri" w:cs="Calibri"/>
          <w:lang w:val="sq-AL"/>
        </w:rPr>
        <w:t>TSO</w:t>
      </w:r>
      <w:r w:rsidR="00807256" w:rsidRPr="00062169">
        <w:rPr>
          <w:rFonts w:ascii="Calibri" w:hAnsi="Calibri" w:cs="Calibri"/>
          <w:lang w:val="sq-AL"/>
        </w:rPr>
        <w:t>-ve duhet të kufizohet rreptësisht në atë që është e nevojshme për dizajnimin, zbatimin dhe funksionimin efikas dhe të sigurt të këtyre platformave Evropiane</w:t>
      </w:r>
      <w:r w:rsidR="006F6245" w:rsidRPr="00062169">
        <w:rPr>
          <w:rFonts w:ascii="Calibri" w:hAnsi="Calibri" w:cs="Calibri"/>
          <w:lang w:val="sq-AL"/>
        </w:rPr>
        <w:t>.</w:t>
      </w:r>
    </w:p>
    <w:p w:rsidR="005D1200" w:rsidRPr="00062169" w:rsidRDefault="00807256" w:rsidP="00900B3B">
      <w:pPr>
        <w:pStyle w:val="ListParagraph"/>
        <w:numPr>
          <w:ilvl w:val="0"/>
          <w:numId w:val="5"/>
        </w:numPr>
        <w:spacing w:after="0" w:line="276" w:lineRule="auto"/>
        <w:ind w:left="1077" w:hanging="720"/>
        <w:contextualSpacing w:val="0"/>
        <w:rPr>
          <w:rFonts w:ascii="Calibri" w:hAnsi="Calibri" w:cs="Calibri"/>
          <w:lang w:val="sq-AL"/>
        </w:rPr>
      </w:pPr>
      <w:r w:rsidRPr="00062169">
        <w:rPr>
          <w:rFonts w:ascii="Calibri" w:hAnsi="Calibri" w:cs="Calibri"/>
          <w:lang w:val="sq-AL"/>
        </w:rPr>
        <w:t>Nenet</w:t>
      </w:r>
      <w:r w:rsidR="009848D5" w:rsidRPr="00062169">
        <w:rPr>
          <w:rFonts w:ascii="Calibri" w:hAnsi="Calibri" w:cs="Calibri"/>
          <w:lang w:val="sq-AL"/>
        </w:rPr>
        <w:t xml:space="preserve"> 50(3) </w:t>
      </w:r>
      <w:r w:rsidRPr="00062169">
        <w:rPr>
          <w:rFonts w:ascii="Calibri" w:hAnsi="Calibri" w:cs="Calibri"/>
          <w:lang w:val="sq-AL"/>
        </w:rPr>
        <w:t>dhe</w:t>
      </w:r>
      <w:r w:rsidR="00AC17A8" w:rsidRPr="00062169">
        <w:rPr>
          <w:rFonts w:ascii="Calibri" w:hAnsi="Calibri" w:cs="Calibri"/>
          <w:lang w:val="sq-AL"/>
        </w:rPr>
        <w:t xml:space="preserve"> 50(8) </w:t>
      </w:r>
      <w:r w:rsidRPr="00062169">
        <w:rPr>
          <w:rFonts w:ascii="Calibri" w:hAnsi="Calibri" w:cs="Calibri"/>
          <w:lang w:val="sq-AL"/>
        </w:rPr>
        <w:t xml:space="preserve">të </w:t>
      </w:r>
      <w:r w:rsidR="009848D5" w:rsidRPr="00062169">
        <w:rPr>
          <w:rFonts w:ascii="Calibri" w:hAnsi="Calibri" w:cs="Calibri"/>
          <w:lang w:val="sq-AL"/>
        </w:rPr>
        <w:t xml:space="preserve">EBGL </w:t>
      </w:r>
      <w:r w:rsidRPr="00062169">
        <w:rPr>
          <w:rFonts w:ascii="Calibri" w:hAnsi="Calibri" w:cs="Calibri"/>
          <w:lang w:val="sq-AL"/>
        </w:rPr>
        <w:t>përcakto</w:t>
      </w:r>
      <w:r w:rsidR="00320CE0" w:rsidRPr="00062169">
        <w:rPr>
          <w:rFonts w:ascii="Calibri" w:hAnsi="Calibri" w:cs="Calibri"/>
          <w:lang w:val="sq-AL"/>
        </w:rPr>
        <w:t>j</w:t>
      </w:r>
      <w:r w:rsidRPr="00062169">
        <w:rPr>
          <w:rFonts w:ascii="Calibri" w:hAnsi="Calibri" w:cs="Calibri"/>
          <w:lang w:val="sq-AL"/>
        </w:rPr>
        <w:t>n</w:t>
      </w:r>
      <w:r w:rsidR="00320CE0" w:rsidRPr="00062169">
        <w:rPr>
          <w:rFonts w:ascii="Calibri" w:hAnsi="Calibri" w:cs="Calibri"/>
          <w:lang w:val="sq-AL"/>
        </w:rPr>
        <w:t>ë</w:t>
      </w:r>
      <w:r w:rsidRPr="00062169">
        <w:rPr>
          <w:rFonts w:ascii="Calibri" w:hAnsi="Calibri" w:cs="Calibri"/>
          <w:lang w:val="sq-AL"/>
        </w:rPr>
        <w:t xml:space="preserve"> afatin për dorëzimin</w:t>
      </w:r>
      <w:r w:rsidR="00320CE0" w:rsidRPr="00062169">
        <w:rPr>
          <w:rFonts w:ascii="Calibri" w:hAnsi="Calibri" w:cs="Calibri"/>
          <w:lang w:val="sq-AL"/>
        </w:rPr>
        <w:t xml:space="preserve"> për miratim</w:t>
      </w:r>
      <w:r w:rsidRPr="00062169">
        <w:rPr>
          <w:rFonts w:ascii="Calibri" w:hAnsi="Calibri" w:cs="Calibri"/>
          <w:lang w:val="sq-AL"/>
        </w:rPr>
        <w:t xml:space="preserve"> e </w:t>
      </w:r>
      <w:r w:rsidR="009848D5" w:rsidRPr="00062169">
        <w:rPr>
          <w:rFonts w:ascii="Calibri" w:hAnsi="Calibri" w:cs="Calibri"/>
          <w:lang w:val="sq-AL"/>
        </w:rPr>
        <w:t xml:space="preserve">CCFR </w:t>
      </w:r>
      <w:r w:rsidR="002561C9" w:rsidRPr="00062169">
        <w:rPr>
          <w:rFonts w:ascii="Calibri" w:hAnsi="Calibri" w:cs="Calibri"/>
          <w:lang w:val="sq-AL"/>
        </w:rPr>
        <w:t xml:space="preserve">tek </w:t>
      </w:r>
      <w:r w:rsidR="00320CE0" w:rsidRPr="00062169">
        <w:rPr>
          <w:rFonts w:ascii="Calibri" w:hAnsi="Calibri" w:cs="Calibri"/>
          <w:lang w:val="sq-AL"/>
        </w:rPr>
        <w:t xml:space="preserve">Rregullatorët Kombëtar </w:t>
      </w:r>
      <w:r w:rsidRPr="00062169">
        <w:rPr>
          <w:rFonts w:ascii="Calibri" w:hAnsi="Calibri" w:cs="Calibri"/>
          <w:lang w:val="sq-AL"/>
        </w:rPr>
        <w:t xml:space="preserve">dhe disa kërkesa specifike </w:t>
      </w:r>
      <w:r w:rsidR="00366384" w:rsidRPr="00062169">
        <w:rPr>
          <w:rFonts w:ascii="Calibri" w:hAnsi="Calibri" w:cs="Calibri"/>
          <w:lang w:val="sq-AL"/>
        </w:rPr>
        <w:t>të</w:t>
      </w:r>
      <w:r w:rsidRPr="00062169">
        <w:rPr>
          <w:rFonts w:ascii="Calibri" w:hAnsi="Calibri" w:cs="Calibri"/>
          <w:lang w:val="sq-AL"/>
        </w:rPr>
        <w:t xml:space="preserve"> tyre</w:t>
      </w:r>
      <w:r w:rsidR="007E0653" w:rsidRPr="00062169">
        <w:rPr>
          <w:rFonts w:ascii="Calibri" w:hAnsi="Calibri" w:cs="Calibri"/>
          <w:lang w:val="sq-AL"/>
        </w:rPr>
        <w:t xml:space="preserve"> si vijon</w:t>
      </w:r>
      <w:r w:rsidR="009848D5" w:rsidRPr="00062169">
        <w:rPr>
          <w:rFonts w:ascii="Calibri" w:hAnsi="Calibri" w:cs="Calibri"/>
          <w:lang w:val="sq-AL"/>
        </w:rPr>
        <w:t xml:space="preserve">: </w:t>
      </w:r>
    </w:p>
    <w:p w:rsidR="008108D3" w:rsidRPr="00062169" w:rsidRDefault="008108D3" w:rsidP="00900B3B">
      <w:pPr>
        <w:pStyle w:val="ListParagraph"/>
        <w:spacing w:after="0" w:line="276" w:lineRule="auto"/>
        <w:ind w:left="1440"/>
        <w:contextualSpacing w:val="0"/>
        <w:rPr>
          <w:rFonts w:ascii="Calibri" w:hAnsi="Calibri" w:cs="Calibri"/>
          <w:lang w:val="sq-AL"/>
        </w:rPr>
      </w:pPr>
      <w:r w:rsidRPr="00062169">
        <w:rPr>
          <w:rFonts w:ascii="Calibri" w:hAnsi="Calibri" w:cs="Calibri"/>
          <w:lang w:val="sq-AL"/>
        </w:rPr>
        <w:t xml:space="preserve">3. </w:t>
      </w:r>
      <w:r w:rsidR="00807256" w:rsidRPr="00062169">
        <w:rPr>
          <w:rFonts w:ascii="Calibri" w:hAnsi="Calibri" w:cs="Calibri"/>
          <w:lang w:val="sq-AL"/>
        </w:rPr>
        <w:t>Tetëmbëdhjetë muaj pas hyrjes në fuqi t</w:t>
      </w:r>
      <w:r w:rsidR="001A6733" w:rsidRPr="00062169">
        <w:rPr>
          <w:rFonts w:ascii="Calibri" w:hAnsi="Calibri" w:cs="Calibri"/>
          <w:lang w:val="sq-AL"/>
        </w:rPr>
        <w:t>ë</w:t>
      </w:r>
      <w:r w:rsidR="00807256" w:rsidRPr="00062169">
        <w:rPr>
          <w:rFonts w:ascii="Calibri" w:hAnsi="Calibri" w:cs="Calibri"/>
          <w:lang w:val="sq-AL"/>
        </w:rPr>
        <w:t xml:space="preserve"> k</w:t>
      </w:r>
      <w:r w:rsidR="001A6733" w:rsidRPr="00062169">
        <w:rPr>
          <w:rFonts w:ascii="Calibri" w:hAnsi="Calibri" w:cs="Calibri"/>
          <w:lang w:val="sq-AL"/>
        </w:rPr>
        <w:t>ë</w:t>
      </w:r>
      <w:r w:rsidR="00807256" w:rsidRPr="00062169">
        <w:rPr>
          <w:rFonts w:ascii="Calibri" w:hAnsi="Calibri" w:cs="Calibri"/>
          <w:lang w:val="sq-AL"/>
        </w:rPr>
        <w:t>saj Rregulloreje, t</w:t>
      </w:r>
      <w:r w:rsidR="001A6733" w:rsidRPr="00062169">
        <w:rPr>
          <w:rFonts w:ascii="Calibri" w:hAnsi="Calibri" w:cs="Calibri"/>
          <w:lang w:val="sq-AL"/>
        </w:rPr>
        <w:t>ë</w:t>
      </w:r>
      <w:r w:rsidR="00807256" w:rsidRPr="00062169">
        <w:rPr>
          <w:rFonts w:ascii="Calibri" w:hAnsi="Calibri" w:cs="Calibri"/>
          <w:lang w:val="sq-AL"/>
        </w:rPr>
        <w:t xml:space="preserve"> gjitha </w:t>
      </w:r>
      <w:r w:rsidR="00AE3781" w:rsidRPr="00062169">
        <w:rPr>
          <w:rFonts w:ascii="Calibri" w:hAnsi="Calibri" w:cs="Calibri"/>
          <w:lang w:val="sq-AL"/>
        </w:rPr>
        <w:t>TSO</w:t>
      </w:r>
      <w:r w:rsidR="00807256" w:rsidRPr="00062169">
        <w:rPr>
          <w:rFonts w:ascii="Calibri" w:hAnsi="Calibri" w:cs="Calibri"/>
          <w:lang w:val="sq-AL"/>
        </w:rPr>
        <w:t>-t</w:t>
      </w:r>
      <w:r w:rsidR="001A6733" w:rsidRPr="00062169">
        <w:rPr>
          <w:rFonts w:ascii="Calibri" w:hAnsi="Calibri" w:cs="Calibri"/>
          <w:lang w:val="sq-AL"/>
        </w:rPr>
        <w:t>ë</w:t>
      </w:r>
      <w:r w:rsidR="00807256" w:rsidRPr="00062169">
        <w:rPr>
          <w:rFonts w:ascii="Calibri" w:hAnsi="Calibri" w:cs="Calibri"/>
          <w:lang w:val="sq-AL"/>
        </w:rPr>
        <w:t xml:space="preserve"> q</w:t>
      </w:r>
      <w:r w:rsidR="001A6733" w:rsidRPr="00062169">
        <w:rPr>
          <w:rFonts w:ascii="Calibri" w:hAnsi="Calibri" w:cs="Calibri"/>
          <w:lang w:val="sq-AL"/>
        </w:rPr>
        <w:t>ë</w:t>
      </w:r>
      <w:r w:rsidR="00807256" w:rsidRPr="00062169">
        <w:rPr>
          <w:rFonts w:ascii="Calibri" w:hAnsi="Calibri" w:cs="Calibri"/>
          <w:lang w:val="sq-AL"/>
        </w:rPr>
        <w:t xml:space="preserve"> shk</w:t>
      </w:r>
      <w:r w:rsidR="001A6733" w:rsidRPr="00062169">
        <w:rPr>
          <w:rFonts w:ascii="Calibri" w:hAnsi="Calibri" w:cs="Calibri"/>
          <w:lang w:val="sq-AL"/>
        </w:rPr>
        <w:t>ë</w:t>
      </w:r>
      <w:r w:rsidR="00807256" w:rsidRPr="00062169">
        <w:rPr>
          <w:rFonts w:ascii="Calibri" w:hAnsi="Calibri" w:cs="Calibri"/>
          <w:lang w:val="sq-AL"/>
        </w:rPr>
        <w:t>mbejn</w:t>
      </w:r>
      <w:r w:rsidR="001A6733" w:rsidRPr="00062169">
        <w:rPr>
          <w:rFonts w:ascii="Calibri" w:hAnsi="Calibri" w:cs="Calibri"/>
          <w:lang w:val="sq-AL"/>
        </w:rPr>
        <w:t>ë</w:t>
      </w:r>
      <w:r w:rsidR="00807256" w:rsidRPr="00062169">
        <w:rPr>
          <w:rFonts w:ascii="Calibri" w:hAnsi="Calibri" w:cs="Calibri"/>
          <w:lang w:val="sq-AL"/>
        </w:rPr>
        <w:t xml:space="preserve"> energji n</w:t>
      </w:r>
      <w:r w:rsidR="001A6733" w:rsidRPr="00062169">
        <w:rPr>
          <w:rFonts w:ascii="Calibri" w:hAnsi="Calibri" w:cs="Calibri"/>
          <w:lang w:val="sq-AL"/>
        </w:rPr>
        <w:t>ë</w:t>
      </w:r>
      <w:r w:rsidR="00807256" w:rsidRPr="00062169">
        <w:rPr>
          <w:rFonts w:ascii="Calibri" w:hAnsi="Calibri" w:cs="Calibri"/>
          <w:lang w:val="sq-AL"/>
        </w:rPr>
        <w:t xml:space="preserve"> m</w:t>
      </w:r>
      <w:r w:rsidR="001A6733" w:rsidRPr="00062169">
        <w:rPr>
          <w:rFonts w:ascii="Calibri" w:hAnsi="Calibri" w:cs="Calibri"/>
          <w:lang w:val="sq-AL"/>
        </w:rPr>
        <w:t>ë</w:t>
      </w:r>
      <w:r w:rsidR="00807256" w:rsidRPr="00062169">
        <w:rPr>
          <w:rFonts w:ascii="Calibri" w:hAnsi="Calibri" w:cs="Calibri"/>
          <w:lang w:val="sq-AL"/>
        </w:rPr>
        <w:t>nyr</w:t>
      </w:r>
      <w:r w:rsidR="001A6733" w:rsidRPr="00062169">
        <w:rPr>
          <w:rFonts w:ascii="Calibri" w:hAnsi="Calibri" w:cs="Calibri"/>
          <w:lang w:val="sq-AL"/>
        </w:rPr>
        <w:t>ë</w:t>
      </w:r>
      <w:r w:rsidR="00807256" w:rsidRPr="00062169">
        <w:rPr>
          <w:rFonts w:ascii="Calibri" w:hAnsi="Calibri" w:cs="Calibri"/>
          <w:lang w:val="sq-AL"/>
        </w:rPr>
        <w:t xml:space="preserve"> t</w:t>
      </w:r>
      <w:r w:rsidR="001A6733" w:rsidRPr="00062169">
        <w:rPr>
          <w:rFonts w:ascii="Calibri" w:hAnsi="Calibri" w:cs="Calibri"/>
          <w:lang w:val="sq-AL"/>
        </w:rPr>
        <w:t>ë</w:t>
      </w:r>
      <w:r w:rsidR="00807256" w:rsidRPr="00062169">
        <w:rPr>
          <w:rFonts w:ascii="Calibri" w:hAnsi="Calibri" w:cs="Calibri"/>
          <w:lang w:val="sq-AL"/>
        </w:rPr>
        <w:t xml:space="preserve"> q</w:t>
      </w:r>
      <w:r w:rsidR="001A6733" w:rsidRPr="00062169">
        <w:rPr>
          <w:rFonts w:ascii="Calibri" w:hAnsi="Calibri" w:cs="Calibri"/>
          <w:lang w:val="sq-AL"/>
        </w:rPr>
        <w:t>ë</w:t>
      </w:r>
      <w:r w:rsidR="00807256" w:rsidRPr="00062169">
        <w:rPr>
          <w:rFonts w:ascii="Calibri" w:hAnsi="Calibri" w:cs="Calibri"/>
          <w:lang w:val="sq-AL"/>
        </w:rPr>
        <w:t>llimt</w:t>
      </w:r>
      <w:r w:rsidR="001A6733" w:rsidRPr="00062169">
        <w:rPr>
          <w:rFonts w:ascii="Calibri" w:hAnsi="Calibri" w:cs="Calibri"/>
          <w:lang w:val="sq-AL"/>
        </w:rPr>
        <w:t>ë</w:t>
      </w:r>
      <w:r w:rsidR="00807256" w:rsidRPr="00062169">
        <w:rPr>
          <w:rFonts w:ascii="Calibri" w:hAnsi="Calibri" w:cs="Calibri"/>
          <w:lang w:val="sq-AL"/>
        </w:rPr>
        <w:t xml:space="preserve"> n</w:t>
      </w:r>
      <w:r w:rsidR="001A6733" w:rsidRPr="00062169">
        <w:rPr>
          <w:rFonts w:ascii="Calibri" w:hAnsi="Calibri" w:cs="Calibri"/>
          <w:lang w:val="sq-AL"/>
        </w:rPr>
        <w:t>ë</w:t>
      </w:r>
      <w:r w:rsidR="00807256" w:rsidRPr="00062169">
        <w:rPr>
          <w:rFonts w:ascii="Calibri" w:hAnsi="Calibri" w:cs="Calibri"/>
          <w:lang w:val="sq-AL"/>
        </w:rPr>
        <w:t xml:space="preserve"> nj</w:t>
      </w:r>
      <w:r w:rsidR="001A6733" w:rsidRPr="00062169">
        <w:rPr>
          <w:rFonts w:ascii="Calibri" w:hAnsi="Calibri" w:cs="Calibri"/>
          <w:lang w:val="sq-AL"/>
        </w:rPr>
        <w:t>ë</w:t>
      </w:r>
      <w:r w:rsidR="00807256" w:rsidRPr="00062169">
        <w:rPr>
          <w:rFonts w:ascii="Calibri" w:hAnsi="Calibri" w:cs="Calibri"/>
          <w:lang w:val="sq-AL"/>
        </w:rPr>
        <w:t xml:space="preserve"> zon</w:t>
      </w:r>
      <w:r w:rsidR="001A6733" w:rsidRPr="00062169">
        <w:rPr>
          <w:rFonts w:ascii="Calibri" w:hAnsi="Calibri" w:cs="Calibri"/>
          <w:lang w:val="sq-AL"/>
        </w:rPr>
        <w:t>ë</w:t>
      </w:r>
      <w:r w:rsidR="00807256" w:rsidRPr="00062169">
        <w:rPr>
          <w:rFonts w:ascii="Calibri" w:hAnsi="Calibri" w:cs="Calibri"/>
          <w:lang w:val="sq-AL"/>
        </w:rPr>
        <w:t xml:space="preserve"> sinkron</w:t>
      </w:r>
      <w:r w:rsidR="008603AC" w:rsidRPr="00062169">
        <w:rPr>
          <w:rFonts w:ascii="Calibri" w:hAnsi="Calibri" w:cs="Calibri"/>
          <w:lang w:val="sq-AL"/>
        </w:rPr>
        <w:t>e</w:t>
      </w:r>
      <w:r w:rsidR="00807256" w:rsidRPr="00062169">
        <w:rPr>
          <w:rFonts w:ascii="Calibri" w:hAnsi="Calibri" w:cs="Calibri"/>
          <w:lang w:val="sq-AL"/>
        </w:rPr>
        <w:t xml:space="preserve"> duhet t</w:t>
      </w:r>
      <w:r w:rsidR="001A6733" w:rsidRPr="00062169">
        <w:rPr>
          <w:rFonts w:ascii="Calibri" w:hAnsi="Calibri" w:cs="Calibri"/>
          <w:lang w:val="sq-AL"/>
        </w:rPr>
        <w:t>ë</w:t>
      </w:r>
      <w:r w:rsidR="00807256" w:rsidRPr="00062169">
        <w:rPr>
          <w:rFonts w:ascii="Calibri" w:hAnsi="Calibri" w:cs="Calibri"/>
          <w:lang w:val="sq-AL"/>
        </w:rPr>
        <w:t xml:space="preserve"> zhvillojn</w:t>
      </w:r>
      <w:r w:rsidR="001A6733" w:rsidRPr="00062169">
        <w:rPr>
          <w:rFonts w:ascii="Calibri" w:hAnsi="Calibri" w:cs="Calibri"/>
          <w:lang w:val="sq-AL"/>
        </w:rPr>
        <w:t>ë</w:t>
      </w:r>
      <w:r w:rsidR="00807256" w:rsidRPr="00062169">
        <w:rPr>
          <w:rFonts w:ascii="Calibri" w:hAnsi="Calibri" w:cs="Calibri"/>
          <w:lang w:val="sq-AL"/>
        </w:rPr>
        <w:t xml:space="preserve"> nj</w:t>
      </w:r>
      <w:r w:rsidR="001A6733" w:rsidRPr="00062169">
        <w:rPr>
          <w:rFonts w:ascii="Calibri" w:hAnsi="Calibri" w:cs="Calibri"/>
          <w:lang w:val="sq-AL"/>
        </w:rPr>
        <w:t>ë</w:t>
      </w:r>
      <w:r w:rsidR="00807256" w:rsidRPr="00062169">
        <w:rPr>
          <w:rFonts w:ascii="Calibri" w:hAnsi="Calibri" w:cs="Calibri"/>
          <w:lang w:val="sq-AL"/>
        </w:rPr>
        <w:t xml:space="preserve"> propozim </w:t>
      </w:r>
      <w:r w:rsidR="00BA2599" w:rsidRPr="00062169">
        <w:rPr>
          <w:rFonts w:ascii="Calibri" w:hAnsi="Calibri" w:cs="Calibri"/>
          <w:lang w:val="sq-AL"/>
        </w:rPr>
        <w:t xml:space="preserve">për rregullat e përbashkëta të </w:t>
      </w:r>
      <w:r w:rsidR="00C555F9" w:rsidRPr="00062169">
        <w:rPr>
          <w:rFonts w:ascii="Calibri" w:hAnsi="Calibri" w:cs="Calibri"/>
          <w:lang w:val="sq-AL"/>
        </w:rPr>
        <w:t xml:space="preserve">barazimit përfundimtar </w:t>
      </w:r>
      <w:r w:rsidR="00BA2599" w:rsidRPr="00062169">
        <w:rPr>
          <w:rFonts w:ascii="Calibri" w:hAnsi="Calibri" w:cs="Calibri"/>
          <w:lang w:val="sq-AL"/>
        </w:rPr>
        <w:t>të zbatueshme për të gjitha shkëmbimet e qëllimshme të energjisë</w:t>
      </w:r>
      <w:r w:rsidRPr="00062169">
        <w:rPr>
          <w:rFonts w:ascii="Calibri" w:hAnsi="Calibri" w:cs="Calibri"/>
          <w:lang w:val="sq-AL"/>
        </w:rPr>
        <w:t xml:space="preserve">, </w:t>
      </w:r>
      <w:r w:rsidR="00BA2599" w:rsidRPr="00062169">
        <w:rPr>
          <w:rFonts w:ascii="Calibri" w:hAnsi="Calibri" w:cs="Calibri"/>
          <w:lang w:val="sq-AL"/>
        </w:rPr>
        <w:t>si rezultat i nj</w:t>
      </w:r>
      <w:r w:rsidR="001A6733" w:rsidRPr="00062169">
        <w:rPr>
          <w:rFonts w:ascii="Calibri" w:hAnsi="Calibri" w:cs="Calibri"/>
          <w:lang w:val="sq-AL"/>
        </w:rPr>
        <w:t>ë</w:t>
      </w:r>
      <w:r w:rsidR="00BA2599" w:rsidRPr="00062169">
        <w:rPr>
          <w:rFonts w:ascii="Calibri" w:hAnsi="Calibri" w:cs="Calibri"/>
          <w:lang w:val="sq-AL"/>
        </w:rPr>
        <w:t xml:space="preserve"> ose </w:t>
      </w:r>
      <w:r w:rsidR="00FE3AF2" w:rsidRPr="00062169">
        <w:rPr>
          <w:rFonts w:ascii="Calibri" w:hAnsi="Calibri" w:cs="Calibri"/>
          <w:lang w:val="sq-AL"/>
        </w:rPr>
        <w:t xml:space="preserve">dy paragrafëve </w:t>
      </w:r>
      <w:r w:rsidR="00BA2599" w:rsidRPr="00062169">
        <w:rPr>
          <w:rFonts w:ascii="Calibri" w:hAnsi="Calibri" w:cs="Calibri"/>
          <w:lang w:val="sq-AL"/>
        </w:rPr>
        <w:t>si n</w:t>
      </w:r>
      <w:r w:rsidR="001A6733" w:rsidRPr="00062169">
        <w:rPr>
          <w:rFonts w:ascii="Calibri" w:hAnsi="Calibri" w:cs="Calibri"/>
          <w:lang w:val="sq-AL"/>
        </w:rPr>
        <w:t>ë</w:t>
      </w:r>
      <w:r w:rsidR="00BA2599" w:rsidRPr="00062169">
        <w:rPr>
          <w:rFonts w:ascii="Calibri" w:hAnsi="Calibri" w:cs="Calibri"/>
          <w:lang w:val="sq-AL"/>
        </w:rPr>
        <w:t xml:space="preserve"> vijim</w:t>
      </w:r>
      <w:r w:rsidRPr="00062169">
        <w:rPr>
          <w:rFonts w:ascii="Calibri" w:hAnsi="Calibri" w:cs="Calibri"/>
          <w:lang w:val="sq-AL"/>
        </w:rPr>
        <w:t>:</w:t>
      </w:r>
    </w:p>
    <w:p w:rsidR="008108D3" w:rsidRPr="00062169" w:rsidRDefault="008108D3" w:rsidP="00900B3B">
      <w:pPr>
        <w:pStyle w:val="ListParagraph"/>
        <w:spacing w:after="0" w:line="276" w:lineRule="auto"/>
        <w:ind w:left="2124"/>
        <w:contextualSpacing w:val="0"/>
        <w:rPr>
          <w:rFonts w:ascii="Calibri" w:hAnsi="Calibri" w:cs="Calibri"/>
          <w:lang w:val="sq-AL"/>
        </w:rPr>
      </w:pPr>
      <w:r w:rsidRPr="00062169">
        <w:rPr>
          <w:rFonts w:ascii="Calibri" w:hAnsi="Calibri" w:cs="Calibri"/>
          <w:lang w:val="sq-AL"/>
        </w:rPr>
        <w:t xml:space="preserve">(a) </w:t>
      </w:r>
      <w:r w:rsidR="00BA2599" w:rsidRPr="00062169">
        <w:rPr>
          <w:rFonts w:ascii="Calibri" w:hAnsi="Calibri" w:cs="Calibri"/>
          <w:lang w:val="sq-AL"/>
        </w:rPr>
        <w:t>procesit t</w:t>
      </w:r>
      <w:r w:rsidR="001A6733" w:rsidRPr="00062169">
        <w:rPr>
          <w:rFonts w:ascii="Calibri" w:hAnsi="Calibri" w:cs="Calibri"/>
          <w:lang w:val="sq-AL"/>
        </w:rPr>
        <w:t>ë</w:t>
      </w:r>
      <w:r w:rsidR="00BA2599" w:rsidRPr="00062169">
        <w:rPr>
          <w:rFonts w:ascii="Calibri" w:hAnsi="Calibri" w:cs="Calibri"/>
          <w:lang w:val="sq-AL"/>
        </w:rPr>
        <w:t xml:space="preserve"> </w:t>
      </w:r>
      <w:r w:rsidR="008603AC" w:rsidRPr="00062169">
        <w:rPr>
          <w:rFonts w:ascii="Calibri" w:hAnsi="Calibri" w:cs="Calibri"/>
          <w:lang w:val="sq-AL"/>
        </w:rPr>
        <w:t>rregullimit stabilizues</w:t>
      </w:r>
      <w:r w:rsidR="00623C5E" w:rsidRPr="00062169">
        <w:rPr>
          <w:rFonts w:ascii="Calibri" w:hAnsi="Calibri" w:cs="Calibri"/>
          <w:lang w:val="sq-AL"/>
        </w:rPr>
        <w:t xml:space="preserve"> </w:t>
      </w:r>
      <w:r w:rsidR="00BA2599" w:rsidRPr="00062169">
        <w:rPr>
          <w:rFonts w:ascii="Calibri" w:hAnsi="Calibri" w:cs="Calibri"/>
          <w:lang w:val="sq-AL"/>
        </w:rPr>
        <w:t>t</w:t>
      </w:r>
      <w:r w:rsidR="001A6733" w:rsidRPr="00062169">
        <w:rPr>
          <w:rFonts w:ascii="Calibri" w:hAnsi="Calibri" w:cs="Calibri"/>
          <w:lang w:val="sq-AL"/>
        </w:rPr>
        <w:t>ë</w:t>
      </w:r>
      <w:r w:rsidR="00BA2599" w:rsidRPr="00062169">
        <w:rPr>
          <w:rFonts w:ascii="Calibri" w:hAnsi="Calibri" w:cs="Calibri"/>
          <w:lang w:val="sq-AL"/>
        </w:rPr>
        <w:t xml:space="preserve"> frekuenc</w:t>
      </w:r>
      <w:r w:rsidR="001A6733" w:rsidRPr="00062169">
        <w:rPr>
          <w:rFonts w:ascii="Calibri" w:hAnsi="Calibri" w:cs="Calibri"/>
          <w:lang w:val="sq-AL"/>
        </w:rPr>
        <w:t>ë</w:t>
      </w:r>
      <w:r w:rsidR="00BA2599" w:rsidRPr="00062169">
        <w:rPr>
          <w:rFonts w:ascii="Calibri" w:hAnsi="Calibri" w:cs="Calibri"/>
          <w:lang w:val="sq-AL"/>
        </w:rPr>
        <w:t>s sipas Nenit 142 t</w:t>
      </w:r>
      <w:r w:rsidR="001A6733" w:rsidRPr="00062169">
        <w:rPr>
          <w:rFonts w:ascii="Calibri" w:hAnsi="Calibri" w:cs="Calibri"/>
          <w:lang w:val="sq-AL"/>
        </w:rPr>
        <w:t>ë</w:t>
      </w:r>
      <w:r w:rsidR="00BA2599" w:rsidRPr="00062169">
        <w:rPr>
          <w:rFonts w:ascii="Calibri" w:hAnsi="Calibri" w:cs="Calibri"/>
          <w:lang w:val="sq-AL"/>
        </w:rPr>
        <w:t xml:space="preserve"> Rregullores (BE) </w:t>
      </w:r>
      <w:r w:rsidRPr="00062169">
        <w:rPr>
          <w:rFonts w:ascii="Calibri" w:hAnsi="Calibri" w:cs="Calibri"/>
          <w:lang w:val="sq-AL"/>
        </w:rPr>
        <w:t>2017/</w:t>
      </w:r>
      <w:r w:rsidR="00CA1FAF" w:rsidRPr="00062169">
        <w:rPr>
          <w:rFonts w:ascii="Calibri" w:hAnsi="Calibri" w:cs="Calibri"/>
          <w:lang w:val="sq-AL"/>
        </w:rPr>
        <w:t>1485</w:t>
      </w:r>
      <w:r w:rsidRPr="00062169">
        <w:rPr>
          <w:rFonts w:ascii="Calibri" w:hAnsi="Calibri" w:cs="Calibri"/>
          <w:lang w:val="sq-AL"/>
        </w:rPr>
        <w:t>;</w:t>
      </w:r>
    </w:p>
    <w:p w:rsidR="008108D3" w:rsidRPr="00062169" w:rsidRDefault="008108D3" w:rsidP="00900B3B">
      <w:pPr>
        <w:pStyle w:val="ListParagraph"/>
        <w:spacing w:after="0" w:line="276" w:lineRule="auto"/>
        <w:ind w:left="2124"/>
        <w:contextualSpacing w:val="0"/>
        <w:rPr>
          <w:rFonts w:ascii="Calibri" w:hAnsi="Calibri" w:cs="Calibri"/>
          <w:lang w:val="sq-AL"/>
        </w:rPr>
      </w:pPr>
      <w:r w:rsidRPr="00062169">
        <w:rPr>
          <w:rFonts w:ascii="Calibri" w:hAnsi="Calibri" w:cs="Calibri"/>
          <w:lang w:val="sq-AL"/>
        </w:rPr>
        <w:lastRenderedPageBreak/>
        <w:t xml:space="preserve">(b) </w:t>
      </w:r>
      <w:r w:rsidR="00D33785" w:rsidRPr="00062169">
        <w:rPr>
          <w:rFonts w:ascii="Calibri" w:hAnsi="Calibri" w:cs="Calibri"/>
          <w:lang w:val="sq-AL"/>
        </w:rPr>
        <w:t xml:space="preserve">periodës </w:t>
      </w:r>
      <w:r w:rsidR="00005A86" w:rsidRPr="00062169">
        <w:rPr>
          <w:rFonts w:ascii="Calibri" w:hAnsi="Calibri" w:cs="Calibri"/>
          <w:lang w:val="sq-AL"/>
        </w:rPr>
        <w:t>s</w:t>
      </w:r>
      <w:r w:rsidR="001A6733" w:rsidRPr="00062169">
        <w:rPr>
          <w:rFonts w:ascii="Calibri" w:hAnsi="Calibri" w:cs="Calibri"/>
          <w:lang w:val="sq-AL"/>
        </w:rPr>
        <w:t>ë</w:t>
      </w:r>
      <w:r w:rsidR="00005A86" w:rsidRPr="00062169">
        <w:rPr>
          <w:rFonts w:ascii="Calibri" w:hAnsi="Calibri" w:cs="Calibri"/>
          <w:lang w:val="sq-AL"/>
        </w:rPr>
        <w:t xml:space="preserve"> </w:t>
      </w:r>
      <w:r w:rsidR="003264E2" w:rsidRPr="00062169">
        <w:rPr>
          <w:rFonts w:ascii="Calibri" w:hAnsi="Calibri" w:cs="Calibri"/>
          <w:lang w:val="sq-AL"/>
        </w:rPr>
        <w:t>ndryshimit (rritje / ulje)</w:t>
      </w:r>
      <w:r w:rsidR="00005A86" w:rsidRPr="00062169">
        <w:rPr>
          <w:rFonts w:ascii="Calibri" w:hAnsi="Calibri" w:cs="Calibri"/>
          <w:lang w:val="sq-AL"/>
        </w:rPr>
        <w:t xml:space="preserve"> sipas Nenit </w:t>
      </w:r>
      <w:r w:rsidRPr="00062169">
        <w:rPr>
          <w:rFonts w:ascii="Calibri" w:hAnsi="Calibri" w:cs="Calibri"/>
          <w:lang w:val="sq-AL"/>
        </w:rPr>
        <w:t xml:space="preserve">136 </w:t>
      </w:r>
      <w:r w:rsidR="00005A86" w:rsidRPr="00062169">
        <w:rPr>
          <w:rFonts w:ascii="Calibri" w:hAnsi="Calibri" w:cs="Calibri"/>
          <w:lang w:val="sq-AL"/>
        </w:rPr>
        <w:t>t</w:t>
      </w:r>
      <w:r w:rsidR="001A6733" w:rsidRPr="00062169">
        <w:rPr>
          <w:rFonts w:ascii="Calibri" w:hAnsi="Calibri" w:cs="Calibri"/>
          <w:lang w:val="sq-AL"/>
        </w:rPr>
        <w:t>ë</w:t>
      </w:r>
      <w:r w:rsidR="00005A86" w:rsidRPr="00062169">
        <w:rPr>
          <w:rFonts w:ascii="Calibri" w:hAnsi="Calibri" w:cs="Calibri"/>
          <w:lang w:val="sq-AL"/>
        </w:rPr>
        <w:t xml:space="preserve"> Rregullores (BE) </w:t>
      </w:r>
      <w:r w:rsidRPr="00062169">
        <w:rPr>
          <w:rFonts w:ascii="Calibri" w:hAnsi="Calibri" w:cs="Calibri"/>
          <w:lang w:val="sq-AL"/>
        </w:rPr>
        <w:t>2017/</w:t>
      </w:r>
      <w:r w:rsidR="00CA1FAF" w:rsidRPr="00062169">
        <w:rPr>
          <w:rFonts w:ascii="Calibri" w:hAnsi="Calibri" w:cs="Calibri"/>
          <w:lang w:val="sq-AL"/>
        </w:rPr>
        <w:t>1485</w:t>
      </w:r>
      <w:r w:rsidRPr="00062169">
        <w:rPr>
          <w:rFonts w:ascii="Calibri" w:hAnsi="Calibri" w:cs="Calibri"/>
          <w:lang w:val="sq-AL"/>
        </w:rPr>
        <w:t>.</w:t>
      </w:r>
    </w:p>
    <w:p w:rsidR="00AC17A8" w:rsidRPr="00062169" w:rsidRDefault="00AC17A8" w:rsidP="00900B3B">
      <w:pPr>
        <w:spacing w:line="276" w:lineRule="auto"/>
        <w:ind w:left="1418"/>
        <w:jc w:val="both"/>
        <w:rPr>
          <w:rFonts w:ascii="Calibri" w:hAnsi="Calibri" w:cs="Calibri"/>
          <w:lang w:val="sq-AL"/>
        </w:rPr>
      </w:pPr>
      <w:r w:rsidRPr="00062169">
        <w:rPr>
          <w:rFonts w:ascii="Calibri" w:hAnsi="Calibri" w:cs="Calibri"/>
          <w:lang w:val="sq-AL"/>
        </w:rPr>
        <w:t>8.</w:t>
      </w:r>
      <w:r w:rsidR="008603AC" w:rsidRPr="00062169">
        <w:rPr>
          <w:rFonts w:ascii="Calibri" w:hAnsi="Calibri" w:cs="Calibri"/>
          <w:lang w:val="sq-AL"/>
        </w:rPr>
        <w:t xml:space="preserve"> </w:t>
      </w:r>
      <w:r w:rsidR="00005A86" w:rsidRPr="00062169">
        <w:rPr>
          <w:rFonts w:ascii="Calibri" w:hAnsi="Calibri" w:cs="Calibri"/>
          <w:lang w:val="sq-AL"/>
        </w:rPr>
        <w:t xml:space="preserve">Të gjitha </w:t>
      </w:r>
      <w:r w:rsidR="00AE3781" w:rsidRPr="00062169">
        <w:rPr>
          <w:rFonts w:ascii="Calibri" w:hAnsi="Calibri" w:cs="Calibri"/>
          <w:lang w:val="sq-AL"/>
        </w:rPr>
        <w:t>TSO</w:t>
      </w:r>
      <w:r w:rsidR="00005A86" w:rsidRPr="00062169">
        <w:rPr>
          <w:rFonts w:ascii="Calibri" w:hAnsi="Calibri" w:cs="Calibri"/>
          <w:lang w:val="sq-AL"/>
        </w:rPr>
        <w:t>-të do të krijojnë një mekanizëm të koordinuar për rregullimet</w:t>
      </w:r>
      <w:r w:rsidR="00C555F9" w:rsidRPr="00062169">
        <w:rPr>
          <w:rFonts w:ascii="Calibri" w:hAnsi="Calibri" w:cs="Calibri"/>
          <w:lang w:val="sq-AL"/>
        </w:rPr>
        <w:t xml:space="preserve"> (</w:t>
      </w:r>
      <w:r w:rsidR="00FE3AF2" w:rsidRPr="00062169">
        <w:rPr>
          <w:rFonts w:ascii="Calibri" w:hAnsi="Calibri" w:cs="Calibri"/>
          <w:lang w:val="sq-AL"/>
        </w:rPr>
        <w:t xml:space="preserve">dhe </w:t>
      </w:r>
      <w:r w:rsidR="00C555F9" w:rsidRPr="00062169">
        <w:rPr>
          <w:rFonts w:ascii="Calibri" w:hAnsi="Calibri" w:cs="Calibri"/>
          <w:lang w:val="sq-AL"/>
        </w:rPr>
        <w:t>korrigjimet)</w:t>
      </w:r>
      <w:r w:rsidR="00005A86" w:rsidRPr="00062169">
        <w:rPr>
          <w:rFonts w:ascii="Calibri" w:hAnsi="Calibri" w:cs="Calibri"/>
          <w:lang w:val="sq-AL"/>
        </w:rPr>
        <w:t xml:space="preserve"> e </w:t>
      </w:r>
      <w:r w:rsidR="00C555F9" w:rsidRPr="00062169">
        <w:rPr>
          <w:rFonts w:ascii="Calibri" w:hAnsi="Calibri" w:cs="Calibri"/>
          <w:lang w:val="sq-AL"/>
        </w:rPr>
        <w:t xml:space="preserve">barazimit përfundimtar </w:t>
      </w:r>
      <w:r w:rsidR="00005A86" w:rsidRPr="00062169">
        <w:rPr>
          <w:rFonts w:ascii="Calibri" w:hAnsi="Calibri" w:cs="Calibri"/>
          <w:lang w:val="sq-AL"/>
        </w:rPr>
        <w:t>ndërmjet tyre</w:t>
      </w:r>
      <w:r w:rsidRPr="00062169">
        <w:rPr>
          <w:rFonts w:ascii="Calibri" w:hAnsi="Calibri" w:cs="Calibri"/>
          <w:lang w:val="sq-AL"/>
        </w:rPr>
        <w:t>.</w:t>
      </w:r>
    </w:p>
    <w:p w:rsidR="00724920" w:rsidRPr="00062169" w:rsidRDefault="004F3AAA" w:rsidP="00900B3B">
      <w:pPr>
        <w:pStyle w:val="ListParagraph"/>
        <w:numPr>
          <w:ilvl w:val="0"/>
          <w:numId w:val="5"/>
        </w:numPr>
        <w:spacing w:after="0" w:line="276" w:lineRule="auto"/>
        <w:ind w:left="1080" w:hanging="720"/>
        <w:contextualSpacing w:val="0"/>
        <w:rPr>
          <w:rFonts w:ascii="Calibri" w:hAnsi="Calibri" w:cs="Calibri"/>
          <w:lang w:val="sq-AL"/>
        </w:rPr>
      </w:pPr>
      <w:bookmarkStart w:id="2" w:name="_Ref436817306"/>
      <w:r w:rsidRPr="00062169">
        <w:rPr>
          <w:rFonts w:ascii="Calibri" w:hAnsi="Calibri" w:cs="Calibri"/>
          <w:lang w:val="sq-AL"/>
        </w:rPr>
        <w:t>CCFR</w:t>
      </w:r>
      <w:r w:rsidR="00E1506D" w:rsidRPr="00062169">
        <w:rPr>
          <w:rFonts w:ascii="Calibri" w:hAnsi="Calibri" w:cs="Calibri"/>
          <w:lang w:val="sq-AL"/>
        </w:rPr>
        <w:t xml:space="preserve"> </w:t>
      </w:r>
      <w:r w:rsidR="00C555F9" w:rsidRPr="00062169">
        <w:rPr>
          <w:rFonts w:ascii="Calibri" w:hAnsi="Calibri" w:cs="Calibri"/>
          <w:lang w:val="sq-AL"/>
        </w:rPr>
        <w:t>kontribon</w:t>
      </w:r>
      <w:r w:rsidR="00005A86" w:rsidRPr="00062169">
        <w:rPr>
          <w:rFonts w:ascii="Calibri" w:hAnsi="Calibri" w:cs="Calibri"/>
          <w:lang w:val="sq-AL"/>
        </w:rPr>
        <w:t xml:space="preserve"> në </w:t>
      </w:r>
      <w:r w:rsidR="001A7043" w:rsidRPr="00062169">
        <w:rPr>
          <w:rFonts w:ascii="Calibri" w:hAnsi="Calibri" w:cs="Calibri"/>
          <w:lang w:val="sq-AL"/>
        </w:rPr>
        <w:t>jo</w:t>
      </w:r>
      <w:r w:rsidR="00005A86" w:rsidRPr="00062169">
        <w:rPr>
          <w:rFonts w:ascii="Calibri" w:hAnsi="Calibri" w:cs="Calibri"/>
          <w:lang w:val="sq-AL"/>
        </w:rPr>
        <w:t>sdiskriminimi</w:t>
      </w:r>
      <w:r w:rsidR="001A7043" w:rsidRPr="00062169">
        <w:rPr>
          <w:rFonts w:ascii="Calibri" w:hAnsi="Calibri" w:cs="Calibri"/>
          <w:lang w:val="sq-AL"/>
        </w:rPr>
        <w:t>n</w:t>
      </w:r>
      <w:r w:rsidR="00005A86" w:rsidRPr="00062169">
        <w:rPr>
          <w:rFonts w:ascii="Calibri" w:hAnsi="Calibri" w:cs="Calibri"/>
          <w:lang w:val="sq-AL"/>
        </w:rPr>
        <w:t xml:space="preserve"> dhe transparencë</w:t>
      </w:r>
      <w:r w:rsidR="001A7043" w:rsidRPr="00062169">
        <w:rPr>
          <w:rFonts w:ascii="Calibri" w:hAnsi="Calibri" w:cs="Calibri"/>
          <w:lang w:val="sq-AL"/>
        </w:rPr>
        <w:t>n</w:t>
      </w:r>
      <w:r w:rsidR="00005A86" w:rsidRPr="00062169">
        <w:rPr>
          <w:rFonts w:ascii="Calibri" w:hAnsi="Calibri" w:cs="Calibri"/>
          <w:lang w:val="sq-AL"/>
        </w:rPr>
        <w:t xml:space="preserve"> </w:t>
      </w:r>
      <w:r w:rsidR="001A7043" w:rsidRPr="00062169">
        <w:rPr>
          <w:rFonts w:ascii="Calibri" w:hAnsi="Calibri" w:cs="Calibri"/>
          <w:lang w:val="sq-AL"/>
        </w:rPr>
        <w:t>e</w:t>
      </w:r>
      <w:r w:rsidR="00005A86" w:rsidRPr="00062169">
        <w:rPr>
          <w:rFonts w:ascii="Calibri" w:hAnsi="Calibri" w:cs="Calibri"/>
          <w:lang w:val="sq-AL"/>
        </w:rPr>
        <w:t xml:space="preserve"> </w:t>
      </w:r>
      <w:r w:rsidR="00366384" w:rsidRPr="00062169">
        <w:rPr>
          <w:rFonts w:ascii="Calibri" w:hAnsi="Calibri" w:cs="Calibri"/>
          <w:lang w:val="sq-AL"/>
        </w:rPr>
        <w:t>tregje</w:t>
      </w:r>
      <w:r w:rsidR="001A7043" w:rsidRPr="00062169">
        <w:rPr>
          <w:rFonts w:ascii="Calibri" w:hAnsi="Calibri" w:cs="Calibri"/>
          <w:lang w:val="sq-AL"/>
        </w:rPr>
        <w:t>ve</w:t>
      </w:r>
      <w:r w:rsidR="00366384" w:rsidRPr="00062169">
        <w:rPr>
          <w:rFonts w:ascii="Calibri" w:hAnsi="Calibri" w:cs="Calibri"/>
          <w:lang w:val="sq-AL"/>
        </w:rPr>
        <w:t xml:space="preserve"> balancuese</w:t>
      </w:r>
      <w:r w:rsidR="00005A86" w:rsidRPr="00062169">
        <w:rPr>
          <w:rFonts w:ascii="Calibri" w:hAnsi="Calibri" w:cs="Calibri"/>
          <w:lang w:val="sq-AL"/>
        </w:rPr>
        <w:t xml:space="preserve"> në pajtim me Nenin 3 (1) (a) dhe Nenin 3 (2) (a) dhe 3 (2) (b) të EBGL, </w:t>
      </w:r>
      <w:r w:rsidR="00FE3AF2" w:rsidRPr="00062169">
        <w:rPr>
          <w:rFonts w:ascii="Calibri" w:hAnsi="Calibri" w:cs="Calibri"/>
          <w:lang w:val="sq-AL"/>
        </w:rPr>
        <w:t xml:space="preserve">pasi që </w:t>
      </w:r>
      <w:r w:rsidR="00005A86" w:rsidRPr="00062169">
        <w:rPr>
          <w:rFonts w:ascii="Calibri" w:hAnsi="Calibri" w:cs="Calibri"/>
          <w:lang w:val="sq-AL"/>
        </w:rPr>
        <w:t xml:space="preserve">të njëjtat rregulla të </w:t>
      </w:r>
      <w:r w:rsidR="001A7043" w:rsidRPr="00062169">
        <w:rPr>
          <w:rFonts w:ascii="Calibri" w:hAnsi="Calibri" w:cs="Calibri"/>
          <w:lang w:val="sq-AL"/>
        </w:rPr>
        <w:t xml:space="preserve">barazimit përfundimtar </w:t>
      </w:r>
      <w:r w:rsidR="00005A86" w:rsidRPr="00062169">
        <w:rPr>
          <w:rFonts w:ascii="Calibri" w:hAnsi="Calibri" w:cs="Calibri"/>
          <w:lang w:val="sq-AL"/>
        </w:rPr>
        <w:t>do të zbatohen në të gjithë Zonën Sinkrone të Evropës Kontinentale dhe ato do të jenë në dispozicion të publikut</w:t>
      </w:r>
      <w:r w:rsidR="00724920" w:rsidRPr="00062169">
        <w:rPr>
          <w:rFonts w:ascii="Calibri" w:hAnsi="Calibri" w:cs="Calibri"/>
          <w:lang w:val="sq-AL"/>
        </w:rPr>
        <w:t xml:space="preserve">. </w:t>
      </w:r>
    </w:p>
    <w:p w:rsidR="0035776D" w:rsidRPr="00062169" w:rsidRDefault="004F3AAA" w:rsidP="00900B3B">
      <w:pPr>
        <w:pStyle w:val="ListParagraph"/>
        <w:numPr>
          <w:ilvl w:val="0"/>
          <w:numId w:val="5"/>
        </w:numPr>
        <w:spacing w:after="0" w:line="276" w:lineRule="auto"/>
        <w:ind w:left="1077" w:hanging="720"/>
        <w:contextualSpacing w:val="0"/>
        <w:rPr>
          <w:rFonts w:ascii="Calibri" w:hAnsi="Calibri" w:cs="Calibri"/>
          <w:lang w:val="sq-AL"/>
        </w:rPr>
      </w:pPr>
      <w:r w:rsidRPr="00062169">
        <w:rPr>
          <w:rFonts w:ascii="Calibri" w:hAnsi="Calibri" w:cs="Calibri"/>
          <w:lang w:val="sq-AL"/>
        </w:rPr>
        <w:t>CCFR</w:t>
      </w:r>
      <w:r w:rsidR="00E1506D" w:rsidRPr="00062169">
        <w:rPr>
          <w:rFonts w:ascii="Calibri" w:hAnsi="Calibri" w:cs="Calibri"/>
          <w:lang w:val="sq-AL"/>
        </w:rPr>
        <w:t xml:space="preserve"> </w:t>
      </w:r>
      <w:r w:rsidR="00C555F9" w:rsidRPr="00062169">
        <w:rPr>
          <w:rFonts w:ascii="Calibri" w:hAnsi="Calibri" w:cs="Calibri"/>
          <w:lang w:val="sq-AL"/>
        </w:rPr>
        <w:t>kontribon</w:t>
      </w:r>
      <w:r w:rsidR="00005A86" w:rsidRPr="00062169">
        <w:rPr>
          <w:rFonts w:ascii="Calibri" w:hAnsi="Calibri" w:cs="Calibri"/>
          <w:lang w:val="sq-AL"/>
        </w:rPr>
        <w:t xml:space="preserve"> në objektiv</w:t>
      </w:r>
      <w:r w:rsidR="008603AC" w:rsidRPr="00062169">
        <w:rPr>
          <w:rFonts w:ascii="Calibri" w:hAnsi="Calibri" w:cs="Calibri"/>
          <w:lang w:val="sq-AL"/>
        </w:rPr>
        <w:t>ën</w:t>
      </w:r>
      <w:r w:rsidR="00005A86" w:rsidRPr="00062169">
        <w:rPr>
          <w:rFonts w:ascii="Calibri" w:hAnsi="Calibri" w:cs="Calibri"/>
          <w:lang w:val="sq-AL"/>
        </w:rPr>
        <w:t xml:space="preserve"> e rritjes së efikasitetit të tregjeve</w:t>
      </w:r>
      <w:r w:rsidR="00366384" w:rsidRPr="00062169">
        <w:rPr>
          <w:rFonts w:ascii="Calibri" w:hAnsi="Calibri" w:cs="Calibri"/>
          <w:lang w:val="sq-AL"/>
        </w:rPr>
        <w:t xml:space="preserve"> balancuese</w:t>
      </w:r>
      <w:r w:rsidR="00005A86" w:rsidRPr="00062169">
        <w:rPr>
          <w:rFonts w:ascii="Calibri" w:hAnsi="Calibri" w:cs="Calibri"/>
          <w:lang w:val="sq-AL"/>
        </w:rPr>
        <w:t xml:space="preserve"> Evropiane dhe kombëtare, në përputhje me Nenin 3 (1) (b) të EBGL, duke qenë se programi i kompensimit zëvendësohet me rregullat e përbashkëta të </w:t>
      </w:r>
      <w:r w:rsidR="00366384" w:rsidRPr="00062169">
        <w:rPr>
          <w:rFonts w:ascii="Calibri" w:hAnsi="Calibri" w:cs="Calibri"/>
          <w:lang w:val="sq-AL"/>
        </w:rPr>
        <w:t xml:space="preserve">barazimit përfundimtar </w:t>
      </w:r>
      <w:r w:rsidR="00005A86" w:rsidRPr="00062169">
        <w:rPr>
          <w:rFonts w:ascii="Calibri" w:hAnsi="Calibri" w:cs="Calibri"/>
          <w:lang w:val="sq-AL"/>
        </w:rPr>
        <w:t>të zbatueshme për të gjithë Zonën Sinkrone të Evropës Kontinentale</w:t>
      </w:r>
      <w:r w:rsidR="001B68DB" w:rsidRPr="00062169">
        <w:rPr>
          <w:rFonts w:ascii="Calibri" w:hAnsi="Calibri" w:cs="Calibri"/>
          <w:lang w:val="sq-AL"/>
        </w:rPr>
        <w:t>.</w:t>
      </w:r>
    </w:p>
    <w:p w:rsidR="00A568C7" w:rsidRPr="00062169" w:rsidRDefault="004F3AAA" w:rsidP="00900B3B">
      <w:pPr>
        <w:pStyle w:val="ListParagraph"/>
        <w:numPr>
          <w:ilvl w:val="0"/>
          <w:numId w:val="5"/>
        </w:numPr>
        <w:spacing w:after="0" w:line="276" w:lineRule="auto"/>
        <w:ind w:left="1080" w:hanging="720"/>
        <w:contextualSpacing w:val="0"/>
        <w:rPr>
          <w:rFonts w:ascii="Calibri" w:hAnsi="Calibri" w:cs="Calibri"/>
          <w:lang w:val="sq-AL"/>
        </w:rPr>
      </w:pPr>
      <w:r w:rsidRPr="00062169">
        <w:rPr>
          <w:rFonts w:ascii="Calibri" w:hAnsi="Calibri" w:cs="Calibri"/>
          <w:lang w:val="sq-AL"/>
        </w:rPr>
        <w:t>CCFR</w:t>
      </w:r>
      <w:r w:rsidR="00E1506D" w:rsidRPr="00062169">
        <w:rPr>
          <w:rFonts w:ascii="Calibri" w:hAnsi="Calibri" w:cs="Calibri"/>
          <w:lang w:val="sq-AL"/>
        </w:rPr>
        <w:t xml:space="preserve"> </w:t>
      </w:r>
      <w:r w:rsidR="002F7CD8" w:rsidRPr="00062169">
        <w:rPr>
          <w:rFonts w:ascii="Calibri" w:hAnsi="Calibri" w:cs="Calibri"/>
          <w:lang w:val="sq-AL"/>
        </w:rPr>
        <w:t>e plotëson</w:t>
      </w:r>
      <w:r w:rsidR="00005A86" w:rsidRPr="00062169">
        <w:rPr>
          <w:rFonts w:ascii="Calibri" w:hAnsi="Calibri" w:cs="Calibri"/>
          <w:lang w:val="sq-AL"/>
        </w:rPr>
        <w:t xml:space="preserve"> kërkesë</w:t>
      </w:r>
      <w:r w:rsidR="00C0644B" w:rsidRPr="00062169">
        <w:rPr>
          <w:rFonts w:ascii="Calibri" w:hAnsi="Calibri" w:cs="Calibri"/>
          <w:lang w:val="sq-AL"/>
        </w:rPr>
        <w:t>n</w:t>
      </w:r>
      <w:r w:rsidR="00005A86" w:rsidRPr="00062169">
        <w:rPr>
          <w:rFonts w:ascii="Calibri" w:hAnsi="Calibri" w:cs="Calibri"/>
          <w:lang w:val="sq-AL"/>
        </w:rPr>
        <w:t xml:space="preserve"> </w:t>
      </w:r>
      <w:r w:rsidR="002F7CD8" w:rsidRPr="00062169">
        <w:rPr>
          <w:rFonts w:ascii="Calibri" w:hAnsi="Calibri" w:cs="Calibri"/>
          <w:lang w:val="sq-AL"/>
        </w:rPr>
        <w:t>e</w:t>
      </w:r>
      <w:r w:rsidR="00005A86" w:rsidRPr="00062169">
        <w:rPr>
          <w:rFonts w:ascii="Calibri" w:hAnsi="Calibri" w:cs="Calibri"/>
          <w:lang w:val="sq-AL"/>
        </w:rPr>
        <w:t xml:space="preserve"> nenit 3 (2) (h) të EBGL </w:t>
      </w:r>
      <w:r w:rsidR="002F7CD8" w:rsidRPr="00062169">
        <w:rPr>
          <w:rFonts w:ascii="Calibri" w:hAnsi="Calibri" w:cs="Calibri"/>
          <w:lang w:val="sq-AL"/>
        </w:rPr>
        <w:t>kështu që ky propozim</w:t>
      </w:r>
      <w:r w:rsidR="00005A86" w:rsidRPr="00062169">
        <w:rPr>
          <w:rFonts w:ascii="Calibri" w:hAnsi="Calibri" w:cs="Calibri"/>
          <w:lang w:val="sq-AL"/>
        </w:rPr>
        <w:t xml:space="preserve"> bazohet në standardet evropiane të miratuara që tashmë janë në </w:t>
      </w:r>
      <w:r w:rsidR="002F7CD8" w:rsidRPr="00062169">
        <w:rPr>
          <w:rFonts w:ascii="Calibri" w:hAnsi="Calibri" w:cs="Calibri"/>
          <w:lang w:val="sq-AL"/>
        </w:rPr>
        <w:t>operim</w:t>
      </w:r>
      <w:r w:rsidR="00A568C7" w:rsidRPr="00062169">
        <w:rPr>
          <w:rFonts w:ascii="Calibri" w:hAnsi="Calibri" w:cs="Calibri"/>
          <w:lang w:val="sq-AL"/>
        </w:rPr>
        <w:t>.</w:t>
      </w:r>
    </w:p>
    <w:p w:rsidR="00005A86" w:rsidRPr="00062169" w:rsidRDefault="006F2530" w:rsidP="00900B3B">
      <w:pPr>
        <w:pStyle w:val="ListParagraph"/>
        <w:numPr>
          <w:ilvl w:val="0"/>
          <w:numId w:val="5"/>
        </w:numPr>
        <w:spacing w:after="0" w:line="276" w:lineRule="auto"/>
        <w:ind w:left="1080" w:hanging="720"/>
        <w:contextualSpacing w:val="0"/>
        <w:rPr>
          <w:rFonts w:ascii="Calibri" w:hAnsi="Calibri" w:cs="Calibri"/>
          <w:lang w:val="sq-AL"/>
        </w:rPr>
      </w:pPr>
      <w:r w:rsidRPr="00062169">
        <w:rPr>
          <w:rFonts w:ascii="Calibri" w:hAnsi="Calibri" w:cs="Calibri"/>
          <w:lang w:val="sq-AL"/>
        </w:rPr>
        <w:t xml:space="preserve">CCFR </w:t>
      </w:r>
      <w:r w:rsidR="00005A86" w:rsidRPr="00062169">
        <w:rPr>
          <w:rFonts w:ascii="Calibri" w:hAnsi="Calibri" w:cs="Calibri"/>
          <w:lang w:val="sq-AL"/>
        </w:rPr>
        <w:t xml:space="preserve">u zhvillua duke marrë parasysh konsistencën me rregullat e </w:t>
      </w:r>
      <w:r w:rsidR="00366384" w:rsidRPr="00062169">
        <w:rPr>
          <w:rFonts w:ascii="Calibri" w:hAnsi="Calibri" w:cs="Calibri"/>
          <w:lang w:val="sq-AL"/>
        </w:rPr>
        <w:t xml:space="preserve">barazimit përfundimtar </w:t>
      </w:r>
      <w:r w:rsidR="00005A86" w:rsidRPr="00062169">
        <w:rPr>
          <w:rFonts w:ascii="Calibri" w:hAnsi="Calibri" w:cs="Calibri"/>
          <w:lang w:val="sq-AL"/>
        </w:rPr>
        <w:t>së shkëmbimeve të paq</w:t>
      </w:r>
      <w:r w:rsidR="001A6733" w:rsidRPr="00062169">
        <w:rPr>
          <w:rFonts w:ascii="Calibri" w:hAnsi="Calibri" w:cs="Calibri"/>
          <w:lang w:val="sq-AL"/>
        </w:rPr>
        <w:t>ë</w:t>
      </w:r>
      <w:r w:rsidR="00005A86" w:rsidRPr="00062169">
        <w:rPr>
          <w:rFonts w:ascii="Calibri" w:hAnsi="Calibri" w:cs="Calibri"/>
          <w:lang w:val="sq-AL"/>
        </w:rPr>
        <w:t>llimshme t</w:t>
      </w:r>
      <w:r w:rsidR="001A6733" w:rsidRPr="00062169">
        <w:rPr>
          <w:rFonts w:ascii="Calibri" w:hAnsi="Calibri" w:cs="Calibri"/>
          <w:lang w:val="sq-AL"/>
        </w:rPr>
        <w:t>ë</w:t>
      </w:r>
      <w:r w:rsidR="00005A86" w:rsidRPr="00062169">
        <w:rPr>
          <w:rFonts w:ascii="Calibri" w:hAnsi="Calibri" w:cs="Calibri"/>
          <w:lang w:val="sq-AL"/>
        </w:rPr>
        <w:t xml:space="preserve"> energjisë brenda Zonës Sinkrone të Evropës Kontinentale në përputhje me Nenin 51(1) të EBGL</w:t>
      </w:r>
      <w:r w:rsidR="00366384" w:rsidRPr="00062169">
        <w:rPr>
          <w:rFonts w:ascii="Calibri" w:hAnsi="Calibri" w:cs="Calibri"/>
          <w:lang w:val="sq-AL"/>
        </w:rPr>
        <w:t>.</w:t>
      </w:r>
    </w:p>
    <w:p w:rsidR="00FA2C36" w:rsidRPr="00062169" w:rsidRDefault="00FA2C36" w:rsidP="00900B3B">
      <w:pPr>
        <w:pStyle w:val="ListParagraph"/>
        <w:numPr>
          <w:ilvl w:val="0"/>
          <w:numId w:val="5"/>
        </w:numPr>
        <w:spacing w:after="0" w:line="276" w:lineRule="auto"/>
        <w:ind w:left="1080" w:hanging="720"/>
        <w:contextualSpacing w:val="0"/>
        <w:rPr>
          <w:rFonts w:ascii="Calibri" w:hAnsi="Calibri" w:cs="Calibri"/>
          <w:lang w:val="sq-AL"/>
        </w:rPr>
      </w:pPr>
      <w:r w:rsidRPr="00062169">
        <w:rPr>
          <w:rFonts w:ascii="Calibri" w:hAnsi="Calibri" w:cs="Calibri"/>
          <w:lang w:val="sq-AL"/>
        </w:rPr>
        <w:t xml:space="preserve">CCFR </w:t>
      </w:r>
      <w:r w:rsidR="00005A86" w:rsidRPr="00062169">
        <w:rPr>
          <w:rFonts w:ascii="Calibri" w:hAnsi="Calibri" w:cs="Calibri"/>
          <w:lang w:val="sq-AL"/>
        </w:rPr>
        <w:t xml:space="preserve">u zhvillua duke marrë parasysh konsistencën me rregullat e </w:t>
      </w:r>
      <w:r w:rsidR="00366384" w:rsidRPr="00062169">
        <w:rPr>
          <w:rFonts w:ascii="Calibri" w:hAnsi="Calibri" w:cs="Calibri"/>
          <w:lang w:val="sq-AL"/>
        </w:rPr>
        <w:t xml:space="preserve">barazimit përfundimtar </w:t>
      </w:r>
      <w:r w:rsidR="008603AC" w:rsidRPr="00062169">
        <w:rPr>
          <w:rFonts w:ascii="Calibri" w:hAnsi="Calibri" w:cs="Calibri"/>
          <w:lang w:val="sq-AL"/>
        </w:rPr>
        <w:t>t</w:t>
      </w:r>
      <w:r w:rsidR="00005A86" w:rsidRPr="00062169">
        <w:rPr>
          <w:rFonts w:ascii="Calibri" w:hAnsi="Calibri" w:cs="Calibri"/>
          <w:lang w:val="sq-AL"/>
        </w:rPr>
        <w:t>ë shkëmbimeve të q</w:t>
      </w:r>
      <w:r w:rsidR="001A6733" w:rsidRPr="00062169">
        <w:rPr>
          <w:rFonts w:ascii="Calibri" w:hAnsi="Calibri" w:cs="Calibri"/>
          <w:lang w:val="sq-AL"/>
        </w:rPr>
        <w:t>ë</w:t>
      </w:r>
      <w:r w:rsidR="00005A86" w:rsidRPr="00062169">
        <w:rPr>
          <w:rFonts w:ascii="Calibri" w:hAnsi="Calibri" w:cs="Calibri"/>
          <w:lang w:val="sq-AL"/>
        </w:rPr>
        <w:t>llimshme t</w:t>
      </w:r>
      <w:r w:rsidR="001A6733" w:rsidRPr="00062169">
        <w:rPr>
          <w:rFonts w:ascii="Calibri" w:hAnsi="Calibri" w:cs="Calibri"/>
          <w:lang w:val="sq-AL"/>
        </w:rPr>
        <w:t>ë</w:t>
      </w:r>
      <w:r w:rsidR="00005A86" w:rsidRPr="00062169">
        <w:rPr>
          <w:rFonts w:ascii="Calibri" w:hAnsi="Calibri" w:cs="Calibri"/>
          <w:lang w:val="sq-AL"/>
        </w:rPr>
        <w:t xml:space="preserve"> energjisë brenda zonave sinkrone në përputhje me Nenin 50(4) të EBGL dhe t</w:t>
      </w:r>
      <w:r w:rsidR="001A6733" w:rsidRPr="00062169">
        <w:rPr>
          <w:rFonts w:ascii="Calibri" w:hAnsi="Calibri" w:cs="Calibri"/>
          <w:lang w:val="sq-AL"/>
        </w:rPr>
        <w:t>ë</w:t>
      </w:r>
      <w:r w:rsidR="00005A86" w:rsidRPr="00062169">
        <w:rPr>
          <w:rFonts w:ascii="Calibri" w:hAnsi="Calibri" w:cs="Calibri"/>
          <w:lang w:val="sq-AL"/>
        </w:rPr>
        <w:t xml:space="preserve"> shk</w:t>
      </w:r>
      <w:r w:rsidR="001A6733" w:rsidRPr="00062169">
        <w:rPr>
          <w:rFonts w:ascii="Calibri" w:hAnsi="Calibri" w:cs="Calibri"/>
          <w:lang w:val="sq-AL"/>
        </w:rPr>
        <w:t>ë</w:t>
      </w:r>
      <w:r w:rsidR="00005A86" w:rsidRPr="00062169">
        <w:rPr>
          <w:rFonts w:ascii="Calibri" w:hAnsi="Calibri" w:cs="Calibri"/>
          <w:lang w:val="sq-AL"/>
        </w:rPr>
        <w:t>mbimeve t</w:t>
      </w:r>
      <w:r w:rsidR="001A6733" w:rsidRPr="00062169">
        <w:rPr>
          <w:rFonts w:ascii="Calibri" w:hAnsi="Calibri" w:cs="Calibri"/>
          <w:lang w:val="sq-AL"/>
        </w:rPr>
        <w:t>ë</w:t>
      </w:r>
      <w:r w:rsidR="00005A86" w:rsidRPr="00062169">
        <w:rPr>
          <w:rFonts w:ascii="Calibri" w:hAnsi="Calibri" w:cs="Calibri"/>
          <w:lang w:val="sq-AL"/>
        </w:rPr>
        <w:t xml:space="preserve"> paq</w:t>
      </w:r>
      <w:r w:rsidR="001A6733" w:rsidRPr="00062169">
        <w:rPr>
          <w:rFonts w:ascii="Calibri" w:hAnsi="Calibri" w:cs="Calibri"/>
          <w:lang w:val="sq-AL"/>
        </w:rPr>
        <w:t>ë</w:t>
      </w:r>
      <w:r w:rsidR="00005A86" w:rsidRPr="00062169">
        <w:rPr>
          <w:rFonts w:ascii="Calibri" w:hAnsi="Calibri" w:cs="Calibri"/>
          <w:lang w:val="sq-AL"/>
        </w:rPr>
        <w:t>llimshme n</w:t>
      </w:r>
      <w:r w:rsidR="001A6733" w:rsidRPr="00062169">
        <w:rPr>
          <w:rFonts w:ascii="Calibri" w:hAnsi="Calibri" w:cs="Calibri"/>
          <w:lang w:val="sq-AL"/>
        </w:rPr>
        <w:t>ë</w:t>
      </w:r>
      <w:r w:rsidR="00005A86" w:rsidRPr="00062169">
        <w:rPr>
          <w:rFonts w:ascii="Calibri" w:hAnsi="Calibri" w:cs="Calibri"/>
          <w:lang w:val="sq-AL"/>
        </w:rPr>
        <w:t xml:space="preserve"> p</w:t>
      </w:r>
      <w:r w:rsidR="001A6733" w:rsidRPr="00062169">
        <w:rPr>
          <w:rFonts w:ascii="Calibri" w:hAnsi="Calibri" w:cs="Calibri"/>
          <w:lang w:val="sq-AL"/>
        </w:rPr>
        <w:t>ë</w:t>
      </w:r>
      <w:r w:rsidR="00005A86" w:rsidRPr="00062169">
        <w:rPr>
          <w:rFonts w:ascii="Calibri" w:hAnsi="Calibri" w:cs="Calibri"/>
          <w:lang w:val="sq-AL"/>
        </w:rPr>
        <w:t xml:space="preserve">rputhje me Nenin </w:t>
      </w:r>
      <w:r w:rsidRPr="00062169">
        <w:rPr>
          <w:rFonts w:ascii="Calibri" w:hAnsi="Calibri" w:cs="Calibri"/>
          <w:lang w:val="sq-AL"/>
        </w:rPr>
        <w:t xml:space="preserve">51(2) </w:t>
      </w:r>
      <w:r w:rsidR="00005A86"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Pr="00062169">
        <w:rPr>
          <w:rFonts w:ascii="Calibri" w:hAnsi="Calibri" w:cs="Calibri"/>
          <w:lang w:val="sq-AL"/>
        </w:rPr>
        <w:t>EBGL.</w:t>
      </w:r>
    </w:p>
    <w:p w:rsidR="00412B54" w:rsidRPr="00062169" w:rsidRDefault="001A7043" w:rsidP="00900B3B">
      <w:pPr>
        <w:pStyle w:val="ListParagraph"/>
        <w:numPr>
          <w:ilvl w:val="0"/>
          <w:numId w:val="5"/>
        </w:numPr>
        <w:spacing w:after="0" w:line="276" w:lineRule="auto"/>
        <w:ind w:left="1080" w:hanging="720"/>
        <w:contextualSpacing w:val="0"/>
        <w:rPr>
          <w:rFonts w:ascii="Calibri" w:hAnsi="Calibri" w:cs="Calibri"/>
          <w:lang w:val="sq-AL"/>
        </w:rPr>
      </w:pPr>
      <w:bookmarkStart w:id="3" w:name="_Ref436817321"/>
      <w:bookmarkEnd w:id="2"/>
      <w:r w:rsidRPr="00062169">
        <w:rPr>
          <w:rFonts w:ascii="Calibri" w:hAnsi="Calibri" w:cs="Calibri"/>
          <w:lang w:val="sq-AL"/>
        </w:rPr>
        <w:t xml:space="preserve">Si </w:t>
      </w:r>
      <w:r w:rsidR="00005A86" w:rsidRPr="00062169">
        <w:rPr>
          <w:rFonts w:ascii="Calibri" w:hAnsi="Calibri" w:cs="Calibri"/>
          <w:lang w:val="sq-AL"/>
        </w:rPr>
        <w:t>përfundim</w:t>
      </w:r>
      <w:r w:rsidR="00926D40" w:rsidRPr="00062169">
        <w:rPr>
          <w:rFonts w:ascii="Calibri" w:hAnsi="Calibri" w:cs="Calibri"/>
          <w:lang w:val="sq-AL"/>
        </w:rPr>
        <w:t xml:space="preserve">, </w:t>
      </w:r>
      <w:r w:rsidR="004F3AAA" w:rsidRPr="00062169">
        <w:rPr>
          <w:rFonts w:ascii="Calibri" w:hAnsi="Calibri" w:cs="Calibri"/>
          <w:lang w:val="sq-AL"/>
        </w:rPr>
        <w:t>CCFR</w:t>
      </w:r>
      <w:r w:rsidR="00005A86" w:rsidRPr="00062169">
        <w:rPr>
          <w:rFonts w:ascii="Calibri" w:hAnsi="Calibri" w:cs="Calibri"/>
          <w:lang w:val="sq-AL"/>
        </w:rPr>
        <w:t xml:space="preserve"> </w:t>
      </w:r>
      <w:r w:rsidR="00C555F9" w:rsidRPr="00062169">
        <w:rPr>
          <w:rFonts w:ascii="Calibri" w:hAnsi="Calibri" w:cs="Calibri"/>
          <w:lang w:val="sq-AL"/>
        </w:rPr>
        <w:t>kontribon</w:t>
      </w:r>
      <w:r w:rsidR="00005A86" w:rsidRPr="00062169">
        <w:rPr>
          <w:rFonts w:ascii="Calibri" w:hAnsi="Calibri" w:cs="Calibri"/>
          <w:lang w:val="sq-AL"/>
        </w:rPr>
        <w:t xml:space="preserve"> në objektivat e përgjithshme të EBGL</w:t>
      </w:r>
      <w:r w:rsidR="0099313B" w:rsidRPr="00062169">
        <w:rPr>
          <w:rFonts w:ascii="Calibri" w:hAnsi="Calibri" w:cs="Calibri"/>
          <w:lang w:val="sq-AL"/>
        </w:rPr>
        <w:t>.</w:t>
      </w:r>
      <w:bookmarkEnd w:id="3"/>
    </w:p>
    <w:p w:rsidR="006F2530" w:rsidRPr="00062169" w:rsidRDefault="006F2530" w:rsidP="00900B3B">
      <w:pPr>
        <w:spacing w:line="276" w:lineRule="auto"/>
        <w:rPr>
          <w:rFonts w:ascii="Calibri" w:hAnsi="Calibri" w:cs="Calibri"/>
          <w:lang w:val="sq-AL"/>
        </w:rPr>
      </w:pPr>
      <w:r w:rsidRPr="00062169">
        <w:rPr>
          <w:rFonts w:ascii="Calibri" w:hAnsi="Calibri" w:cs="Calibri"/>
          <w:lang w:val="sq-AL"/>
        </w:rPr>
        <w:br w:type="page"/>
      </w:r>
    </w:p>
    <w:p w:rsidR="00005A86" w:rsidRPr="00062169" w:rsidRDefault="00146231" w:rsidP="00146231">
      <w:pPr>
        <w:pStyle w:val="headline2"/>
        <w:spacing w:after="0" w:line="276" w:lineRule="auto"/>
        <w:jc w:val="left"/>
        <w:rPr>
          <w:rFonts w:ascii="Calibri" w:hAnsi="Calibri" w:cs="Calibri"/>
          <w:color w:val="000000" w:themeColor="text1"/>
          <w:sz w:val="22"/>
          <w:szCs w:val="22"/>
          <w:lang w:val="sq-AL"/>
        </w:rPr>
      </w:pPr>
      <w:bookmarkStart w:id="4" w:name="_Toc65219928"/>
      <w:r>
        <w:rPr>
          <w:rFonts w:ascii="Calibri" w:hAnsi="Calibri" w:cs="Calibri"/>
          <w:color w:val="000000" w:themeColor="text1"/>
          <w:sz w:val="22"/>
          <w:szCs w:val="22"/>
          <w:lang w:val="sq-AL"/>
        </w:rPr>
        <w:lastRenderedPageBreak/>
        <w:t xml:space="preserve">                                                                     </w:t>
      </w:r>
      <w:r w:rsidR="001A7043" w:rsidRPr="00062169">
        <w:rPr>
          <w:rFonts w:ascii="Calibri" w:hAnsi="Calibri" w:cs="Calibri"/>
          <w:color w:val="000000" w:themeColor="text1"/>
          <w:sz w:val="22"/>
          <w:szCs w:val="22"/>
          <w:lang w:val="sq-AL"/>
        </w:rPr>
        <w:t>Shkurtesat</w:t>
      </w:r>
      <w:bookmarkEnd w:id="4"/>
    </w:p>
    <w:p w:rsidR="00005A86" w:rsidRPr="00062169" w:rsidRDefault="00005A86" w:rsidP="00900B3B">
      <w:pPr>
        <w:pStyle w:val="headline2"/>
        <w:spacing w:after="0" w:line="276" w:lineRule="auto"/>
        <w:rPr>
          <w:rFonts w:ascii="Calibri" w:hAnsi="Calibri" w:cs="Calibri"/>
          <w:sz w:val="22"/>
          <w:szCs w:val="22"/>
          <w:lang w:val="sq-AL"/>
        </w:rPr>
      </w:pPr>
    </w:p>
    <w:p w:rsidR="00005A86" w:rsidRPr="00062169" w:rsidRDefault="00005A86" w:rsidP="00900B3B">
      <w:pPr>
        <w:spacing w:line="276" w:lineRule="auto"/>
        <w:rPr>
          <w:rFonts w:ascii="Calibri" w:hAnsi="Calibri" w:cs="Calibri"/>
          <w:lang w:val="sq-AL"/>
        </w:rPr>
      </w:pPr>
      <w:r w:rsidRPr="00062169">
        <w:rPr>
          <w:rFonts w:ascii="Calibri" w:hAnsi="Calibri" w:cs="Calibri"/>
          <w:lang w:val="sq-AL"/>
        </w:rPr>
        <w:t xml:space="preserve">Lista e </w:t>
      </w:r>
      <w:r w:rsidR="001A7043" w:rsidRPr="00062169">
        <w:rPr>
          <w:rFonts w:ascii="Calibri" w:hAnsi="Calibri" w:cs="Calibri"/>
          <w:lang w:val="sq-AL"/>
        </w:rPr>
        <w:t xml:space="preserve">shkurtesave </w:t>
      </w:r>
      <w:r w:rsidRPr="00062169">
        <w:rPr>
          <w:rFonts w:ascii="Calibri" w:hAnsi="Calibri" w:cs="Calibri"/>
          <w:lang w:val="sq-AL"/>
        </w:rPr>
        <w:t xml:space="preserve">të përdorura në këtë CCU është si në vijim: </w:t>
      </w:r>
    </w:p>
    <w:p w:rsidR="00005A86" w:rsidRPr="00062169" w:rsidRDefault="00005A86"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 xml:space="preserve">ACE: Gabim i Zonës </w:t>
      </w:r>
      <w:r w:rsidR="00366384" w:rsidRPr="00062169">
        <w:rPr>
          <w:rFonts w:ascii="Calibri" w:hAnsi="Calibri" w:cs="Calibri"/>
          <w:lang w:val="sq-AL"/>
        </w:rPr>
        <w:t>Rregulluese</w:t>
      </w:r>
    </w:p>
    <w:p w:rsidR="00005A86" w:rsidRPr="00062169" w:rsidRDefault="00005A86"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ACER: Agjencia për Bashkëpunimin e Rregullatorëve të Energjisë</w:t>
      </w:r>
    </w:p>
    <w:p w:rsidR="00005A86" w:rsidRPr="00062169" w:rsidRDefault="00005A86"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 xml:space="preserve">ANES: </w:t>
      </w:r>
      <w:bookmarkStart w:id="5" w:name="_Hlk65140579"/>
      <w:r w:rsidR="00366384" w:rsidRPr="00062169">
        <w:rPr>
          <w:rFonts w:ascii="Calibri" w:hAnsi="Calibri" w:cs="Calibri"/>
          <w:lang w:val="sq-AL"/>
        </w:rPr>
        <w:t>programet e agreguara dhe të netuara të shkëmbimeve</w:t>
      </w:r>
      <w:bookmarkEnd w:id="5"/>
    </w:p>
    <w:p w:rsidR="00005A86" w:rsidRPr="00062169" w:rsidRDefault="00005A86"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 xml:space="preserve">CCFR: rregullat e </w:t>
      </w:r>
      <w:r w:rsidR="00366384" w:rsidRPr="00062169">
        <w:rPr>
          <w:rFonts w:ascii="Calibri" w:hAnsi="Calibri" w:cs="Calibri"/>
          <w:lang w:val="sq-AL"/>
        </w:rPr>
        <w:t>përbashkëta të barazimit përfundimtar</w:t>
      </w:r>
      <w:r w:rsidRPr="00062169">
        <w:rPr>
          <w:rFonts w:ascii="Calibri" w:hAnsi="Calibri" w:cs="Calibri"/>
          <w:lang w:val="sq-AL"/>
        </w:rPr>
        <w:t xml:space="preserve"> për Evropën Kontinentale për shkëmbimet e energjisë </w:t>
      </w:r>
      <w:r w:rsidR="00922D26" w:rsidRPr="00062169">
        <w:rPr>
          <w:rFonts w:ascii="Calibri" w:hAnsi="Calibri" w:cs="Calibri"/>
          <w:lang w:val="sq-AL"/>
        </w:rPr>
        <w:t xml:space="preserve">si </w:t>
      </w:r>
      <w:r w:rsidRPr="00062169">
        <w:rPr>
          <w:rFonts w:ascii="Calibri" w:hAnsi="Calibri" w:cs="Calibri"/>
          <w:lang w:val="sq-AL"/>
        </w:rPr>
        <w:t xml:space="preserve">rezultat i procesit të </w:t>
      </w:r>
      <w:r w:rsidR="00922D26" w:rsidRPr="00062169">
        <w:rPr>
          <w:rFonts w:ascii="Calibri" w:hAnsi="Calibri" w:cs="Calibri"/>
          <w:lang w:val="sq-AL"/>
        </w:rPr>
        <w:t xml:space="preserve">rregullimit </w:t>
      </w:r>
      <w:r w:rsidR="00C85011" w:rsidRPr="00062169">
        <w:rPr>
          <w:rFonts w:ascii="Calibri" w:hAnsi="Calibri" w:cs="Calibri"/>
          <w:lang w:val="sq-AL"/>
        </w:rPr>
        <w:t>stabilizues</w:t>
      </w:r>
      <w:r w:rsidR="008603AC" w:rsidRPr="00062169">
        <w:rPr>
          <w:rFonts w:ascii="Calibri" w:hAnsi="Calibri" w:cs="Calibri"/>
          <w:lang w:val="sq-AL"/>
        </w:rPr>
        <w:t xml:space="preserve"> të frekuencës</w:t>
      </w:r>
      <w:r w:rsidRPr="00062169">
        <w:rPr>
          <w:rFonts w:ascii="Calibri" w:hAnsi="Calibri" w:cs="Calibri"/>
          <w:lang w:val="sq-AL"/>
        </w:rPr>
        <w:t xml:space="preserve"> dhe </w:t>
      </w:r>
      <w:r w:rsidR="00D33785" w:rsidRPr="00062169">
        <w:rPr>
          <w:rFonts w:ascii="Calibri" w:hAnsi="Calibri" w:cs="Calibri"/>
          <w:lang w:val="sq-AL"/>
        </w:rPr>
        <w:t xml:space="preserve">periodës </w:t>
      </w:r>
      <w:r w:rsidRPr="00062169">
        <w:rPr>
          <w:rFonts w:ascii="Calibri" w:hAnsi="Calibri" w:cs="Calibri"/>
          <w:lang w:val="sq-AL"/>
        </w:rPr>
        <w:t xml:space="preserve">së </w:t>
      </w:r>
      <w:r w:rsidR="001876A6" w:rsidRPr="00062169">
        <w:rPr>
          <w:rFonts w:ascii="Calibri" w:hAnsi="Calibri" w:cs="Calibri"/>
          <w:lang w:val="sq-AL"/>
        </w:rPr>
        <w:t>ndryshimit (rritje / ulje)</w:t>
      </w:r>
      <w:r w:rsidRPr="00062169">
        <w:rPr>
          <w:rFonts w:ascii="Calibri" w:hAnsi="Calibri" w:cs="Calibri"/>
          <w:lang w:val="sq-AL"/>
        </w:rPr>
        <w:t>.</w:t>
      </w:r>
    </w:p>
    <w:p w:rsidR="00005A86" w:rsidRPr="00062169" w:rsidRDefault="00005A86"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 xml:space="preserve">CCU: rregullat e përbashkëta të </w:t>
      </w:r>
      <w:r w:rsidR="004D4FCB" w:rsidRPr="00062169">
        <w:rPr>
          <w:rFonts w:ascii="Calibri" w:hAnsi="Calibri" w:cs="Calibri"/>
          <w:lang w:val="sq-AL"/>
        </w:rPr>
        <w:t xml:space="preserve">barazimit përfundimtar </w:t>
      </w:r>
      <w:r w:rsidRPr="00062169">
        <w:rPr>
          <w:rFonts w:ascii="Calibri" w:hAnsi="Calibri" w:cs="Calibri"/>
          <w:lang w:val="sq-AL"/>
        </w:rPr>
        <w:t xml:space="preserve">për Evropën Kontinentale për të gjitha shkëmbimet e </w:t>
      </w:r>
      <w:r w:rsidR="004D4FCB" w:rsidRPr="00062169">
        <w:rPr>
          <w:rFonts w:ascii="Calibri" w:hAnsi="Calibri" w:cs="Calibri"/>
          <w:lang w:val="sq-AL"/>
        </w:rPr>
        <w:t xml:space="preserve">paqëllimshme të </w:t>
      </w:r>
      <w:r w:rsidRPr="00062169">
        <w:rPr>
          <w:rFonts w:ascii="Calibri" w:hAnsi="Calibri" w:cs="Calibri"/>
          <w:lang w:val="sq-AL"/>
        </w:rPr>
        <w:t>energjisë</w:t>
      </w:r>
      <w:r w:rsidR="009B3D95" w:rsidRPr="00062169">
        <w:rPr>
          <w:rFonts w:ascii="Calibri" w:hAnsi="Calibri" w:cs="Calibri"/>
          <w:lang w:val="sq-AL"/>
        </w:rPr>
        <w:t>.</w:t>
      </w:r>
    </w:p>
    <w:p w:rsidR="00005A86" w:rsidRPr="00062169" w:rsidRDefault="00005A86"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EBGL: Rregullorja e Komisionit (BE) 2017/2195 e 23 nëntorit 2017 për krijimin e një udhëzuesi mbi balancimin e energjisë elektrike</w:t>
      </w:r>
      <w:r w:rsidR="009B3D95" w:rsidRPr="00062169">
        <w:rPr>
          <w:rFonts w:ascii="Calibri" w:hAnsi="Calibri" w:cs="Calibri"/>
          <w:lang w:val="sq-AL"/>
        </w:rPr>
        <w:t>.</w:t>
      </w:r>
    </w:p>
    <w:p w:rsidR="00005A86" w:rsidRPr="00062169" w:rsidRDefault="00005A86"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 xml:space="preserve">Rregullorja e Energjisë Elektrike: Rregullorja (EC) Nr 714/2009 e Parlamentit Evropian dhe e Këshillit e datës 13 korrik 2009 mbi kushtet për </w:t>
      </w:r>
      <w:r w:rsidR="004D4FCB" w:rsidRPr="00062169">
        <w:rPr>
          <w:rFonts w:ascii="Calibri" w:hAnsi="Calibri" w:cs="Calibri"/>
          <w:lang w:val="sq-AL"/>
        </w:rPr>
        <w:t xml:space="preserve">qasje </w:t>
      </w:r>
      <w:r w:rsidRPr="00062169">
        <w:rPr>
          <w:rFonts w:ascii="Calibri" w:hAnsi="Calibri" w:cs="Calibri"/>
          <w:lang w:val="sq-AL"/>
        </w:rPr>
        <w:t>në rrjet për shkëmbimet ndërkufitare të energjisë elektrike</w:t>
      </w:r>
      <w:r w:rsidR="009B3D95" w:rsidRPr="00062169">
        <w:rPr>
          <w:rFonts w:ascii="Calibri" w:hAnsi="Calibri" w:cs="Calibri"/>
          <w:lang w:val="sq-AL"/>
        </w:rPr>
        <w:t>.</w:t>
      </w:r>
    </w:p>
    <w:p w:rsidR="00005A86" w:rsidRPr="00062169" w:rsidRDefault="00005A86"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 xml:space="preserve">Zona LFC: zona e </w:t>
      </w:r>
      <w:r w:rsidR="004D4FCB" w:rsidRPr="00062169">
        <w:rPr>
          <w:rFonts w:ascii="Calibri" w:hAnsi="Calibri" w:cs="Calibri"/>
          <w:lang w:val="sq-AL"/>
        </w:rPr>
        <w:t xml:space="preserve">rregullimit </w:t>
      </w:r>
      <w:r w:rsidRPr="00062169">
        <w:rPr>
          <w:rFonts w:ascii="Calibri" w:hAnsi="Calibri" w:cs="Calibri"/>
          <w:lang w:val="sq-AL"/>
        </w:rPr>
        <w:t>frekuencë</w:t>
      </w:r>
      <w:r w:rsidR="004D4FCB" w:rsidRPr="00062169">
        <w:rPr>
          <w:rFonts w:ascii="Calibri" w:hAnsi="Calibri" w:cs="Calibri"/>
          <w:lang w:val="sq-AL"/>
        </w:rPr>
        <w:t>-</w:t>
      </w:r>
      <w:r w:rsidRPr="00062169">
        <w:rPr>
          <w:rFonts w:ascii="Calibri" w:hAnsi="Calibri" w:cs="Calibri"/>
          <w:lang w:val="sq-AL"/>
        </w:rPr>
        <w:t>ngarkesë</w:t>
      </w:r>
      <w:r w:rsidR="009B3D95" w:rsidRPr="00062169">
        <w:rPr>
          <w:rFonts w:ascii="Calibri" w:hAnsi="Calibri" w:cs="Calibri"/>
          <w:lang w:val="sq-AL"/>
        </w:rPr>
        <w:t>.</w:t>
      </w:r>
    </w:p>
    <w:p w:rsidR="00005A86" w:rsidRPr="00062169" w:rsidRDefault="00005A86"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 xml:space="preserve">Blloku LFC: blloku i </w:t>
      </w:r>
      <w:r w:rsidR="004D4FCB" w:rsidRPr="00062169">
        <w:rPr>
          <w:rFonts w:ascii="Calibri" w:hAnsi="Calibri" w:cs="Calibri"/>
          <w:lang w:val="sq-AL"/>
        </w:rPr>
        <w:t>rregullimit frekuencë-ngarkesë</w:t>
      </w:r>
      <w:r w:rsidR="009B3D95" w:rsidRPr="00062169">
        <w:rPr>
          <w:rFonts w:ascii="Calibri" w:hAnsi="Calibri" w:cs="Calibri"/>
          <w:lang w:val="sq-AL"/>
        </w:rPr>
        <w:t>.</w:t>
      </w:r>
    </w:p>
    <w:p w:rsidR="00005A86" w:rsidRPr="00062169" w:rsidRDefault="00005A86"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SA CE: Zona Sinkrone e Evropës Kontinentale</w:t>
      </w:r>
      <w:r w:rsidR="009B3D95" w:rsidRPr="00062169">
        <w:rPr>
          <w:rFonts w:ascii="Calibri" w:hAnsi="Calibri" w:cs="Calibri"/>
          <w:lang w:val="sq-AL"/>
        </w:rPr>
        <w:t>.</w:t>
      </w:r>
    </w:p>
    <w:p w:rsidR="00005A86" w:rsidRPr="00062169" w:rsidRDefault="00005A86"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SOGL: Rregullorja (KE) nr. 2017/1485 e datës 2 gusht 2017 për krijimin e një udhëzuesi mbi operimin e sistemit të transmetimit të energjisë elektrike</w:t>
      </w:r>
      <w:r w:rsidR="009B3D95" w:rsidRPr="00062169">
        <w:rPr>
          <w:rFonts w:ascii="Calibri" w:hAnsi="Calibri" w:cs="Calibri"/>
          <w:lang w:val="sq-AL"/>
        </w:rPr>
        <w:t>.</w:t>
      </w:r>
    </w:p>
    <w:p w:rsidR="00005A86" w:rsidRDefault="00AE3781" w:rsidP="00900B3B">
      <w:pPr>
        <w:pStyle w:val="ListParagraph"/>
        <w:numPr>
          <w:ilvl w:val="0"/>
          <w:numId w:val="37"/>
        </w:numPr>
        <w:spacing w:after="0" w:line="276" w:lineRule="auto"/>
        <w:contextualSpacing w:val="0"/>
        <w:rPr>
          <w:rFonts w:ascii="Calibri" w:hAnsi="Calibri" w:cs="Calibri"/>
          <w:lang w:val="sq-AL"/>
        </w:rPr>
      </w:pPr>
      <w:r w:rsidRPr="00062169">
        <w:rPr>
          <w:rFonts w:ascii="Calibri" w:hAnsi="Calibri" w:cs="Calibri"/>
          <w:lang w:val="sq-AL"/>
        </w:rPr>
        <w:t>TSO</w:t>
      </w:r>
      <w:r w:rsidR="00005A86" w:rsidRPr="00062169">
        <w:rPr>
          <w:rFonts w:ascii="Calibri" w:hAnsi="Calibri" w:cs="Calibri"/>
          <w:lang w:val="sq-AL"/>
        </w:rPr>
        <w:t>: Operatori i Sistemit të Transmetimit</w:t>
      </w:r>
      <w:r w:rsidR="009B3D95" w:rsidRPr="00062169">
        <w:rPr>
          <w:rFonts w:ascii="Calibri" w:hAnsi="Calibri" w:cs="Calibri"/>
          <w:lang w:val="sq-AL"/>
        </w:rPr>
        <w:t>.</w:t>
      </w:r>
    </w:p>
    <w:p w:rsidR="00062169" w:rsidRDefault="00062169" w:rsidP="00062169">
      <w:pPr>
        <w:spacing w:line="276" w:lineRule="auto"/>
        <w:rPr>
          <w:rFonts w:ascii="Calibri" w:hAnsi="Calibri" w:cs="Calibri"/>
          <w:lang w:val="sq-AL"/>
        </w:rPr>
      </w:pPr>
    </w:p>
    <w:p w:rsidR="00062169" w:rsidRDefault="00062169" w:rsidP="00062169">
      <w:pPr>
        <w:spacing w:line="276" w:lineRule="auto"/>
        <w:rPr>
          <w:rFonts w:ascii="Calibri" w:hAnsi="Calibri" w:cs="Calibri"/>
          <w:lang w:val="sq-AL"/>
        </w:rPr>
      </w:pPr>
    </w:p>
    <w:p w:rsidR="00062169" w:rsidRDefault="00062169" w:rsidP="00062169">
      <w:pPr>
        <w:spacing w:line="276" w:lineRule="auto"/>
        <w:rPr>
          <w:rFonts w:ascii="Calibri" w:hAnsi="Calibri" w:cs="Calibri"/>
          <w:lang w:val="sq-AL"/>
        </w:rPr>
      </w:pPr>
    </w:p>
    <w:p w:rsidR="00062169" w:rsidRDefault="00062169" w:rsidP="00062169">
      <w:pPr>
        <w:spacing w:line="276" w:lineRule="auto"/>
        <w:rPr>
          <w:rFonts w:ascii="Calibri" w:hAnsi="Calibri" w:cs="Calibri"/>
          <w:lang w:val="sq-AL"/>
        </w:rPr>
      </w:pPr>
    </w:p>
    <w:p w:rsidR="00062169" w:rsidRPr="00062169" w:rsidRDefault="00062169" w:rsidP="00062169">
      <w:pPr>
        <w:spacing w:line="276" w:lineRule="auto"/>
        <w:rPr>
          <w:rFonts w:ascii="Calibri" w:hAnsi="Calibri" w:cs="Calibri"/>
          <w:lang w:val="sq-AL"/>
        </w:rPr>
      </w:pPr>
    </w:p>
    <w:p w:rsidR="006F2530" w:rsidRPr="00062169" w:rsidRDefault="006F2530" w:rsidP="00900B3B">
      <w:pPr>
        <w:spacing w:line="276" w:lineRule="auto"/>
        <w:rPr>
          <w:rFonts w:ascii="Calibri" w:hAnsi="Calibri" w:cs="Calibri"/>
          <w:lang w:val="sq-AL"/>
        </w:rPr>
      </w:pPr>
    </w:p>
    <w:p w:rsidR="00C75EC0" w:rsidRDefault="00C75EC0" w:rsidP="005043E5">
      <w:pPr>
        <w:spacing w:line="276" w:lineRule="auto"/>
        <w:rPr>
          <w:rFonts w:ascii="Calibri" w:hAnsi="Calibri" w:cs="Calibri"/>
          <w:b/>
          <w:lang w:val="sq-AL"/>
        </w:rPr>
      </w:pPr>
    </w:p>
    <w:p w:rsidR="00C75EC0" w:rsidRDefault="00C75EC0" w:rsidP="005043E5">
      <w:pPr>
        <w:spacing w:line="276" w:lineRule="auto"/>
        <w:rPr>
          <w:rFonts w:ascii="Calibri" w:hAnsi="Calibri" w:cs="Calibri"/>
          <w:b/>
          <w:lang w:val="sq-AL"/>
        </w:rPr>
      </w:pPr>
    </w:p>
    <w:p w:rsidR="00C75EC0" w:rsidRDefault="00C75EC0" w:rsidP="005043E5">
      <w:pPr>
        <w:spacing w:line="276" w:lineRule="auto"/>
        <w:rPr>
          <w:rFonts w:ascii="Calibri" w:hAnsi="Calibri" w:cs="Calibri"/>
          <w:b/>
          <w:lang w:val="sq-AL"/>
        </w:rPr>
      </w:pPr>
    </w:p>
    <w:p w:rsidR="00C75EC0" w:rsidRDefault="00C75EC0" w:rsidP="005043E5">
      <w:pPr>
        <w:spacing w:line="276" w:lineRule="auto"/>
        <w:rPr>
          <w:rFonts w:ascii="Calibri" w:hAnsi="Calibri" w:cs="Calibri"/>
          <w:b/>
          <w:lang w:val="sq-AL"/>
        </w:rPr>
      </w:pPr>
    </w:p>
    <w:p w:rsidR="00C75EC0" w:rsidRDefault="00C75EC0" w:rsidP="005043E5">
      <w:pPr>
        <w:spacing w:line="276" w:lineRule="auto"/>
        <w:rPr>
          <w:rFonts w:ascii="Calibri" w:hAnsi="Calibri" w:cs="Calibri"/>
          <w:b/>
          <w:lang w:val="sq-AL"/>
        </w:rPr>
      </w:pPr>
    </w:p>
    <w:p w:rsidR="00C75EC0" w:rsidRDefault="00C75EC0" w:rsidP="005043E5">
      <w:pPr>
        <w:spacing w:line="276" w:lineRule="auto"/>
        <w:rPr>
          <w:rFonts w:ascii="Calibri" w:hAnsi="Calibri" w:cs="Calibri"/>
          <w:b/>
          <w:lang w:val="sq-AL"/>
        </w:rPr>
      </w:pPr>
    </w:p>
    <w:p w:rsidR="00C75EC0" w:rsidRDefault="00C75EC0" w:rsidP="005043E5">
      <w:pPr>
        <w:spacing w:line="276" w:lineRule="auto"/>
        <w:rPr>
          <w:rFonts w:ascii="Calibri" w:hAnsi="Calibri" w:cs="Calibri"/>
          <w:b/>
          <w:lang w:val="sq-AL"/>
        </w:rPr>
      </w:pPr>
    </w:p>
    <w:p w:rsidR="00C75EC0" w:rsidRDefault="00C75EC0" w:rsidP="005043E5">
      <w:pPr>
        <w:spacing w:line="276" w:lineRule="auto"/>
        <w:rPr>
          <w:rFonts w:ascii="Calibri" w:hAnsi="Calibri" w:cs="Calibri"/>
          <w:b/>
          <w:lang w:val="sq-AL"/>
        </w:rPr>
      </w:pPr>
    </w:p>
    <w:p w:rsidR="00C75EC0" w:rsidRDefault="00C75EC0" w:rsidP="005043E5">
      <w:pPr>
        <w:spacing w:line="276" w:lineRule="auto"/>
        <w:rPr>
          <w:rFonts w:ascii="Calibri" w:hAnsi="Calibri" w:cs="Calibri"/>
          <w:b/>
          <w:lang w:val="sq-AL"/>
        </w:rPr>
      </w:pPr>
    </w:p>
    <w:p w:rsidR="00C75EC0" w:rsidRDefault="00C75EC0" w:rsidP="005043E5">
      <w:pPr>
        <w:spacing w:line="276" w:lineRule="auto"/>
        <w:rPr>
          <w:rFonts w:ascii="Calibri" w:hAnsi="Calibri" w:cs="Calibri"/>
          <w:b/>
          <w:lang w:val="sq-AL"/>
        </w:rPr>
      </w:pPr>
    </w:p>
    <w:p w:rsidR="00005A86" w:rsidRPr="00146231" w:rsidRDefault="001A7043" w:rsidP="005043E5">
      <w:pPr>
        <w:spacing w:line="276" w:lineRule="auto"/>
        <w:rPr>
          <w:rFonts w:ascii="Calibri" w:hAnsi="Calibri" w:cs="Calibri"/>
          <w:b/>
          <w:sz w:val="24"/>
          <w:szCs w:val="24"/>
          <w:lang w:val="sq-AL"/>
        </w:rPr>
      </w:pPr>
      <w:r w:rsidRPr="00146231">
        <w:rPr>
          <w:rFonts w:ascii="Calibri" w:hAnsi="Calibri" w:cs="Calibri"/>
          <w:b/>
          <w:sz w:val="24"/>
          <w:szCs w:val="24"/>
          <w:lang w:val="sq-AL"/>
        </w:rPr>
        <w:t xml:space="preserve">PARAQESIN PËR MIRATIM </w:t>
      </w:r>
      <w:r w:rsidR="00005A86" w:rsidRPr="00146231">
        <w:rPr>
          <w:rFonts w:ascii="Calibri" w:hAnsi="Calibri" w:cs="Calibri"/>
          <w:b/>
          <w:sz w:val="24"/>
          <w:szCs w:val="24"/>
          <w:lang w:val="sq-AL"/>
        </w:rPr>
        <w:t xml:space="preserve">CCFR E MËPOSHTME </w:t>
      </w:r>
      <w:r w:rsidRPr="00146231">
        <w:rPr>
          <w:rFonts w:ascii="Calibri" w:hAnsi="Calibri" w:cs="Calibri"/>
          <w:b/>
          <w:sz w:val="24"/>
          <w:szCs w:val="24"/>
          <w:lang w:val="sq-AL"/>
        </w:rPr>
        <w:t xml:space="preserve">TE </w:t>
      </w:r>
      <w:r w:rsidR="00005A86" w:rsidRPr="00146231">
        <w:rPr>
          <w:rFonts w:ascii="Calibri" w:hAnsi="Calibri" w:cs="Calibri"/>
          <w:b/>
          <w:sz w:val="24"/>
          <w:szCs w:val="24"/>
          <w:lang w:val="sq-AL"/>
        </w:rPr>
        <w:t xml:space="preserve">AUTORITETET </w:t>
      </w:r>
      <w:r w:rsidR="005A3DB4" w:rsidRPr="00146231">
        <w:rPr>
          <w:rFonts w:ascii="Calibri" w:hAnsi="Calibri" w:cs="Calibri"/>
          <w:b/>
          <w:sz w:val="24"/>
          <w:szCs w:val="24"/>
          <w:lang w:val="sq-AL"/>
        </w:rPr>
        <w:t xml:space="preserve">PËRKATËSE </w:t>
      </w:r>
      <w:r w:rsidR="00005A86" w:rsidRPr="00146231">
        <w:rPr>
          <w:rFonts w:ascii="Calibri" w:hAnsi="Calibri" w:cs="Calibri"/>
          <w:b/>
          <w:sz w:val="24"/>
          <w:szCs w:val="24"/>
          <w:lang w:val="sq-AL"/>
        </w:rPr>
        <w:t>RREGULLAT</w:t>
      </w:r>
      <w:r w:rsidRPr="00146231">
        <w:rPr>
          <w:rFonts w:ascii="Calibri" w:hAnsi="Calibri" w:cs="Calibri"/>
          <w:b/>
          <w:sz w:val="24"/>
          <w:szCs w:val="24"/>
          <w:lang w:val="sq-AL"/>
        </w:rPr>
        <w:t>IVE</w:t>
      </w:r>
      <w:r w:rsidR="00005A86" w:rsidRPr="00146231">
        <w:rPr>
          <w:rFonts w:ascii="Calibri" w:hAnsi="Calibri" w:cs="Calibri"/>
          <w:b/>
          <w:sz w:val="24"/>
          <w:szCs w:val="24"/>
          <w:lang w:val="sq-AL"/>
        </w:rPr>
        <w:t>:</w:t>
      </w:r>
    </w:p>
    <w:p w:rsidR="00C75EC0" w:rsidRPr="00062169" w:rsidRDefault="00C75EC0" w:rsidP="005043E5">
      <w:pPr>
        <w:spacing w:line="276" w:lineRule="auto"/>
        <w:rPr>
          <w:rFonts w:ascii="Calibri" w:hAnsi="Calibri" w:cs="Calibri"/>
          <w:b/>
          <w:lang w:val="sq-AL"/>
        </w:rPr>
      </w:pPr>
    </w:p>
    <w:p w:rsidR="00C75EC0" w:rsidRPr="00C75EC0" w:rsidRDefault="00C75EC0" w:rsidP="00C75EC0">
      <w:pPr>
        <w:spacing w:line="276" w:lineRule="auto"/>
        <w:rPr>
          <w:rFonts w:ascii="Calibri" w:hAnsi="Calibri" w:cs="Calibri"/>
          <w:b/>
          <w:color w:val="000000" w:themeColor="text1"/>
          <w:lang w:val="sq-AL"/>
        </w:rPr>
      </w:pPr>
      <w:bookmarkStart w:id="6" w:name="_Toc65219929"/>
      <w:bookmarkStart w:id="7" w:name="_Toc432586769"/>
      <w:bookmarkStart w:id="8" w:name="_Toc432586789"/>
      <w:r>
        <w:rPr>
          <w:rFonts w:ascii="Calibri" w:hAnsi="Calibri" w:cs="Calibri"/>
          <w:lang w:val="sq-AL"/>
        </w:rPr>
        <w:t xml:space="preserve">                                                                                </w:t>
      </w:r>
      <w:r w:rsidRPr="00C75EC0">
        <w:rPr>
          <w:rFonts w:ascii="Calibri" w:hAnsi="Calibri" w:cs="Calibri"/>
          <w:color w:val="000000" w:themeColor="text1"/>
          <w:lang w:val="sq-AL"/>
        </w:rPr>
        <w:t xml:space="preserve"> </w:t>
      </w:r>
      <w:r w:rsidR="00005A86" w:rsidRPr="00C75EC0">
        <w:rPr>
          <w:rFonts w:ascii="Calibri" w:hAnsi="Calibri" w:cs="Calibri"/>
          <w:b/>
          <w:color w:val="000000" w:themeColor="text1"/>
          <w:lang w:val="sq-AL"/>
        </w:rPr>
        <w:t>Neni 1</w:t>
      </w:r>
    </w:p>
    <w:p w:rsidR="00005A86" w:rsidRPr="00062169" w:rsidRDefault="00C75EC0" w:rsidP="00C75EC0">
      <w:pPr>
        <w:pStyle w:val="headline2"/>
        <w:keepNext/>
        <w:spacing w:after="0" w:line="276" w:lineRule="auto"/>
        <w:jc w:val="left"/>
        <w:rPr>
          <w:rFonts w:ascii="Calibri" w:hAnsi="Calibri" w:cs="Calibri"/>
          <w:color w:val="000000" w:themeColor="text1"/>
          <w:sz w:val="22"/>
          <w:szCs w:val="22"/>
          <w:lang w:val="sq-AL"/>
        </w:rPr>
      </w:pPr>
      <w:r>
        <w:rPr>
          <w:rFonts w:ascii="Calibri" w:hAnsi="Calibri" w:cs="Calibri"/>
          <w:sz w:val="22"/>
          <w:szCs w:val="22"/>
          <w:lang w:val="sq-AL"/>
        </w:rPr>
        <w:t xml:space="preserve">                                                                   </w:t>
      </w:r>
      <w:r w:rsidR="003D01DA" w:rsidRPr="00062169">
        <w:rPr>
          <w:rFonts w:ascii="Calibri" w:hAnsi="Calibri" w:cs="Calibri"/>
          <w:color w:val="000000" w:themeColor="text1"/>
          <w:sz w:val="22"/>
          <w:szCs w:val="22"/>
          <w:lang w:val="sq-AL"/>
        </w:rPr>
        <w:t xml:space="preserve">Fushëveprimi </w:t>
      </w:r>
      <w:r w:rsidR="00005A86" w:rsidRPr="00062169">
        <w:rPr>
          <w:rFonts w:ascii="Calibri" w:hAnsi="Calibri" w:cs="Calibri"/>
          <w:color w:val="000000" w:themeColor="text1"/>
          <w:sz w:val="22"/>
          <w:szCs w:val="22"/>
          <w:lang w:val="sq-AL"/>
        </w:rPr>
        <w:t>dhe qëllimi</w:t>
      </w:r>
      <w:bookmarkEnd w:id="6"/>
      <w:r w:rsidR="00005A86" w:rsidRPr="00062169">
        <w:rPr>
          <w:rFonts w:ascii="Calibri" w:hAnsi="Calibri" w:cs="Calibri"/>
          <w:color w:val="000000" w:themeColor="text1"/>
          <w:sz w:val="22"/>
          <w:szCs w:val="22"/>
          <w:lang w:val="sq-AL"/>
        </w:rPr>
        <w:t xml:space="preserve"> </w:t>
      </w:r>
    </w:p>
    <w:bookmarkEnd w:id="7"/>
    <w:bookmarkEnd w:id="8"/>
    <w:p w:rsidR="00005A86" w:rsidRPr="00062169" w:rsidRDefault="00005A86" w:rsidP="00900B3B">
      <w:pPr>
        <w:pStyle w:val="headline2"/>
        <w:keepNext/>
        <w:spacing w:after="0" w:line="276" w:lineRule="auto"/>
        <w:rPr>
          <w:rFonts w:ascii="Calibri" w:hAnsi="Calibri" w:cs="Calibri"/>
          <w:sz w:val="22"/>
          <w:szCs w:val="22"/>
          <w:lang w:val="sq-AL"/>
        </w:rPr>
      </w:pPr>
    </w:p>
    <w:p w:rsidR="00320E70" w:rsidRPr="00062169" w:rsidRDefault="009C1A9F" w:rsidP="00900B3B">
      <w:pPr>
        <w:pStyle w:val="ListParagraph"/>
        <w:numPr>
          <w:ilvl w:val="0"/>
          <w:numId w:val="6"/>
        </w:numPr>
        <w:spacing w:after="0" w:line="276" w:lineRule="auto"/>
        <w:ind w:left="357" w:hanging="357"/>
        <w:contextualSpacing w:val="0"/>
        <w:rPr>
          <w:rFonts w:ascii="Calibri" w:hAnsi="Calibri" w:cs="Calibri"/>
          <w:lang w:val="sq-AL"/>
        </w:rPr>
      </w:pPr>
      <w:bookmarkStart w:id="9" w:name="_Toc432586770"/>
      <w:bookmarkStart w:id="10" w:name="_Toc432586790"/>
      <w:r w:rsidRPr="00062169">
        <w:rPr>
          <w:rFonts w:ascii="Calibri" w:hAnsi="Calibri" w:cs="Calibri"/>
          <w:lang w:val="sq-AL"/>
        </w:rPr>
        <w:t xml:space="preserve">Rregullat e </w:t>
      </w:r>
      <w:r w:rsidR="007B3B6F" w:rsidRPr="00062169">
        <w:rPr>
          <w:rFonts w:ascii="Calibri" w:hAnsi="Calibri" w:cs="Calibri"/>
          <w:lang w:val="en-GB"/>
        </w:rPr>
        <w:t>p</w:t>
      </w:r>
      <w:r w:rsidR="007B3B6F" w:rsidRPr="00062169">
        <w:rPr>
          <w:rFonts w:ascii="Calibri" w:hAnsi="Calibri" w:cs="Calibri"/>
          <w:lang w:val="sq-AL"/>
        </w:rPr>
        <w:t xml:space="preserve">ërbashkëta </w:t>
      </w:r>
      <w:r w:rsidRPr="00062169">
        <w:rPr>
          <w:rFonts w:ascii="Calibri" w:hAnsi="Calibri" w:cs="Calibri"/>
          <w:lang w:val="sq-AL"/>
        </w:rPr>
        <w:t xml:space="preserve">të </w:t>
      </w:r>
      <w:r w:rsidR="007B3B6F" w:rsidRPr="00062169">
        <w:rPr>
          <w:rFonts w:ascii="Calibri" w:hAnsi="Calibri" w:cs="Calibri"/>
          <w:lang w:val="sq-AL"/>
        </w:rPr>
        <w:t xml:space="preserve">barazimit përfundimtar </w:t>
      </w:r>
      <w:r w:rsidRPr="00062169">
        <w:rPr>
          <w:rFonts w:ascii="Calibri" w:hAnsi="Calibri" w:cs="Calibri"/>
          <w:lang w:val="sq-AL"/>
        </w:rPr>
        <w:t>për të gjitha shkëmbimet e qëllimshme të energjisë si rezultat i procesit t</w:t>
      </w:r>
      <w:r w:rsidR="001A6733" w:rsidRPr="00062169">
        <w:rPr>
          <w:rFonts w:ascii="Calibri" w:hAnsi="Calibri" w:cs="Calibri"/>
          <w:lang w:val="sq-AL"/>
        </w:rPr>
        <w:t>ë</w:t>
      </w:r>
      <w:r w:rsidRPr="00062169">
        <w:rPr>
          <w:rFonts w:ascii="Calibri" w:hAnsi="Calibri" w:cs="Calibri"/>
          <w:lang w:val="sq-AL"/>
        </w:rPr>
        <w:t xml:space="preserve"> </w:t>
      </w:r>
      <w:r w:rsidR="007B3B6F" w:rsidRPr="00062169">
        <w:rPr>
          <w:rFonts w:ascii="Calibri" w:hAnsi="Calibri" w:cs="Calibri"/>
          <w:lang w:val="sq-AL"/>
        </w:rPr>
        <w:t xml:space="preserve">rregullimit </w:t>
      </w:r>
      <w:r w:rsidR="00C85011" w:rsidRPr="00062169">
        <w:rPr>
          <w:rFonts w:ascii="Calibri" w:hAnsi="Calibri" w:cs="Calibri"/>
          <w:lang w:val="sq-AL"/>
        </w:rPr>
        <w:t>stabilizues</w:t>
      </w:r>
      <w:r w:rsidR="007B3B6F" w:rsidRPr="00062169">
        <w:rPr>
          <w:rFonts w:ascii="Calibri" w:hAnsi="Calibri" w:cs="Calibri"/>
          <w:lang w:val="sq-AL"/>
        </w:rPr>
        <w:t xml:space="preserve"> </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frekuenc</w:t>
      </w:r>
      <w:r w:rsidR="001A6733" w:rsidRPr="00062169">
        <w:rPr>
          <w:rFonts w:ascii="Calibri" w:hAnsi="Calibri" w:cs="Calibri"/>
          <w:lang w:val="sq-AL"/>
        </w:rPr>
        <w:t>ë</w:t>
      </w:r>
      <w:r w:rsidRPr="00062169">
        <w:rPr>
          <w:rFonts w:ascii="Calibri" w:hAnsi="Calibri" w:cs="Calibri"/>
          <w:lang w:val="sq-AL"/>
        </w:rPr>
        <w:t xml:space="preserve">s dhe </w:t>
      </w:r>
      <w:r w:rsidR="00D33785" w:rsidRPr="00062169">
        <w:rPr>
          <w:rFonts w:ascii="Calibri" w:hAnsi="Calibri" w:cs="Calibri"/>
          <w:lang w:val="sq-AL"/>
        </w:rPr>
        <w:t xml:space="preserve">periodës </w:t>
      </w:r>
      <w:r w:rsidRPr="00062169">
        <w:rPr>
          <w:rFonts w:ascii="Calibri" w:hAnsi="Calibri" w:cs="Calibri"/>
          <w:lang w:val="sq-AL"/>
        </w:rPr>
        <w:t>s</w:t>
      </w:r>
      <w:r w:rsidR="001A6733" w:rsidRPr="00062169">
        <w:rPr>
          <w:rFonts w:ascii="Calibri" w:hAnsi="Calibri" w:cs="Calibri"/>
          <w:lang w:val="sq-AL"/>
        </w:rPr>
        <w:t>ë</w:t>
      </w:r>
      <w:r w:rsidRPr="00062169">
        <w:rPr>
          <w:rFonts w:ascii="Calibri" w:hAnsi="Calibri" w:cs="Calibri"/>
          <w:lang w:val="sq-AL"/>
        </w:rPr>
        <w:t xml:space="preserve"> </w:t>
      </w:r>
      <w:r w:rsidR="001876A6" w:rsidRPr="00062169">
        <w:rPr>
          <w:rFonts w:ascii="Calibri" w:hAnsi="Calibri" w:cs="Calibri"/>
          <w:lang w:val="sq-AL"/>
        </w:rPr>
        <w:t>ndryshimit (rritje / ulje)</w:t>
      </w:r>
      <w:r w:rsidRPr="00062169">
        <w:rPr>
          <w:rFonts w:ascii="Calibri" w:hAnsi="Calibri" w:cs="Calibri"/>
          <w:lang w:val="sq-AL"/>
        </w:rPr>
        <w:t xml:space="preserve"> siç p</w:t>
      </w:r>
      <w:r w:rsidR="001A6733" w:rsidRPr="00062169">
        <w:rPr>
          <w:rFonts w:ascii="Calibri" w:hAnsi="Calibri" w:cs="Calibri"/>
          <w:lang w:val="sq-AL"/>
        </w:rPr>
        <w:t>ë</w:t>
      </w:r>
      <w:r w:rsidRPr="00062169">
        <w:rPr>
          <w:rFonts w:ascii="Calibri" w:hAnsi="Calibri" w:cs="Calibri"/>
          <w:lang w:val="sq-AL"/>
        </w:rPr>
        <w:t>rcaktohet n</w:t>
      </w:r>
      <w:r w:rsidR="001A6733" w:rsidRPr="00062169">
        <w:rPr>
          <w:rFonts w:ascii="Calibri" w:hAnsi="Calibri" w:cs="Calibri"/>
          <w:lang w:val="sq-AL"/>
        </w:rPr>
        <w:t>ë</w:t>
      </w:r>
      <w:r w:rsidRPr="00062169">
        <w:rPr>
          <w:rFonts w:ascii="Calibri" w:hAnsi="Calibri" w:cs="Calibri"/>
          <w:lang w:val="sq-AL"/>
        </w:rPr>
        <w:t xml:space="preserve"> k</w:t>
      </w:r>
      <w:r w:rsidR="001A6733" w:rsidRPr="00062169">
        <w:rPr>
          <w:rFonts w:ascii="Calibri" w:hAnsi="Calibri" w:cs="Calibri"/>
          <w:lang w:val="sq-AL"/>
        </w:rPr>
        <w:t>ë</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CCFR është </w:t>
      </w:r>
      <w:r w:rsidR="007B3B6F" w:rsidRPr="00062169">
        <w:rPr>
          <w:rFonts w:ascii="Calibri" w:hAnsi="Calibri" w:cs="Calibri"/>
          <w:lang w:val="sq-AL"/>
        </w:rPr>
        <w:t xml:space="preserve">një </w:t>
      </w:r>
      <w:r w:rsidRPr="00062169">
        <w:rPr>
          <w:rFonts w:ascii="Calibri" w:hAnsi="Calibri" w:cs="Calibri"/>
          <w:lang w:val="sq-AL"/>
        </w:rPr>
        <w:t xml:space="preserve">propozimi i përbashkët i të gjithë </w:t>
      </w:r>
      <w:r w:rsidR="00AE3781" w:rsidRPr="00062169">
        <w:rPr>
          <w:rFonts w:ascii="Calibri" w:hAnsi="Calibri" w:cs="Calibri"/>
          <w:lang w:val="sq-AL"/>
        </w:rPr>
        <w:t>TSO</w:t>
      </w:r>
      <w:r w:rsidRPr="00062169">
        <w:rPr>
          <w:rFonts w:ascii="Calibri" w:hAnsi="Calibri" w:cs="Calibri"/>
          <w:lang w:val="sq-AL"/>
        </w:rPr>
        <w:t xml:space="preserve">-ve të SA CE në përputhje me Nenin </w:t>
      </w:r>
      <w:r w:rsidR="0035776D" w:rsidRPr="00062169">
        <w:rPr>
          <w:rFonts w:ascii="Calibri" w:hAnsi="Calibri" w:cs="Calibri"/>
          <w:lang w:val="sq-AL"/>
        </w:rPr>
        <w:t>50(3)</w:t>
      </w:r>
      <w:r w:rsidR="00E1506D" w:rsidRPr="00062169">
        <w:rPr>
          <w:rFonts w:ascii="Calibri" w:hAnsi="Calibri" w:cs="Calibri"/>
          <w:lang w:val="sq-AL"/>
        </w:rPr>
        <w:t xml:space="preserve"> </w:t>
      </w:r>
      <w:r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A14474" w:rsidRPr="00062169">
        <w:rPr>
          <w:rFonts w:ascii="Calibri" w:hAnsi="Calibri" w:cs="Calibri"/>
          <w:lang w:val="sq-AL"/>
        </w:rPr>
        <w:t>EBGL</w:t>
      </w:r>
      <w:r w:rsidR="00320E70" w:rsidRPr="00062169">
        <w:rPr>
          <w:rFonts w:ascii="Calibri" w:hAnsi="Calibri" w:cs="Calibri"/>
          <w:lang w:val="sq-AL"/>
        </w:rPr>
        <w:t>.</w:t>
      </w:r>
    </w:p>
    <w:p w:rsidR="001A31E0" w:rsidRPr="00062169" w:rsidRDefault="009C1A9F" w:rsidP="00900B3B">
      <w:pPr>
        <w:pStyle w:val="ListParagraph"/>
        <w:numPr>
          <w:ilvl w:val="0"/>
          <w:numId w:val="6"/>
        </w:numPr>
        <w:spacing w:after="0" w:line="276" w:lineRule="auto"/>
        <w:ind w:left="360"/>
        <w:contextualSpacing w:val="0"/>
        <w:rPr>
          <w:rFonts w:ascii="Calibri" w:hAnsi="Calibri" w:cs="Calibri"/>
          <w:lang w:val="sq-AL"/>
        </w:rPr>
      </w:pPr>
      <w:r w:rsidRPr="00062169">
        <w:rPr>
          <w:rFonts w:ascii="Calibri" w:hAnsi="Calibri" w:cs="Calibri"/>
          <w:lang w:val="sq-AL"/>
        </w:rPr>
        <w:t xml:space="preserve">Rregullat e mëposhtme të </w:t>
      </w:r>
      <w:r w:rsidR="009334E8" w:rsidRPr="00062169">
        <w:rPr>
          <w:rFonts w:ascii="Calibri" w:hAnsi="Calibri" w:cs="Calibri"/>
          <w:lang w:val="sq-AL"/>
        </w:rPr>
        <w:t xml:space="preserve">barazimit përfundimtar </w:t>
      </w:r>
      <w:r w:rsidRPr="00062169">
        <w:rPr>
          <w:rFonts w:ascii="Calibri" w:hAnsi="Calibri" w:cs="Calibri"/>
          <w:lang w:val="sq-AL"/>
        </w:rPr>
        <w:t xml:space="preserve">janë jashtë fushëveprimit të </w:t>
      </w:r>
      <w:r w:rsidR="005D1200" w:rsidRPr="00062169">
        <w:rPr>
          <w:rFonts w:ascii="Calibri" w:hAnsi="Calibri" w:cs="Calibri"/>
          <w:lang w:val="sq-AL"/>
        </w:rPr>
        <w:t>CCFR</w:t>
      </w:r>
      <w:r w:rsidR="001A31E0" w:rsidRPr="00062169">
        <w:rPr>
          <w:rFonts w:ascii="Calibri" w:hAnsi="Calibri" w:cs="Calibri"/>
          <w:lang w:val="sq-AL"/>
        </w:rPr>
        <w:t>:</w:t>
      </w:r>
    </w:p>
    <w:p w:rsidR="009C1A9F" w:rsidRPr="00062169" w:rsidRDefault="009C1A9F" w:rsidP="00900B3B">
      <w:pPr>
        <w:pStyle w:val="ListParagraph"/>
        <w:numPr>
          <w:ilvl w:val="1"/>
          <w:numId w:val="6"/>
        </w:numPr>
        <w:spacing w:after="0" w:line="276" w:lineRule="auto"/>
        <w:ind w:left="992" w:hanging="357"/>
        <w:contextualSpacing w:val="0"/>
        <w:rPr>
          <w:rFonts w:ascii="Calibri" w:hAnsi="Calibri" w:cs="Calibri"/>
          <w:lang w:val="sq-AL"/>
        </w:rPr>
      </w:pPr>
      <w:r w:rsidRPr="00062169">
        <w:rPr>
          <w:rFonts w:ascii="Calibri" w:hAnsi="Calibri" w:cs="Calibri"/>
          <w:lang w:val="sq-AL"/>
        </w:rPr>
        <w:t xml:space="preserve">rregullat e përbashkëta të </w:t>
      </w:r>
      <w:r w:rsidR="007B3B6F" w:rsidRPr="00062169">
        <w:rPr>
          <w:rFonts w:ascii="Calibri" w:hAnsi="Calibri" w:cs="Calibri"/>
          <w:lang w:val="sq-AL"/>
        </w:rPr>
        <w:t xml:space="preserve">barazimit përfundimtar </w:t>
      </w:r>
      <w:r w:rsidRPr="00062169">
        <w:rPr>
          <w:rFonts w:ascii="Calibri" w:hAnsi="Calibri" w:cs="Calibri"/>
          <w:lang w:val="sq-AL"/>
        </w:rPr>
        <w:t xml:space="preserve">për </w:t>
      </w:r>
      <w:r w:rsidR="007B3B6F" w:rsidRPr="00062169">
        <w:rPr>
          <w:rFonts w:ascii="Calibri" w:hAnsi="Calibri" w:cs="Calibri"/>
          <w:lang w:val="sq-AL"/>
        </w:rPr>
        <w:t xml:space="preserve">shkëmbimin </w:t>
      </w:r>
      <w:r w:rsidRPr="00062169">
        <w:rPr>
          <w:rFonts w:ascii="Calibri" w:hAnsi="Calibri" w:cs="Calibri"/>
          <w:lang w:val="sq-AL"/>
        </w:rPr>
        <w:t xml:space="preserve">e </w:t>
      </w:r>
      <w:r w:rsidR="007B3B6F" w:rsidRPr="00062169">
        <w:rPr>
          <w:rFonts w:ascii="Calibri" w:hAnsi="Calibri" w:cs="Calibri"/>
          <w:lang w:val="sq-AL"/>
        </w:rPr>
        <w:t xml:space="preserve">qëllimshëm </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energjisë në pajtim me nenin 50 (1) të EBGL;</w:t>
      </w:r>
    </w:p>
    <w:p w:rsidR="00D80ABA" w:rsidRPr="00062169" w:rsidRDefault="009C1A9F" w:rsidP="00900B3B">
      <w:pPr>
        <w:pStyle w:val="ListParagraph"/>
        <w:numPr>
          <w:ilvl w:val="1"/>
          <w:numId w:val="6"/>
        </w:numPr>
        <w:spacing w:after="0" w:line="276" w:lineRule="auto"/>
        <w:ind w:left="992" w:hanging="357"/>
        <w:contextualSpacing w:val="0"/>
        <w:rPr>
          <w:rFonts w:ascii="Calibri" w:hAnsi="Calibri" w:cs="Calibri"/>
          <w:lang w:val="sq-AL"/>
        </w:rPr>
      </w:pPr>
      <w:r w:rsidRPr="00062169">
        <w:rPr>
          <w:rFonts w:ascii="Calibri" w:hAnsi="Calibri" w:cs="Calibri"/>
          <w:lang w:val="sq-AL"/>
        </w:rPr>
        <w:t xml:space="preserve">rregullat e përbashkëta të </w:t>
      </w:r>
      <w:r w:rsidR="007B3B6F" w:rsidRPr="00062169">
        <w:rPr>
          <w:rFonts w:ascii="Calibri" w:hAnsi="Calibri" w:cs="Calibri"/>
          <w:lang w:val="sq-AL"/>
        </w:rPr>
        <w:t xml:space="preserve">barazimit përfundimtar për shkëmbimin e qëllimshëm </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energjisë në pajtim me nenin </w:t>
      </w:r>
      <w:r w:rsidR="00581D8A" w:rsidRPr="00062169">
        <w:rPr>
          <w:rFonts w:ascii="Calibri" w:hAnsi="Calibri" w:cs="Calibri"/>
          <w:lang w:val="sq-AL"/>
        </w:rPr>
        <w:t>50</w:t>
      </w:r>
      <w:r w:rsidR="001876A6" w:rsidRPr="00062169">
        <w:rPr>
          <w:rFonts w:ascii="Calibri" w:hAnsi="Calibri" w:cs="Calibri"/>
          <w:lang w:val="sq-AL"/>
        </w:rPr>
        <w:t xml:space="preserve"> </w:t>
      </w:r>
      <w:r w:rsidR="00581D8A" w:rsidRPr="00062169">
        <w:rPr>
          <w:rFonts w:ascii="Calibri" w:hAnsi="Calibri" w:cs="Calibri"/>
          <w:lang w:val="sq-AL"/>
        </w:rPr>
        <w:t>(</w:t>
      </w:r>
      <w:r w:rsidR="00D80ABA" w:rsidRPr="00062169">
        <w:rPr>
          <w:rFonts w:ascii="Calibri" w:hAnsi="Calibri" w:cs="Calibri"/>
          <w:lang w:val="sq-AL"/>
        </w:rPr>
        <w:t xml:space="preserve">4) </w:t>
      </w:r>
      <w:r w:rsidRPr="00062169">
        <w:rPr>
          <w:rFonts w:ascii="Calibri" w:hAnsi="Calibri" w:cs="Calibri"/>
          <w:lang w:val="sq-AL"/>
        </w:rPr>
        <w:t>të</w:t>
      </w:r>
      <w:r w:rsidR="00D80ABA" w:rsidRPr="00062169">
        <w:rPr>
          <w:rFonts w:ascii="Calibri" w:hAnsi="Calibri" w:cs="Calibri"/>
          <w:lang w:val="sq-AL"/>
        </w:rPr>
        <w:t xml:space="preserve"> EBGL</w:t>
      </w:r>
      <w:r w:rsidR="00722C74" w:rsidRPr="00062169">
        <w:rPr>
          <w:rFonts w:ascii="Calibri" w:hAnsi="Calibri" w:cs="Calibri"/>
          <w:lang w:val="sq-AL"/>
        </w:rPr>
        <w:t>;</w:t>
      </w:r>
    </w:p>
    <w:p w:rsidR="00D80ABA" w:rsidRPr="00062169" w:rsidRDefault="009C1A9F" w:rsidP="00900B3B">
      <w:pPr>
        <w:pStyle w:val="ListParagraph"/>
        <w:numPr>
          <w:ilvl w:val="1"/>
          <w:numId w:val="6"/>
        </w:numPr>
        <w:spacing w:after="0" w:line="276" w:lineRule="auto"/>
        <w:ind w:left="992" w:hanging="357"/>
        <w:contextualSpacing w:val="0"/>
        <w:rPr>
          <w:rFonts w:ascii="Calibri" w:hAnsi="Calibri" w:cs="Calibri"/>
          <w:lang w:val="sq-AL"/>
        </w:rPr>
      </w:pPr>
      <w:r w:rsidRPr="00062169">
        <w:rPr>
          <w:rFonts w:ascii="Calibri" w:hAnsi="Calibri" w:cs="Calibri"/>
          <w:lang w:val="sq-AL"/>
        </w:rPr>
        <w:t xml:space="preserve">rregullat e përbashkëta të </w:t>
      </w:r>
      <w:r w:rsidR="007B3B6F" w:rsidRPr="00062169">
        <w:rPr>
          <w:rFonts w:ascii="Calibri" w:hAnsi="Calibri" w:cs="Calibri"/>
          <w:lang w:val="sq-AL"/>
        </w:rPr>
        <w:t xml:space="preserve">barazimit përfundimtar </w:t>
      </w:r>
      <w:r w:rsidRPr="00062169">
        <w:rPr>
          <w:rFonts w:ascii="Calibri" w:hAnsi="Calibri" w:cs="Calibri"/>
          <w:lang w:val="sq-AL"/>
        </w:rPr>
        <w:t xml:space="preserve">për shkëmbimin e paqëllimshëm të energjisë në përputhje me Nenin </w:t>
      </w:r>
      <w:r w:rsidR="00D80ABA" w:rsidRPr="00062169">
        <w:rPr>
          <w:rFonts w:ascii="Calibri" w:hAnsi="Calibri" w:cs="Calibri"/>
          <w:lang w:val="sq-AL"/>
        </w:rPr>
        <w:t xml:space="preserve">51(1) </w:t>
      </w:r>
      <w:r w:rsidRPr="00062169">
        <w:rPr>
          <w:rFonts w:ascii="Calibri" w:hAnsi="Calibri" w:cs="Calibri"/>
          <w:lang w:val="sq-AL"/>
        </w:rPr>
        <w:t>të</w:t>
      </w:r>
      <w:r w:rsidR="00D80ABA" w:rsidRPr="00062169">
        <w:rPr>
          <w:rFonts w:ascii="Calibri" w:hAnsi="Calibri" w:cs="Calibri"/>
          <w:lang w:val="sq-AL"/>
        </w:rPr>
        <w:t xml:space="preserve"> EBGL</w:t>
      </w:r>
      <w:r w:rsidR="00722C74" w:rsidRPr="00062169">
        <w:rPr>
          <w:rFonts w:ascii="Calibri" w:hAnsi="Calibri" w:cs="Calibri"/>
          <w:lang w:val="sq-AL"/>
        </w:rPr>
        <w:t>;</w:t>
      </w:r>
    </w:p>
    <w:p w:rsidR="009C1A9F" w:rsidRPr="00062169" w:rsidRDefault="009C1A9F" w:rsidP="00900B3B">
      <w:pPr>
        <w:pStyle w:val="ListParagraph"/>
        <w:numPr>
          <w:ilvl w:val="1"/>
          <w:numId w:val="6"/>
        </w:numPr>
        <w:spacing w:after="0" w:line="276" w:lineRule="auto"/>
        <w:ind w:left="992" w:hanging="357"/>
        <w:contextualSpacing w:val="0"/>
        <w:rPr>
          <w:rFonts w:ascii="Calibri" w:hAnsi="Calibri" w:cs="Calibri"/>
          <w:lang w:val="sq-AL"/>
        </w:rPr>
      </w:pPr>
      <w:r w:rsidRPr="00062169">
        <w:rPr>
          <w:rFonts w:ascii="Calibri" w:hAnsi="Calibri" w:cs="Calibri"/>
          <w:lang w:val="sq-AL"/>
        </w:rPr>
        <w:t xml:space="preserve">rregullat e përbashkëta të </w:t>
      </w:r>
      <w:r w:rsidR="009334E8" w:rsidRPr="00062169">
        <w:rPr>
          <w:rFonts w:ascii="Calibri" w:hAnsi="Calibri" w:cs="Calibri"/>
          <w:lang w:val="sq-AL"/>
        </w:rPr>
        <w:t xml:space="preserve">barazimit përfundimtar </w:t>
      </w:r>
      <w:r w:rsidRPr="00062169">
        <w:rPr>
          <w:rFonts w:ascii="Calibri" w:hAnsi="Calibri" w:cs="Calibri"/>
          <w:lang w:val="sq-AL"/>
        </w:rPr>
        <w:t>për shkëmbimin e paqëllimshëm të energjisë në përputhje me Nenin 51(2) të EBGL;</w:t>
      </w:r>
    </w:p>
    <w:p w:rsidR="00722D73" w:rsidRPr="00062169" w:rsidRDefault="0033393B" w:rsidP="00900B3B">
      <w:pPr>
        <w:pStyle w:val="ListParagraph"/>
        <w:numPr>
          <w:ilvl w:val="0"/>
          <w:numId w:val="6"/>
        </w:numPr>
        <w:spacing w:after="0" w:line="276" w:lineRule="auto"/>
        <w:ind w:left="360"/>
        <w:contextualSpacing w:val="0"/>
        <w:rPr>
          <w:rFonts w:ascii="Calibri" w:hAnsi="Calibri" w:cs="Calibri"/>
          <w:lang w:val="sq-AL"/>
        </w:rPr>
      </w:pPr>
      <w:r w:rsidRPr="00062169">
        <w:rPr>
          <w:rFonts w:ascii="Calibri" w:hAnsi="Calibri" w:cs="Calibri"/>
          <w:lang w:val="sq-AL"/>
        </w:rPr>
        <w:t>Administrimi</w:t>
      </w:r>
      <w:r w:rsidR="009C1A9F" w:rsidRPr="00062169">
        <w:rPr>
          <w:rFonts w:ascii="Calibri" w:hAnsi="Calibri" w:cs="Calibri"/>
          <w:lang w:val="sq-AL"/>
        </w:rPr>
        <w:t xml:space="preserve">, ndarja e </w:t>
      </w:r>
      <w:r w:rsidR="00960774" w:rsidRPr="00062169">
        <w:rPr>
          <w:rFonts w:ascii="Calibri" w:hAnsi="Calibri" w:cs="Calibri"/>
          <w:lang w:val="sq-AL"/>
        </w:rPr>
        <w:t>kosto</w:t>
      </w:r>
      <w:r w:rsidR="009C1A9F" w:rsidRPr="00062169">
        <w:rPr>
          <w:rFonts w:ascii="Calibri" w:hAnsi="Calibri" w:cs="Calibri"/>
          <w:lang w:val="sq-AL"/>
        </w:rPr>
        <w:t>s dhe vendimmarrja do të organizohen sipas kërkesave të EBGL</w:t>
      </w:r>
      <w:r w:rsidR="007B3B6F" w:rsidRPr="00062169">
        <w:rPr>
          <w:rFonts w:ascii="Calibri" w:hAnsi="Calibri" w:cs="Calibri"/>
          <w:lang w:val="sq-AL"/>
        </w:rPr>
        <w:t xml:space="preserve"> dhe </w:t>
      </w:r>
      <w:r w:rsidR="009C1A9F" w:rsidRPr="00062169">
        <w:rPr>
          <w:rFonts w:ascii="Calibri" w:hAnsi="Calibri" w:cs="Calibri"/>
          <w:lang w:val="sq-AL"/>
        </w:rPr>
        <w:t xml:space="preserve">nuk janë brenda fushëveprimit të </w:t>
      </w:r>
      <w:r w:rsidR="007B3B6F" w:rsidRPr="00062169">
        <w:rPr>
          <w:rFonts w:ascii="Calibri" w:hAnsi="Calibri" w:cs="Calibri"/>
          <w:lang w:val="sq-AL"/>
        </w:rPr>
        <w:t>këtij propozimi</w:t>
      </w:r>
      <w:r w:rsidR="00722D73" w:rsidRPr="00062169">
        <w:rPr>
          <w:rFonts w:ascii="Calibri" w:hAnsi="Calibri" w:cs="Calibri"/>
          <w:lang w:val="sq-AL"/>
        </w:rPr>
        <w:t>.</w:t>
      </w:r>
    </w:p>
    <w:p w:rsidR="00320E70" w:rsidRPr="00062169" w:rsidRDefault="00320E70" w:rsidP="00900B3B">
      <w:pPr>
        <w:spacing w:line="276" w:lineRule="auto"/>
        <w:rPr>
          <w:rFonts w:ascii="Calibri" w:hAnsi="Calibri" w:cs="Calibri"/>
          <w:b/>
          <w:color w:val="23236E" w:themeColor="text2"/>
          <w:lang w:val="sq-AL"/>
        </w:rPr>
      </w:pPr>
    </w:p>
    <w:p w:rsidR="009C1A9F" w:rsidRPr="00062169" w:rsidRDefault="009C1A9F" w:rsidP="00900B3B">
      <w:pPr>
        <w:pStyle w:val="headline2"/>
        <w:spacing w:after="0" w:line="276" w:lineRule="auto"/>
        <w:rPr>
          <w:rFonts w:ascii="Calibri" w:hAnsi="Calibri" w:cs="Calibri"/>
          <w:color w:val="000000" w:themeColor="text1"/>
          <w:sz w:val="22"/>
          <w:szCs w:val="22"/>
          <w:lang w:val="sq-AL"/>
        </w:rPr>
      </w:pPr>
      <w:bookmarkStart w:id="11" w:name="_Toc509993360"/>
      <w:bookmarkStart w:id="12" w:name="_Toc510006480"/>
      <w:bookmarkStart w:id="13" w:name="_Toc510507372"/>
      <w:bookmarkStart w:id="14" w:name="_Toc510522099"/>
      <w:bookmarkStart w:id="15" w:name="_Toc7419790"/>
      <w:bookmarkStart w:id="16" w:name="_Toc65219930"/>
      <w:r w:rsidRPr="00062169">
        <w:rPr>
          <w:rFonts w:ascii="Calibri" w:hAnsi="Calibri" w:cs="Calibri"/>
          <w:color w:val="000000" w:themeColor="text1"/>
          <w:sz w:val="22"/>
          <w:szCs w:val="22"/>
          <w:lang w:val="sq-AL"/>
        </w:rPr>
        <w:t>Neni 2</w:t>
      </w:r>
      <w:r w:rsidRPr="00062169">
        <w:rPr>
          <w:rFonts w:ascii="Calibri" w:hAnsi="Calibri" w:cs="Calibri"/>
          <w:color w:val="000000" w:themeColor="text1"/>
          <w:sz w:val="22"/>
          <w:szCs w:val="22"/>
          <w:lang w:val="sq-AL"/>
        </w:rPr>
        <w:br/>
      </w:r>
      <w:bookmarkEnd w:id="11"/>
      <w:bookmarkEnd w:id="12"/>
      <w:bookmarkEnd w:id="13"/>
      <w:bookmarkEnd w:id="14"/>
      <w:bookmarkEnd w:id="15"/>
      <w:r w:rsidR="00F0628C" w:rsidRPr="00062169">
        <w:rPr>
          <w:rFonts w:ascii="Calibri" w:hAnsi="Calibri" w:cs="Calibri"/>
          <w:color w:val="000000" w:themeColor="text1"/>
          <w:sz w:val="22"/>
          <w:szCs w:val="22"/>
          <w:lang w:val="sq-AL"/>
        </w:rPr>
        <w:t xml:space="preserve">Definicionet </w:t>
      </w:r>
      <w:r w:rsidRPr="00062169">
        <w:rPr>
          <w:rFonts w:ascii="Calibri" w:hAnsi="Calibri" w:cs="Calibri"/>
          <w:color w:val="000000" w:themeColor="text1"/>
          <w:sz w:val="22"/>
          <w:szCs w:val="22"/>
          <w:lang w:val="sq-AL"/>
        </w:rPr>
        <w:t xml:space="preserve">dhe </w:t>
      </w:r>
      <w:r w:rsidR="00F0628C" w:rsidRPr="00062169">
        <w:rPr>
          <w:rFonts w:ascii="Calibri" w:hAnsi="Calibri" w:cs="Calibri"/>
          <w:color w:val="000000" w:themeColor="text1"/>
          <w:sz w:val="22"/>
          <w:szCs w:val="22"/>
          <w:lang w:val="sq-AL"/>
        </w:rPr>
        <w:t>përkufizimet</w:t>
      </w:r>
      <w:bookmarkEnd w:id="16"/>
    </w:p>
    <w:p w:rsidR="009C1A9F" w:rsidRPr="00062169" w:rsidRDefault="009C1A9F" w:rsidP="00900B3B">
      <w:pPr>
        <w:pStyle w:val="headline2"/>
        <w:spacing w:after="0" w:line="276" w:lineRule="auto"/>
        <w:rPr>
          <w:rFonts w:ascii="Calibri" w:hAnsi="Calibri" w:cs="Calibri"/>
          <w:sz w:val="22"/>
          <w:szCs w:val="22"/>
          <w:lang w:val="sq-AL"/>
        </w:rPr>
      </w:pPr>
    </w:p>
    <w:p w:rsidR="004542C5" w:rsidRPr="00062169" w:rsidRDefault="009C1A9F" w:rsidP="005043E5">
      <w:pPr>
        <w:pStyle w:val="ListParagraph"/>
        <w:numPr>
          <w:ilvl w:val="0"/>
          <w:numId w:val="26"/>
        </w:numPr>
        <w:rPr>
          <w:rFonts w:ascii="Calibri" w:hAnsi="Calibri" w:cs="Calibri"/>
        </w:rPr>
      </w:pPr>
      <w:bookmarkStart w:id="17" w:name="a"/>
      <w:bookmarkEnd w:id="9"/>
      <w:bookmarkEnd w:id="10"/>
      <w:r w:rsidRPr="00062169">
        <w:rPr>
          <w:rFonts w:ascii="Calibri" w:hAnsi="Calibri" w:cs="Calibri"/>
        </w:rPr>
        <w:t xml:space="preserve">Për qëllimet e </w:t>
      </w:r>
      <w:r w:rsidR="009B3D95" w:rsidRPr="00062169">
        <w:rPr>
          <w:rFonts w:ascii="Calibri" w:hAnsi="Calibri" w:cs="Calibri"/>
        </w:rPr>
        <w:t xml:space="preserve">këtij </w:t>
      </w:r>
      <w:r w:rsidR="003552E1" w:rsidRPr="00062169">
        <w:rPr>
          <w:rFonts w:ascii="Calibri" w:hAnsi="Calibri" w:cs="Calibri"/>
        </w:rPr>
        <w:t>CCFR</w:t>
      </w:r>
      <w:r w:rsidR="004542C5" w:rsidRPr="00062169">
        <w:rPr>
          <w:rFonts w:ascii="Calibri" w:hAnsi="Calibri" w:cs="Calibri"/>
        </w:rPr>
        <w:t xml:space="preserve">, </w:t>
      </w:r>
      <w:r w:rsidR="00F0628C" w:rsidRPr="00062169">
        <w:rPr>
          <w:rFonts w:ascii="Calibri" w:hAnsi="Calibri" w:cs="Calibri"/>
        </w:rPr>
        <w:t>definicionet</w:t>
      </w:r>
      <w:r w:rsidR="00FC3680" w:rsidRPr="00062169">
        <w:rPr>
          <w:rFonts w:ascii="Calibri" w:hAnsi="Calibri" w:cs="Calibri"/>
        </w:rPr>
        <w:t xml:space="preserve"> </w:t>
      </w:r>
      <w:r w:rsidRPr="00062169">
        <w:rPr>
          <w:rFonts w:ascii="Calibri" w:hAnsi="Calibri" w:cs="Calibri"/>
        </w:rPr>
        <w:t xml:space="preserve">e përdorur do të kenë </w:t>
      </w:r>
      <w:r w:rsidR="0071021D" w:rsidRPr="00062169">
        <w:rPr>
          <w:rFonts w:ascii="Calibri" w:hAnsi="Calibri" w:cs="Calibri"/>
        </w:rPr>
        <w:t xml:space="preserve">kuptimin e njëjtë me </w:t>
      </w:r>
      <w:r w:rsidR="00F0628C" w:rsidRPr="00062169">
        <w:rPr>
          <w:rFonts w:ascii="Calibri" w:hAnsi="Calibri" w:cs="Calibri"/>
        </w:rPr>
        <w:t>definicionet</w:t>
      </w:r>
      <w:r w:rsidR="0071021D" w:rsidRPr="00062169">
        <w:rPr>
          <w:rFonts w:ascii="Calibri" w:hAnsi="Calibri" w:cs="Calibri"/>
        </w:rPr>
        <w:t xml:space="preserve">  </w:t>
      </w:r>
      <w:r w:rsidR="00B82E29" w:rsidRPr="00062169">
        <w:rPr>
          <w:rFonts w:ascii="Calibri" w:hAnsi="Calibri" w:cs="Calibri"/>
        </w:rPr>
        <w:t>e</w:t>
      </w:r>
      <w:r w:rsidR="007B3B6F" w:rsidRPr="00062169">
        <w:rPr>
          <w:rFonts w:ascii="Calibri" w:hAnsi="Calibri" w:cs="Calibri"/>
        </w:rPr>
        <w:t xml:space="preserve"> përkufizuar me Nenin </w:t>
      </w:r>
      <w:r w:rsidRPr="00062169">
        <w:rPr>
          <w:rFonts w:ascii="Calibri" w:hAnsi="Calibri" w:cs="Calibri"/>
        </w:rPr>
        <w:t>2 të EBGL dhe në Nenin 3 të SOGL</w:t>
      </w:r>
      <w:r w:rsidR="004542C5" w:rsidRPr="00062169">
        <w:rPr>
          <w:rFonts w:ascii="Calibri" w:hAnsi="Calibri" w:cs="Calibri"/>
        </w:rPr>
        <w:t>.</w:t>
      </w:r>
    </w:p>
    <w:bookmarkEnd w:id="17"/>
    <w:p w:rsidR="00FE40B4" w:rsidRPr="00062169" w:rsidRDefault="00FC3680" w:rsidP="00900B3B">
      <w:pPr>
        <w:pStyle w:val="ListParagraph"/>
        <w:numPr>
          <w:ilvl w:val="0"/>
          <w:numId w:val="26"/>
        </w:numPr>
        <w:spacing w:after="0" w:line="276" w:lineRule="auto"/>
        <w:contextualSpacing w:val="0"/>
        <w:rPr>
          <w:rFonts w:ascii="Calibri" w:hAnsi="Calibri" w:cs="Calibri"/>
          <w:lang w:val="sq-AL"/>
        </w:rPr>
      </w:pPr>
      <w:r w:rsidRPr="00062169">
        <w:rPr>
          <w:rFonts w:ascii="Calibri" w:hAnsi="Calibri" w:cs="Calibri"/>
          <w:lang w:val="sq-AL"/>
        </w:rPr>
        <w:t>N</w:t>
      </w:r>
      <w:r w:rsidR="009C1A9F" w:rsidRPr="00062169">
        <w:rPr>
          <w:rFonts w:ascii="Calibri" w:hAnsi="Calibri" w:cs="Calibri"/>
          <w:lang w:val="sq-AL"/>
        </w:rPr>
        <w:t xml:space="preserve">ë këtë </w:t>
      </w:r>
      <w:r w:rsidR="003552E1" w:rsidRPr="00062169">
        <w:rPr>
          <w:rFonts w:ascii="Calibri" w:hAnsi="Calibri" w:cs="Calibri"/>
          <w:lang w:val="sq-AL"/>
        </w:rPr>
        <w:t>CCFR</w:t>
      </w:r>
      <w:r w:rsidRPr="00062169">
        <w:rPr>
          <w:rFonts w:ascii="Calibri" w:hAnsi="Calibri" w:cs="Calibri"/>
          <w:lang w:val="sq-AL"/>
        </w:rPr>
        <w:t xml:space="preserve"> </w:t>
      </w:r>
      <w:r w:rsidR="009C1A9F" w:rsidRPr="00062169">
        <w:rPr>
          <w:rFonts w:ascii="Calibri" w:hAnsi="Calibri" w:cs="Calibri"/>
          <w:lang w:val="sq-AL"/>
        </w:rPr>
        <w:t xml:space="preserve">do të </w:t>
      </w:r>
      <w:r w:rsidRPr="00062169">
        <w:rPr>
          <w:rFonts w:ascii="Calibri" w:hAnsi="Calibri" w:cs="Calibri"/>
          <w:lang w:val="sq-AL"/>
        </w:rPr>
        <w:t xml:space="preserve">përdorën edhe </w:t>
      </w:r>
      <w:r w:rsidR="00F0628C" w:rsidRPr="00062169">
        <w:rPr>
          <w:rFonts w:ascii="Calibri" w:hAnsi="Calibri" w:cs="Calibri"/>
          <w:lang w:val="sq-AL"/>
        </w:rPr>
        <w:t>definicionet</w:t>
      </w:r>
      <w:r w:rsidRPr="00062169">
        <w:rPr>
          <w:rFonts w:ascii="Calibri" w:hAnsi="Calibri" w:cs="Calibri"/>
          <w:lang w:val="sq-AL"/>
        </w:rPr>
        <w:t xml:space="preserve"> e </w:t>
      </w:r>
      <w:r w:rsidR="009C1A9F" w:rsidRPr="00062169">
        <w:rPr>
          <w:rFonts w:ascii="Calibri" w:hAnsi="Calibri" w:cs="Calibri"/>
          <w:lang w:val="sq-AL"/>
        </w:rPr>
        <w:t>mëposhtme</w:t>
      </w:r>
      <w:r w:rsidR="004542C5" w:rsidRPr="00062169">
        <w:rPr>
          <w:rFonts w:ascii="Calibri" w:hAnsi="Calibri" w:cs="Calibri"/>
          <w:lang w:val="sq-AL"/>
        </w:rPr>
        <w:t>:</w:t>
      </w:r>
    </w:p>
    <w:p w:rsidR="002F0C92" w:rsidRPr="00062169" w:rsidRDefault="00F92321" w:rsidP="00900B3B">
      <w:pPr>
        <w:pStyle w:val="ListParagraph"/>
        <w:numPr>
          <w:ilvl w:val="1"/>
          <w:numId w:val="26"/>
        </w:numPr>
        <w:spacing w:after="0" w:line="276" w:lineRule="auto"/>
        <w:contextualSpacing w:val="0"/>
        <w:rPr>
          <w:rFonts w:ascii="Calibri" w:hAnsi="Calibri" w:cs="Calibri"/>
          <w:lang w:val="sq-AL"/>
        </w:rPr>
      </w:pPr>
      <w:r w:rsidRPr="00062169">
        <w:rPr>
          <w:rFonts w:ascii="Calibri" w:hAnsi="Calibri" w:cs="Calibri"/>
          <w:lang w:val="sq-AL"/>
        </w:rPr>
        <w:t xml:space="preserve">CCU </w:t>
      </w:r>
      <w:r w:rsidR="002F0C92" w:rsidRPr="00062169">
        <w:rPr>
          <w:rFonts w:ascii="Calibri" w:hAnsi="Calibri" w:cs="Calibri"/>
          <w:lang w:val="sq-AL"/>
        </w:rPr>
        <w:t>i referohet ‘</w:t>
      </w:r>
      <w:r w:rsidR="00FC3680" w:rsidRPr="00062169">
        <w:rPr>
          <w:rFonts w:ascii="Calibri" w:hAnsi="Calibri" w:cs="Calibri"/>
          <w:lang w:val="sq-AL"/>
        </w:rPr>
        <w:t>Propozimi i të gjitha TSO-ve kontinentale evropiane</w:t>
      </w:r>
      <w:r w:rsidR="002F0C92" w:rsidRPr="00062169">
        <w:rPr>
          <w:rFonts w:ascii="Calibri" w:hAnsi="Calibri" w:cs="Calibri"/>
          <w:lang w:val="sq-AL"/>
        </w:rPr>
        <w:t xml:space="preserve"> për rregullat e</w:t>
      </w:r>
      <w:r w:rsidR="00FC3680" w:rsidRPr="00062169">
        <w:rPr>
          <w:rFonts w:ascii="Calibri" w:hAnsi="Calibri" w:cs="Calibri"/>
          <w:lang w:val="sq-AL"/>
        </w:rPr>
        <w:t xml:space="preserve"> përbashkëta të barazimi përfundimtar</w:t>
      </w:r>
      <w:r w:rsidR="002F0C92" w:rsidRPr="00062169">
        <w:rPr>
          <w:rFonts w:ascii="Calibri" w:hAnsi="Calibri" w:cs="Calibri"/>
          <w:lang w:val="sq-AL"/>
        </w:rPr>
        <w:t xml:space="preserve"> </w:t>
      </w:r>
      <w:r w:rsidR="00FC3680" w:rsidRPr="00062169">
        <w:rPr>
          <w:rFonts w:ascii="Calibri" w:hAnsi="Calibri" w:cs="Calibri"/>
          <w:lang w:val="sq-AL"/>
        </w:rPr>
        <w:t xml:space="preserve">për </w:t>
      </w:r>
      <w:r w:rsidR="002F0C92" w:rsidRPr="00062169">
        <w:rPr>
          <w:rFonts w:ascii="Calibri" w:hAnsi="Calibri" w:cs="Calibri"/>
          <w:lang w:val="sq-AL"/>
        </w:rPr>
        <w:t>të gjitha shkëmbimet e energjisë të paqëllimshme në përputhje me Nenin 51 (1) të Rregullores së Komisionit (BE) 2017/2195 të 23 nëntorit 2017 për krijimin e një udhëzuesi mbi balancimin e energjisë elektrike</w:t>
      </w:r>
    </w:p>
    <w:p w:rsidR="00C515F6" w:rsidRPr="00062169" w:rsidRDefault="00545EFF" w:rsidP="00900B3B">
      <w:pPr>
        <w:pStyle w:val="ListParagraph"/>
        <w:numPr>
          <w:ilvl w:val="1"/>
          <w:numId w:val="26"/>
        </w:numPr>
        <w:spacing w:after="0" w:line="276" w:lineRule="auto"/>
        <w:contextualSpacing w:val="0"/>
        <w:rPr>
          <w:rFonts w:ascii="Calibri" w:hAnsi="Calibri" w:cs="Calibri"/>
          <w:lang w:val="sq-AL"/>
        </w:rPr>
      </w:pPr>
      <w:r w:rsidRPr="00062169">
        <w:rPr>
          <w:rFonts w:ascii="Calibri" w:hAnsi="Calibri" w:cs="Calibri"/>
          <w:lang w:val="sq-AL"/>
        </w:rPr>
        <w:t>'</w:t>
      </w:r>
      <w:r w:rsidR="00FC3680" w:rsidRPr="00062169">
        <w:rPr>
          <w:rFonts w:ascii="Calibri" w:hAnsi="Calibri" w:cs="Calibri"/>
          <w:lang w:val="sq-AL"/>
        </w:rPr>
        <w:t xml:space="preserve">Energjia e rregullimit </w:t>
      </w:r>
      <w:r w:rsidR="00C85011" w:rsidRPr="00062169">
        <w:rPr>
          <w:rFonts w:ascii="Calibri" w:hAnsi="Calibri" w:cs="Calibri"/>
          <w:lang w:val="sq-AL"/>
        </w:rPr>
        <w:t>stabilizues</w:t>
      </w:r>
      <w:r w:rsidR="005974D7" w:rsidRPr="00062169">
        <w:rPr>
          <w:rFonts w:ascii="Calibri" w:hAnsi="Calibri" w:cs="Calibri"/>
          <w:lang w:val="sq-AL"/>
        </w:rPr>
        <w:t xml:space="preserve"> të frekuencës</w:t>
      </w:r>
      <w:r w:rsidR="00FC3680" w:rsidRPr="00062169">
        <w:rPr>
          <w:rFonts w:ascii="Calibri" w:hAnsi="Calibri" w:cs="Calibri"/>
          <w:lang w:val="en-GB"/>
        </w:rPr>
        <w:t>’</w:t>
      </w:r>
      <w:r w:rsidRPr="00062169">
        <w:rPr>
          <w:rFonts w:ascii="Calibri" w:hAnsi="Calibri" w:cs="Calibri"/>
          <w:lang w:val="sq-AL"/>
        </w:rPr>
        <w:t xml:space="preserve"> </w:t>
      </w:r>
      <w:r w:rsidR="002F0C92" w:rsidRPr="00062169">
        <w:rPr>
          <w:rFonts w:ascii="Calibri" w:hAnsi="Calibri" w:cs="Calibri"/>
          <w:lang w:val="sq-AL"/>
        </w:rPr>
        <w:t>n</w:t>
      </w:r>
      <w:r w:rsidR="001A6733" w:rsidRPr="00062169">
        <w:rPr>
          <w:rFonts w:ascii="Calibri" w:hAnsi="Calibri" w:cs="Calibri"/>
          <w:lang w:val="sq-AL"/>
        </w:rPr>
        <w:t>ë</w:t>
      </w:r>
      <w:r w:rsidR="002F0C92" w:rsidRPr="00062169">
        <w:rPr>
          <w:rFonts w:ascii="Calibri" w:hAnsi="Calibri" w:cs="Calibri"/>
          <w:lang w:val="sq-AL"/>
        </w:rPr>
        <w:t>nkupton energjin</w:t>
      </w:r>
      <w:r w:rsidR="001A6733" w:rsidRPr="00062169">
        <w:rPr>
          <w:rFonts w:ascii="Calibri" w:hAnsi="Calibri" w:cs="Calibri"/>
          <w:lang w:val="sq-AL"/>
        </w:rPr>
        <w:t>ë</w:t>
      </w:r>
      <w:r w:rsidR="002F0C92" w:rsidRPr="00062169">
        <w:rPr>
          <w:rFonts w:ascii="Calibri" w:hAnsi="Calibri" w:cs="Calibri"/>
          <w:lang w:val="sq-AL"/>
        </w:rPr>
        <w:t xml:space="preserve"> q</w:t>
      </w:r>
      <w:r w:rsidR="001A6733" w:rsidRPr="00062169">
        <w:rPr>
          <w:rFonts w:ascii="Calibri" w:hAnsi="Calibri" w:cs="Calibri"/>
          <w:lang w:val="sq-AL"/>
        </w:rPr>
        <w:t>ë</w:t>
      </w:r>
      <w:r w:rsidR="00E1506D" w:rsidRPr="00062169">
        <w:rPr>
          <w:rFonts w:ascii="Calibri" w:hAnsi="Calibri" w:cs="Calibri"/>
          <w:lang w:val="sq-AL"/>
        </w:rPr>
        <w:t xml:space="preserve"> </w:t>
      </w:r>
      <w:r w:rsidR="001A6733" w:rsidRPr="00062169">
        <w:rPr>
          <w:rFonts w:ascii="Calibri" w:hAnsi="Calibri" w:cs="Calibri"/>
          <w:lang w:val="sq-AL"/>
        </w:rPr>
        <w:t>ë</w:t>
      </w:r>
      <w:r w:rsidR="002F0C92" w:rsidRPr="00062169">
        <w:rPr>
          <w:rFonts w:ascii="Calibri" w:hAnsi="Calibri" w:cs="Calibri"/>
          <w:lang w:val="sq-AL"/>
        </w:rPr>
        <w:t>sht</w:t>
      </w:r>
      <w:r w:rsidR="001A6733" w:rsidRPr="00062169">
        <w:rPr>
          <w:rFonts w:ascii="Calibri" w:hAnsi="Calibri" w:cs="Calibri"/>
          <w:lang w:val="sq-AL"/>
        </w:rPr>
        <w:t>ë</w:t>
      </w:r>
      <w:r w:rsidR="002F0C92" w:rsidRPr="00062169">
        <w:rPr>
          <w:rFonts w:ascii="Calibri" w:hAnsi="Calibri" w:cs="Calibri"/>
          <w:lang w:val="sq-AL"/>
        </w:rPr>
        <w:t xml:space="preserve"> importuar ose eksportuar nga çdo zon</w:t>
      </w:r>
      <w:r w:rsidR="001A6733" w:rsidRPr="00062169">
        <w:rPr>
          <w:rFonts w:ascii="Calibri" w:hAnsi="Calibri" w:cs="Calibri"/>
          <w:lang w:val="sq-AL"/>
        </w:rPr>
        <w:t>ë</w:t>
      </w:r>
      <w:r w:rsidR="002F0C92" w:rsidRPr="00062169">
        <w:rPr>
          <w:rFonts w:ascii="Calibri" w:hAnsi="Calibri" w:cs="Calibri"/>
          <w:lang w:val="sq-AL"/>
        </w:rPr>
        <w:t xml:space="preserve"> LFC p</w:t>
      </w:r>
      <w:r w:rsidR="001A6733" w:rsidRPr="00062169">
        <w:rPr>
          <w:rFonts w:ascii="Calibri" w:hAnsi="Calibri" w:cs="Calibri"/>
          <w:lang w:val="sq-AL"/>
        </w:rPr>
        <w:t>ë</w:t>
      </w:r>
      <w:r w:rsidR="002F0C92" w:rsidRPr="00062169">
        <w:rPr>
          <w:rFonts w:ascii="Calibri" w:hAnsi="Calibri" w:cs="Calibri"/>
          <w:lang w:val="sq-AL"/>
        </w:rPr>
        <w:t xml:space="preserve">r </w:t>
      </w:r>
      <w:r w:rsidR="00D33785" w:rsidRPr="00062169">
        <w:rPr>
          <w:rFonts w:ascii="Calibri" w:hAnsi="Calibri" w:cs="Calibri"/>
          <w:lang w:val="sq-AL"/>
        </w:rPr>
        <w:t xml:space="preserve">periodën </w:t>
      </w:r>
      <w:r w:rsidR="002F0C92" w:rsidRPr="00062169">
        <w:rPr>
          <w:rFonts w:ascii="Calibri" w:hAnsi="Calibri" w:cs="Calibri"/>
          <w:lang w:val="sq-AL"/>
        </w:rPr>
        <w:t xml:space="preserve">e </w:t>
      </w:r>
      <w:r w:rsidR="00FC3680" w:rsidRPr="00062169">
        <w:rPr>
          <w:rFonts w:ascii="Calibri" w:hAnsi="Calibri" w:cs="Calibri"/>
          <w:lang w:val="sq-AL"/>
        </w:rPr>
        <w:t xml:space="preserve">barazimi përfundimtar </w:t>
      </w:r>
      <w:r w:rsidR="00AE3781" w:rsidRPr="00062169">
        <w:rPr>
          <w:rFonts w:ascii="Calibri" w:hAnsi="Calibri" w:cs="Calibri"/>
          <w:lang w:val="sq-AL"/>
        </w:rPr>
        <w:t xml:space="preserve">TSO </w:t>
      </w:r>
      <w:r w:rsidR="002F0C92" w:rsidRPr="00062169">
        <w:rPr>
          <w:rFonts w:ascii="Calibri" w:hAnsi="Calibri" w:cs="Calibri"/>
          <w:lang w:val="sq-AL"/>
        </w:rPr>
        <w:t>-</w:t>
      </w:r>
      <w:r w:rsidR="00AE3781" w:rsidRPr="00062169">
        <w:rPr>
          <w:rFonts w:ascii="Calibri" w:hAnsi="Calibri" w:cs="Calibri"/>
          <w:lang w:val="sq-AL"/>
        </w:rPr>
        <w:t xml:space="preserve">TSO </w:t>
      </w:r>
      <w:r w:rsidR="002F0C92" w:rsidRPr="00062169">
        <w:rPr>
          <w:rFonts w:ascii="Calibri" w:hAnsi="Calibri" w:cs="Calibri"/>
          <w:lang w:val="sq-AL"/>
        </w:rPr>
        <w:t xml:space="preserve"> n</w:t>
      </w:r>
      <w:r w:rsidR="001A6733" w:rsidRPr="00062169">
        <w:rPr>
          <w:rFonts w:ascii="Calibri" w:hAnsi="Calibri" w:cs="Calibri"/>
          <w:lang w:val="sq-AL"/>
        </w:rPr>
        <w:t>ë</w:t>
      </w:r>
      <w:r w:rsidR="002F0C92" w:rsidRPr="00062169">
        <w:rPr>
          <w:rFonts w:ascii="Calibri" w:hAnsi="Calibri" w:cs="Calibri"/>
          <w:lang w:val="sq-AL"/>
        </w:rPr>
        <w:t xml:space="preserve"> p</w:t>
      </w:r>
      <w:r w:rsidR="001A6733" w:rsidRPr="00062169">
        <w:rPr>
          <w:rFonts w:ascii="Calibri" w:hAnsi="Calibri" w:cs="Calibri"/>
          <w:lang w:val="sq-AL"/>
        </w:rPr>
        <w:t>ë</w:t>
      </w:r>
      <w:r w:rsidR="002F0C92" w:rsidRPr="00062169">
        <w:rPr>
          <w:rFonts w:ascii="Calibri" w:hAnsi="Calibri" w:cs="Calibri"/>
          <w:lang w:val="sq-AL"/>
        </w:rPr>
        <w:t xml:space="preserve">rputhje me procesin e </w:t>
      </w:r>
      <w:r w:rsidR="00FC3680" w:rsidRPr="00062169">
        <w:rPr>
          <w:rFonts w:ascii="Calibri" w:hAnsi="Calibri" w:cs="Calibri"/>
          <w:lang w:val="sq-AL"/>
        </w:rPr>
        <w:t>rregullimit</w:t>
      </w:r>
      <w:r w:rsidR="008603AC" w:rsidRPr="00062169">
        <w:rPr>
          <w:rFonts w:ascii="Calibri" w:hAnsi="Calibri" w:cs="Calibri"/>
          <w:lang w:val="sq-AL"/>
        </w:rPr>
        <w:t xml:space="preserve"> stabilizues</w:t>
      </w:r>
      <w:r w:rsidR="00FC3680" w:rsidRPr="00062169">
        <w:rPr>
          <w:rFonts w:ascii="Calibri" w:hAnsi="Calibri" w:cs="Calibri"/>
          <w:lang w:val="sq-AL"/>
        </w:rPr>
        <w:t xml:space="preserve"> </w:t>
      </w:r>
      <w:r w:rsidR="002F0C92" w:rsidRPr="00062169">
        <w:rPr>
          <w:rFonts w:ascii="Calibri" w:hAnsi="Calibri" w:cs="Calibri"/>
          <w:lang w:val="sq-AL"/>
        </w:rPr>
        <w:t>t</w:t>
      </w:r>
      <w:r w:rsidR="001A6733" w:rsidRPr="00062169">
        <w:rPr>
          <w:rFonts w:ascii="Calibri" w:hAnsi="Calibri" w:cs="Calibri"/>
          <w:lang w:val="sq-AL"/>
        </w:rPr>
        <w:t>ë</w:t>
      </w:r>
      <w:r w:rsidR="002F0C92" w:rsidRPr="00062169">
        <w:rPr>
          <w:rFonts w:ascii="Calibri" w:hAnsi="Calibri" w:cs="Calibri"/>
          <w:lang w:val="sq-AL"/>
        </w:rPr>
        <w:t xml:space="preserve"> frekuenc</w:t>
      </w:r>
      <w:r w:rsidR="001A6733" w:rsidRPr="00062169">
        <w:rPr>
          <w:rFonts w:ascii="Calibri" w:hAnsi="Calibri" w:cs="Calibri"/>
          <w:lang w:val="sq-AL"/>
        </w:rPr>
        <w:t>ë</w:t>
      </w:r>
      <w:r w:rsidR="002F0C92" w:rsidRPr="00062169">
        <w:rPr>
          <w:rFonts w:ascii="Calibri" w:hAnsi="Calibri" w:cs="Calibri"/>
          <w:lang w:val="sq-AL"/>
        </w:rPr>
        <w:t xml:space="preserve">s sipas Nenit </w:t>
      </w:r>
      <w:r w:rsidRPr="00062169">
        <w:rPr>
          <w:rFonts w:ascii="Calibri" w:hAnsi="Calibri" w:cs="Calibri"/>
          <w:lang w:val="sq-AL"/>
        </w:rPr>
        <w:t xml:space="preserve">142 </w:t>
      </w:r>
      <w:r w:rsidR="002F0C92"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9848D5" w:rsidRPr="00062169">
        <w:rPr>
          <w:rFonts w:ascii="Calibri" w:hAnsi="Calibri" w:cs="Calibri"/>
          <w:lang w:val="sq-AL"/>
        </w:rPr>
        <w:t>SOGL</w:t>
      </w:r>
      <w:r w:rsidRPr="00062169">
        <w:rPr>
          <w:rFonts w:ascii="Calibri" w:hAnsi="Calibri" w:cs="Calibri"/>
          <w:lang w:val="sq-AL"/>
        </w:rPr>
        <w:t xml:space="preserve">. </w:t>
      </w:r>
      <w:r w:rsidR="002F0C92" w:rsidRPr="00062169">
        <w:rPr>
          <w:rFonts w:ascii="Calibri" w:hAnsi="Calibri" w:cs="Calibri"/>
          <w:lang w:val="sq-AL"/>
        </w:rPr>
        <w:t>Energjia e procesit</w:t>
      </w:r>
      <w:r w:rsidR="00FC3680" w:rsidRPr="00062169">
        <w:rPr>
          <w:rFonts w:ascii="Calibri" w:hAnsi="Calibri" w:cs="Calibri"/>
          <w:lang w:val="sq-AL"/>
        </w:rPr>
        <w:t xml:space="preserve"> të rregullimit </w:t>
      </w:r>
      <w:r w:rsidR="00C85011" w:rsidRPr="00062169">
        <w:rPr>
          <w:rFonts w:ascii="Calibri" w:hAnsi="Calibri" w:cs="Calibri"/>
          <w:lang w:val="sq-AL"/>
        </w:rPr>
        <w:t>stabilizues</w:t>
      </w:r>
      <w:r w:rsidR="00FC3680" w:rsidRPr="00062169">
        <w:rPr>
          <w:rFonts w:ascii="Calibri" w:hAnsi="Calibri" w:cs="Calibri"/>
          <w:lang w:val="sq-AL"/>
        </w:rPr>
        <w:t xml:space="preserve"> të frekuencës</w:t>
      </w:r>
      <w:r w:rsidR="002F0C92" w:rsidRPr="00062169">
        <w:rPr>
          <w:rFonts w:ascii="Calibri" w:hAnsi="Calibri" w:cs="Calibri"/>
          <w:lang w:val="sq-AL"/>
        </w:rPr>
        <w:t xml:space="preserve"> </w:t>
      </w:r>
      <w:r w:rsidR="001A6733" w:rsidRPr="00062169">
        <w:rPr>
          <w:rFonts w:ascii="Calibri" w:hAnsi="Calibri" w:cs="Calibri"/>
          <w:lang w:val="sq-AL"/>
        </w:rPr>
        <w:t>ë</w:t>
      </w:r>
      <w:r w:rsidR="002F0C92" w:rsidRPr="00062169">
        <w:rPr>
          <w:rFonts w:ascii="Calibri" w:hAnsi="Calibri" w:cs="Calibri"/>
          <w:lang w:val="sq-AL"/>
        </w:rPr>
        <w:t>sht</w:t>
      </w:r>
      <w:r w:rsidR="001A6733" w:rsidRPr="00062169">
        <w:rPr>
          <w:rFonts w:ascii="Calibri" w:hAnsi="Calibri" w:cs="Calibri"/>
          <w:lang w:val="sq-AL"/>
        </w:rPr>
        <w:t>ë</w:t>
      </w:r>
      <w:r w:rsidR="002F0C92" w:rsidRPr="00062169">
        <w:rPr>
          <w:rFonts w:ascii="Calibri" w:hAnsi="Calibri" w:cs="Calibri"/>
          <w:lang w:val="sq-AL"/>
        </w:rPr>
        <w:t xml:space="preserve"> e barabart</w:t>
      </w:r>
      <w:r w:rsidR="001A6733" w:rsidRPr="00062169">
        <w:rPr>
          <w:rFonts w:ascii="Calibri" w:hAnsi="Calibri" w:cs="Calibri"/>
          <w:lang w:val="sq-AL"/>
        </w:rPr>
        <w:t>ë</w:t>
      </w:r>
      <w:r w:rsidR="002F0C92" w:rsidRPr="00062169">
        <w:rPr>
          <w:rFonts w:ascii="Calibri" w:hAnsi="Calibri" w:cs="Calibri"/>
          <w:lang w:val="sq-AL"/>
        </w:rPr>
        <w:t xml:space="preserve"> me integralin e gabimit t</w:t>
      </w:r>
      <w:r w:rsidR="001A6733" w:rsidRPr="00062169">
        <w:rPr>
          <w:rFonts w:ascii="Calibri" w:hAnsi="Calibri" w:cs="Calibri"/>
          <w:lang w:val="sq-AL"/>
        </w:rPr>
        <w:t>ë</w:t>
      </w:r>
      <w:r w:rsidR="002F0C92" w:rsidRPr="00062169">
        <w:rPr>
          <w:rFonts w:ascii="Calibri" w:hAnsi="Calibri" w:cs="Calibri"/>
          <w:lang w:val="sq-AL"/>
        </w:rPr>
        <w:t xml:space="preserve"> </w:t>
      </w:r>
      <w:r w:rsidR="00FC3680" w:rsidRPr="00062169">
        <w:rPr>
          <w:rFonts w:ascii="Calibri" w:hAnsi="Calibri" w:cs="Calibri"/>
          <w:lang w:val="sq-AL"/>
        </w:rPr>
        <w:t xml:space="preserve">rregullimit </w:t>
      </w:r>
      <w:r w:rsidR="002F0C92" w:rsidRPr="00062169">
        <w:rPr>
          <w:rFonts w:ascii="Calibri" w:hAnsi="Calibri" w:cs="Calibri"/>
          <w:lang w:val="sq-AL"/>
        </w:rPr>
        <w:t>t</w:t>
      </w:r>
      <w:r w:rsidR="001A6733" w:rsidRPr="00062169">
        <w:rPr>
          <w:rFonts w:ascii="Calibri" w:hAnsi="Calibri" w:cs="Calibri"/>
          <w:lang w:val="sq-AL"/>
        </w:rPr>
        <w:t>ë</w:t>
      </w:r>
      <w:r w:rsidR="002F0C92" w:rsidRPr="00062169">
        <w:rPr>
          <w:rFonts w:ascii="Calibri" w:hAnsi="Calibri" w:cs="Calibri"/>
          <w:lang w:val="sq-AL"/>
        </w:rPr>
        <w:t xml:space="preserve"> </w:t>
      </w:r>
      <w:r w:rsidR="002F0C92" w:rsidRPr="00062169">
        <w:rPr>
          <w:rFonts w:ascii="Calibri" w:hAnsi="Calibri" w:cs="Calibri"/>
          <w:lang w:val="sq-AL"/>
        </w:rPr>
        <w:lastRenderedPageBreak/>
        <w:t>frekuenc</w:t>
      </w:r>
      <w:r w:rsidR="001A6733" w:rsidRPr="00062169">
        <w:rPr>
          <w:rFonts w:ascii="Calibri" w:hAnsi="Calibri" w:cs="Calibri"/>
          <w:lang w:val="sq-AL"/>
        </w:rPr>
        <w:t>ë</w:t>
      </w:r>
      <w:r w:rsidR="002F0C92" w:rsidRPr="00062169">
        <w:rPr>
          <w:rFonts w:ascii="Calibri" w:hAnsi="Calibri" w:cs="Calibri"/>
          <w:lang w:val="sq-AL"/>
        </w:rPr>
        <w:t xml:space="preserve">s sipas Nenit </w:t>
      </w:r>
      <w:r w:rsidRPr="00062169">
        <w:rPr>
          <w:rFonts w:ascii="Calibri" w:hAnsi="Calibri" w:cs="Calibri"/>
          <w:lang w:val="sq-AL"/>
        </w:rPr>
        <w:t>3</w:t>
      </w:r>
      <w:r w:rsidR="00E1506D" w:rsidRPr="00062169">
        <w:rPr>
          <w:rFonts w:ascii="Calibri" w:hAnsi="Calibri" w:cs="Calibri"/>
          <w:lang w:val="sq-AL"/>
        </w:rPr>
        <w:t xml:space="preserve"> </w:t>
      </w:r>
      <w:r w:rsidR="002F0C92"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9848D5" w:rsidRPr="00062169">
        <w:rPr>
          <w:rFonts w:ascii="Calibri" w:hAnsi="Calibri" w:cs="Calibri"/>
          <w:lang w:val="sq-AL"/>
        </w:rPr>
        <w:t xml:space="preserve">SOGL </w:t>
      </w:r>
      <w:r w:rsidR="00FC3680" w:rsidRPr="00062169">
        <w:rPr>
          <w:rFonts w:ascii="Calibri" w:hAnsi="Calibri" w:cs="Calibri"/>
          <w:lang w:val="sq-AL"/>
        </w:rPr>
        <w:t xml:space="preserve">për </w:t>
      </w:r>
      <w:r w:rsidR="00C87DE1" w:rsidRPr="00062169">
        <w:rPr>
          <w:rFonts w:ascii="Calibri" w:hAnsi="Calibri" w:cs="Calibri"/>
          <w:lang w:val="sq-AL"/>
        </w:rPr>
        <w:t>nj</w:t>
      </w:r>
      <w:r w:rsidR="001A6733" w:rsidRPr="00062169">
        <w:rPr>
          <w:rFonts w:ascii="Calibri" w:hAnsi="Calibri" w:cs="Calibri"/>
          <w:lang w:val="sq-AL"/>
        </w:rPr>
        <w:t>ë</w:t>
      </w:r>
      <w:r w:rsidR="00C87DE1" w:rsidRPr="00062169">
        <w:rPr>
          <w:rFonts w:ascii="Calibri" w:hAnsi="Calibri" w:cs="Calibri"/>
          <w:lang w:val="sq-AL"/>
        </w:rPr>
        <w:t xml:space="preserve"> </w:t>
      </w:r>
      <w:r w:rsidR="00FC3680" w:rsidRPr="00062169">
        <w:rPr>
          <w:rFonts w:ascii="Calibri" w:hAnsi="Calibri" w:cs="Calibri"/>
          <w:lang w:val="sq-AL"/>
        </w:rPr>
        <w:t xml:space="preserve">periodë të barazimit përfundimtar ndërmjet </w:t>
      </w:r>
      <w:r w:rsidR="00C87DE1" w:rsidRPr="00062169">
        <w:rPr>
          <w:rFonts w:ascii="Calibri" w:hAnsi="Calibri" w:cs="Calibri"/>
          <w:lang w:val="sq-AL"/>
        </w:rPr>
        <w:t xml:space="preserve"> </w:t>
      </w:r>
      <w:r w:rsidR="00AE3781" w:rsidRPr="00062169">
        <w:rPr>
          <w:rFonts w:ascii="Calibri" w:hAnsi="Calibri" w:cs="Calibri"/>
          <w:lang w:val="sq-AL"/>
        </w:rPr>
        <w:t>TSO</w:t>
      </w:r>
      <w:r w:rsidR="00C87DE1" w:rsidRPr="00062169">
        <w:rPr>
          <w:rFonts w:ascii="Calibri" w:hAnsi="Calibri" w:cs="Calibri"/>
          <w:lang w:val="sq-AL"/>
        </w:rPr>
        <w:t>-T</w:t>
      </w:r>
      <w:r w:rsidR="00AE3781" w:rsidRPr="00062169">
        <w:rPr>
          <w:rFonts w:ascii="Calibri" w:hAnsi="Calibri" w:cs="Calibri"/>
          <w:lang w:val="sq-AL"/>
        </w:rPr>
        <w:t>SO</w:t>
      </w:r>
      <w:r w:rsidR="00C87DE1" w:rsidRPr="00062169">
        <w:rPr>
          <w:rFonts w:ascii="Calibri" w:hAnsi="Calibri" w:cs="Calibri"/>
          <w:lang w:val="sq-AL"/>
        </w:rPr>
        <w:t xml:space="preserve"> dhe korrespondon me shk</w:t>
      </w:r>
      <w:r w:rsidR="001A6733" w:rsidRPr="00062169">
        <w:rPr>
          <w:rFonts w:ascii="Calibri" w:hAnsi="Calibri" w:cs="Calibri"/>
          <w:lang w:val="sq-AL"/>
        </w:rPr>
        <w:t>ë</w:t>
      </w:r>
      <w:r w:rsidR="00C87DE1" w:rsidRPr="00062169">
        <w:rPr>
          <w:rFonts w:ascii="Calibri" w:hAnsi="Calibri" w:cs="Calibri"/>
          <w:lang w:val="sq-AL"/>
        </w:rPr>
        <w:t>mbimet e q</w:t>
      </w:r>
      <w:r w:rsidR="001A6733" w:rsidRPr="00062169">
        <w:rPr>
          <w:rFonts w:ascii="Calibri" w:hAnsi="Calibri" w:cs="Calibri"/>
          <w:lang w:val="sq-AL"/>
        </w:rPr>
        <w:t>ë</w:t>
      </w:r>
      <w:r w:rsidR="00C87DE1" w:rsidRPr="00062169">
        <w:rPr>
          <w:rFonts w:ascii="Calibri" w:hAnsi="Calibri" w:cs="Calibri"/>
          <w:lang w:val="sq-AL"/>
        </w:rPr>
        <w:t>llimshme t</w:t>
      </w:r>
      <w:r w:rsidR="001A6733" w:rsidRPr="00062169">
        <w:rPr>
          <w:rFonts w:ascii="Calibri" w:hAnsi="Calibri" w:cs="Calibri"/>
          <w:lang w:val="sq-AL"/>
        </w:rPr>
        <w:t>ë</w:t>
      </w:r>
      <w:r w:rsidR="00C87DE1" w:rsidRPr="00062169">
        <w:rPr>
          <w:rFonts w:ascii="Calibri" w:hAnsi="Calibri" w:cs="Calibri"/>
          <w:lang w:val="sq-AL"/>
        </w:rPr>
        <w:t xml:space="preserve"> energjis</w:t>
      </w:r>
      <w:r w:rsidR="001A6733" w:rsidRPr="00062169">
        <w:rPr>
          <w:rFonts w:ascii="Calibri" w:hAnsi="Calibri" w:cs="Calibri"/>
          <w:lang w:val="sq-AL"/>
        </w:rPr>
        <w:t>ë</w:t>
      </w:r>
      <w:r w:rsidR="00C87DE1" w:rsidRPr="00062169">
        <w:rPr>
          <w:rFonts w:ascii="Calibri" w:hAnsi="Calibri" w:cs="Calibri"/>
          <w:lang w:val="sq-AL"/>
        </w:rPr>
        <w:t xml:space="preserve"> sipas Nenit </w:t>
      </w:r>
      <w:r w:rsidR="00C515F6" w:rsidRPr="00062169">
        <w:rPr>
          <w:rFonts w:ascii="Calibri" w:hAnsi="Calibri" w:cs="Calibri"/>
          <w:lang w:val="sq-AL"/>
        </w:rPr>
        <w:t>50(3)</w:t>
      </w:r>
      <w:r w:rsidR="007A791F" w:rsidRPr="00062169">
        <w:rPr>
          <w:rFonts w:ascii="Calibri" w:hAnsi="Calibri" w:cs="Calibri"/>
          <w:lang w:val="sq-AL"/>
        </w:rPr>
        <w:t>(</w:t>
      </w:r>
      <w:r w:rsidR="00C515F6" w:rsidRPr="00062169">
        <w:rPr>
          <w:rFonts w:ascii="Calibri" w:hAnsi="Calibri" w:cs="Calibri"/>
          <w:lang w:val="sq-AL"/>
        </w:rPr>
        <w:t>a</w:t>
      </w:r>
      <w:r w:rsidR="007A791F" w:rsidRPr="00062169">
        <w:rPr>
          <w:rFonts w:ascii="Calibri" w:hAnsi="Calibri" w:cs="Calibri"/>
          <w:lang w:val="sq-AL"/>
        </w:rPr>
        <w:t>)</w:t>
      </w:r>
      <w:r w:rsidR="00E1506D" w:rsidRPr="00062169">
        <w:rPr>
          <w:rFonts w:ascii="Calibri" w:hAnsi="Calibri" w:cs="Calibri"/>
          <w:lang w:val="sq-AL"/>
        </w:rPr>
        <w:t xml:space="preserve"> </w:t>
      </w:r>
      <w:r w:rsidR="00C87DE1"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C515F6" w:rsidRPr="00062169">
        <w:rPr>
          <w:rFonts w:ascii="Calibri" w:hAnsi="Calibri" w:cs="Calibri"/>
          <w:lang w:val="sq-AL"/>
        </w:rPr>
        <w:t>EBGL</w:t>
      </w:r>
      <w:r w:rsidR="002E0AC0" w:rsidRPr="00062169">
        <w:rPr>
          <w:rFonts w:ascii="Calibri" w:hAnsi="Calibri" w:cs="Calibri"/>
          <w:lang w:val="sq-AL"/>
        </w:rPr>
        <w:t>;</w:t>
      </w:r>
    </w:p>
    <w:p w:rsidR="00C515F6" w:rsidRPr="00062169" w:rsidRDefault="00C515F6" w:rsidP="00900B3B">
      <w:pPr>
        <w:pStyle w:val="ListParagraph"/>
        <w:numPr>
          <w:ilvl w:val="1"/>
          <w:numId w:val="26"/>
        </w:numPr>
        <w:spacing w:after="0" w:line="276" w:lineRule="auto"/>
        <w:contextualSpacing w:val="0"/>
        <w:rPr>
          <w:rFonts w:ascii="Calibri" w:hAnsi="Calibri" w:cs="Calibri"/>
          <w:lang w:val="sq-AL"/>
        </w:rPr>
      </w:pPr>
      <w:r w:rsidRPr="00062169">
        <w:rPr>
          <w:rFonts w:ascii="Calibri" w:hAnsi="Calibri" w:cs="Calibri"/>
          <w:lang w:val="sq-AL"/>
        </w:rPr>
        <w:t>‘</w:t>
      </w:r>
      <w:r w:rsidR="00C87DE1" w:rsidRPr="00062169">
        <w:rPr>
          <w:rFonts w:ascii="Calibri" w:hAnsi="Calibri" w:cs="Calibri"/>
          <w:lang w:val="sq-AL"/>
        </w:rPr>
        <w:t>Energji</w:t>
      </w:r>
      <w:r w:rsidR="000E7916" w:rsidRPr="00062169">
        <w:rPr>
          <w:rFonts w:ascii="Calibri" w:hAnsi="Calibri" w:cs="Calibri"/>
          <w:lang w:val="sq-AL"/>
        </w:rPr>
        <w:t>a</w:t>
      </w:r>
      <w:r w:rsidR="00C87DE1" w:rsidRPr="00062169">
        <w:rPr>
          <w:rFonts w:ascii="Calibri" w:hAnsi="Calibri" w:cs="Calibri"/>
          <w:lang w:val="sq-AL"/>
        </w:rPr>
        <w:t xml:space="preserve"> e </w:t>
      </w:r>
      <w:r w:rsidR="00D33785" w:rsidRPr="00062169">
        <w:rPr>
          <w:rFonts w:ascii="Calibri" w:hAnsi="Calibri" w:cs="Calibri"/>
          <w:lang w:val="sq-AL"/>
        </w:rPr>
        <w:t xml:space="preserve">periodës </w:t>
      </w:r>
      <w:r w:rsidR="00C87DE1" w:rsidRPr="00062169">
        <w:rPr>
          <w:rFonts w:ascii="Calibri" w:hAnsi="Calibri" w:cs="Calibri"/>
          <w:lang w:val="sq-AL"/>
        </w:rPr>
        <w:t>s</w:t>
      </w:r>
      <w:r w:rsidR="001A6733" w:rsidRPr="00062169">
        <w:rPr>
          <w:rFonts w:ascii="Calibri" w:hAnsi="Calibri" w:cs="Calibri"/>
          <w:lang w:val="sq-AL"/>
        </w:rPr>
        <w:t>ë</w:t>
      </w:r>
      <w:r w:rsidR="00C87DE1" w:rsidRPr="00062169">
        <w:rPr>
          <w:rFonts w:ascii="Calibri" w:hAnsi="Calibri" w:cs="Calibri"/>
          <w:lang w:val="sq-AL"/>
        </w:rPr>
        <w:t xml:space="preserve"> </w:t>
      </w:r>
      <w:r w:rsidR="00AE3781" w:rsidRPr="00062169">
        <w:rPr>
          <w:rFonts w:ascii="Calibri" w:hAnsi="Calibri" w:cs="Calibri"/>
          <w:lang w:val="sq-AL"/>
        </w:rPr>
        <w:t>ndryshimit (rritje/ ulje)"</w:t>
      </w:r>
      <w:r w:rsidRPr="00062169">
        <w:rPr>
          <w:rFonts w:ascii="Calibri" w:hAnsi="Calibri" w:cs="Calibri"/>
          <w:lang w:val="sq-AL"/>
        </w:rPr>
        <w:t xml:space="preserve"> </w:t>
      </w:r>
      <w:r w:rsidR="00C87DE1" w:rsidRPr="00062169">
        <w:rPr>
          <w:rFonts w:ascii="Calibri" w:hAnsi="Calibri" w:cs="Calibri"/>
          <w:lang w:val="sq-AL"/>
        </w:rPr>
        <w:t>dometh</w:t>
      </w:r>
      <w:r w:rsidR="001A6733" w:rsidRPr="00062169">
        <w:rPr>
          <w:rFonts w:ascii="Calibri" w:hAnsi="Calibri" w:cs="Calibri"/>
          <w:lang w:val="sq-AL"/>
        </w:rPr>
        <w:t>ë</w:t>
      </w:r>
      <w:r w:rsidR="00C87DE1" w:rsidRPr="00062169">
        <w:rPr>
          <w:rFonts w:ascii="Calibri" w:hAnsi="Calibri" w:cs="Calibri"/>
          <w:lang w:val="sq-AL"/>
        </w:rPr>
        <w:t>n</w:t>
      </w:r>
      <w:r w:rsidR="001A6733" w:rsidRPr="00062169">
        <w:rPr>
          <w:rFonts w:ascii="Calibri" w:hAnsi="Calibri" w:cs="Calibri"/>
          <w:lang w:val="sq-AL"/>
        </w:rPr>
        <w:t>ë</w:t>
      </w:r>
      <w:r w:rsidR="00C87DE1" w:rsidRPr="00062169">
        <w:rPr>
          <w:rFonts w:ascii="Calibri" w:hAnsi="Calibri" w:cs="Calibri"/>
          <w:lang w:val="sq-AL"/>
        </w:rPr>
        <w:t xml:space="preserve"> shk</w:t>
      </w:r>
      <w:r w:rsidR="001A6733" w:rsidRPr="00062169">
        <w:rPr>
          <w:rFonts w:ascii="Calibri" w:hAnsi="Calibri" w:cs="Calibri"/>
          <w:lang w:val="sq-AL"/>
        </w:rPr>
        <w:t>ë</w:t>
      </w:r>
      <w:r w:rsidR="00C87DE1" w:rsidRPr="00062169">
        <w:rPr>
          <w:rFonts w:ascii="Calibri" w:hAnsi="Calibri" w:cs="Calibri"/>
          <w:lang w:val="sq-AL"/>
        </w:rPr>
        <w:t>mbimet e q</w:t>
      </w:r>
      <w:r w:rsidR="001A6733" w:rsidRPr="00062169">
        <w:rPr>
          <w:rFonts w:ascii="Calibri" w:hAnsi="Calibri" w:cs="Calibri"/>
          <w:lang w:val="sq-AL"/>
        </w:rPr>
        <w:t>ë</w:t>
      </w:r>
      <w:r w:rsidR="00C87DE1" w:rsidRPr="00062169">
        <w:rPr>
          <w:rFonts w:ascii="Calibri" w:hAnsi="Calibri" w:cs="Calibri"/>
          <w:lang w:val="sq-AL"/>
        </w:rPr>
        <w:t>llimshme t</w:t>
      </w:r>
      <w:r w:rsidR="001A6733" w:rsidRPr="00062169">
        <w:rPr>
          <w:rFonts w:ascii="Calibri" w:hAnsi="Calibri" w:cs="Calibri"/>
          <w:lang w:val="sq-AL"/>
        </w:rPr>
        <w:t>ë</w:t>
      </w:r>
      <w:r w:rsidR="00C87DE1" w:rsidRPr="00062169">
        <w:rPr>
          <w:rFonts w:ascii="Calibri" w:hAnsi="Calibri" w:cs="Calibri"/>
          <w:lang w:val="sq-AL"/>
        </w:rPr>
        <w:t xml:space="preserve"> energjis</w:t>
      </w:r>
      <w:r w:rsidR="001A6733" w:rsidRPr="00062169">
        <w:rPr>
          <w:rFonts w:ascii="Calibri" w:hAnsi="Calibri" w:cs="Calibri"/>
          <w:lang w:val="sq-AL"/>
        </w:rPr>
        <w:t>ë</w:t>
      </w:r>
      <w:r w:rsidR="00C87DE1" w:rsidRPr="00062169">
        <w:rPr>
          <w:rFonts w:ascii="Calibri" w:hAnsi="Calibri" w:cs="Calibri"/>
          <w:lang w:val="sq-AL"/>
        </w:rPr>
        <w:t xml:space="preserve"> sipas Nenit </w:t>
      </w:r>
      <w:r w:rsidR="007A791F" w:rsidRPr="00062169">
        <w:rPr>
          <w:rFonts w:ascii="Calibri" w:hAnsi="Calibri" w:cs="Calibri"/>
          <w:lang w:val="sq-AL"/>
        </w:rPr>
        <w:t>50(3)(</w:t>
      </w:r>
      <w:r w:rsidRPr="00062169">
        <w:rPr>
          <w:rFonts w:ascii="Calibri" w:hAnsi="Calibri" w:cs="Calibri"/>
          <w:lang w:val="sq-AL"/>
        </w:rPr>
        <w:t>b</w:t>
      </w:r>
      <w:r w:rsidR="007A791F" w:rsidRPr="00062169">
        <w:rPr>
          <w:rFonts w:ascii="Calibri" w:hAnsi="Calibri" w:cs="Calibri"/>
          <w:lang w:val="sq-AL"/>
        </w:rPr>
        <w:t>)</w:t>
      </w:r>
      <w:r w:rsidR="00E1506D" w:rsidRPr="00062169">
        <w:rPr>
          <w:rFonts w:ascii="Calibri" w:hAnsi="Calibri" w:cs="Calibri"/>
          <w:lang w:val="sq-AL"/>
        </w:rPr>
        <w:t xml:space="preserve"> </w:t>
      </w:r>
      <w:r w:rsidR="00C87DE1"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F2111A" w:rsidRPr="00062169">
        <w:rPr>
          <w:rFonts w:ascii="Calibri" w:hAnsi="Calibri" w:cs="Calibri"/>
          <w:lang w:val="sq-AL"/>
        </w:rPr>
        <w:t>EBGL</w:t>
      </w:r>
      <w:r w:rsidR="00E1506D" w:rsidRPr="00062169">
        <w:rPr>
          <w:rFonts w:ascii="Calibri" w:hAnsi="Calibri" w:cs="Calibri"/>
          <w:lang w:val="sq-AL"/>
        </w:rPr>
        <w:t xml:space="preserve"> </w:t>
      </w:r>
      <w:r w:rsidR="00C87DE1" w:rsidRPr="00062169">
        <w:rPr>
          <w:rFonts w:ascii="Calibri" w:hAnsi="Calibri" w:cs="Calibri"/>
          <w:lang w:val="sq-AL"/>
        </w:rPr>
        <w:t xml:space="preserve">dhe Nenit </w:t>
      </w:r>
      <w:r w:rsidR="00284FF8" w:rsidRPr="00062169">
        <w:rPr>
          <w:rFonts w:ascii="Calibri" w:hAnsi="Calibri" w:cs="Calibri"/>
          <w:lang w:val="sq-AL"/>
        </w:rPr>
        <w:t xml:space="preserve">136 </w:t>
      </w:r>
      <w:r w:rsidR="00C87DE1"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284FF8" w:rsidRPr="00062169">
        <w:rPr>
          <w:rFonts w:ascii="Calibri" w:hAnsi="Calibri" w:cs="Calibri"/>
          <w:lang w:val="sq-AL"/>
        </w:rPr>
        <w:t>SOGL</w:t>
      </w:r>
      <w:r w:rsidR="002E0AC0" w:rsidRPr="00062169">
        <w:rPr>
          <w:rFonts w:ascii="Calibri" w:hAnsi="Calibri" w:cs="Calibri"/>
          <w:lang w:val="sq-AL"/>
        </w:rPr>
        <w:t>;</w:t>
      </w:r>
    </w:p>
    <w:p w:rsidR="00545EFF" w:rsidRPr="00062169" w:rsidRDefault="000509C8" w:rsidP="00900B3B">
      <w:pPr>
        <w:pStyle w:val="ListParagraph"/>
        <w:numPr>
          <w:ilvl w:val="1"/>
          <w:numId w:val="26"/>
        </w:numPr>
        <w:spacing w:after="0" w:line="276" w:lineRule="auto"/>
        <w:contextualSpacing w:val="0"/>
        <w:rPr>
          <w:rFonts w:ascii="Calibri" w:hAnsi="Calibri" w:cs="Calibri"/>
          <w:lang w:val="sq-AL"/>
        </w:rPr>
      </w:pPr>
      <w:r w:rsidRPr="00062169">
        <w:rPr>
          <w:rFonts w:ascii="Calibri" w:hAnsi="Calibri" w:cs="Calibri"/>
          <w:lang w:val="sq-AL"/>
        </w:rPr>
        <w:t>'</w:t>
      </w:r>
      <w:r w:rsidR="00FC3680" w:rsidRPr="00062169">
        <w:rPr>
          <w:rFonts w:ascii="Calibri" w:hAnsi="Calibri" w:cs="Calibri"/>
          <w:lang w:val="sq-AL"/>
        </w:rPr>
        <w:t>Perioda e barazimit përfundimtar</w:t>
      </w:r>
      <w:r w:rsidR="00AE3781" w:rsidRPr="00062169">
        <w:rPr>
          <w:rFonts w:ascii="Calibri" w:hAnsi="Calibri" w:cs="Calibri"/>
          <w:lang w:val="sq-AL"/>
        </w:rPr>
        <w:t xml:space="preserve"> </w:t>
      </w:r>
      <w:r w:rsidR="00C87DE1" w:rsidRPr="00062169">
        <w:rPr>
          <w:rFonts w:ascii="Calibri" w:hAnsi="Calibri" w:cs="Calibri"/>
          <w:lang w:val="sq-AL"/>
        </w:rPr>
        <w:t>T</w:t>
      </w:r>
      <w:r w:rsidR="00AE3781" w:rsidRPr="00062169">
        <w:rPr>
          <w:rFonts w:ascii="Calibri" w:hAnsi="Calibri" w:cs="Calibri"/>
          <w:lang w:val="sq-AL"/>
        </w:rPr>
        <w:t>SO</w:t>
      </w:r>
      <w:r w:rsidR="00C87DE1" w:rsidRPr="00062169">
        <w:rPr>
          <w:rFonts w:ascii="Calibri" w:hAnsi="Calibri" w:cs="Calibri"/>
          <w:lang w:val="sq-AL"/>
        </w:rPr>
        <w:t>-T</w:t>
      </w:r>
      <w:r w:rsidR="00AE3781" w:rsidRPr="00062169">
        <w:rPr>
          <w:rFonts w:ascii="Calibri" w:hAnsi="Calibri" w:cs="Calibri"/>
          <w:lang w:val="sq-AL"/>
        </w:rPr>
        <w:t>SO</w:t>
      </w:r>
      <w:r w:rsidR="00E1506D" w:rsidRPr="00062169">
        <w:rPr>
          <w:rFonts w:ascii="Calibri" w:hAnsi="Calibri" w:cs="Calibri"/>
          <w:lang w:val="sq-AL"/>
        </w:rPr>
        <w:t xml:space="preserve">' </w:t>
      </w:r>
      <w:r w:rsidR="00C87DE1" w:rsidRPr="00062169">
        <w:rPr>
          <w:rFonts w:ascii="Calibri" w:hAnsi="Calibri" w:cs="Calibri"/>
          <w:lang w:val="sq-AL"/>
        </w:rPr>
        <w:t>n</w:t>
      </w:r>
      <w:r w:rsidR="001A6733" w:rsidRPr="00062169">
        <w:rPr>
          <w:rFonts w:ascii="Calibri" w:hAnsi="Calibri" w:cs="Calibri"/>
          <w:lang w:val="sq-AL"/>
        </w:rPr>
        <w:t>ë</w:t>
      </w:r>
      <w:r w:rsidR="00C87DE1" w:rsidRPr="00062169">
        <w:rPr>
          <w:rFonts w:ascii="Calibri" w:hAnsi="Calibri" w:cs="Calibri"/>
          <w:lang w:val="sq-AL"/>
        </w:rPr>
        <w:t>nkupton</w:t>
      </w:r>
      <w:r w:rsidR="007615D4" w:rsidRPr="00062169">
        <w:rPr>
          <w:rFonts w:ascii="Calibri" w:hAnsi="Calibri" w:cs="Calibri"/>
          <w:lang w:val="sq-AL"/>
        </w:rPr>
        <w:t xml:space="preserve">, </w:t>
      </w:r>
      <w:r w:rsidR="00C87DE1" w:rsidRPr="00062169">
        <w:rPr>
          <w:rFonts w:ascii="Calibri" w:hAnsi="Calibri" w:cs="Calibri"/>
          <w:lang w:val="sq-AL"/>
        </w:rPr>
        <w:t>n</w:t>
      </w:r>
      <w:r w:rsidR="001A6733" w:rsidRPr="00062169">
        <w:rPr>
          <w:rFonts w:ascii="Calibri" w:hAnsi="Calibri" w:cs="Calibri"/>
          <w:lang w:val="sq-AL"/>
        </w:rPr>
        <w:t>ë</w:t>
      </w:r>
      <w:r w:rsidR="00C87DE1" w:rsidRPr="00062169">
        <w:rPr>
          <w:rFonts w:ascii="Calibri" w:hAnsi="Calibri" w:cs="Calibri"/>
          <w:lang w:val="sq-AL"/>
        </w:rPr>
        <w:t xml:space="preserve"> kontekstin e </w:t>
      </w:r>
      <w:r w:rsidR="009B3D95" w:rsidRPr="00062169">
        <w:rPr>
          <w:rFonts w:ascii="Calibri" w:hAnsi="Calibri" w:cs="Calibri"/>
          <w:lang w:val="sq-AL"/>
        </w:rPr>
        <w:t xml:space="preserve">këtij </w:t>
      </w:r>
      <w:r w:rsidR="007615D4" w:rsidRPr="00062169">
        <w:rPr>
          <w:rFonts w:ascii="Calibri" w:hAnsi="Calibri" w:cs="Calibri"/>
          <w:lang w:val="sq-AL"/>
        </w:rPr>
        <w:t xml:space="preserve">CCFR, </w:t>
      </w:r>
      <w:r w:rsidR="00C87DE1" w:rsidRPr="00062169">
        <w:rPr>
          <w:rFonts w:ascii="Calibri" w:hAnsi="Calibri" w:cs="Calibri"/>
          <w:lang w:val="sq-AL"/>
        </w:rPr>
        <w:t>nj</w:t>
      </w:r>
      <w:r w:rsidR="001A6733" w:rsidRPr="00062169">
        <w:rPr>
          <w:rFonts w:ascii="Calibri" w:hAnsi="Calibri" w:cs="Calibri"/>
          <w:lang w:val="sq-AL"/>
        </w:rPr>
        <w:t>ë</w:t>
      </w:r>
      <w:r w:rsidR="00C87DE1" w:rsidRPr="00062169">
        <w:rPr>
          <w:rFonts w:ascii="Calibri" w:hAnsi="Calibri" w:cs="Calibri"/>
          <w:lang w:val="sq-AL"/>
        </w:rPr>
        <w:t>sin</w:t>
      </w:r>
      <w:r w:rsidR="001A6733" w:rsidRPr="00062169">
        <w:rPr>
          <w:rFonts w:ascii="Calibri" w:hAnsi="Calibri" w:cs="Calibri"/>
          <w:lang w:val="sq-AL"/>
        </w:rPr>
        <w:t>ë</w:t>
      </w:r>
      <w:r w:rsidR="00C87DE1" w:rsidRPr="00062169">
        <w:rPr>
          <w:rFonts w:ascii="Calibri" w:hAnsi="Calibri" w:cs="Calibri"/>
          <w:lang w:val="sq-AL"/>
        </w:rPr>
        <w:t xml:space="preserve"> e koh</w:t>
      </w:r>
      <w:r w:rsidR="001A6733" w:rsidRPr="00062169">
        <w:rPr>
          <w:rFonts w:ascii="Calibri" w:hAnsi="Calibri" w:cs="Calibri"/>
          <w:lang w:val="sq-AL"/>
        </w:rPr>
        <w:t>ë</w:t>
      </w:r>
      <w:r w:rsidR="00C87DE1" w:rsidRPr="00062169">
        <w:rPr>
          <w:rFonts w:ascii="Calibri" w:hAnsi="Calibri" w:cs="Calibri"/>
          <w:lang w:val="sq-AL"/>
        </w:rPr>
        <w:t>s p</w:t>
      </w:r>
      <w:r w:rsidR="001A6733" w:rsidRPr="00062169">
        <w:rPr>
          <w:rFonts w:ascii="Calibri" w:hAnsi="Calibri" w:cs="Calibri"/>
          <w:lang w:val="sq-AL"/>
        </w:rPr>
        <w:t>ë</w:t>
      </w:r>
      <w:r w:rsidR="00C87DE1" w:rsidRPr="00062169">
        <w:rPr>
          <w:rFonts w:ascii="Calibri" w:hAnsi="Calibri" w:cs="Calibri"/>
          <w:lang w:val="sq-AL"/>
        </w:rPr>
        <w:t>r t</w:t>
      </w:r>
      <w:r w:rsidR="001A6733" w:rsidRPr="00062169">
        <w:rPr>
          <w:rFonts w:ascii="Calibri" w:hAnsi="Calibri" w:cs="Calibri"/>
          <w:lang w:val="sq-AL"/>
        </w:rPr>
        <w:t>ë</w:t>
      </w:r>
      <w:r w:rsidR="00C87DE1" w:rsidRPr="00062169">
        <w:rPr>
          <w:rFonts w:ascii="Calibri" w:hAnsi="Calibri" w:cs="Calibri"/>
          <w:lang w:val="sq-AL"/>
        </w:rPr>
        <w:t xml:space="preserve"> cil</w:t>
      </w:r>
      <w:r w:rsidR="001A6733" w:rsidRPr="00062169">
        <w:rPr>
          <w:rFonts w:ascii="Calibri" w:hAnsi="Calibri" w:cs="Calibri"/>
          <w:lang w:val="sq-AL"/>
        </w:rPr>
        <w:t>ë</w:t>
      </w:r>
      <w:r w:rsidR="00C87DE1" w:rsidRPr="00062169">
        <w:rPr>
          <w:rFonts w:ascii="Calibri" w:hAnsi="Calibri" w:cs="Calibri"/>
          <w:lang w:val="sq-AL"/>
        </w:rPr>
        <w:t xml:space="preserve">n </w:t>
      </w:r>
      <w:r w:rsidR="00FB7B66" w:rsidRPr="00062169">
        <w:rPr>
          <w:rFonts w:ascii="Calibri" w:hAnsi="Calibri" w:cs="Calibri"/>
          <w:lang w:val="sq-AL"/>
        </w:rPr>
        <w:t>llogariten shk</w:t>
      </w:r>
      <w:r w:rsidR="001A6733" w:rsidRPr="00062169">
        <w:rPr>
          <w:rFonts w:ascii="Calibri" w:hAnsi="Calibri" w:cs="Calibri"/>
          <w:lang w:val="sq-AL"/>
        </w:rPr>
        <w:t>ë</w:t>
      </w:r>
      <w:r w:rsidR="00FB7B66" w:rsidRPr="00062169">
        <w:rPr>
          <w:rFonts w:ascii="Calibri" w:hAnsi="Calibri" w:cs="Calibri"/>
          <w:lang w:val="sq-AL"/>
        </w:rPr>
        <w:t>mbimet e paq</w:t>
      </w:r>
      <w:r w:rsidR="001A6733" w:rsidRPr="00062169">
        <w:rPr>
          <w:rFonts w:ascii="Calibri" w:hAnsi="Calibri" w:cs="Calibri"/>
          <w:lang w:val="sq-AL"/>
        </w:rPr>
        <w:t>ë</w:t>
      </w:r>
      <w:r w:rsidR="00FB7B66" w:rsidRPr="00062169">
        <w:rPr>
          <w:rFonts w:ascii="Calibri" w:hAnsi="Calibri" w:cs="Calibri"/>
          <w:lang w:val="sq-AL"/>
        </w:rPr>
        <w:t xml:space="preserve">llimshme dhe </w:t>
      </w:r>
      <w:r w:rsidR="00FC3680" w:rsidRPr="00062169">
        <w:rPr>
          <w:rFonts w:ascii="Calibri" w:hAnsi="Calibri" w:cs="Calibri"/>
          <w:lang w:val="sq-AL"/>
        </w:rPr>
        <w:t xml:space="preserve">shkëmbimet e </w:t>
      </w:r>
      <w:r w:rsidR="00FB7B66" w:rsidRPr="00062169">
        <w:rPr>
          <w:rFonts w:ascii="Calibri" w:hAnsi="Calibri" w:cs="Calibri"/>
          <w:lang w:val="sq-AL"/>
        </w:rPr>
        <w:t>q</w:t>
      </w:r>
      <w:r w:rsidR="001A6733" w:rsidRPr="00062169">
        <w:rPr>
          <w:rFonts w:ascii="Calibri" w:hAnsi="Calibri" w:cs="Calibri"/>
          <w:lang w:val="sq-AL"/>
        </w:rPr>
        <w:t>ë</w:t>
      </w:r>
      <w:r w:rsidR="00FB7B66" w:rsidRPr="00062169">
        <w:rPr>
          <w:rFonts w:ascii="Calibri" w:hAnsi="Calibri" w:cs="Calibri"/>
          <w:lang w:val="sq-AL"/>
        </w:rPr>
        <w:t>llimshme t</w:t>
      </w:r>
      <w:r w:rsidR="001A6733" w:rsidRPr="00062169">
        <w:rPr>
          <w:rFonts w:ascii="Calibri" w:hAnsi="Calibri" w:cs="Calibri"/>
          <w:lang w:val="sq-AL"/>
        </w:rPr>
        <w:t>ë</w:t>
      </w:r>
      <w:r w:rsidR="00AE3781" w:rsidRPr="00062169">
        <w:rPr>
          <w:rFonts w:ascii="Calibri" w:hAnsi="Calibri" w:cs="Calibri"/>
          <w:lang w:val="sq-AL"/>
        </w:rPr>
        <w:t xml:space="preserve"> </w:t>
      </w:r>
      <w:r w:rsidR="00DF2D84" w:rsidRPr="00062169">
        <w:rPr>
          <w:rFonts w:ascii="Calibri" w:hAnsi="Calibri" w:cs="Calibri"/>
          <w:lang w:val="sq-AL"/>
        </w:rPr>
        <w:t>energjis</w:t>
      </w:r>
      <w:r w:rsidR="001A6733" w:rsidRPr="00062169">
        <w:rPr>
          <w:rFonts w:ascii="Calibri" w:hAnsi="Calibri" w:cs="Calibri"/>
          <w:lang w:val="sq-AL"/>
        </w:rPr>
        <w:t>ë</w:t>
      </w:r>
      <w:r w:rsidR="00DF2D84" w:rsidRPr="00062169">
        <w:rPr>
          <w:rFonts w:ascii="Calibri" w:hAnsi="Calibri" w:cs="Calibri"/>
          <w:lang w:val="sq-AL"/>
        </w:rPr>
        <w:t xml:space="preserve"> si rezultat i procesit t</w:t>
      </w:r>
      <w:r w:rsidR="001A6733" w:rsidRPr="00062169">
        <w:rPr>
          <w:rFonts w:ascii="Calibri" w:hAnsi="Calibri" w:cs="Calibri"/>
          <w:lang w:val="sq-AL"/>
        </w:rPr>
        <w:t>ë</w:t>
      </w:r>
      <w:r w:rsidR="00DF2D84" w:rsidRPr="00062169">
        <w:rPr>
          <w:rFonts w:ascii="Calibri" w:hAnsi="Calibri" w:cs="Calibri"/>
          <w:lang w:val="sq-AL"/>
        </w:rPr>
        <w:t xml:space="preserve"> </w:t>
      </w:r>
      <w:r w:rsidR="000E7916" w:rsidRPr="00062169">
        <w:rPr>
          <w:rFonts w:ascii="Calibri" w:hAnsi="Calibri" w:cs="Calibri"/>
          <w:lang w:val="sq-AL"/>
        </w:rPr>
        <w:t xml:space="preserve">rregullimit stabilizues </w:t>
      </w:r>
      <w:r w:rsidR="00DF2D84" w:rsidRPr="00062169">
        <w:rPr>
          <w:rFonts w:ascii="Calibri" w:hAnsi="Calibri" w:cs="Calibri"/>
          <w:lang w:val="sq-AL"/>
        </w:rPr>
        <w:t>t</w:t>
      </w:r>
      <w:r w:rsidR="001A6733" w:rsidRPr="00062169">
        <w:rPr>
          <w:rFonts w:ascii="Calibri" w:hAnsi="Calibri" w:cs="Calibri"/>
          <w:lang w:val="sq-AL"/>
        </w:rPr>
        <w:t>ë</w:t>
      </w:r>
      <w:r w:rsidR="00DF2D84" w:rsidRPr="00062169">
        <w:rPr>
          <w:rFonts w:ascii="Calibri" w:hAnsi="Calibri" w:cs="Calibri"/>
          <w:lang w:val="sq-AL"/>
        </w:rPr>
        <w:t xml:space="preserve"> frekuenc</w:t>
      </w:r>
      <w:r w:rsidR="001A6733" w:rsidRPr="00062169">
        <w:rPr>
          <w:rFonts w:ascii="Calibri" w:hAnsi="Calibri" w:cs="Calibri"/>
          <w:lang w:val="sq-AL"/>
        </w:rPr>
        <w:t>ë</w:t>
      </w:r>
      <w:r w:rsidR="00DF2D84" w:rsidRPr="00062169">
        <w:rPr>
          <w:rFonts w:ascii="Calibri" w:hAnsi="Calibri" w:cs="Calibri"/>
          <w:lang w:val="sq-AL"/>
        </w:rPr>
        <w:t xml:space="preserve">s dhe </w:t>
      </w:r>
      <w:r w:rsidR="00D33785" w:rsidRPr="00062169">
        <w:rPr>
          <w:rFonts w:ascii="Calibri" w:hAnsi="Calibri" w:cs="Calibri"/>
          <w:lang w:val="sq-AL"/>
        </w:rPr>
        <w:t xml:space="preserve">periodës </w:t>
      </w:r>
      <w:r w:rsidR="00DF2D84" w:rsidRPr="00062169">
        <w:rPr>
          <w:rFonts w:ascii="Calibri" w:hAnsi="Calibri" w:cs="Calibri"/>
          <w:lang w:val="sq-AL"/>
        </w:rPr>
        <w:t>s</w:t>
      </w:r>
      <w:r w:rsidR="001A6733" w:rsidRPr="00062169">
        <w:rPr>
          <w:rFonts w:ascii="Calibri" w:hAnsi="Calibri" w:cs="Calibri"/>
          <w:lang w:val="sq-AL"/>
        </w:rPr>
        <w:t>ë</w:t>
      </w:r>
      <w:r w:rsidR="00DF2D84" w:rsidRPr="00062169">
        <w:rPr>
          <w:rFonts w:ascii="Calibri" w:hAnsi="Calibri" w:cs="Calibri"/>
          <w:lang w:val="sq-AL"/>
        </w:rPr>
        <w:t xml:space="preserve"> </w:t>
      </w:r>
      <w:r w:rsidR="00AE3781" w:rsidRPr="00062169">
        <w:rPr>
          <w:rFonts w:ascii="Calibri" w:hAnsi="Calibri" w:cs="Calibri"/>
          <w:lang w:val="sq-AL"/>
        </w:rPr>
        <w:t>ndryshimit (rritje / ulje)</w:t>
      </w:r>
      <w:r w:rsidR="002E0AC0" w:rsidRPr="00062169">
        <w:rPr>
          <w:rFonts w:ascii="Calibri" w:hAnsi="Calibri" w:cs="Calibri"/>
          <w:lang w:val="sq-AL"/>
        </w:rPr>
        <w:t>;</w:t>
      </w:r>
    </w:p>
    <w:p w:rsidR="00442967" w:rsidRPr="00062169" w:rsidRDefault="00442967" w:rsidP="00900B3B">
      <w:pPr>
        <w:pStyle w:val="ListParagraph"/>
        <w:numPr>
          <w:ilvl w:val="1"/>
          <w:numId w:val="26"/>
        </w:numPr>
        <w:spacing w:after="0" w:line="276" w:lineRule="auto"/>
        <w:contextualSpacing w:val="0"/>
        <w:rPr>
          <w:rFonts w:ascii="Calibri" w:hAnsi="Calibri" w:cs="Calibri"/>
          <w:lang w:val="sq-AL"/>
        </w:rPr>
      </w:pPr>
      <w:r w:rsidRPr="00062169">
        <w:rPr>
          <w:rFonts w:ascii="Calibri" w:hAnsi="Calibri" w:cs="Calibri"/>
          <w:lang w:val="sq-AL"/>
        </w:rPr>
        <w:t>'</w:t>
      </w:r>
      <w:r w:rsidR="00DF2D84" w:rsidRPr="00062169">
        <w:rPr>
          <w:rFonts w:ascii="Calibri" w:hAnsi="Calibri" w:cs="Calibri"/>
          <w:lang w:val="sq-AL"/>
        </w:rPr>
        <w:t>shk</w:t>
      </w:r>
      <w:r w:rsidR="001A6733" w:rsidRPr="00062169">
        <w:rPr>
          <w:rFonts w:ascii="Calibri" w:hAnsi="Calibri" w:cs="Calibri"/>
          <w:lang w:val="sq-AL"/>
        </w:rPr>
        <w:t>ë</w:t>
      </w:r>
      <w:r w:rsidR="00DF2D84" w:rsidRPr="00062169">
        <w:rPr>
          <w:rFonts w:ascii="Calibri" w:hAnsi="Calibri" w:cs="Calibri"/>
          <w:lang w:val="sq-AL"/>
        </w:rPr>
        <w:t>mbimet e paq</w:t>
      </w:r>
      <w:r w:rsidR="001A6733" w:rsidRPr="00062169">
        <w:rPr>
          <w:rFonts w:ascii="Calibri" w:hAnsi="Calibri" w:cs="Calibri"/>
          <w:lang w:val="sq-AL"/>
        </w:rPr>
        <w:t>ë</w:t>
      </w:r>
      <w:r w:rsidR="00DF2D84" w:rsidRPr="00062169">
        <w:rPr>
          <w:rFonts w:ascii="Calibri" w:hAnsi="Calibri" w:cs="Calibri"/>
          <w:lang w:val="sq-AL"/>
        </w:rPr>
        <w:t>llimshme t</w:t>
      </w:r>
      <w:r w:rsidR="001A6733" w:rsidRPr="00062169">
        <w:rPr>
          <w:rFonts w:ascii="Calibri" w:hAnsi="Calibri" w:cs="Calibri"/>
          <w:lang w:val="sq-AL"/>
        </w:rPr>
        <w:t>ë</w:t>
      </w:r>
      <w:r w:rsidR="00DF2D84" w:rsidRPr="00062169">
        <w:rPr>
          <w:rFonts w:ascii="Calibri" w:hAnsi="Calibri" w:cs="Calibri"/>
          <w:lang w:val="sq-AL"/>
        </w:rPr>
        <w:t xml:space="preserve"> energjis</w:t>
      </w:r>
      <w:r w:rsidR="001A6733" w:rsidRPr="00062169">
        <w:rPr>
          <w:rFonts w:ascii="Calibri" w:hAnsi="Calibri" w:cs="Calibri"/>
          <w:lang w:val="sq-AL"/>
        </w:rPr>
        <w:t>ë</w:t>
      </w:r>
      <w:r w:rsidR="00DF2D84" w:rsidRPr="00062169">
        <w:rPr>
          <w:rFonts w:ascii="Calibri" w:hAnsi="Calibri" w:cs="Calibri"/>
          <w:lang w:val="sq-AL"/>
        </w:rPr>
        <w:t>' jan</w:t>
      </w:r>
      <w:r w:rsidR="001A6733" w:rsidRPr="00062169">
        <w:rPr>
          <w:rFonts w:ascii="Calibri" w:hAnsi="Calibri" w:cs="Calibri"/>
          <w:lang w:val="sq-AL"/>
        </w:rPr>
        <w:t>ë</w:t>
      </w:r>
      <w:r w:rsidR="00DF2D84" w:rsidRPr="00062169">
        <w:rPr>
          <w:rFonts w:ascii="Calibri" w:hAnsi="Calibri" w:cs="Calibri"/>
          <w:lang w:val="sq-AL"/>
        </w:rPr>
        <w:t xml:space="preserve"> t</w:t>
      </w:r>
      <w:r w:rsidR="001A6733" w:rsidRPr="00062169">
        <w:rPr>
          <w:rFonts w:ascii="Calibri" w:hAnsi="Calibri" w:cs="Calibri"/>
          <w:lang w:val="sq-AL"/>
        </w:rPr>
        <w:t>ë</w:t>
      </w:r>
      <w:r w:rsidR="00DF2D84" w:rsidRPr="00062169">
        <w:rPr>
          <w:rFonts w:ascii="Calibri" w:hAnsi="Calibri" w:cs="Calibri"/>
          <w:lang w:val="sq-AL"/>
        </w:rPr>
        <w:t xml:space="preserve"> b</w:t>
      </w:r>
      <w:r w:rsidR="00E1506D" w:rsidRPr="00062169">
        <w:rPr>
          <w:rFonts w:ascii="Calibri" w:hAnsi="Calibri" w:cs="Calibri"/>
          <w:lang w:val="sq-AL"/>
        </w:rPr>
        <w:t>a</w:t>
      </w:r>
      <w:r w:rsidR="00DF2D84" w:rsidRPr="00062169">
        <w:rPr>
          <w:rFonts w:ascii="Calibri" w:hAnsi="Calibri" w:cs="Calibri"/>
          <w:lang w:val="sq-AL"/>
        </w:rPr>
        <w:t>rabarta me integralin e gabimit t</w:t>
      </w:r>
      <w:r w:rsidR="001A6733" w:rsidRPr="00062169">
        <w:rPr>
          <w:rFonts w:ascii="Calibri" w:hAnsi="Calibri" w:cs="Calibri"/>
          <w:lang w:val="sq-AL"/>
        </w:rPr>
        <w:t>ë</w:t>
      </w:r>
      <w:r w:rsidR="00DF2D84" w:rsidRPr="00062169">
        <w:rPr>
          <w:rFonts w:ascii="Calibri" w:hAnsi="Calibri" w:cs="Calibri"/>
          <w:lang w:val="sq-AL"/>
        </w:rPr>
        <w:t xml:space="preserve"> zon</w:t>
      </w:r>
      <w:r w:rsidR="001A6733" w:rsidRPr="00062169">
        <w:rPr>
          <w:rFonts w:ascii="Calibri" w:hAnsi="Calibri" w:cs="Calibri"/>
          <w:lang w:val="sq-AL"/>
        </w:rPr>
        <w:t>ë</w:t>
      </w:r>
      <w:r w:rsidR="00DF2D84" w:rsidRPr="00062169">
        <w:rPr>
          <w:rFonts w:ascii="Calibri" w:hAnsi="Calibri" w:cs="Calibri"/>
          <w:lang w:val="sq-AL"/>
        </w:rPr>
        <w:t>s s</w:t>
      </w:r>
      <w:r w:rsidR="001A6733" w:rsidRPr="00062169">
        <w:rPr>
          <w:rFonts w:ascii="Calibri" w:hAnsi="Calibri" w:cs="Calibri"/>
          <w:lang w:val="sq-AL"/>
        </w:rPr>
        <w:t>ë</w:t>
      </w:r>
      <w:r w:rsidR="00DF2D84" w:rsidRPr="00062169">
        <w:rPr>
          <w:rFonts w:ascii="Calibri" w:hAnsi="Calibri" w:cs="Calibri"/>
          <w:lang w:val="sq-AL"/>
        </w:rPr>
        <w:t xml:space="preserve"> </w:t>
      </w:r>
      <w:r w:rsidR="00FC3680" w:rsidRPr="00062169">
        <w:rPr>
          <w:rFonts w:ascii="Calibri" w:hAnsi="Calibri" w:cs="Calibri"/>
          <w:lang w:val="sq-AL"/>
        </w:rPr>
        <w:t xml:space="preserve">rregulluese </w:t>
      </w:r>
      <w:r w:rsidRPr="00062169">
        <w:rPr>
          <w:rFonts w:ascii="Calibri" w:hAnsi="Calibri" w:cs="Calibri"/>
          <w:lang w:val="sq-AL"/>
        </w:rPr>
        <w:t xml:space="preserve">(ACE) </w:t>
      </w:r>
      <w:r w:rsidR="00DF2D84" w:rsidRPr="00062169">
        <w:rPr>
          <w:rFonts w:ascii="Calibri" w:hAnsi="Calibri" w:cs="Calibri"/>
          <w:lang w:val="sq-AL"/>
        </w:rPr>
        <w:t xml:space="preserve">sipas Nenit </w:t>
      </w:r>
      <w:r w:rsidRPr="00062169">
        <w:rPr>
          <w:rFonts w:ascii="Calibri" w:hAnsi="Calibri" w:cs="Calibri"/>
          <w:lang w:val="sq-AL"/>
        </w:rPr>
        <w:t xml:space="preserve">3 </w:t>
      </w:r>
      <w:r w:rsidR="00DF2D84"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Pr="00062169">
        <w:rPr>
          <w:rFonts w:ascii="Calibri" w:hAnsi="Calibri" w:cs="Calibri"/>
          <w:lang w:val="sq-AL"/>
        </w:rPr>
        <w:t xml:space="preserve">SOGL </w:t>
      </w:r>
      <w:r w:rsidR="000E7916" w:rsidRPr="00062169">
        <w:rPr>
          <w:rFonts w:ascii="Calibri" w:hAnsi="Calibri" w:cs="Calibri"/>
          <w:lang w:val="sq-AL"/>
        </w:rPr>
        <w:t xml:space="preserve">për çdo </w:t>
      </w:r>
      <w:r w:rsidR="00D33785" w:rsidRPr="00062169">
        <w:rPr>
          <w:rFonts w:ascii="Calibri" w:hAnsi="Calibri" w:cs="Calibri"/>
          <w:lang w:val="sq-AL"/>
        </w:rPr>
        <w:t xml:space="preserve">periodë </w:t>
      </w:r>
      <w:r w:rsidR="000E7916" w:rsidRPr="00062169">
        <w:rPr>
          <w:rFonts w:ascii="Calibri" w:hAnsi="Calibri" w:cs="Calibri"/>
          <w:lang w:val="sq-AL"/>
        </w:rPr>
        <w:t>të</w:t>
      </w:r>
      <w:r w:rsidR="00D33785" w:rsidRPr="00062169">
        <w:rPr>
          <w:rFonts w:ascii="Calibri" w:hAnsi="Calibri" w:cs="Calibri"/>
          <w:lang w:val="sq-AL"/>
        </w:rPr>
        <w:t xml:space="preserve"> barazimit përfunditmar</w:t>
      </w:r>
      <w:r w:rsidR="00DF2D84" w:rsidRPr="00062169">
        <w:rPr>
          <w:rFonts w:ascii="Calibri" w:hAnsi="Calibri" w:cs="Calibri"/>
          <w:lang w:val="sq-AL"/>
        </w:rPr>
        <w:t xml:space="preserve"> </w:t>
      </w:r>
      <w:r w:rsidR="00AE3781" w:rsidRPr="00062169">
        <w:rPr>
          <w:rFonts w:ascii="Calibri" w:hAnsi="Calibri" w:cs="Calibri"/>
          <w:lang w:val="sq-AL"/>
        </w:rPr>
        <w:t>TSO</w:t>
      </w:r>
      <w:r w:rsidR="00DF2D84" w:rsidRPr="00062169">
        <w:rPr>
          <w:rFonts w:ascii="Calibri" w:hAnsi="Calibri" w:cs="Calibri"/>
          <w:lang w:val="sq-AL"/>
        </w:rPr>
        <w:t>-</w:t>
      </w:r>
      <w:r w:rsidR="00AE3781" w:rsidRPr="00062169">
        <w:rPr>
          <w:rFonts w:ascii="Calibri" w:hAnsi="Calibri" w:cs="Calibri"/>
          <w:lang w:val="sq-AL"/>
        </w:rPr>
        <w:t>TSO</w:t>
      </w:r>
      <w:r w:rsidRPr="00062169">
        <w:rPr>
          <w:rFonts w:ascii="Calibri" w:hAnsi="Calibri" w:cs="Calibri"/>
          <w:lang w:val="sq-AL"/>
        </w:rPr>
        <w:t>.</w:t>
      </w:r>
    </w:p>
    <w:p w:rsidR="006C447F" w:rsidRPr="00062169" w:rsidRDefault="005D64EC" w:rsidP="00900B3B">
      <w:pPr>
        <w:pStyle w:val="ListParagraph"/>
        <w:numPr>
          <w:ilvl w:val="0"/>
          <w:numId w:val="26"/>
        </w:numPr>
        <w:spacing w:after="0" w:line="276" w:lineRule="auto"/>
        <w:contextualSpacing w:val="0"/>
        <w:rPr>
          <w:rFonts w:ascii="Calibri" w:hAnsi="Calibri" w:cs="Calibri"/>
          <w:lang w:val="sq-AL"/>
        </w:rPr>
      </w:pPr>
      <w:r w:rsidRPr="00062169">
        <w:rPr>
          <w:rFonts w:ascii="Calibri" w:hAnsi="Calibri" w:cs="Calibri"/>
          <w:lang w:val="sq-AL"/>
        </w:rPr>
        <w:t>N</w:t>
      </w:r>
      <w:r w:rsidR="001A6733" w:rsidRPr="00062169">
        <w:rPr>
          <w:rFonts w:ascii="Calibri" w:hAnsi="Calibri" w:cs="Calibri"/>
          <w:lang w:val="sq-AL"/>
        </w:rPr>
        <w:t>ë</w:t>
      </w:r>
      <w:r w:rsidRPr="00062169">
        <w:rPr>
          <w:rFonts w:ascii="Calibri" w:hAnsi="Calibri" w:cs="Calibri"/>
          <w:lang w:val="sq-AL"/>
        </w:rPr>
        <w:t xml:space="preserve"> k</w:t>
      </w:r>
      <w:r w:rsidR="001A6733" w:rsidRPr="00062169">
        <w:rPr>
          <w:rFonts w:ascii="Calibri" w:hAnsi="Calibri" w:cs="Calibri"/>
          <w:lang w:val="sq-AL"/>
        </w:rPr>
        <w:t>ë</w:t>
      </w:r>
      <w:r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8F6101" w:rsidRPr="00062169">
        <w:rPr>
          <w:rFonts w:ascii="Calibri" w:hAnsi="Calibri" w:cs="Calibri"/>
          <w:lang w:val="sq-AL"/>
        </w:rPr>
        <w:t>CCFR</w:t>
      </w:r>
      <w:r w:rsidR="006C447F" w:rsidRPr="00062169">
        <w:rPr>
          <w:rFonts w:ascii="Calibri" w:hAnsi="Calibri" w:cs="Calibri"/>
          <w:lang w:val="sq-AL"/>
        </w:rPr>
        <w:t xml:space="preserve">, </w:t>
      </w:r>
      <w:r w:rsidRPr="00062169">
        <w:rPr>
          <w:rFonts w:ascii="Calibri" w:hAnsi="Calibri" w:cs="Calibri"/>
          <w:lang w:val="sq-AL"/>
        </w:rPr>
        <w:t>me p</w:t>
      </w:r>
      <w:r w:rsidR="001A6733" w:rsidRPr="00062169">
        <w:rPr>
          <w:rFonts w:ascii="Calibri" w:hAnsi="Calibri" w:cs="Calibri"/>
          <w:lang w:val="sq-AL"/>
        </w:rPr>
        <w:t>ë</w:t>
      </w:r>
      <w:r w:rsidRPr="00062169">
        <w:rPr>
          <w:rFonts w:ascii="Calibri" w:hAnsi="Calibri" w:cs="Calibri"/>
          <w:lang w:val="sq-AL"/>
        </w:rPr>
        <w:t>rjashtim t</w:t>
      </w:r>
      <w:r w:rsidR="001A6733" w:rsidRPr="00062169">
        <w:rPr>
          <w:rFonts w:ascii="Calibri" w:hAnsi="Calibri" w:cs="Calibri"/>
          <w:lang w:val="sq-AL"/>
        </w:rPr>
        <w:t>ë</w:t>
      </w:r>
      <w:r w:rsidRPr="00062169">
        <w:rPr>
          <w:rFonts w:ascii="Calibri" w:hAnsi="Calibri" w:cs="Calibri"/>
          <w:lang w:val="sq-AL"/>
        </w:rPr>
        <w:t xml:space="preserve"> rastit kur konteksti </w:t>
      </w:r>
      <w:r w:rsidR="00B23609" w:rsidRPr="00062169">
        <w:rPr>
          <w:rFonts w:ascii="Calibri" w:hAnsi="Calibri" w:cs="Calibri"/>
          <w:lang w:val="sq-AL"/>
        </w:rPr>
        <w:t xml:space="preserve">përshkruan </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kund</w:t>
      </w:r>
      <w:r w:rsidR="001A6733" w:rsidRPr="00062169">
        <w:rPr>
          <w:rFonts w:ascii="Calibri" w:hAnsi="Calibri" w:cs="Calibri"/>
          <w:lang w:val="sq-AL"/>
        </w:rPr>
        <w:t>ë</w:t>
      </w:r>
      <w:r w:rsidRPr="00062169">
        <w:rPr>
          <w:rFonts w:ascii="Calibri" w:hAnsi="Calibri" w:cs="Calibri"/>
          <w:lang w:val="sq-AL"/>
        </w:rPr>
        <w:t>rt</w:t>
      </w:r>
      <w:r w:rsidR="001A6733" w:rsidRPr="00062169">
        <w:rPr>
          <w:rFonts w:ascii="Calibri" w:hAnsi="Calibri" w:cs="Calibri"/>
          <w:lang w:val="sq-AL"/>
        </w:rPr>
        <w:t>ë</w:t>
      </w:r>
      <w:r w:rsidRPr="00062169">
        <w:rPr>
          <w:rFonts w:ascii="Calibri" w:hAnsi="Calibri" w:cs="Calibri"/>
          <w:lang w:val="sq-AL"/>
        </w:rPr>
        <w:t>n</w:t>
      </w:r>
      <w:r w:rsidR="006C447F" w:rsidRPr="00062169">
        <w:rPr>
          <w:rFonts w:ascii="Calibri" w:hAnsi="Calibri" w:cs="Calibri"/>
          <w:lang w:val="sq-AL"/>
        </w:rPr>
        <w:t xml:space="preserve">: </w:t>
      </w:r>
    </w:p>
    <w:p w:rsidR="007A791F" w:rsidRPr="00062169" w:rsidRDefault="005D64EC" w:rsidP="00900B3B">
      <w:pPr>
        <w:pStyle w:val="ListParagraph"/>
        <w:numPr>
          <w:ilvl w:val="1"/>
          <w:numId w:val="26"/>
        </w:numPr>
        <w:spacing w:after="0" w:line="276" w:lineRule="auto"/>
        <w:contextualSpacing w:val="0"/>
        <w:rPr>
          <w:rFonts w:ascii="Calibri" w:hAnsi="Calibri" w:cs="Calibri"/>
          <w:lang w:val="sq-AL"/>
        </w:rPr>
      </w:pPr>
      <w:r w:rsidRPr="00062169">
        <w:rPr>
          <w:rFonts w:ascii="Calibri" w:hAnsi="Calibri" w:cs="Calibri"/>
          <w:lang w:val="sq-AL"/>
        </w:rPr>
        <w:t>Çmimet p</w:t>
      </w:r>
      <w:r w:rsidR="001A6733" w:rsidRPr="00062169">
        <w:rPr>
          <w:rFonts w:ascii="Calibri" w:hAnsi="Calibri" w:cs="Calibri"/>
          <w:lang w:val="sq-AL"/>
        </w:rPr>
        <w:t>ë</w:t>
      </w:r>
      <w:r w:rsidRPr="00062169">
        <w:rPr>
          <w:rFonts w:ascii="Calibri" w:hAnsi="Calibri" w:cs="Calibri"/>
          <w:lang w:val="sq-AL"/>
        </w:rPr>
        <w:t>r shk</w:t>
      </w:r>
      <w:r w:rsidR="001A6733" w:rsidRPr="00062169">
        <w:rPr>
          <w:rFonts w:ascii="Calibri" w:hAnsi="Calibri" w:cs="Calibri"/>
          <w:lang w:val="sq-AL"/>
        </w:rPr>
        <w:t>ë</w:t>
      </w:r>
      <w:r w:rsidRPr="00062169">
        <w:rPr>
          <w:rFonts w:ascii="Calibri" w:hAnsi="Calibri" w:cs="Calibri"/>
          <w:lang w:val="sq-AL"/>
        </w:rPr>
        <w:t>mbimet e q</w:t>
      </w:r>
      <w:r w:rsidR="001A6733" w:rsidRPr="00062169">
        <w:rPr>
          <w:rFonts w:ascii="Calibri" w:hAnsi="Calibri" w:cs="Calibri"/>
          <w:lang w:val="sq-AL"/>
        </w:rPr>
        <w:t>ë</w:t>
      </w:r>
      <w:r w:rsidRPr="00062169">
        <w:rPr>
          <w:rFonts w:ascii="Calibri" w:hAnsi="Calibri" w:cs="Calibri"/>
          <w:lang w:val="sq-AL"/>
        </w:rPr>
        <w:t>llimshme t</w:t>
      </w:r>
      <w:r w:rsidR="001A6733" w:rsidRPr="00062169">
        <w:rPr>
          <w:rFonts w:ascii="Calibri" w:hAnsi="Calibri" w:cs="Calibri"/>
          <w:lang w:val="sq-AL"/>
        </w:rPr>
        <w:t>ë</w:t>
      </w:r>
      <w:r w:rsidRPr="00062169">
        <w:rPr>
          <w:rFonts w:ascii="Calibri" w:hAnsi="Calibri" w:cs="Calibri"/>
          <w:lang w:val="sq-AL"/>
        </w:rPr>
        <w:t xml:space="preserve"> energjis</w:t>
      </w:r>
      <w:r w:rsidR="001A6733" w:rsidRPr="00062169">
        <w:rPr>
          <w:rFonts w:ascii="Calibri" w:hAnsi="Calibri" w:cs="Calibri"/>
          <w:lang w:val="sq-AL"/>
        </w:rPr>
        <w:t>ë</w:t>
      </w:r>
      <w:r w:rsidRPr="00062169">
        <w:rPr>
          <w:rFonts w:ascii="Calibri" w:hAnsi="Calibri" w:cs="Calibri"/>
          <w:lang w:val="sq-AL"/>
        </w:rPr>
        <w:t xml:space="preserve"> jepen n</w:t>
      </w:r>
      <w:r w:rsidR="001A6733" w:rsidRPr="00062169">
        <w:rPr>
          <w:rFonts w:ascii="Calibri" w:hAnsi="Calibri" w:cs="Calibri"/>
          <w:lang w:val="sq-AL"/>
        </w:rPr>
        <w:t>ë</w:t>
      </w:r>
      <w:r w:rsidR="00E1506D" w:rsidRPr="00062169">
        <w:rPr>
          <w:rFonts w:ascii="Calibri" w:hAnsi="Calibri" w:cs="Calibri"/>
          <w:lang w:val="sq-AL"/>
        </w:rPr>
        <w:t xml:space="preserve"> </w:t>
      </w:r>
      <w:r w:rsidR="009848D5" w:rsidRPr="00062169">
        <w:rPr>
          <w:rFonts w:ascii="Calibri" w:hAnsi="Calibri" w:cs="Calibri"/>
          <w:lang w:val="sq-AL"/>
        </w:rPr>
        <w:t>EUR</w:t>
      </w:r>
      <w:r w:rsidR="000666D0" w:rsidRPr="00062169">
        <w:rPr>
          <w:rFonts w:ascii="Calibri" w:hAnsi="Calibri" w:cs="Calibri"/>
          <w:lang w:val="sq-AL"/>
        </w:rPr>
        <w:t>/M</w:t>
      </w:r>
      <w:r w:rsidR="00DF211D" w:rsidRPr="00062169">
        <w:rPr>
          <w:rFonts w:ascii="Calibri" w:hAnsi="Calibri" w:cs="Calibri"/>
          <w:lang w:val="sq-AL"/>
        </w:rPr>
        <w:t>W</w:t>
      </w:r>
      <w:r w:rsidR="000666D0" w:rsidRPr="00062169">
        <w:rPr>
          <w:rFonts w:ascii="Calibri" w:hAnsi="Calibri" w:cs="Calibri"/>
          <w:lang w:val="sq-AL"/>
        </w:rPr>
        <w:t>h;</w:t>
      </w:r>
    </w:p>
    <w:p w:rsidR="009F0DDF" w:rsidRPr="00062169" w:rsidRDefault="00126B8B" w:rsidP="00900B3B">
      <w:pPr>
        <w:pStyle w:val="ListParagraph"/>
        <w:numPr>
          <w:ilvl w:val="1"/>
          <w:numId w:val="26"/>
        </w:numPr>
        <w:spacing w:after="0" w:line="276" w:lineRule="auto"/>
        <w:contextualSpacing w:val="0"/>
        <w:rPr>
          <w:rFonts w:ascii="Calibri" w:hAnsi="Calibri" w:cs="Calibri"/>
          <w:lang w:val="sq-AL"/>
        </w:rPr>
      </w:pPr>
      <w:r w:rsidRPr="00062169">
        <w:rPr>
          <w:rFonts w:ascii="Calibri" w:hAnsi="Calibri" w:cs="Calibri"/>
          <w:lang w:val="sq-AL"/>
        </w:rPr>
        <w:t>'E</w:t>
      </w:r>
      <w:r w:rsidR="005D64EC" w:rsidRPr="00062169">
        <w:rPr>
          <w:rFonts w:ascii="Calibri" w:hAnsi="Calibri" w:cs="Calibri"/>
          <w:lang w:val="sq-AL"/>
        </w:rPr>
        <w:t>vropa Kontinentale</w:t>
      </w:r>
      <w:r w:rsidR="00F1142E" w:rsidRPr="00062169">
        <w:rPr>
          <w:rFonts w:ascii="Calibri" w:hAnsi="Calibri" w:cs="Calibri"/>
          <w:lang w:val="sq-AL"/>
        </w:rPr>
        <w:t>'</w:t>
      </w:r>
      <w:r w:rsidR="00E1506D" w:rsidRPr="00062169">
        <w:rPr>
          <w:rFonts w:ascii="Calibri" w:hAnsi="Calibri" w:cs="Calibri"/>
          <w:lang w:val="sq-AL"/>
        </w:rPr>
        <w:t xml:space="preserve"> </w:t>
      </w:r>
      <w:r w:rsidR="005D64EC" w:rsidRPr="00062169">
        <w:rPr>
          <w:rFonts w:ascii="Calibri" w:hAnsi="Calibri" w:cs="Calibri"/>
          <w:lang w:val="sq-AL"/>
        </w:rPr>
        <w:t xml:space="preserve">dhe </w:t>
      </w:r>
      <w:r w:rsidR="00A61B2C" w:rsidRPr="00062169">
        <w:rPr>
          <w:rFonts w:ascii="Calibri" w:hAnsi="Calibri" w:cs="Calibri"/>
          <w:lang w:val="sq-AL"/>
        </w:rPr>
        <w:t>‘SA CE’</w:t>
      </w:r>
      <w:r w:rsidR="00E1506D" w:rsidRPr="00062169">
        <w:rPr>
          <w:rFonts w:ascii="Calibri" w:hAnsi="Calibri" w:cs="Calibri"/>
          <w:lang w:val="sq-AL"/>
        </w:rPr>
        <w:t xml:space="preserve"> </w:t>
      </w:r>
      <w:r w:rsidR="005D64EC" w:rsidRPr="00062169">
        <w:rPr>
          <w:rFonts w:ascii="Calibri" w:hAnsi="Calibri" w:cs="Calibri"/>
          <w:lang w:val="sq-AL"/>
        </w:rPr>
        <w:t>n</w:t>
      </w:r>
      <w:r w:rsidR="001A6733" w:rsidRPr="00062169">
        <w:rPr>
          <w:rFonts w:ascii="Calibri" w:hAnsi="Calibri" w:cs="Calibri"/>
          <w:lang w:val="sq-AL"/>
        </w:rPr>
        <w:t>ë</w:t>
      </w:r>
      <w:r w:rsidR="005D64EC" w:rsidRPr="00062169">
        <w:rPr>
          <w:rFonts w:ascii="Calibri" w:hAnsi="Calibri" w:cs="Calibri"/>
          <w:lang w:val="sq-AL"/>
        </w:rPr>
        <w:t>nkuptojn</w:t>
      </w:r>
      <w:r w:rsidR="001A6733" w:rsidRPr="00062169">
        <w:rPr>
          <w:rFonts w:ascii="Calibri" w:hAnsi="Calibri" w:cs="Calibri"/>
          <w:lang w:val="sq-AL"/>
        </w:rPr>
        <w:t>ë</w:t>
      </w:r>
      <w:r w:rsidR="005D64EC" w:rsidRPr="00062169">
        <w:rPr>
          <w:rFonts w:ascii="Calibri" w:hAnsi="Calibri" w:cs="Calibri"/>
          <w:lang w:val="sq-AL"/>
        </w:rPr>
        <w:t xml:space="preserve"> Zon</w:t>
      </w:r>
      <w:r w:rsidR="001A6733" w:rsidRPr="00062169">
        <w:rPr>
          <w:rFonts w:ascii="Calibri" w:hAnsi="Calibri" w:cs="Calibri"/>
          <w:lang w:val="sq-AL"/>
        </w:rPr>
        <w:t>ë</w:t>
      </w:r>
      <w:r w:rsidR="005D64EC" w:rsidRPr="00062169">
        <w:rPr>
          <w:rFonts w:ascii="Calibri" w:hAnsi="Calibri" w:cs="Calibri"/>
          <w:lang w:val="sq-AL"/>
        </w:rPr>
        <w:t>n Sinkrone t</w:t>
      </w:r>
      <w:r w:rsidR="001A6733" w:rsidRPr="00062169">
        <w:rPr>
          <w:rFonts w:ascii="Calibri" w:hAnsi="Calibri" w:cs="Calibri"/>
          <w:lang w:val="sq-AL"/>
        </w:rPr>
        <w:t>ë</w:t>
      </w:r>
      <w:r w:rsidR="005D64EC" w:rsidRPr="00062169">
        <w:rPr>
          <w:rFonts w:ascii="Calibri" w:hAnsi="Calibri" w:cs="Calibri"/>
          <w:lang w:val="sq-AL"/>
        </w:rPr>
        <w:t xml:space="preserve"> Evrop</w:t>
      </w:r>
      <w:r w:rsidR="001A6733" w:rsidRPr="00062169">
        <w:rPr>
          <w:rFonts w:ascii="Calibri" w:hAnsi="Calibri" w:cs="Calibri"/>
          <w:lang w:val="sq-AL"/>
        </w:rPr>
        <w:t>ë</w:t>
      </w:r>
      <w:r w:rsidR="005D64EC" w:rsidRPr="00062169">
        <w:rPr>
          <w:rFonts w:ascii="Calibri" w:hAnsi="Calibri" w:cs="Calibri"/>
          <w:lang w:val="sq-AL"/>
        </w:rPr>
        <w:t>s Kontinentale</w:t>
      </w:r>
      <w:r w:rsidR="00A834E1" w:rsidRPr="00062169">
        <w:rPr>
          <w:rFonts w:ascii="Calibri" w:hAnsi="Calibri" w:cs="Calibri"/>
          <w:lang w:val="sq-AL"/>
        </w:rPr>
        <w:t>.</w:t>
      </w:r>
    </w:p>
    <w:p w:rsidR="009F0DDF" w:rsidRPr="00062169" w:rsidRDefault="005D64EC" w:rsidP="00900B3B">
      <w:pPr>
        <w:pStyle w:val="ListParagraph"/>
        <w:numPr>
          <w:ilvl w:val="0"/>
          <w:numId w:val="26"/>
        </w:numPr>
        <w:spacing w:after="0" w:line="276" w:lineRule="auto"/>
        <w:contextualSpacing w:val="0"/>
        <w:rPr>
          <w:rFonts w:ascii="Calibri" w:hAnsi="Calibri" w:cs="Calibri"/>
          <w:lang w:val="sq-AL"/>
        </w:rPr>
      </w:pPr>
      <w:r w:rsidRPr="00062169">
        <w:rPr>
          <w:rFonts w:ascii="Calibri" w:hAnsi="Calibri" w:cs="Calibri"/>
          <w:lang w:val="sq-AL"/>
        </w:rPr>
        <w:t>Gjithashtu, me p</w:t>
      </w:r>
      <w:r w:rsidR="001A6733" w:rsidRPr="00062169">
        <w:rPr>
          <w:rFonts w:ascii="Calibri" w:hAnsi="Calibri" w:cs="Calibri"/>
          <w:lang w:val="sq-AL"/>
        </w:rPr>
        <w:t>ë</w:t>
      </w:r>
      <w:r w:rsidRPr="00062169">
        <w:rPr>
          <w:rFonts w:ascii="Calibri" w:hAnsi="Calibri" w:cs="Calibri"/>
          <w:lang w:val="sq-AL"/>
        </w:rPr>
        <w:t>rjashtim t</w:t>
      </w:r>
      <w:r w:rsidR="001A6733" w:rsidRPr="00062169">
        <w:rPr>
          <w:rFonts w:ascii="Calibri" w:hAnsi="Calibri" w:cs="Calibri"/>
          <w:lang w:val="sq-AL"/>
        </w:rPr>
        <w:t>ë</w:t>
      </w:r>
      <w:r w:rsidRPr="00062169">
        <w:rPr>
          <w:rFonts w:ascii="Calibri" w:hAnsi="Calibri" w:cs="Calibri"/>
          <w:lang w:val="sq-AL"/>
        </w:rPr>
        <w:t xml:space="preserve"> rastit kur konteksti k</w:t>
      </w:r>
      <w:r w:rsidR="001A6733" w:rsidRPr="00062169">
        <w:rPr>
          <w:rFonts w:ascii="Calibri" w:hAnsi="Calibri" w:cs="Calibri"/>
          <w:lang w:val="sq-AL"/>
        </w:rPr>
        <w:t>ë</w:t>
      </w:r>
      <w:r w:rsidRPr="00062169">
        <w:rPr>
          <w:rFonts w:ascii="Calibri" w:hAnsi="Calibri" w:cs="Calibri"/>
          <w:lang w:val="sq-AL"/>
        </w:rPr>
        <w:t>rkon t</w:t>
      </w:r>
      <w:r w:rsidR="001A6733" w:rsidRPr="00062169">
        <w:rPr>
          <w:rFonts w:ascii="Calibri" w:hAnsi="Calibri" w:cs="Calibri"/>
          <w:lang w:val="sq-AL"/>
        </w:rPr>
        <w:t>ë</w:t>
      </w:r>
      <w:r w:rsidRPr="00062169">
        <w:rPr>
          <w:rFonts w:ascii="Calibri" w:hAnsi="Calibri" w:cs="Calibri"/>
          <w:lang w:val="sq-AL"/>
        </w:rPr>
        <w:t xml:space="preserve"> kund</w:t>
      </w:r>
      <w:r w:rsidR="001A6733" w:rsidRPr="00062169">
        <w:rPr>
          <w:rFonts w:ascii="Calibri" w:hAnsi="Calibri" w:cs="Calibri"/>
          <w:lang w:val="sq-AL"/>
        </w:rPr>
        <w:t>ë</w:t>
      </w:r>
      <w:r w:rsidRPr="00062169">
        <w:rPr>
          <w:rFonts w:ascii="Calibri" w:hAnsi="Calibri" w:cs="Calibri"/>
          <w:lang w:val="sq-AL"/>
        </w:rPr>
        <w:t>rt</w:t>
      </w:r>
      <w:r w:rsidR="001A6733" w:rsidRPr="00062169">
        <w:rPr>
          <w:rFonts w:ascii="Calibri" w:hAnsi="Calibri" w:cs="Calibri"/>
          <w:lang w:val="sq-AL"/>
        </w:rPr>
        <w:t>ë</w:t>
      </w:r>
      <w:r w:rsidRPr="00062169">
        <w:rPr>
          <w:rFonts w:ascii="Calibri" w:hAnsi="Calibri" w:cs="Calibri"/>
          <w:lang w:val="sq-AL"/>
        </w:rPr>
        <w:t>n</w:t>
      </w:r>
      <w:r w:rsidR="009F0DDF" w:rsidRPr="00062169">
        <w:rPr>
          <w:rFonts w:ascii="Calibri" w:hAnsi="Calibri" w:cs="Calibri"/>
          <w:lang w:val="sq-AL"/>
        </w:rPr>
        <w:t xml:space="preserve">: </w:t>
      </w:r>
    </w:p>
    <w:p w:rsidR="009F0DDF" w:rsidRPr="00062169" w:rsidRDefault="005D64EC" w:rsidP="00900B3B">
      <w:pPr>
        <w:pStyle w:val="ListParagraph"/>
        <w:numPr>
          <w:ilvl w:val="1"/>
          <w:numId w:val="26"/>
        </w:numPr>
        <w:spacing w:after="0" w:line="276" w:lineRule="auto"/>
        <w:contextualSpacing w:val="0"/>
        <w:rPr>
          <w:rFonts w:ascii="Calibri" w:hAnsi="Calibri" w:cs="Calibri"/>
          <w:lang w:val="sq-AL"/>
        </w:rPr>
      </w:pPr>
      <w:r w:rsidRPr="00062169">
        <w:rPr>
          <w:rFonts w:ascii="Calibri" w:hAnsi="Calibri" w:cs="Calibri"/>
          <w:lang w:val="sq-AL"/>
        </w:rPr>
        <w:t>njëjësi tregon shumësin dhe anasjelltas</w:t>
      </w:r>
      <w:r w:rsidR="009F0DDF" w:rsidRPr="00062169">
        <w:rPr>
          <w:rFonts w:ascii="Calibri" w:hAnsi="Calibri" w:cs="Calibri"/>
          <w:lang w:val="sq-AL"/>
        </w:rPr>
        <w:t>;</w:t>
      </w:r>
    </w:p>
    <w:p w:rsidR="009F0DDF" w:rsidRPr="00062169" w:rsidRDefault="005D64EC" w:rsidP="00900B3B">
      <w:pPr>
        <w:pStyle w:val="ListParagraph"/>
        <w:numPr>
          <w:ilvl w:val="1"/>
          <w:numId w:val="26"/>
        </w:numPr>
        <w:spacing w:after="0" w:line="276" w:lineRule="auto"/>
        <w:contextualSpacing w:val="0"/>
        <w:rPr>
          <w:rFonts w:ascii="Calibri" w:hAnsi="Calibri" w:cs="Calibri"/>
          <w:lang w:val="sq-AL"/>
        </w:rPr>
      </w:pPr>
      <w:r w:rsidRPr="00062169">
        <w:rPr>
          <w:rFonts w:ascii="Calibri" w:hAnsi="Calibri" w:cs="Calibri"/>
          <w:lang w:val="sq-AL"/>
        </w:rPr>
        <w:t xml:space="preserve">tabela e përmbajtjeve dhe titujt vendosen vetëm për lehtësi dhe nuk ndikojnë në interpretimin e </w:t>
      </w:r>
      <w:r w:rsidR="009B3D95" w:rsidRPr="00062169">
        <w:rPr>
          <w:rFonts w:ascii="Calibri" w:hAnsi="Calibri" w:cs="Calibri"/>
          <w:lang w:val="sq-AL"/>
        </w:rPr>
        <w:t xml:space="preserve">këtij </w:t>
      </w:r>
      <w:r w:rsidR="008F6101" w:rsidRPr="00062169">
        <w:rPr>
          <w:rFonts w:ascii="Calibri" w:hAnsi="Calibri" w:cs="Calibri"/>
          <w:lang w:val="sq-AL"/>
        </w:rPr>
        <w:t>CCFR</w:t>
      </w:r>
      <w:r w:rsidR="009F0DDF" w:rsidRPr="00062169">
        <w:rPr>
          <w:rFonts w:ascii="Calibri" w:hAnsi="Calibri" w:cs="Calibri"/>
          <w:lang w:val="sq-AL"/>
        </w:rPr>
        <w:t xml:space="preserve">; </w:t>
      </w:r>
    </w:p>
    <w:p w:rsidR="009F0DDF" w:rsidRPr="00062169" w:rsidRDefault="005D64EC" w:rsidP="00900B3B">
      <w:pPr>
        <w:pStyle w:val="ListParagraph"/>
        <w:numPr>
          <w:ilvl w:val="1"/>
          <w:numId w:val="26"/>
        </w:numPr>
        <w:spacing w:after="0" w:line="276" w:lineRule="auto"/>
        <w:contextualSpacing w:val="0"/>
        <w:rPr>
          <w:rFonts w:ascii="Calibri" w:hAnsi="Calibri" w:cs="Calibri"/>
          <w:lang w:val="sq-AL"/>
        </w:rPr>
      </w:pPr>
      <w:r w:rsidRPr="00062169">
        <w:rPr>
          <w:rFonts w:ascii="Calibri" w:hAnsi="Calibri" w:cs="Calibri"/>
          <w:lang w:val="sq-AL"/>
        </w:rPr>
        <w:t>çdo referencë në legjislacion, rregullore, direktivë, urdhër, instrument, kod ose ndonjë akt tjetër do të përfshijë çdo modifikim, zgjatje</w:t>
      </w:r>
      <w:r w:rsidR="009A437D" w:rsidRPr="00062169">
        <w:rPr>
          <w:rFonts w:ascii="Calibri" w:hAnsi="Calibri" w:cs="Calibri"/>
          <w:lang w:val="sq-AL"/>
        </w:rPr>
        <w:t xml:space="preserve"> afati</w:t>
      </w:r>
      <w:r w:rsidRPr="00062169">
        <w:rPr>
          <w:rFonts w:ascii="Calibri" w:hAnsi="Calibri" w:cs="Calibri"/>
          <w:lang w:val="sq-AL"/>
        </w:rPr>
        <w:t xml:space="preserve"> ose ri-miratim të tij në fuqi</w:t>
      </w:r>
      <w:r w:rsidR="009F0DDF" w:rsidRPr="00062169">
        <w:rPr>
          <w:rFonts w:ascii="Calibri" w:hAnsi="Calibri" w:cs="Calibri"/>
          <w:lang w:val="sq-AL"/>
        </w:rPr>
        <w:t xml:space="preserve">. </w:t>
      </w:r>
    </w:p>
    <w:p w:rsidR="00FA2C36" w:rsidRPr="00062169" w:rsidRDefault="00B23609" w:rsidP="00900B3B">
      <w:pPr>
        <w:pStyle w:val="textregular"/>
        <w:numPr>
          <w:ilvl w:val="0"/>
          <w:numId w:val="26"/>
        </w:numPr>
        <w:spacing w:after="0" w:line="276" w:lineRule="auto"/>
        <w:jc w:val="both"/>
        <w:rPr>
          <w:rFonts w:ascii="Calibri" w:hAnsi="Calibri" w:cs="Calibri"/>
          <w:lang w:val="sq-AL"/>
        </w:rPr>
      </w:pPr>
      <w:r w:rsidRPr="00062169">
        <w:rPr>
          <w:rFonts w:ascii="Calibri" w:hAnsi="Calibri" w:cs="Calibri"/>
          <w:lang w:val="sq-AL"/>
        </w:rPr>
        <w:t xml:space="preserve">Barazimi përfundimtar </w:t>
      </w:r>
      <w:r w:rsidR="005D64EC" w:rsidRPr="00062169">
        <w:rPr>
          <w:rFonts w:ascii="Calibri" w:hAnsi="Calibri" w:cs="Calibri"/>
          <w:lang w:val="sq-AL"/>
        </w:rPr>
        <w:t xml:space="preserve">sipas Nenit </w:t>
      </w:r>
      <w:r w:rsidR="00FA2C36" w:rsidRPr="00062169">
        <w:rPr>
          <w:rFonts w:ascii="Calibri" w:hAnsi="Calibri" w:cs="Calibri"/>
          <w:lang w:val="sq-AL"/>
        </w:rPr>
        <w:t>3(</w:t>
      </w:r>
      <w:r w:rsidR="00C1009D" w:rsidRPr="00062169">
        <w:rPr>
          <w:rFonts w:ascii="Calibri" w:hAnsi="Calibri" w:cs="Calibri"/>
          <w:lang w:val="sq-AL"/>
        </w:rPr>
        <w:t>8</w:t>
      </w:r>
      <w:r w:rsidR="00FA2C36" w:rsidRPr="00062169">
        <w:rPr>
          <w:rFonts w:ascii="Calibri" w:hAnsi="Calibri" w:cs="Calibri"/>
          <w:lang w:val="sq-AL"/>
        </w:rPr>
        <w:t xml:space="preserve">) </w:t>
      </w:r>
      <w:r w:rsidR="005D64EC" w:rsidRPr="00062169">
        <w:rPr>
          <w:rFonts w:ascii="Calibri" w:hAnsi="Calibri" w:cs="Calibri"/>
          <w:lang w:val="sq-AL"/>
        </w:rPr>
        <w:t xml:space="preserve">dhe </w:t>
      </w:r>
      <w:r w:rsidR="00B24AAD" w:rsidRPr="00062169">
        <w:rPr>
          <w:rFonts w:ascii="Calibri" w:hAnsi="Calibri" w:cs="Calibri"/>
          <w:lang w:val="sq-AL"/>
        </w:rPr>
        <w:t>3</w:t>
      </w:r>
      <w:r w:rsidR="00FA2C36" w:rsidRPr="00062169">
        <w:rPr>
          <w:rFonts w:ascii="Calibri" w:hAnsi="Calibri" w:cs="Calibri"/>
          <w:lang w:val="sq-AL"/>
        </w:rPr>
        <w:t>(</w:t>
      </w:r>
      <w:r w:rsidR="00C1009D" w:rsidRPr="00062169">
        <w:rPr>
          <w:rFonts w:ascii="Calibri" w:hAnsi="Calibri" w:cs="Calibri"/>
          <w:lang w:val="sq-AL"/>
        </w:rPr>
        <w:t>9</w:t>
      </w:r>
      <w:r w:rsidR="00FA2C36" w:rsidRPr="00062169">
        <w:rPr>
          <w:rFonts w:ascii="Calibri" w:hAnsi="Calibri" w:cs="Calibri"/>
          <w:lang w:val="sq-AL"/>
        </w:rPr>
        <w:t xml:space="preserve">) </w:t>
      </w:r>
      <w:r w:rsidR="005D64EC" w:rsidRPr="00062169">
        <w:rPr>
          <w:rFonts w:ascii="Calibri" w:hAnsi="Calibri" w:cs="Calibri"/>
          <w:lang w:val="sq-AL"/>
        </w:rPr>
        <w:t>t</w:t>
      </w:r>
      <w:r w:rsidR="001A6733" w:rsidRPr="00062169">
        <w:rPr>
          <w:rFonts w:ascii="Calibri" w:hAnsi="Calibri" w:cs="Calibri"/>
          <w:lang w:val="sq-AL"/>
        </w:rPr>
        <w:t>ë</w:t>
      </w:r>
      <w:r w:rsidR="005D64EC" w:rsidRPr="00062169">
        <w:rPr>
          <w:rFonts w:ascii="Calibri" w:hAnsi="Calibri" w:cs="Calibri"/>
          <w:lang w:val="sq-AL"/>
        </w:rPr>
        <w:t xml:space="preserve"> </w:t>
      </w:r>
      <w:r w:rsidR="009B3D95" w:rsidRPr="00062169">
        <w:rPr>
          <w:rFonts w:ascii="Calibri" w:hAnsi="Calibri" w:cs="Calibri"/>
          <w:lang w:val="sq-AL"/>
        </w:rPr>
        <w:t xml:space="preserve">këtij </w:t>
      </w:r>
      <w:r w:rsidR="00FA2C36" w:rsidRPr="00062169">
        <w:rPr>
          <w:rFonts w:ascii="Calibri" w:hAnsi="Calibri" w:cs="Calibri"/>
          <w:lang w:val="sq-AL"/>
        </w:rPr>
        <w:t xml:space="preserve">CCFR </w:t>
      </w:r>
      <w:r w:rsidR="005D64EC" w:rsidRPr="00062169">
        <w:rPr>
          <w:rFonts w:ascii="Calibri" w:hAnsi="Calibri" w:cs="Calibri"/>
          <w:lang w:val="sq-AL"/>
        </w:rPr>
        <w:t>duhet t</w:t>
      </w:r>
      <w:r w:rsidR="001A6733" w:rsidRPr="00062169">
        <w:rPr>
          <w:rFonts w:ascii="Calibri" w:hAnsi="Calibri" w:cs="Calibri"/>
          <w:lang w:val="sq-AL"/>
        </w:rPr>
        <w:t>ë</w:t>
      </w:r>
      <w:r w:rsidR="005D64EC" w:rsidRPr="00062169">
        <w:rPr>
          <w:rFonts w:ascii="Calibri" w:hAnsi="Calibri" w:cs="Calibri"/>
          <w:lang w:val="sq-AL"/>
        </w:rPr>
        <w:t xml:space="preserve"> p</w:t>
      </w:r>
      <w:r w:rsidR="001A6733" w:rsidRPr="00062169">
        <w:rPr>
          <w:rFonts w:ascii="Calibri" w:hAnsi="Calibri" w:cs="Calibri"/>
          <w:lang w:val="sq-AL"/>
        </w:rPr>
        <w:t>ë</w:t>
      </w:r>
      <w:r w:rsidR="005D64EC" w:rsidRPr="00062169">
        <w:rPr>
          <w:rFonts w:ascii="Calibri" w:hAnsi="Calibri" w:cs="Calibri"/>
          <w:lang w:val="sq-AL"/>
        </w:rPr>
        <w:t>rputhet me konvent</w:t>
      </w:r>
      <w:r w:rsidR="001A6733" w:rsidRPr="00062169">
        <w:rPr>
          <w:rFonts w:ascii="Calibri" w:hAnsi="Calibri" w:cs="Calibri"/>
          <w:lang w:val="sq-AL"/>
        </w:rPr>
        <w:t>ë</w:t>
      </w:r>
      <w:r w:rsidR="005D64EC" w:rsidRPr="00062169">
        <w:rPr>
          <w:rFonts w:ascii="Calibri" w:hAnsi="Calibri" w:cs="Calibri"/>
          <w:lang w:val="sq-AL"/>
        </w:rPr>
        <w:t>n e shenjave n</w:t>
      </w:r>
      <w:r w:rsidR="001A6733" w:rsidRPr="00062169">
        <w:rPr>
          <w:rFonts w:ascii="Calibri" w:hAnsi="Calibri" w:cs="Calibri"/>
          <w:lang w:val="sq-AL"/>
        </w:rPr>
        <w:t>ë</w:t>
      </w:r>
      <w:r w:rsidR="005D64EC" w:rsidRPr="00062169">
        <w:rPr>
          <w:rFonts w:ascii="Calibri" w:hAnsi="Calibri" w:cs="Calibri"/>
          <w:lang w:val="sq-AL"/>
        </w:rPr>
        <w:t xml:space="preserve"> Tabel</w:t>
      </w:r>
      <w:r w:rsidR="001A6733" w:rsidRPr="00062169">
        <w:rPr>
          <w:rFonts w:ascii="Calibri" w:hAnsi="Calibri" w:cs="Calibri"/>
          <w:lang w:val="sq-AL"/>
        </w:rPr>
        <w:t>ë</w:t>
      </w:r>
      <w:r w:rsidR="005D64EC" w:rsidRPr="00062169">
        <w:rPr>
          <w:rFonts w:ascii="Calibri" w:hAnsi="Calibri" w:cs="Calibri"/>
          <w:lang w:val="sq-AL"/>
        </w:rPr>
        <w:t>n 1</w:t>
      </w:r>
      <w:r w:rsidR="00FA2C36" w:rsidRPr="00062169">
        <w:rPr>
          <w:rFonts w:ascii="Calibri" w:hAnsi="Calibri" w:cs="Calibri"/>
          <w:lang w:val="sq-AL"/>
        </w:rPr>
        <w:t>:</w:t>
      </w:r>
    </w:p>
    <w:p w:rsidR="00FA2C36" w:rsidRPr="00191E59" w:rsidRDefault="005D64EC" w:rsidP="00900B3B">
      <w:pPr>
        <w:pStyle w:val="Caption"/>
        <w:keepNext/>
        <w:spacing w:after="0" w:line="276" w:lineRule="auto"/>
        <w:jc w:val="center"/>
        <w:rPr>
          <w:rFonts w:ascii="Calibri" w:hAnsi="Calibri" w:cs="Calibri"/>
          <w:color w:val="auto"/>
          <w:sz w:val="20"/>
          <w:szCs w:val="20"/>
          <w:lang w:val="sq-AL"/>
        </w:rPr>
      </w:pPr>
      <w:r w:rsidRPr="00191E59">
        <w:rPr>
          <w:rFonts w:ascii="Calibri" w:hAnsi="Calibri" w:cs="Calibri"/>
          <w:color w:val="auto"/>
          <w:sz w:val="20"/>
          <w:szCs w:val="20"/>
          <w:lang w:val="sq-AL"/>
        </w:rPr>
        <w:t xml:space="preserve">Tabela 1 </w:t>
      </w:r>
      <w:r w:rsidR="008E247B" w:rsidRPr="00191E59">
        <w:rPr>
          <w:rFonts w:ascii="Calibri" w:hAnsi="Calibri" w:cs="Calibri"/>
          <w:color w:val="auto"/>
          <w:sz w:val="20"/>
          <w:szCs w:val="20"/>
          <w:lang w:val="sq-AL"/>
        </w:rPr>
        <w:t>Rrjedha e</w:t>
      </w:r>
      <w:r w:rsidRPr="00191E59">
        <w:rPr>
          <w:rFonts w:ascii="Calibri" w:hAnsi="Calibri" w:cs="Calibri"/>
          <w:color w:val="auto"/>
          <w:sz w:val="20"/>
          <w:szCs w:val="20"/>
          <w:lang w:val="sq-AL"/>
        </w:rPr>
        <w:t xml:space="preserve"> pagesës për </w:t>
      </w:r>
      <w:r w:rsidR="00CA4437" w:rsidRPr="00191E59">
        <w:rPr>
          <w:rFonts w:ascii="Calibri" w:hAnsi="Calibri" w:cs="Calibri"/>
          <w:color w:val="auto"/>
          <w:sz w:val="20"/>
          <w:szCs w:val="20"/>
          <w:lang w:val="sq-AL"/>
        </w:rPr>
        <w:t xml:space="preserve">barazimin përfundimtar të </w:t>
      </w:r>
      <w:r w:rsidR="00AE3781" w:rsidRPr="00191E59">
        <w:rPr>
          <w:rFonts w:ascii="Calibri" w:hAnsi="Calibri" w:cs="Calibri"/>
          <w:color w:val="auto"/>
          <w:sz w:val="20"/>
          <w:szCs w:val="20"/>
          <w:lang w:val="sq-AL"/>
        </w:rPr>
        <w:t>TSO</w:t>
      </w:r>
      <w:r w:rsidRPr="00191E59">
        <w:rPr>
          <w:rFonts w:ascii="Calibri" w:hAnsi="Calibri" w:cs="Calibri"/>
          <w:color w:val="auto"/>
          <w:sz w:val="20"/>
          <w:szCs w:val="20"/>
          <w:lang w:val="sq-AL"/>
        </w:rPr>
        <w:t xml:space="preserve">-së sipas </w:t>
      </w:r>
      <w:r w:rsidR="00FA2C36" w:rsidRPr="00191E59">
        <w:rPr>
          <w:rFonts w:ascii="Calibri" w:hAnsi="Calibri" w:cs="Calibri"/>
          <w:color w:val="auto"/>
          <w:sz w:val="20"/>
          <w:szCs w:val="20"/>
          <w:lang w:val="sq-AL"/>
        </w:rPr>
        <w:t>CCFR</w:t>
      </w:r>
    </w:p>
    <w:p w:rsidR="00D21F08" w:rsidRPr="00062169" w:rsidRDefault="00D21F08" w:rsidP="00900B3B">
      <w:pPr>
        <w:spacing w:line="276" w:lineRule="auto"/>
        <w:rPr>
          <w:rFonts w:ascii="Calibri" w:hAnsi="Calibri" w:cs="Calibri"/>
          <w:lang w:val="sq-AL"/>
        </w:rPr>
      </w:pPr>
    </w:p>
    <w:tbl>
      <w:tblPr>
        <w:tblStyle w:val="Tabelraster1"/>
        <w:tblW w:w="0" w:type="auto"/>
        <w:tblInd w:w="421" w:type="dxa"/>
        <w:tblLook w:val="04A0" w:firstRow="1" w:lastRow="0" w:firstColumn="1" w:lastColumn="0" w:noHBand="0" w:noVBand="1"/>
      </w:tblPr>
      <w:tblGrid>
        <w:gridCol w:w="2664"/>
        <w:gridCol w:w="2864"/>
        <w:gridCol w:w="2977"/>
      </w:tblGrid>
      <w:tr w:rsidR="00FA2C36" w:rsidRPr="00062169" w:rsidTr="00E91EB7">
        <w:tc>
          <w:tcPr>
            <w:tcW w:w="2664" w:type="dxa"/>
            <w:tcBorders>
              <w:top w:val="nil"/>
              <w:left w:val="nil"/>
              <w:bottom w:val="single" w:sz="4" w:space="0" w:color="auto"/>
              <w:right w:val="single" w:sz="4" w:space="0" w:color="auto"/>
            </w:tcBorders>
          </w:tcPr>
          <w:p w:rsidR="00FA2C36" w:rsidRPr="00062169" w:rsidRDefault="00FA2C36" w:rsidP="00900B3B">
            <w:pPr>
              <w:spacing w:line="276" w:lineRule="auto"/>
              <w:jc w:val="both"/>
              <w:rPr>
                <w:rFonts w:ascii="Calibri" w:hAnsi="Calibri" w:cs="Calibri"/>
                <w:lang w:val="sq-AL"/>
              </w:rPr>
            </w:pPr>
          </w:p>
        </w:tc>
        <w:tc>
          <w:tcPr>
            <w:tcW w:w="2864" w:type="dxa"/>
            <w:tcBorders>
              <w:top w:val="single" w:sz="4" w:space="0" w:color="auto"/>
              <w:left w:val="single" w:sz="4" w:space="0" w:color="auto"/>
              <w:bottom w:val="single" w:sz="4" w:space="0" w:color="auto"/>
              <w:right w:val="single" w:sz="4" w:space="0" w:color="auto"/>
            </w:tcBorders>
            <w:hideMark/>
          </w:tcPr>
          <w:p w:rsidR="00FA2C36" w:rsidRPr="00191E59" w:rsidRDefault="005D64EC" w:rsidP="00AE3781">
            <w:pPr>
              <w:spacing w:line="276" w:lineRule="auto"/>
              <w:jc w:val="center"/>
              <w:rPr>
                <w:rFonts w:ascii="Calibri" w:hAnsi="Calibri" w:cs="Calibri"/>
                <w:sz w:val="20"/>
                <w:szCs w:val="20"/>
                <w:lang w:val="sq-AL"/>
              </w:rPr>
            </w:pPr>
            <w:r w:rsidRPr="00191E59">
              <w:rPr>
                <w:rFonts w:ascii="Calibri" w:hAnsi="Calibri" w:cs="Calibri"/>
                <w:sz w:val="20"/>
                <w:szCs w:val="20"/>
                <w:lang w:val="sq-AL"/>
              </w:rPr>
              <w:t xml:space="preserve">Çmimi i </w:t>
            </w:r>
            <w:r w:rsidR="0045480A" w:rsidRPr="00191E59">
              <w:rPr>
                <w:rFonts w:ascii="Calibri" w:hAnsi="Calibri" w:cs="Calibri"/>
                <w:sz w:val="20"/>
                <w:szCs w:val="20"/>
                <w:lang w:val="sq-AL"/>
              </w:rPr>
              <w:t>barazimi</w:t>
            </w:r>
            <w:r w:rsidR="007C17C7" w:rsidRPr="00191E59">
              <w:rPr>
                <w:rFonts w:ascii="Calibri" w:hAnsi="Calibri" w:cs="Calibri"/>
                <w:sz w:val="20"/>
                <w:szCs w:val="20"/>
                <w:lang w:val="sq-AL"/>
              </w:rPr>
              <w:t>t</w:t>
            </w:r>
            <w:r w:rsidR="0045480A" w:rsidRPr="00191E59">
              <w:rPr>
                <w:rFonts w:ascii="Calibri" w:hAnsi="Calibri" w:cs="Calibri"/>
                <w:sz w:val="20"/>
                <w:szCs w:val="20"/>
                <w:lang w:val="sq-AL"/>
              </w:rPr>
              <w:t xml:space="preserve"> përfundimtar </w:t>
            </w:r>
            <w:r w:rsidR="00AE3781" w:rsidRPr="00191E59">
              <w:rPr>
                <w:rFonts w:ascii="Calibri" w:hAnsi="Calibri" w:cs="Calibri"/>
                <w:sz w:val="20"/>
                <w:szCs w:val="20"/>
                <w:lang w:val="sq-AL"/>
              </w:rPr>
              <w:t>TSO</w:t>
            </w:r>
            <w:r w:rsidRPr="00191E59">
              <w:rPr>
                <w:rFonts w:ascii="Calibri" w:hAnsi="Calibri" w:cs="Calibri"/>
                <w:sz w:val="20"/>
                <w:szCs w:val="20"/>
                <w:lang w:val="sq-AL"/>
              </w:rPr>
              <w:t>-</w:t>
            </w:r>
            <w:r w:rsidR="00AE3781" w:rsidRPr="00191E59">
              <w:rPr>
                <w:rFonts w:ascii="Calibri" w:hAnsi="Calibri" w:cs="Calibri"/>
                <w:sz w:val="20"/>
                <w:szCs w:val="20"/>
                <w:lang w:val="sq-AL"/>
              </w:rPr>
              <w:t>TSO</w:t>
            </w:r>
            <w:r w:rsidRPr="00191E59">
              <w:rPr>
                <w:rFonts w:ascii="Calibri" w:hAnsi="Calibri" w:cs="Calibri"/>
                <w:sz w:val="20"/>
                <w:szCs w:val="20"/>
                <w:lang w:val="sq-AL"/>
              </w:rPr>
              <w:t>: pozitiv</w:t>
            </w:r>
          </w:p>
        </w:tc>
        <w:tc>
          <w:tcPr>
            <w:tcW w:w="2977" w:type="dxa"/>
            <w:tcBorders>
              <w:top w:val="single" w:sz="4" w:space="0" w:color="auto"/>
              <w:left w:val="single" w:sz="4" w:space="0" w:color="auto"/>
              <w:bottom w:val="single" w:sz="4" w:space="0" w:color="auto"/>
              <w:right w:val="single" w:sz="4" w:space="0" w:color="auto"/>
            </w:tcBorders>
            <w:hideMark/>
          </w:tcPr>
          <w:p w:rsidR="00FA2C36" w:rsidRPr="00191E59" w:rsidRDefault="005D64EC" w:rsidP="00AE3781">
            <w:pPr>
              <w:spacing w:line="276" w:lineRule="auto"/>
              <w:jc w:val="center"/>
              <w:rPr>
                <w:rFonts w:ascii="Calibri" w:hAnsi="Calibri" w:cs="Calibri"/>
                <w:sz w:val="20"/>
                <w:szCs w:val="20"/>
                <w:lang w:val="sq-AL"/>
              </w:rPr>
            </w:pPr>
            <w:r w:rsidRPr="00191E59">
              <w:rPr>
                <w:rFonts w:ascii="Calibri" w:hAnsi="Calibri" w:cs="Calibri"/>
                <w:sz w:val="20"/>
                <w:szCs w:val="20"/>
                <w:lang w:val="sq-AL"/>
              </w:rPr>
              <w:t xml:space="preserve">Çmimi i </w:t>
            </w:r>
            <w:r w:rsidR="0045480A" w:rsidRPr="00191E59">
              <w:rPr>
                <w:rFonts w:ascii="Calibri" w:hAnsi="Calibri" w:cs="Calibri"/>
                <w:sz w:val="20"/>
                <w:szCs w:val="20"/>
                <w:lang w:val="sq-AL"/>
              </w:rPr>
              <w:t>barazimi</w:t>
            </w:r>
            <w:r w:rsidR="007C17C7" w:rsidRPr="00191E59">
              <w:rPr>
                <w:rFonts w:ascii="Calibri" w:hAnsi="Calibri" w:cs="Calibri"/>
                <w:sz w:val="20"/>
                <w:szCs w:val="20"/>
                <w:lang w:val="sq-AL"/>
              </w:rPr>
              <w:t>t</w:t>
            </w:r>
            <w:r w:rsidR="0045480A" w:rsidRPr="00191E59">
              <w:rPr>
                <w:rFonts w:ascii="Calibri" w:hAnsi="Calibri" w:cs="Calibri"/>
                <w:sz w:val="20"/>
                <w:szCs w:val="20"/>
                <w:lang w:val="sq-AL"/>
              </w:rPr>
              <w:t xml:space="preserve"> përfundimtar </w:t>
            </w:r>
            <w:r w:rsidR="00AE3781" w:rsidRPr="00191E59">
              <w:rPr>
                <w:rFonts w:ascii="Calibri" w:hAnsi="Calibri" w:cs="Calibri"/>
                <w:sz w:val="20"/>
                <w:szCs w:val="20"/>
                <w:lang w:val="sq-AL"/>
              </w:rPr>
              <w:t>TSO</w:t>
            </w:r>
            <w:r w:rsidRPr="00191E59">
              <w:rPr>
                <w:rFonts w:ascii="Calibri" w:hAnsi="Calibri" w:cs="Calibri"/>
                <w:sz w:val="20"/>
                <w:szCs w:val="20"/>
                <w:lang w:val="sq-AL"/>
              </w:rPr>
              <w:t>-</w:t>
            </w:r>
            <w:r w:rsidR="00AE3781" w:rsidRPr="00191E59">
              <w:rPr>
                <w:rFonts w:ascii="Calibri" w:hAnsi="Calibri" w:cs="Calibri"/>
                <w:sz w:val="20"/>
                <w:szCs w:val="20"/>
                <w:lang w:val="sq-AL"/>
              </w:rPr>
              <w:t>TSO</w:t>
            </w:r>
            <w:r w:rsidRPr="00191E59">
              <w:rPr>
                <w:rFonts w:ascii="Calibri" w:hAnsi="Calibri" w:cs="Calibri"/>
                <w:sz w:val="20"/>
                <w:szCs w:val="20"/>
                <w:lang w:val="sq-AL"/>
              </w:rPr>
              <w:t>: negativ</w:t>
            </w:r>
          </w:p>
        </w:tc>
      </w:tr>
      <w:tr w:rsidR="00FA2C36" w:rsidRPr="00062169" w:rsidTr="00E91EB7">
        <w:tc>
          <w:tcPr>
            <w:tcW w:w="2664" w:type="dxa"/>
            <w:tcBorders>
              <w:top w:val="single" w:sz="4" w:space="0" w:color="auto"/>
              <w:left w:val="single" w:sz="4" w:space="0" w:color="auto"/>
              <w:bottom w:val="single" w:sz="4" w:space="0" w:color="auto"/>
              <w:right w:val="single" w:sz="4" w:space="0" w:color="auto"/>
            </w:tcBorders>
            <w:hideMark/>
          </w:tcPr>
          <w:p w:rsidR="00FA2C36" w:rsidRPr="00191E59" w:rsidRDefault="0045480A" w:rsidP="005043E5">
            <w:pPr>
              <w:spacing w:line="276" w:lineRule="auto"/>
              <w:rPr>
                <w:rFonts w:ascii="Calibri" w:hAnsi="Calibri" w:cs="Calibri"/>
                <w:sz w:val="20"/>
                <w:szCs w:val="20"/>
                <w:lang w:val="sq-AL"/>
              </w:rPr>
            </w:pPr>
            <w:r w:rsidRPr="00191E59">
              <w:rPr>
                <w:rFonts w:ascii="Calibri" w:hAnsi="Calibri" w:cs="Calibri"/>
                <w:sz w:val="20"/>
                <w:szCs w:val="20"/>
                <w:lang w:val="sq-AL"/>
              </w:rPr>
              <w:t>Sasia për periodë të barazimit përfundimtar</w:t>
            </w:r>
            <w:r w:rsidR="005D64EC" w:rsidRPr="00191E59">
              <w:rPr>
                <w:rFonts w:ascii="Calibri" w:hAnsi="Calibri" w:cs="Calibri"/>
                <w:sz w:val="20"/>
                <w:szCs w:val="20"/>
                <w:lang w:val="sq-AL"/>
              </w:rPr>
              <w:t xml:space="preserve"> </w:t>
            </w:r>
            <w:r w:rsidR="00053F35" w:rsidRPr="00191E59">
              <w:rPr>
                <w:rFonts w:ascii="Calibri" w:hAnsi="Calibri" w:cs="Calibri"/>
                <w:sz w:val="20"/>
                <w:szCs w:val="20"/>
                <w:lang w:val="sq-AL"/>
              </w:rPr>
              <w:t xml:space="preserve">të </w:t>
            </w:r>
            <w:r w:rsidR="00AE3781" w:rsidRPr="00191E59">
              <w:rPr>
                <w:rFonts w:ascii="Calibri" w:hAnsi="Calibri" w:cs="Calibri"/>
                <w:sz w:val="20"/>
                <w:szCs w:val="20"/>
                <w:lang w:val="sq-AL"/>
              </w:rPr>
              <w:t>TSO</w:t>
            </w:r>
            <w:r w:rsidR="005D64EC" w:rsidRPr="00191E59">
              <w:rPr>
                <w:rFonts w:ascii="Calibri" w:hAnsi="Calibri" w:cs="Calibri"/>
                <w:sz w:val="20"/>
                <w:szCs w:val="20"/>
                <w:lang w:val="sq-AL"/>
              </w:rPr>
              <w:t xml:space="preserve">: pozitiv (eksportet e </w:t>
            </w:r>
            <w:r w:rsidR="00AE3781" w:rsidRPr="00191E59">
              <w:rPr>
                <w:rFonts w:ascii="Calibri" w:hAnsi="Calibri" w:cs="Calibri"/>
                <w:sz w:val="20"/>
                <w:szCs w:val="20"/>
                <w:lang w:val="sq-AL"/>
              </w:rPr>
              <w:t>TSO</w:t>
            </w:r>
            <w:r w:rsidR="005D64EC" w:rsidRPr="00191E59">
              <w:rPr>
                <w:rFonts w:ascii="Calibri" w:hAnsi="Calibri" w:cs="Calibri"/>
                <w:sz w:val="20"/>
                <w:szCs w:val="20"/>
                <w:lang w:val="sq-AL"/>
              </w:rPr>
              <w:t>)</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C36" w:rsidRPr="00191E59" w:rsidRDefault="005D64EC" w:rsidP="00191E59">
            <w:pPr>
              <w:spacing w:line="276" w:lineRule="auto"/>
              <w:rPr>
                <w:rFonts w:ascii="Calibri" w:hAnsi="Calibri" w:cs="Calibri"/>
                <w:sz w:val="20"/>
                <w:szCs w:val="20"/>
                <w:lang w:val="sq-AL"/>
              </w:rPr>
            </w:pPr>
            <w:r w:rsidRPr="00191E59">
              <w:rPr>
                <w:rFonts w:ascii="Calibri" w:hAnsi="Calibri" w:cs="Calibri"/>
                <w:sz w:val="20"/>
                <w:szCs w:val="20"/>
                <w:lang w:val="sq-AL"/>
              </w:rPr>
              <w:t xml:space="preserve">Pagesa për </w:t>
            </w:r>
            <w:r w:rsidR="00AE3781" w:rsidRPr="00191E59">
              <w:rPr>
                <w:rFonts w:ascii="Calibri" w:hAnsi="Calibri" w:cs="Calibri"/>
                <w:sz w:val="20"/>
                <w:szCs w:val="20"/>
                <w:lang w:val="sq-AL"/>
              </w:rPr>
              <w:t>TSO</w:t>
            </w:r>
          </w:p>
        </w:tc>
        <w:tc>
          <w:tcPr>
            <w:tcW w:w="2977" w:type="dxa"/>
            <w:tcBorders>
              <w:top w:val="single" w:sz="4" w:space="0" w:color="auto"/>
              <w:left w:val="single" w:sz="4" w:space="0" w:color="auto"/>
              <w:bottom w:val="single" w:sz="4" w:space="0" w:color="auto"/>
              <w:right w:val="single" w:sz="4" w:space="0" w:color="auto"/>
            </w:tcBorders>
            <w:vAlign w:val="center"/>
            <w:hideMark/>
          </w:tcPr>
          <w:p w:rsidR="00FA2C36" w:rsidRPr="00191E59" w:rsidRDefault="005D64EC" w:rsidP="00191E59">
            <w:pPr>
              <w:spacing w:line="276" w:lineRule="auto"/>
              <w:rPr>
                <w:rFonts w:ascii="Calibri" w:hAnsi="Calibri" w:cs="Calibri"/>
                <w:sz w:val="20"/>
                <w:szCs w:val="20"/>
                <w:lang w:val="sq-AL"/>
              </w:rPr>
            </w:pPr>
            <w:r w:rsidRPr="00191E59">
              <w:rPr>
                <w:rFonts w:ascii="Calibri" w:hAnsi="Calibri" w:cs="Calibri"/>
                <w:sz w:val="20"/>
                <w:szCs w:val="20"/>
                <w:lang w:val="sq-AL"/>
              </w:rPr>
              <w:t xml:space="preserve">Pagesa nga </w:t>
            </w:r>
            <w:r w:rsidR="00AE3781" w:rsidRPr="00191E59">
              <w:rPr>
                <w:rFonts w:ascii="Calibri" w:hAnsi="Calibri" w:cs="Calibri"/>
                <w:sz w:val="20"/>
                <w:szCs w:val="20"/>
                <w:lang w:val="sq-AL"/>
              </w:rPr>
              <w:t>TSO</w:t>
            </w:r>
          </w:p>
        </w:tc>
      </w:tr>
      <w:tr w:rsidR="00FA2C36" w:rsidRPr="00062169" w:rsidTr="00E91EB7">
        <w:tc>
          <w:tcPr>
            <w:tcW w:w="2664" w:type="dxa"/>
            <w:tcBorders>
              <w:top w:val="single" w:sz="4" w:space="0" w:color="auto"/>
              <w:left w:val="single" w:sz="4" w:space="0" w:color="auto"/>
              <w:bottom w:val="single" w:sz="4" w:space="0" w:color="auto"/>
              <w:right w:val="single" w:sz="4" w:space="0" w:color="auto"/>
            </w:tcBorders>
            <w:hideMark/>
          </w:tcPr>
          <w:p w:rsidR="00FA2C36" w:rsidRPr="00191E59" w:rsidRDefault="0045480A" w:rsidP="005043E5">
            <w:pPr>
              <w:spacing w:line="276" w:lineRule="auto"/>
              <w:rPr>
                <w:rFonts w:ascii="Calibri" w:hAnsi="Calibri" w:cs="Calibri"/>
                <w:sz w:val="20"/>
                <w:szCs w:val="20"/>
                <w:lang w:val="sq-AL"/>
              </w:rPr>
            </w:pPr>
            <w:r w:rsidRPr="00191E59">
              <w:rPr>
                <w:rFonts w:ascii="Calibri" w:hAnsi="Calibri" w:cs="Calibri"/>
                <w:sz w:val="20"/>
                <w:szCs w:val="20"/>
                <w:lang w:val="sq-AL"/>
              </w:rPr>
              <w:t>Sasia për periodë të barazimit përfundimtar</w:t>
            </w:r>
            <w:r w:rsidR="005D64EC" w:rsidRPr="00191E59">
              <w:rPr>
                <w:rFonts w:ascii="Calibri" w:hAnsi="Calibri" w:cs="Calibri"/>
                <w:sz w:val="20"/>
                <w:szCs w:val="20"/>
                <w:lang w:val="sq-AL"/>
              </w:rPr>
              <w:t xml:space="preserve"> </w:t>
            </w:r>
            <w:r w:rsidR="00053F35" w:rsidRPr="00191E59">
              <w:rPr>
                <w:rFonts w:ascii="Calibri" w:hAnsi="Calibri" w:cs="Calibri"/>
                <w:sz w:val="20"/>
                <w:szCs w:val="20"/>
                <w:lang w:val="sq-AL"/>
              </w:rPr>
              <w:t xml:space="preserve">të </w:t>
            </w:r>
            <w:r w:rsidR="00AE3781" w:rsidRPr="00191E59">
              <w:rPr>
                <w:rFonts w:ascii="Calibri" w:hAnsi="Calibri" w:cs="Calibri"/>
                <w:sz w:val="20"/>
                <w:szCs w:val="20"/>
                <w:lang w:val="sq-AL"/>
              </w:rPr>
              <w:t>TSO</w:t>
            </w:r>
            <w:r w:rsidR="005D64EC" w:rsidRPr="00191E59">
              <w:rPr>
                <w:rFonts w:ascii="Calibri" w:hAnsi="Calibri" w:cs="Calibri"/>
                <w:sz w:val="20"/>
                <w:szCs w:val="20"/>
                <w:lang w:val="sq-AL"/>
              </w:rPr>
              <w:t xml:space="preserve">: negativ (importet e </w:t>
            </w:r>
            <w:r w:rsidR="00AE3781" w:rsidRPr="00191E59">
              <w:rPr>
                <w:rFonts w:ascii="Calibri" w:hAnsi="Calibri" w:cs="Calibri"/>
                <w:sz w:val="20"/>
                <w:szCs w:val="20"/>
                <w:lang w:val="sq-AL"/>
              </w:rPr>
              <w:t>TSO</w:t>
            </w:r>
            <w:r w:rsidR="005D64EC" w:rsidRPr="00191E59">
              <w:rPr>
                <w:rFonts w:ascii="Calibri" w:hAnsi="Calibri" w:cs="Calibri"/>
                <w:sz w:val="20"/>
                <w:szCs w:val="20"/>
                <w:lang w:val="sq-AL"/>
              </w:rPr>
              <w:t>)</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C36" w:rsidRPr="00191E59" w:rsidRDefault="005D64EC" w:rsidP="00191E59">
            <w:pPr>
              <w:spacing w:line="276" w:lineRule="auto"/>
              <w:rPr>
                <w:rFonts w:ascii="Calibri" w:hAnsi="Calibri" w:cs="Calibri"/>
                <w:sz w:val="20"/>
                <w:szCs w:val="20"/>
                <w:lang w:val="sq-AL"/>
              </w:rPr>
            </w:pPr>
            <w:r w:rsidRPr="00191E59">
              <w:rPr>
                <w:rFonts w:ascii="Calibri" w:hAnsi="Calibri" w:cs="Calibri"/>
                <w:sz w:val="20"/>
                <w:szCs w:val="20"/>
                <w:lang w:val="sq-AL"/>
              </w:rPr>
              <w:t xml:space="preserve">Pagesa nga </w:t>
            </w:r>
            <w:r w:rsidR="00AE3781" w:rsidRPr="00191E59">
              <w:rPr>
                <w:rFonts w:ascii="Calibri" w:hAnsi="Calibri" w:cs="Calibri"/>
                <w:sz w:val="20"/>
                <w:szCs w:val="20"/>
                <w:lang w:val="sq-AL"/>
              </w:rPr>
              <w:t>TSO</w:t>
            </w:r>
          </w:p>
        </w:tc>
        <w:tc>
          <w:tcPr>
            <w:tcW w:w="2977" w:type="dxa"/>
            <w:tcBorders>
              <w:top w:val="single" w:sz="4" w:space="0" w:color="auto"/>
              <w:left w:val="single" w:sz="4" w:space="0" w:color="auto"/>
              <w:bottom w:val="single" w:sz="4" w:space="0" w:color="auto"/>
              <w:right w:val="single" w:sz="4" w:space="0" w:color="auto"/>
            </w:tcBorders>
            <w:vAlign w:val="center"/>
            <w:hideMark/>
          </w:tcPr>
          <w:p w:rsidR="00FA2C36" w:rsidRPr="00191E59" w:rsidRDefault="005D64EC" w:rsidP="00191E59">
            <w:pPr>
              <w:spacing w:line="276" w:lineRule="auto"/>
              <w:rPr>
                <w:rFonts w:ascii="Calibri" w:hAnsi="Calibri" w:cs="Calibri"/>
                <w:sz w:val="20"/>
                <w:szCs w:val="20"/>
                <w:lang w:val="sq-AL"/>
              </w:rPr>
            </w:pPr>
            <w:r w:rsidRPr="00191E59">
              <w:rPr>
                <w:rFonts w:ascii="Calibri" w:hAnsi="Calibri" w:cs="Calibri"/>
                <w:sz w:val="20"/>
                <w:szCs w:val="20"/>
                <w:lang w:val="sq-AL"/>
              </w:rPr>
              <w:t xml:space="preserve">Pagesa për </w:t>
            </w:r>
            <w:r w:rsidR="00AE3781" w:rsidRPr="00191E59">
              <w:rPr>
                <w:rFonts w:ascii="Calibri" w:hAnsi="Calibri" w:cs="Calibri"/>
                <w:sz w:val="20"/>
                <w:szCs w:val="20"/>
                <w:lang w:val="sq-AL"/>
              </w:rPr>
              <w:t>TSO</w:t>
            </w:r>
          </w:p>
        </w:tc>
      </w:tr>
    </w:tbl>
    <w:p w:rsidR="00320E70" w:rsidRPr="00C75EC0" w:rsidRDefault="00320E70" w:rsidP="00900B3B">
      <w:pPr>
        <w:spacing w:line="276" w:lineRule="auto"/>
        <w:rPr>
          <w:rFonts w:ascii="Calibri" w:hAnsi="Calibri" w:cs="Calibri"/>
          <w:b/>
          <w:color w:val="000000" w:themeColor="text1"/>
          <w:lang w:val="sq-AL"/>
        </w:rPr>
      </w:pPr>
      <w:bookmarkStart w:id="18" w:name="_Toc432586772"/>
      <w:bookmarkStart w:id="19" w:name="_Toc432586792"/>
    </w:p>
    <w:p w:rsidR="005D64EC" w:rsidRPr="00C75EC0" w:rsidRDefault="005D64EC" w:rsidP="00900B3B">
      <w:pPr>
        <w:pStyle w:val="headline2"/>
        <w:spacing w:after="0" w:line="276" w:lineRule="auto"/>
        <w:ind w:left="360"/>
        <w:rPr>
          <w:rFonts w:ascii="Calibri" w:hAnsi="Calibri" w:cs="Calibri"/>
          <w:color w:val="000000" w:themeColor="text1"/>
          <w:sz w:val="22"/>
          <w:szCs w:val="22"/>
          <w:lang w:val="sq-AL"/>
        </w:rPr>
      </w:pPr>
      <w:bookmarkStart w:id="20" w:name="_Toc509993361"/>
      <w:bookmarkStart w:id="21" w:name="_Toc510006481"/>
      <w:bookmarkStart w:id="22" w:name="_Toc510507373"/>
      <w:bookmarkStart w:id="23" w:name="_Toc510522100"/>
      <w:bookmarkStart w:id="24" w:name="_Toc7419791"/>
      <w:bookmarkStart w:id="25" w:name="_Toc65219931"/>
      <w:r w:rsidRPr="00C75EC0">
        <w:rPr>
          <w:rFonts w:ascii="Calibri" w:hAnsi="Calibri" w:cs="Calibri"/>
          <w:color w:val="000000" w:themeColor="text1"/>
          <w:sz w:val="22"/>
          <w:szCs w:val="22"/>
          <w:lang w:val="sq-AL"/>
        </w:rPr>
        <w:t>Neni 3</w:t>
      </w:r>
      <w:r w:rsidRPr="00C75EC0">
        <w:rPr>
          <w:rFonts w:ascii="Calibri" w:hAnsi="Calibri" w:cs="Calibri"/>
          <w:color w:val="000000" w:themeColor="text1"/>
          <w:sz w:val="22"/>
          <w:szCs w:val="22"/>
          <w:lang w:val="sq-AL"/>
        </w:rPr>
        <w:br/>
      </w:r>
      <w:bookmarkEnd w:id="20"/>
      <w:bookmarkEnd w:id="21"/>
      <w:bookmarkEnd w:id="22"/>
      <w:bookmarkEnd w:id="23"/>
      <w:bookmarkEnd w:id="24"/>
      <w:r w:rsidR="008C5A94" w:rsidRPr="00C75EC0">
        <w:rPr>
          <w:rFonts w:ascii="Calibri" w:hAnsi="Calibri" w:cs="Calibri"/>
          <w:color w:val="000000" w:themeColor="text1"/>
          <w:sz w:val="22"/>
          <w:szCs w:val="22"/>
          <w:lang w:val="sq-AL"/>
        </w:rPr>
        <w:t xml:space="preserve">Përgjithësisht mbi </w:t>
      </w:r>
      <w:bookmarkStart w:id="26" w:name="_Hlk65134940"/>
      <w:r w:rsidR="008C5A94" w:rsidRPr="00C75EC0">
        <w:rPr>
          <w:rFonts w:ascii="Calibri" w:hAnsi="Calibri" w:cs="Calibri"/>
          <w:color w:val="000000" w:themeColor="text1"/>
          <w:sz w:val="22"/>
          <w:szCs w:val="22"/>
          <w:lang w:val="sq-AL"/>
        </w:rPr>
        <w:t>r</w:t>
      </w:r>
      <w:r w:rsidR="0045480A" w:rsidRPr="00C75EC0">
        <w:rPr>
          <w:rFonts w:ascii="Calibri" w:hAnsi="Calibri" w:cs="Calibri"/>
          <w:color w:val="000000" w:themeColor="text1"/>
          <w:sz w:val="22"/>
          <w:szCs w:val="22"/>
          <w:lang w:val="sq-AL"/>
        </w:rPr>
        <w:t>regullat e përbashkëta të barazimit përfundimtar</w:t>
      </w:r>
      <w:bookmarkEnd w:id="25"/>
      <w:bookmarkEnd w:id="26"/>
    </w:p>
    <w:p w:rsidR="00D21F08" w:rsidRPr="00062169" w:rsidRDefault="00D21F08" w:rsidP="00900B3B">
      <w:pPr>
        <w:pStyle w:val="headline2"/>
        <w:spacing w:after="0" w:line="276" w:lineRule="auto"/>
        <w:ind w:left="360"/>
        <w:rPr>
          <w:rFonts w:ascii="Calibri" w:hAnsi="Calibri" w:cs="Calibri"/>
          <w:sz w:val="22"/>
          <w:szCs w:val="22"/>
          <w:lang w:val="sq-AL"/>
        </w:rPr>
      </w:pPr>
    </w:p>
    <w:p w:rsidR="005D64EC" w:rsidRPr="00062169" w:rsidRDefault="0045480A" w:rsidP="00900B3B">
      <w:pPr>
        <w:pStyle w:val="textregular"/>
        <w:numPr>
          <w:ilvl w:val="0"/>
          <w:numId w:val="14"/>
        </w:numPr>
        <w:spacing w:after="0" w:line="276" w:lineRule="auto"/>
        <w:jc w:val="both"/>
        <w:rPr>
          <w:rFonts w:ascii="Calibri" w:hAnsi="Calibri" w:cs="Calibri"/>
          <w:lang w:val="sq-AL"/>
        </w:rPr>
      </w:pPr>
      <w:r w:rsidRPr="00062169">
        <w:rPr>
          <w:rFonts w:ascii="Calibri" w:hAnsi="Calibri" w:cs="Calibri"/>
          <w:lang w:val="sq-AL"/>
        </w:rPr>
        <w:t>Barazimi përfundimtar i</w:t>
      </w:r>
      <w:r w:rsidR="005D64EC" w:rsidRPr="00062169">
        <w:rPr>
          <w:rFonts w:ascii="Calibri" w:hAnsi="Calibri" w:cs="Calibri"/>
          <w:lang w:val="sq-AL"/>
        </w:rPr>
        <w:t xml:space="preserve"> përbashkët </w:t>
      </w:r>
      <w:r w:rsidR="009428CB" w:rsidRPr="00062169">
        <w:rPr>
          <w:rFonts w:ascii="Calibri" w:hAnsi="Calibri" w:cs="Calibri"/>
          <w:lang w:val="sq-AL"/>
        </w:rPr>
        <w:t xml:space="preserve">i </w:t>
      </w:r>
      <w:r w:rsidR="005D64EC" w:rsidRPr="00062169">
        <w:rPr>
          <w:rFonts w:ascii="Calibri" w:hAnsi="Calibri" w:cs="Calibri"/>
          <w:lang w:val="sq-AL"/>
        </w:rPr>
        <w:t xml:space="preserve">kryer nga </w:t>
      </w:r>
      <w:r w:rsidR="00AE3781" w:rsidRPr="00062169">
        <w:rPr>
          <w:rFonts w:ascii="Calibri" w:hAnsi="Calibri" w:cs="Calibri"/>
          <w:lang w:val="sq-AL"/>
        </w:rPr>
        <w:t>TSO</w:t>
      </w:r>
      <w:r w:rsidR="005D64EC" w:rsidRPr="00062169">
        <w:rPr>
          <w:rFonts w:ascii="Calibri" w:hAnsi="Calibri" w:cs="Calibri"/>
          <w:lang w:val="sq-AL"/>
        </w:rPr>
        <w:t xml:space="preserve">-të e SA CE në pajtim me këtë CCFR do të </w:t>
      </w:r>
      <w:r w:rsidRPr="00062169">
        <w:rPr>
          <w:rFonts w:ascii="Calibri" w:hAnsi="Calibri" w:cs="Calibri"/>
          <w:lang w:val="sq-AL"/>
        </w:rPr>
        <w:t xml:space="preserve">përfshijë </w:t>
      </w:r>
      <w:r w:rsidR="009E298F" w:rsidRPr="00062169">
        <w:rPr>
          <w:rFonts w:ascii="Calibri" w:hAnsi="Calibri" w:cs="Calibri"/>
          <w:lang w:val="sq-AL"/>
        </w:rPr>
        <w:t>f</w:t>
      </w:r>
      <w:r w:rsidR="005D64EC" w:rsidRPr="00062169">
        <w:rPr>
          <w:rFonts w:ascii="Calibri" w:hAnsi="Calibri" w:cs="Calibri"/>
          <w:lang w:val="sq-AL"/>
        </w:rPr>
        <w:t>unksioni</w:t>
      </w:r>
      <w:r w:rsidRPr="00062169">
        <w:rPr>
          <w:rFonts w:ascii="Calibri" w:hAnsi="Calibri" w:cs="Calibri"/>
          <w:lang w:val="sq-AL"/>
        </w:rPr>
        <w:t>n</w:t>
      </w:r>
      <w:r w:rsidR="00E422D2" w:rsidRPr="00062169">
        <w:rPr>
          <w:rFonts w:ascii="Calibri" w:hAnsi="Calibri" w:cs="Calibri"/>
          <w:lang w:val="sq-AL"/>
        </w:rPr>
        <w:t xml:space="preserve"> e </w:t>
      </w:r>
      <w:r w:rsidR="005D64EC" w:rsidRPr="00062169">
        <w:rPr>
          <w:rFonts w:ascii="Calibri" w:hAnsi="Calibri" w:cs="Calibri"/>
          <w:lang w:val="sq-AL"/>
        </w:rPr>
        <w:t xml:space="preserve"> </w:t>
      </w:r>
      <w:r w:rsidR="009E298F" w:rsidRPr="00062169">
        <w:rPr>
          <w:rFonts w:ascii="Calibri" w:hAnsi="Calibri" w:cs="Calibri"/>
          <w:lang w:val="sq-AL"/>
        </w:rPr>
        <w:t>llogaritjes</w:t>
      </w:r>
      <w:r w:rsidR="00E422D2" w:rsidRPr="00062169">
        <w:rPr>
          <w:rFonts w:ascii="Calibri" w:hAnsi="Calibri" w:cs="Calibri"/>
          <w:lang w:val="sq-AL"/>
        </w:rPr>
        <w:t>,</w:t>
      </w:r>
      <w:r w:rsidR="00E422D2" w:rsidRPr="00062169" w:rsidDel="00E422D2">
        <w:rPr>
          <w:rFonts w:ascii="Calibri" w:hAnsi="Calibri" w:cs="Calibri"/>
          <w:lang w:val="sq-AL"/>
        </w:rPr>
        <w:t xml:space="preserve"> </w:t>
      </w:r>
      <w:r w:rsidR="00420078" w:rsidRPr="00062169">
        <w:rPr>
          <w:rFonts w:ascii="Calibri" w:hAnsi="Calibri" w:cs="Calibri"/>
          <w:lang w:val="sq-AL"/>
        </w:rPr>
        <w:t>f</w:t>
      </w:r>
      <w:r w:rsidR="005D64EC" w:rsidRPr="00062169">
        <w:rPr>
          <w:rFonts w:ascii="Calibri" w:hAnsi="Calibri" w:cs="Calibri"/>
          <w:lang w:val="sq-AL"/>
        </w:rPr>
        <w:t>unksioni</w:t>
      </w:r>
      <w:r w:rsidR="00E422D2" w:rsidRPr="00062169">
        <w:rPr>
          <w:rFonts w:ascii="Calibri" w:hAnsi="Calibri" w:cs="Calibri"/>
          <w:lang w:val="sq-AL"/>
        </w:rPr>
        <w:t xml:space="preserve">n e </w:t>
      </w:r>
      <w:r w:rsidR="00227FAA" w:rsidRPr="00062169">
        <w:rPr>
          <w:rFonts w:ascii="Calibri" w:hAnsi="Calibri" w:cs="Calibri"/>
          <w:lang w:val="sq-AL"/>
        </w:rPr>
        <w:t xml:space="preserve">barazimi përfundimtar </w:t>
      </w:r>
      <w:r w:rsidR="00E422D2" w:rsidRPr="00062169">
        <w:rPr>
          <w:rFonts w:ascii="Calibri" w:hAnsi="Calibri" w:cs="Calibri"/>
          <w:lang w:val="sq-AL"/>
        </w:rPr>
        <w:t>të</w:t>
      </w:r>
      <w:r w:rsidR="005D64EC" w:rsidRPr="00062169">
        <w:rPr>
          <w:rFonts w:ascii="Calibri" w:hAnsi="Calibri" w:cs="Calibri"/>
          <w:lang w:val="sq-AL"/>
        </w:rPr>
        <w:t xml:space="preserve"> CCFR dhe faturimi</w:t>
      </w:r>
      <w:r w:rsidR="00420078" w:rsidRPr="00062169">
        <w:rPr>
          <w:rFonts w:ascii="Calibri" w:hAnsi="Calibri" w:cs="Calibri"/>
          <w:lang w:val="sq-AL"/>
        </w:rPr>
        <w:t>n</w:t>
      </w:r>
      <w:r w:rsidR="005D64EC" w:rsidRPr="00062169">
        <w:rPr>
          <w:rFonts w:ascii="Calibri" w:hAnsi="Calibri" w:cs="Calibri"/>
          <w:lang w:val="sq-AL"/>
        </w:rPr>
        <w:t>.</w:t>
      </w:r>
    </w:p>
    <w:p w:rsidR="005D64EC" w:rsidRPr="00062169" w:rsidRDefault="009428CB" w:rsidP="00900B3B">
      <w:pPr>
        <w:pStyle w:val="textregular"/>
        <w:numPr>
          <w:ilvl w:val="0"/>
          <w:numId w:val="14"/>
        </w:numPr>
        <w:spacing w:after="0" w:line="276" w:lineRule="auto"/>
        <w:jc w:val="both"/>
        <w:rPr>
          <w:rFonts w:ascii="Calibri" w:hAnsi="Calibri" w:cs="Calibri"/>
          <w:lang w:val="sq-AL"/>
        </w:rPr>
      </w:pPr>
      <w:r w:rsidRPr="00062169">
        <w:rPr>
          <w:rFonts w:ascii="Calibri" w:hAnsi="Calibri" w:cs="Calibri"/>
          <w:lang w:val="sq-AL"/>
        </w:rPr>
        <w:lastRenderedPageBreak/>
        <w:t>Entiteti</w:t>
      </w:r>
      <w:r w:rsidR="00420078" w:rsidRPr="00062169">
        <w:rPr>
          <w:rFonts w:ascii="Calibri" w:hAnsi="Calibri" w:cs="Calibri"/>
          <w:lang w:val="sq-AL"/>
        </w:rPr>
        <w:t xml:space="preserve"> </w:t>
      </w:r>
      <w:r w:rsidR="005D64EC" w:rsidRPr="00062169">
        <w:rPr>
          <w:rFonts w:ascii="Calibri" w:hAnsi="Calibri" w:cs="Calibri"/>
          <w:lang w:val="sq-AL"/>
        </w:rPr>
        <w:t xml:space="preserve">ose </w:t>
      </w:r>
      <w:r w:rsidRPr="00062169">
        <w:rPr>
          <w:rFonts w:ascii="Calibri" w:hAnsi="Calibri" w:cs="Calibri"/>
          <w:lang w:val="sq-AL"/>
        </w:rPr>
        <w:t xml:space="preserve">entitetet </w:t>
      </w:r>
      <w:r w:rsidR="005D64EC" w:rsidRPr="00062169">
        <w:rPr>
          <w:rFonts w:ascii="Calibri" w:hAnsi="Calibri" w:cs="Calibri"/>
          <w:lang w:val="sq-AL"/>
        </w:rPr>
        <w:t xml:space="preserve">e ngarkuar me funksionin </w:t>
      </w:r>
      <w:r w:rsidR="00053F35" w:rsidRPr="00062169">
        <w:rPr>
          <w:rFonts w:ascii="Calibri" w:hAnsi="Calibri" w:cs="Calibri"/>
          <w:lang w:val="sq-AL"/>
        </w:rPr>
        <w:t xml:space="preserve">e </w:t>
      </w:r>
      <w:r w:rsidR="00E422D2" w:rsidRPr="00062169">
        <w:rPr>
          <w:rFonts w:ascii="Calibri" w:hAnsi="Calibri" w:cs="Calibri"/>
          <w:lang w:val="sq-AL"/>
        </w:rPr>
        <w:t>l</w:t>
      </w:r>
      <w:r w:rsidR="00DF211D" w:rsidRPr="00062169">
        <w:rPr>
          <w:rFonts w:ascii="Calibri" w:hAnsi="Calibri" w:cs="Calibri"/>
          <w:lang w:val="sq-AL"/>
        </w:rPr>
        <w:t xml:space="preserve">logaritjes së energjisë </w:t>
      </w:r>
      <w:r w:rsidR="005D64EC" w:rsidRPr="00062169">
        <w:rPr>
          <w:rFonts w:ascii="Calibri" w:hAnsi="Calibri" w:cs="Calibri"/>
          <w:lang w:val="sq-AL"/>
        </w:rPr>
        <w:t xml:space="preserve">të CCFR do të mbledhin të gjitha të dhënat e kërkuara për të llogaritur </w:t>
      </w:r>
      <w:r w:rsidR="008603AC" w:rsidRPr="00062169">
        <w:rPr>
          <w:rFonts w:ascii="Calibri" w:hAnsi="Calibri" w:cs="Calibri"/>
          <w:lang w:val="sq-AL"/>
        </w:rPr>
        <w:t xml:space="preserve">energjinë </w:t>
      </w:r>
      <w:r w:rsidR="005D64EC" w:rsidRPr="00062169">
        <w:rPr>
          <w:rFonts w:ascii="Calibri" w:hAnsi="Calibri" w:cs="Calibri"/>
          <w:lang w:val="sq-AL"/>
        </w:rPr>
        <w:t xml:space="preserve">e </w:t>
      </w:r>
      <w:r w:rsidR="00053F35" w:rsidRPr="00062169">
        <w:rPr>
          <w:rFonts w:ascii="Calibri" w:hAnsi="Calibri" w:cs="Calibri"/>
          <w:lang w:val="sq-AL"/>
        </w:rPr>
        <w:t xml:space="preserve">rregullimit </w:t>
      </w:r>
      <w:r w:rsidR="00C85011" w:rsidRPr="00062169">
        <w:rPr>
          <w:rFonts w:ascii="Calibri" w:hAnsi="Calibri" w:cs="Calibri"/>
          <w:lang w:val="sq-AL"/>
        </w:rPr>
        <w:t>stabilizues</w:t>
      </w:r>
      <w:r w:rsidR="00053F35" w:rsidRPr="00062169">
        <w:rPr>
          <w:rFonts w:ascii="Calibri" w:hAnsi="Calibri" w:cs="Calibri"/>
          <w:lang w:val="sq-AL"/>
        </w:rPr>
        <w:t xml:space="preserve"> </w:t>
      </w:r>
      <w:r w:rsidR="005D64EC" w:rsidRPr="00062169">
        <w:rPr>
          <w:rFonts w:ascii="Calibri" w:hAnsi="Calibri" w:cs="Calibri"/>
          <w:lang w:val="sq-AL"/>
        </w:rPr>
        <w:t>t</w:t>
      </w:r>
      <w:r w:rsidR="001A6733" w:rsidRPr="00062169">
        <w:rPr>
          <w:rFonts w:ascii="Calibri" w:hAnsi="Calibri" w:cs="Calibri"/>
          <w:lang w:val="sq-AL"/>
        </w:rPr>
        <w:t>ë</w:t>
      </w:r>
      <w:r w:rsidR="005D64EC" w:rsidRPr="00062169">
        <w:rPr>
          <w:rFonts w:ascii="Calibri" w:hAnsi="Calibri" w:cs="Calibri"/>
          <w:lang w:val="sq-AL"/>
        </w:rPr>
        <w:t xml:space="preserve"> frekuenc</w:t>
      </w:r>
      <w:r w:rsidR="001A6733" w:rsidRPr="00062169">
        <w:rPr>
          <w:rFonts w:ascii="Calibri" w:hAnsi="Calibri" w:cs="Calibri"/>
          <w:lang w:val="sq-AL"/>
        </w:rPr>
        <w:t>ë</w:t>
      </w:r>
      <w:r w:rsidR="005D64EC" w:rsidRPr="00062169">
        <w:rPr>
          <w:rFonts w:ascii="Calibri" w:hAnsi="Calibri" w:cs="Calibri"/>
          <w:lang w:val="sq-AL"/>
        </w:rPr>
        <w:t xml:space="preserve">s dhe </w:t>
      </w:r>
      <w:r w:rsidR="009E298F" w:rsidRPr="00062169">
        <w:rPr>
          <w:rFonts w:ascii="Calibri" w:hAnsi="Calibri" w:cs="Calibri"/>
          <w:lang w:val="sq-AL"/>
        </w:rPr>
        <w:t xml:space="preserve">energjinë e periodës së </w:t>
      </w:r>
      <w:r w:rsidR="003264E2" w:rsidRPr="00062169">
        <w:rPr>
          <w:rFonts w:ascii="Calibri" w:hAnsi="Calibri" w:cs="Calibri"/>
          <w:lang w:val="sq-AL"/>
        </w:rPr>
        <w:t>ndryshimit (rritje / ulje)</w:t>
      </w:r>
      <w:r w:rsidR="005D64EC" w:rsidRPr="00062169">
        <w:rPr>
          <w:rFonts w:ascii="Calibri" w:hAnsi="Calibri" w:cs="Calibri"/>
          <w:lang w:val="sq-AL"/>
        </w:rPr>
        <w:t xml:space="preserve"> për secilën </w:t>
      </w:r>
      <w:r w:rsidR="00053F35" w:rsidRPr="00062169">
        <w:rPr>
          <w:rFonts w:ascii="Calibri" w:hAnsi="Calibri" w:cs="Calibri"/>
          <w:lang w:val="sq-AL"/>
        </w:rPr>
        <w:t xml:space="preserve">periodë të barazimit përfundimtar </w:t>
      </w:r>
      <w:r w:rsidR="00AE3781" w:rsidRPr="00062169">
        <w:rPr>
          <w:rFonts w:ascii="Calibri" w:hAnsi="Calibri" w:cs="Calibri"/>
          <w:lang w:val="sq-AL"/>
        </w:rPr>
        <w:t xml:space="preserve">TSO </w:t>
      </w:r>
      <w:r w:rsidR="005D64EC" w:rsidRPr="00062169">
        <w:rPr>
          <w:rFonts w:ascii="Calibri" w:hAnsi="Calibri" w:cs="Calibri"/>
          <w:lang w:val="sq-AL"/>
        </w:rPr>
        <w:t>-</w:t>
      </w:r>
      <w:r w:rsidR="00AE3781" w:rsidRPr="00062169">
        <w:rPr>
          <w:rFonts w:ascii="Calibri" w:hAnsi="Calibri" w:cs="Calibri"/>
          <w:lang w:val="sq-AL"/>
        </w:rPr>
        <w:t>TSO</w:t>
      </w:r>
      <w:r w:rsidR="005D64EC" w:rsidRPr="00062169">
        <w:rPr>
          <w:rFonts w:ascii="Calibri" w:hAnsi="Calibri" w:cs="Calibri"/>
          <w:lang w:val="sq-AL"/>
        </w:rPr>
        <w:t>.</w:t>
      </w:r>
    </w:p>
    <w:p w:rsidR="00A06E34" w:rsidRPr="00062169" w:rsidRDefault="005D64EC" w:rsidP="00900B3B">
      <w:pPr>
        <w:pStyle w:val="textregular"/>
        <w:numPr>
          <w:ilvl w:val="0"/>
          <w:numId w:val="14"/>
        </w:numPr>
        <w:spacing w:after="0" w:line="276" w:lineRule="auto"/>
        <w:jc w:val="both"/>
        <w:rPr>
          <w:rFonts w:ascii="Calibri" w:hAnsi="Calibri" w:cs="Calibri"/>
          <w:lang w:val="sq-AL"/>
        </w:rPr>
      </w:pPr>
      <w:r w:rsidRPr="00062169">
        <w:rPr>
          <w:rFonts w:ascii="Calibri" w:hAnsi="Calibri" w:cs="Calibri"/>
          <w:lang w:val="sq-AL"/>
        </w:rPr>
        <w:t>Inputet në funksionin e</w:t>
      </w:r>
      <w:r w:rsidR="00E1506D" w:rsidRPr="00062169">
        <w:rPr>
          <w:rFonts w:ascii="Calibri" w:hAnsi="Calibri" w:cs="Calibri"/>
          <w:lang w:val="sq-AL"/>
        </w:rPr>
        <w:t xml:space="preserve"> </w:t>
      </w:r>
      <w:r w:rsidR="009E298F" w:rsidRPr="00062169">
        <w:rPr>
          <w:rFonts w:ascii="Calibri" w:hAnsi="Calibri" w:cs="Calibri"/>
          <w:lang w:val="sq-AL"/>
        </w:rPr>
        <w:t>llogaritjes</w:t>
      </w:r>
      <w:r w:rsidR="00DF211D" w:rsidRPr="00062169">
        <w:rPr>
          <w:rFonts w:ascii="Calibri" w:hAnsi="Calibri" w:cs="Calibri"/>
          <w:lang w:val="sq-AL"/>
        </w:rPr>
        <w:t xml:space="preserve"> së energjisë </w:t>
      </w:r>
      <w:r w:rsidRPr="00062169">
        <w:rPr>
          <w:rFonts w:ascii="Calibri" w:hAnsi="Calibri" w:cs="Calibri"/>
          <w:lang w:val="sq-AL"/>
        </w:rPr>
        <w:t>të CCFR do të jenë</w:t>
      </w:r>
      <w:r w:rsidR="00A06E34" w:rsidRPr="00062169">
        <w:rPr>
          <w:rFonts w:ascii="Calibri" w:hAnsi="Calibri" w:cs="Calibri"/>
          <w:lang w:val="sq-AL"/>
        </w:rPr>
        <w:t>:</w:t>
      </w:r>
    </w:p>
    <w:p w:rsidR="00A06E34" w:rsidRPr="00062169" w:rsidRDefault="00A80976" w:rsidP="00900B3B">
      <w:pPr>
        <w:pStyle w:val="textregular"/>
        <w:numPr>
          <w:ilvl w:val="1"/>
          <w:numId w:val="14"/>
        </w:numPr>
        <w:spacing w:after="0" w:line="276" w:lineRule="auto"/>
        <w:jc w:val="both"/>
        <w:rPr>
          <w:rFonts w:ascii="Calibri" w:hAnsi="Calibri" w:cs="Calibri"/>
          <w:lang w:val="sq-AL"/>
        </w:rPr>
      </w:pPr>
      <w:r w:rsidRPr="00062169">
        <w:rPr>
          <w:rFonts w:ascii="Calibri" w:hAnsi="Calibri" w:cs="Calibri"/>
          <w:lang w:val="sq-AL"/>
        </w:rPr>
        <w:t xml:space="preserve">Vlera e </w:t>
      </w:r>
      <w:r w:rsidR="00053F35" w:rsidRPr="00062169">
        <w:rPr>
          <w:rFonts w:ascii="Calibri" w:hAnsi="Calibri" w:cs="Calibri"/>
          <w:lang w:val="sq-AL"/>
        </w:rPr>
        <w:t xml:space="preserve">raportuar </w:t>
      </w:r>
      <w:r w:rsidRPr="00062169">
        <w:rPr>
          <w:rFonts w:ascii="Calibri" w:hAnsi="Calibri" w:cs="Calibri"/>
          <w:lang w:val="sq-AL"/>
        </w:rPr>
        <w:t>e faktorit-k p</w:t>
      </w:r>
      <w:r w:rsidR="001A6733" w:rsidRPr="00062169">
        <w:rPr>
          <w:rFonts w:ascii="Calibri" w:hAnsi="Calibri" w:cs="Calibri"/>
          <w:lang w:val="sq-AL"/>
        </w:rPr>
        <w:t>ë</w:t>
      </w:r>
      <w:r w:rsidRPr="00062169">
        <w:rPr>
          <w:rFonts w:ascii="Calibri" w:hAnsi="Calibri" w:cs="Calibri"/>
          <w:lang w:val="sq-AL"/>
        </w:rPr>
        <w:t>r zon</w:t>
      </w:r>
      <w:r w:rsidR="001A6733" w:rsidRPr="00062169">
        <w:rPr>
          <w:rFonts w:ascii="Calibri" w:hAnsi="Calibri" w:cs="Calibri"/>
          <w:lang w:val="sq-AL"/>
        </w:rPr>
        <w:t>ë</w:t>
      </w:r>
      <w:r w:rsidRPr="00062169">
        <w:rPr>
          <w:rFonts w:ascii="Calibri" w:hAnsi="Calibri" w:cs="Calibri"/>
          <w:lang w:val="sq-AL"/>
        </w:rPr>
        <w:t xml:space="preserve">n </w:t>
      </w:r>
      <w:r w:rsidR="00A06E34" w:rsidRPr="00062169">
        <w:rPr>
          <w:rFonts w:ascii="Calibri" w:hAnsi="Calibri" w:cs="Calibri"/>
          <w:lang w:val="sq-AL"/>
        </w:rPr>
        <w:t xml:space="preserve">LFC </w:t>
      </w:r>
      <w:r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A06E34" w:rsidRPr="00062169">
        <w:rPr>
          <w:rFonts w:ascii="Calibri" w:hAnsi="Calibri" w:cs="Calibri"/>
          <w:lang w:val="sq-AL"/>
        </w:rPr>
        <w:t>SA CE;</w:t>
      </w:r>
    </w:p>
    <w:p w:rsidR="00A06E34" w:rsidRPr="00062169" w:rsidRDefault="00A80976" w:rsidP="00900B3B">
      <w:pPr>
        <w:pStyle w:val="textregular"/>
        <w:numPr>
          <w:ilvl w:val="1"/>
          <w:numId w:val="14"/>
        </w:numPr>
        <w:spacing w:after="0" w:line="276" w:lineRule="auto"/>
        <w:jc w:val="both"/>
        <w:rPr>
          <w:rFonts w:ascii="Calibri" w:hAnsi="Calibri" w:cs="Calibri"/>
          <w:lang w:val="sq-AL"/>
        </w:rPr>
      </w:pPr>
      <w:r w:rsidRPr="00062169">
        <w:rPr>
          <w:rFonts w:ascii="Calibri" w:hAnsi="Calibri" w:cs="Calibri"/>
          <w:lang w:val="sq-AL"/>
        </w:rPr>
        <w:t>Devijimi mesatar i frekuenc</w:t>
      </w:r>
      <w:r w:rsidR="001A6733" w:rsidRPr="00062169">
        <w:rPr>
          <w:rFonts w:ascii="Calibri" w:hAnsi="Calibri" w:cs="Calibri"/>
          <w:lang w:val="sq-AL"/>
        </w:rPr>
        <w:t>ë</w:t>
      </w:r>
      <w:r w:rsidRPr="00062169">
        <w:rPr>
          <w:rFonts w:ascii="Calibri" w:hAnsi="Calibri" w:cs="Calibri"/>
          <w:lang w:val="sq-AL"/>
        </w:rPr>
        <w:t>s p</w:t>
      </w:r>
      <w:r w:rsidR="001A6733" w:rsidRPr="00062169">
        <w:rPr>
          <w:rFonts w:ascii="Calibri" w:hAnsi="Calibri" w:cs="Calibri"/>
          <w:lang w:val="sq-AL"/>
        </w:rPr>
        <w:t>ë</w:t>
      </w:r>
      <w:r w:rsidRPr="00062169">
        <w:rPr>
          <w:rFonts w:ascii="Calibri" w:hAnsi="Calibri" w:cs="Calibri"/>
          <w:lang w:val="sq-AL"/>
        </w:rPr>
        <w:t xml:space="preserve">r çdo </w:t>
      </w:r>
      <w:r w:rsidR="00053F35" w:rsidRPr="00062169">
        <w:rPr>
          <w:rFonts w:ascii="Calibri" w:hAnsi="Calibri" w:cs="Calibri"/>
          <w:lang w:val="sq-AL"/>
        </w:rPr>
        <w:t xml:space="preserve">periodë të barazimit përfundimtar </w:t>
      </w:r>
      <w:r w:rsidR="00AE3781" w:rsidRPr="00062169">
        <w:rPr>
          <w:rFonts w:ascii="Calibri" w:hAnsi="Calibri" w:cs="Calibri"/>
          <w:lang w:val="sq-AL"/>
        </w:rPr>
        <w:t xml:space="preserve">TSO </w:t>
      </w:r>
      <w:r w:rsidRPr="00062169">
        <w:rPr>
          <w:rFonts w:ascii="Calibri" w:hAnsi="Calibri" w:cs="Calibri"/>
          <w:lang w:val="sq-AL"/>
        </w:rPr>
        <w:t>-</w:t>
      </w:r>
      <w:r w:rsidR="00AE3781" w:rsidRPr="00062169">
        <w:rPr>
          <w:rFonts w:ascii="Calibri" w:hAnsi="Calibri" w:cs="Calibri"/>
          <w:lang w:val="sq-AL"/>
        </w:rPr>
        <w:t>TSO</w:t>
      </w:r>
      <w:r w:rsidRPr="00062169">
        <w:rPr>
          <w:rFonts w:ascii="Calibri" w:hAnsi="Calibri" w:cs="Calibri"/>
          <w:lang w:val="sq-AL"/>
        </w:rPr>
        <w:t xml:space="preserve"> t</w:t>
      </w:r>
      <w:r w:rsidR="001A6733" w:rsidRPr="00062169">
        <w:rPr>
          <w:rFonts w:ascii="Calibri" w:hAnsi="Calibri" w:cs="Calibri"/>
          <w:lang w:val="sq-AL"/>
        </w:rPr>
        <w:t>ë</w:t>
      </w:r>
      <w:r w:rsidR="00E1506D" w:rsidRPr="00062169">
        <w:rPr>
          <w:rFonts w:ascii="Calibri" w:hAnsi="Calibri" w:cs="Calibri"/>
          <w:lang w:val="sq-AL"/>
        </w:rPr>
        <w:t xml:space="preserve"> </w:t>
      </w:r>
      <w:r w:rsidR="00A06E34" w:rsidRPr="00062169">
        <w:rPr>
          <w:rFonts w:ascii="Calibri" w:hAnsi="Calibri" w:cs="Calibri"/>
          <w:lang w:val="sq-AL"/>
        </w:rPr>
        <w:t>SA CE</w:t>
      </w:r>
      <w:r w:rsidR="00DB4A34" w:rsidRPr="00062169">
        <w:rPr>
          <w:rFonts w:ascii="Calibri" w:hAnsi="Calibri" w:cs="Calibri"/>
          <w:lang w:val="sq-AL"/>
        </w:rPr>
        <w:t>,</w:t>
      </w:r>
      <w:r w:rsidRPr="00062169">
        <w:rPr>
          <w:rFonts w:ascii="Calibri" w:hAnsi="Calibri" w:cs="Calibri"/>
          <w:lang w:val="sq-AL"/>
        </w:rPr>
        <w:t xml:space="preserve"> i cili do t</w:t>
      </w:r>
      <w:r w:rsidR="001A6733" w:rsidRPr="00062169">
        <w:rPr>
          <w:rFonts w:ascii="Calibri" w:hAnsi="Calibri" w:cs="Calibri"/>
          <w:lang w:val="sq-AL"/>
        </w:rPr>
        <w:t>ë</w:t>
      </w:r>
      <w:r w:rsidRPr="00062169">
        <w:rPr>
          <w:rFonts w:ascii="Calibri" w:hAnsi="Calibri" w:cs="Calibri"/>
          <w:lang w:val="sq-AL"/>
        </w:rPr>
        <w:t xml:space="preserve"> p</w:t>
      </w:r>
      <w:r w:rsidR="001A6733" w:rsidRPr="00062169">
        <w:rPr>
          <w:rFonts w:ascii="Calibri" w:hAnsi="Calibri" w:cs="Calibri"/>
          <w:lang w:val="sq-AL"/>
        </w:rPr>
        <w:t>ë</w:t>
      </w:r>
      <w:r w:rsidRPr="00062169">
        <w:rPr>
          <w:rFonts w:ascii="Calibri" w:hAnsi="Calibri" w:cs="Calibri"/>
          <w:lang w:val="sq-AL"/>
        </w:rPr>
        <w:t xml:space="preserve">rcaktohet nga </w:t>
      </w:r>
      <w:r w:rsidR="00AE3781" w:rsidRPr="00062169">
        <w:rPr>
          <w:rFonts w:ascii="Calibri" w:hAnsi="Calibri" w:cs="Calibri"/>
          <w:lang w:val="sq-AL"/>
        </w:rPr>
        <w:t xml:space="preserve">TSO </w:t>
      </w:r>
      <w:r w:rsidRPr="00062169">
        <w:rPr>
          <w:rFonts w:ascii="Calibri" w:hAnsi="Calibri" w:cs="Calibri"/>
          <w:lang w:val="sq-AL"/>
        </w:rPr>
        <w:t xml:space="preserve">e </w:t>
      </w:r>
      <w:r w:rsidR="002B5BFD" w:rsidRPr="00062169">
        <w:rPr>
          <w:rFonts w:ascii="Calibri" w:hAnsi="Calibri" w:cs="Calibri"/>
          <w:lang w:val="sq-AL"/>
        </w:rPr>
        <w:t>para</w:t>
      </w:r>
      <w:r w:rsidRPr="00062169">
        <w:rPr>
          <w:rFonts w:ascii="Calibri" w:hAnsi="Calibri" w:cs="Calibri"/>
          <w:lang w:val="sq-AL"/>
        </w:rPr>
        <w:t>caktuar</w:t>
      </w:r>
      <w:r w:rsidR="00A06E34" w:rsidRPr="00062169">
        <w:rPr>
          <w:rFonts w:ascii="Calibri" w:hAnsi="Calibri" w:cs="Calibri"/>
          <w:lang w:val="sq-AL"/>
        </w:rPr>
        <w:t>;</w:t>
      </w:r>
    </w:p>
    <w:p w:rsidR="00A06E34" w:rsidRPr="00062169" w:rsidRDefault="00A80976" w:rsidP="00900B3B">
      <w:pPr>
        <w:pStyle w:val="textregular"/>
        <w:numPr>
          <w:ilvl w:val="1"/>
          <w:numId w:val="14"/>
        </w:numPr>
        <w:spacing w:after="0" w:line="276" w:lineRule="auto"/>
        <w:jc w:val="both"/>
        <w:rPr>
          <w:rFonts w:ascii="Calibri" w:hAnsi="Calibri" w:cs="Calibri"/>
          <w:lang w:val="sq-AL"/>
        </w:rPr>
      </w:pPr>
      <w:r w:rsidRPr="00062169">
        <w:rPr>
          <w:rFonts w:ascii="Calibri" w:hAnsi="Calibri" w:cs="Calibri"/>
          <w:lang w:val="sq-AL"/>
        </w:rPr>
        <w:t xml:space="preserve">të gjitha </w:t>
      </w:r>
      <w:r w:rsidR="002B5BFD" w:rsidRPr="00062169">
        <w:rPr>
          <w:rFonts w:ascii="Calibri" w:hAnsi="Calibri" w:cs="Calibri"/>
          <w:lang w:val="sq-AL"/>
        </w:rPr>
        <w:t>programet e agreguara dhe të netuara të shkëmbimeve</w:t>
      </w:r>
      <w:r w:rsidR="002B5BFD" w:rsidRPr="00062169" w:rsidDel="002B5BFD">
        <w:rPr>
          <w:rFonts w:ascii="Calibri" w:hAnsi="Calibri" w:cs="Calibri"/>
          <w:lang w:val="sq-AL"/>
        </w:rPr>
        <w:t xml:space="preserve"> </w:t>
      </w:r>
      <w:r w:rsidRPr="00062169">
        <w:rPr>
          <w:rFonts w:ascii="Calibri" w:hAnsi="Calibri" w:cs="Calibri"/>
          <w:lang w:val="sq-AL"/>
        </w:rPr>
        <w:t>(ANES) brenda SA CE</w:t>
      </w:r>
      <w:r w:rsidR="00A06E34" w:rsidRPr="00062169">
        <w:rPr>
          <w:rFonts w:ascii="Calibri" w:hAnsi="Calibri" w:cs="Calibri"/>
          <w:lang w:val="sq-AL"/>
        </w:rPr>
        <w:t>.</w:t>
      </w:r>
    </w:p>
    <w:p w:rsidR="00A06E34" w:rsidRPr="00062169" w:rsidRDefault="00A80976" w:rsidP="00900B3B">
      <w:pPr>
        <w:pStyle w:val="textregular"/>
        <w:numPr>
          <w:ilvl w:val="0"/>
          <w:numId w:val="14"/>
        </w:numPr>
        <w:spacing w:after="0" w:line="276" w:lineRule="auto"/>
        <w:jc w:val="both"/>
        <w:rPr>
          <w:rFonts w:ascii="Calibri" w:hAnsi="Calibri" w:cs="Calibri"/>
          <w:lang w:val="sq-AL"/>
        </w:rPr>
      </w:pPr>
      <w:r w:rsidRPr="00062169">
        <w:rPr>
          <w:rFonts w:ascii="Calibri" w:hAnsi="Calibri" w:cs="Calibri"/>
          <w:lang w:val="sq-AL"/>
        </w:rPr>
        <w:t xml:space="preserve">Rezultati i funksionit </w:t>
      </w:r>
      <w:r w:rsidR="00DF211D" w:rsidRPr="00062169">
        <w:rPr>
          <w:rFonts w:ascii="Calibri" w:hAnsi="Calibri" w:cs="Calibri"/>
          <w:lang w:val="sq-AL"/>
        </w:rPr>
        <w:t xml:space="preserve">të </w:t>
      </w:r>
      <w:r w:rsidR="009E298F" w:rsidRPr="00062169">
        <w:rPr>
          <w:rFonts w:ascii="Calibri" w:hAnsi="Calibri" w:cs="Calibri"/>
          <w:lang w:val="sq-AL"/>
        </w:rPr>
        <w:t>llogaritjes</w:t>
      </w:r>
      <w:r w:rsidR="002B5BFD" w:rsidRPr="00062169">
        <w:rPr>
          <w:rFonts w:ascii="Calibri" w:hAnsi="Calibri" w:cs="Calibri"/>
          <w:lang w:val="sq-AL"/>
        </w:rPr>
        <w:t xml:space="preserve"> të CCFR</w:t>
      </w:r>
      <w:r w:rsidR="00DF211D" w:rsidRPr="00062169">
        <w:rPr>
          <w:rFonts w:ascii="Calibri" w:hAnsi="Calibri" w:cs="Calibri"/>
          <w:lang w:val="sq-AL"/>
        </w:rPr>
        <w:t xml:space="preserve"> </w:t>
      </w:r>
      <w:r w:rsidRPr="00062169">
        <w:rPr>
          <w:rFonts w:ascii="Calibri" w:hAnsi="Calibri" w:cs="Calibri"/>
          <w:lang w:val="sq-AL"/>
        </w:rPr>
        <w:t>do t</w:t>
      </w:r>
      <w:r w:rsidR="001A6733" w:rsidRPr="00062169">
        <w:rPr>
          <w:rFonts w:ascii="Calibri" w:hAnsi="Calibri" w:cs="Calibri"/>
          <w:lang w:val="sq-AL"/>
        </w:rPr>
        <w:t>ë</w:t>
      </w:r>
      <w:r w:rsidRPr="00062169">
        <w:rPr>
          <w:rFonts w:ascii="Calibri" w:hAnsi="Calibri" w:cs="Calibri"/>
          <w:lang w:val="sq-AL"/>
        </w:rPr>
        <w:t xml:space="preserve"> jet</w:t>
      </w:r>
      <w:r w:rsidR="001A6733" w:rsidRPr="00062169">
        <w:rPr>
          <w:rFonts w:ascii="Calibri" w:hAnsi="Calibri" w:cs="Calibri"/>
          <w:lang w:val="sq-AL"/>
        </w:rPr>
        <w:t>ë</w:t>
      </w:r>
      <w:r w:rsidR="00A06E34" w:rsidRPr="00062169">
        <w:rPr>
          <w:rFonts w:ascii="Calibri" w:hAnsi="Calibri" w:cs="Calibri"/>
          <w:lang w:val="sq-AL"/>
        </w:rPr>
        <w:t>:</w:t>
      </w:r>
    </w:p>
    <w:p w:rsidR="00A06E34" w:rsidRPr="00062169" w:rsidRDefault="002B5BFD" w:rsidP="00900B3B">
      <w:pPr>
        <w:pStyle w:val="textregular"/>
        <w:numPr>
          <w:ilvl w:val="1"/>
          <w:numId w:val="14"/>
        </w:numPr>
        <w:spacing w:after="0" w:line="276" w:lineRule="auto"/>
        <w:jc w:val="both"/>
        <w:rPr>
          <w:rFonts w:ascii="Calibri" w:hAnsi="Calibri" w:cs="Calibri"/>
          <w:lang w:val="sq-AL"/>
        </w:rPr>
      </w:pPr>
      <w:r w:rsidRPr="00062169">
        <w:rPr>
          <w:rFonts w:ascii="Calibri" w:hAnsi="Calibri" w:cs="Calibri"/>
          <w:lang w:val="sq-AL"/>
        </w:rPr>
        <w:t xml:space="preserve">Sasia e energjisë për </w:t>
      </w:r>
      <w:r w:rsidR="00953664" w:rsidRPr="00062169">
        <w:rPr>
          <w:rFonts w:ascii="Calibri" w:hAnsi="Calibri" w:cs="Calibri"/>
          <w:lang w:val="sq-AL"/>
        </w:rPr>
        <w:t>s</w:t>
      </w:r>
      <w:r w:rsidR="00A80976" w:rsidRPr="00062169">
        <w:rPr>
          <w:rFonts w:ascii="Calibri" w:hAnsi="Calibri" w:cs="Calibri"/>
          <w:lang w:val="sq-AL"/>
        </w:rPr>
        <w:t>hk</w:t>
      </w:r>
      <w:r w:rsidR="001A6733" w:rsidRPr="00062169">
        <w:rPr>
          <w:rFonts w:ascii="Calibri" w:hAnsi="Calibri" w:cs="Calibri"/>
          <w:lang w:val="sq-AL"/>
        </w:rPr>
        <w:t>ë</w:t>
      </w:r>
      <w:r w:rsidR="00A80976" w:rsidRPr="00062169">
        <w:rPr>
          <w:rFonts w:ascii="Calibri" w:hAnsi="Calibri" w:cs="Calibri"/>
          <w:lang w:val="sq-AL"/>
        </w:rPr>
        <w:t>mbimet e q</w:t>
      </w:r>
      <w:r w:rsidR="001A6733" w:rsidRPr="00062169">
        <w:rPr>
          <w:rFonts w:ascii="Calibri" w:hAnsi="Calibri" w:cs="Calibri"/>
          <w:lang w:val="sq-AL"/>
        </w:rPr>
        <w:t>ë</w:t>
      </w:r>
      <w:r w:rsidR="00A80976" w:rsidRPr="00062169">
        <w:rPr>
          <w:rFonts w:ascii="Calibri" w:hAnsi="Calibri" w:cs="Calibri"/>
          <w:lang w:val="sq-AL"/>
        </w:rPr>
        <w:t>llimshme t</w:t>
      </w:r>
      <w:r w:rsidR="001A6733" w:rsidRPr="00062169">
        <w:rPr>
          <w:rFonts w:ascii="Calibri" w:hAnsi="Calibri" w:cs="Calibri"/>
          <w:lang w:val="sq-AL"/>
        </w:rPr>
        <w:t>ë</w:t>
      </w:r>
      <w:r w:rsidR="00A80976" w:rsidRPr="00062169">
        <w:rPr>
          <w:rFonts w:ascii="Calibri" w:hAnsi="Calibri" w:cs="Calibri"/>
          <w:lang w:val="sq-AL"/>
        </w:rPr>
        <w:t xml:space="preserve"> energjis</w:t>
      </w:r>
      <w:r w:rsidR="001A6733" w:rsidRPr="00062169">
        <w:rPr>
          <w:rFonts w:ascii="Calibri" w:hAnsi="Calibri" w:cs="Calibri"/>
          <w:lang w:val="sq-AL"/>
        </w:rPr>
        <w:t>ë</w:t>
      </w:r>
      <w:r w:rsidR="00A80976" w:rsidRPr="00062169">
        <w:rPr>
          <w:rFonts w:ascii="Calibri" w:hAnsi="Calibri" w:cs="Calibri"/>
          <w:lang w:val="sq-AL"/>
        </w:rPr>
        <w:t xml:space="preserve"> si rezultat i </w:t>
      </w:r>
      <w:r w:rsidR="00D33785" w:rsidRPr="00062169">
        <w:rPr>
          <w:rFonts w:ascii="Calibri" w:hAnsi="Calibri" w:cs="Calibri"/>
          <w:lang w:val="sq-AL"/>
        </w:rPr>
        <w:t xml:space="preserve">periodës </w:t>
      </w:r>
      <w:r w:rsidR="00A80976" w:rsidRPr="00062169">
        <w:rPr>
          <w:rFonts w:ascii="Calibri" w:hAnsi="Calibri" w:cs="Calibri"/>
          <w:lang w:val="sq-AL"/>
        </w:rPr>
        <w:t>s</w:t>
      </w:r>
      <w:r w:rsidR="001A6733" w:rsidRPr="00062169">
        <w:rPr>
          <w:rFonts w:ascii="Calibri" w:hAnsi="Calibri" w:cs="Calibri"/>
          <w:lang w:val="sq-AL"/>
        </w:rPr>
        <w:t>ë</w:t>
      </w:r>
      <w:r w:rsidR="00A80976" w:rsidRPr="00062169">
        <w:rPr>
          <w:rFonts w:ascii="Calibri" w:hAnsi="Calibri" w:cs="Calibri"/>
          <w:lang w:val="sq-AL"/>
        </w:rPr>
        <w:t xml:space="preserve"> </w:t>
      </w:r>
      <w:r w:rsidR="00AE3781" w:rsidRPr="00062169">
        <w:rPr>
          <w:rFonts w:ascii="Calibri" w:hAnsi="Calibri" w:cs="Calibri"/>
          <w:lang w:val="sq-AL"/>
        </w:rPr>
        <w:t xml:space="preserve">ndryshimit (rritje / ulje) </w:t>
      </w:r>
      <w:r w:rsidR="00A80976" w:rsidRPr="00062169">
        <w:rPr>
          <w:rFonts w:ascii="Calibri" w:hAnsi="Calibri" w:cs="Calibri"/>
          <w:lang w:val="sq-AL"/>
        </w:rPr>
        <w:t>p</w:t>
      </w:r>
      <w:r w:rsidR="001A6733" w:rsidRPr="00062169">
        <w:rPr>
          <w:rFonts w:ascii="Calibri" w:hAnsi="Calibri" w:cs="Calibri"/>
          <w:lang w:val="sq-AL"/>
        </w:rPr>
        <w:t>ë</w:t>
      </w:r>
      <w:r w:rsidR="00A80976" w:rsidRPr="00062169">
        <w:rPr>
          <w:rFonts w:ascii="Calibri" w:hAnsi="Calibri" w:cs="Calibri"/>
          <w:lang w:val="sq-AL"/>
        </w:rPr>
        <w:t xml:space="preserve">r çdo </w:t>
      </w:r>
      <w:r w:rsidRPr="00062169">
        <w:rPr>
          <w:rFonts w:ascii="Calibri" w:hAnsi="Calibri" w:cs="Calibri"/>
          <w:lang w:val="sq-AL"/>
        </w:rPr>
        <w:t xml:space="preserve">periodë të barazimit përfundimtar </w:t>
      </w:r>
      <w:r w:rsidR="00AE3781" w:rsidRPr="00062169">
        <w:rPr>
          <w:rFonts w:ascii="Calibri" w:hAnsi="Calibri" w:cs="Calibri"/>
          <w:lang w:val="sq-AL"/>
        </w:rPr>
        <w:t xml:space="preserve">TSO </w:t>
      </w:r>
      <w:r w:rsidR="00A80976" w:rsidRPr="00062169">
        <w:rPr>
          <w:rFonts w:ascii="Calibri" w:hAnsi="Calibri" w:cs="Calibri"/>
          <w:lang w:val="sq-AL"/>
        </w:rPr>
        <w:t>-</w:t>
      </w:r>
      <w:r w:rsidR="00AE3781" w:rsidRPr="00062169">
        <w:rPr>
          <w:rFonts w:ascii="Calibri" w:hAnsi="Calibri" w:cs="Calibri"/>
          <w:lang w:val="sq-AL"/>
        </w:rPr>
        <w:t>TSO</w:t>
      </w:r>
      <w:r w:rsidR="00A80976" w:rsidRPr="00062169">
        <w:rPr>
          <w:rFonts w:ascii="Calibri" w:hAnsi="Calibri" w:cs="Calibri"/>
          <w:lang w:val="sq-AL"/>
        </w:rPr>
        <w:t xml:space="preserve"> brenda </w:t>
      </w:r>
      <w:r w:rsidR="00A06E34" w:rsidRPr="00062169">
        <w:rPr>
          <w:rFonts w:ascii="Calibri" w:hAnsi="Calibri" w:cs="Calibri"/>
          <w:lang w:val="sq-AL"/>
        </w:rPr>
        <w:t>SA CE;</w:t>
      </w:r>
    </w:p>
    <w:p w:rsidR="007F64B6" w:rsidRPr="00062169" w:rsidRDefault="002B5BFD" w:rsidP="00900B3B">
      <w:pPr>
        <w:pStyle w:val="textregular"/>
        <w:numPr>
          <w:ilvl w:val="1"/>
          <w:numId w:val="14"/>
        </w:numPr>
        <w:spacing w:after="0" w:line="276" w:lineRule="auto"/>
        <w:jc w:val="both"/>
        <w:rPr>
          <w:rFonts w:ascii="Calibri" w:hAnsi="Calibri" w:cs="Calibri"/>
          <w:lang w:val="sq-AL"/>
        </w:rPr>
      </w:pPr>
      <w:r w:rsidRPr="00062169">
        <w:rPr>
          <w:rFonts w:ascii="Calibri" w:hAnsi="Calibri" w:cs="Calibri"/>
          <w:lang w:val="sq-AL"/>
        </w:rPr>
        <w:t xml:space="preserve">Sasia e energjisë për </w:t>
      </w:r>
      <w:r w:rsidR="00953664" w:rsidRPr="00062169">
        <w:rPr>
          <w:rFonts w:ascii="Calibri" w:hAnsi="Calibri" w:cs="Calibri"/>
          <w:lang w:val="sq-AL"/>
        </w:rPr>
        <w:t xml:space="preserve">shkëmbimet </w:t>
      </w:r>
      <w:r w:rsidR="00EB693C" w:rsidRPr="00062169">
        <w:rPr>
          <w:rFonts w:ascii="Calibri" w:hAnsi="Calibri" w:cs="Calibri"/>
          <w:lang w:val="sq-AL"/>
        </w:rPr>
        <w:t>e q</w:t>
      </w:r>
      <w:r w:rsidR="001A6733" w:rsidRPr="00062169">
        <w:rPr>
          <w:rFonts w:ascii="Calibri" w:hAnsi="Calibri" w:cs="Calibri"/>
          <w:lang w:val="sq-AL"/>
        </w:rPr>
        <w:t>ë</w:t>
      </w:r>
      <w:r w:rsidR="00EB693C" w:rsidRPr="00062169">
        <w:rPr>
          <w:rFonts w:ascii="Calibri" w:hAnsi="Calibri" w:cs="Calibri"/>
          <w:lang w:val="sq-AL"/>
        </w:rPr>
        <w:t>llimshme t</w:t>
      </w:r>
      <w:r w:rsidR="001A6733" w:rsidRPr="00062169">
        <w:rPr>
          <w:rFonts w:ascii="Calibri" w:hAnsi="Calibri" w:cs="Calibri"/>
          <w:lang w:val="sq-AL"/>
        </w:rPr>
        <w:t>ë</w:t>
      </w:r>
      <w:r w:rsidR="00EB693C" w:rsidRPr="00062169">
        <w:rPr>
          <w:rFonts w:ascii="Calibri" w:hAnsi="Calibri" w:cs="Calibri"/>
          <w:lang w:val="sq-AL"/>
        </w:rPr>
        <w:t xml:space="preserve"> energjis</w:t>
      </w:r>
      <w:r w:rsidR="001A6733" w:rsidRPr="00062169">
        <w:rPr>
          <w:rFonts w:ascii="Calibri" w:hAnsi="Calibri" w:cs="Calibri"/>
          <w:lang w:val="sq-AL"/>
        </w:rPr>
        <w:t>ë</w:t>
      </w:r>
      <w:r w:rsidR="00EB693C" w:rsidRPr="00062169">
        <w:rPr>
          <w:rFonts w:ascii="Calibri" w:hAnsi="Calibri" w:cs="Calibri"/>
          <w:lang w:val="sq-AL"/>
        </w:rPr>
        <w:t xml:space="preserve"> si rezultat i procesit t</w:t>
      </w:r>
      <w:r w:rsidR="001A6733" w:rsidRPr="00062169">
        <w:rPr>
          <w:rFonts w:ascii="Calibri" w:hAnsi="Calibri" w:cs="Calibri"/>
          <w:lang w:val="sq-AL"/>
        </w:rPr>
        <w:t>ë</w:t>
      </w:r>
      <w:r w:rsidR="00EB693C" w:rsidRPr="00062169">
        <w:rPr>
          <w:rFonts w:ascii="Calibri" w:hAnsi="Calibri" w:cs="Calibri"/>
          <w:lang w:val="sq-AL"/>
        </w:rPr>
        <w:t xml:space="preserve"> </w:t>
      </w:r>
      <w:r w:rsidRPr="00062169">
        <w:rPr>
          <w:rFonts w:ascii="Calibri" w:hAnsi="Calibri" w:cs="Calibri"/>
          <w:lang w:val="sq-AL"/>
        </w:rPr>
        <w:t xml:space="preserve">rregullimit </w:t>
      </w:r>
      <w:r w:rsidR="00C85011" w:rsidRPr="00062169">
        <w:rPr>
          <w:rFonts w:ascii="Calibri" w:hAnsi="Calibri" w:cs="Calibri"/>
          <w:lang w:val="sq-AL"/>
        </w:rPr>
        <w:t>stabilizues</w:t>
      </w:r>
      <w:r w:rsidRPr="00062169">
        <w:rPr>
          <w:rFonts w:ascii="Calibri" w:hAnsi="Calibri" w:cs="Calibri"/>
          <w:lang w:val="sq-AL"/>
        </w:rPr>
        <w:t xml:space="preserve"> të frekuencës</w:t>
      </w:r>
      <w:r w:rsidR="00EB693C" w:rsidRPr="00062169">
        <w:rPr>
          <w:rFonts w:ascii="Calibri" w:hAnsi="Calibri" w:cs="Calibri"/>
          <w:lang w:val="sq-AL"/>
        </w:rPr>
        <w:t xml:space="preserve"> p</w:t>
      </w:r>
      <w:r w:rsidR="001A6733" w:rsidRPr="00062169">
        <w:rPr>
          <w:rFonts w:ascii="Calibri" w:hAnsi="Calibri" w:cs="Calibri"/>
          <w:lang w:val="sq-AL"/>
        </w:rPr>
        <w:t>ë</w:t>
      </w:r>
      <w:r w:rsidR="00EB693C" w:rsidRPr="00062169">
        <w:rPr>
          <w:rFonts w:ascii="Calibri" w:hAnsi="Calibri" w:cs="Calibri"/>
          <w:lang w:val="sq-AL"/>
        </w:rPr>
        <w:t xml:space="preserve">r çdo </w:t>
      </w:r>
      <w:r w:rsidRPr="00062169">
        <w:rPr>
          <w:rFonts w:ascii="Calibri" w:hAnsi="Calibri" w:cs="Calibri"/>
          <w:lang w:val="sq-AL"/>
        </w:rPr>
        <w:t>periodë të barazimit përfundimtar</w:t>
      </w:r>
      <w:r w:rsidR="00EB693C" w:rsidRPr="00062169">
        <w:rPr>
          <w:rFonts w:ascii="Calibri" w:hAnsi="Calibri" w:cs="Calibri"/>
          <w:lang w:val="sq-AL"/>
        </w:rPr>
        <w:t xml:space="preserve"> </w:t>
      </w:r>
      <w:r w:rsidR="00AE3781" w:rsidRPr="00062169">
        <w:rPr>
          <w:rFonts w:ascii="Calibri" w:hAnsi="Calibri" w:cs="Calibri"/>
          <w:lang w:val="sq-AL"/>
        </w:rPr>
        <w:t xml:space="preserve">TSO </w:t>
      </w:r>
      <w:r w:rsidR="00EB693C" w:rsidRPr="00062169">
        <w:rPr>
          <w:rFonts w:ascii="Calibri" w:hAnsi="Calibri" w:cs="Calibri"/>
          <w:lang w:val="sq-AL"/>
        </w:rPr>
        <w:t>-</w:t>
      </w:r>
      <w:r w:rsidR="00AE3781" w:rsidRPr="00062169">
        <w:rPr>
          <w:rFonts w:ascii="Calibri" w:hAnsi="Calibri" w:cs="Calibri"/>
          <w:lang w:val="sq-AL"/>
        </w:rPr>
        <w:t xml:space="preserve">TSO </w:t>
      </w:r>
      <w:r w:rsidR="00EB693C" w:rsidRPr="00062169">
        <w:rPr>
          <w:rFonts w:ascii="Calibri" w:hAnsi="Calibri" w:cs="Calibri"/>
          <w:lang w:val="sq-AL"/>
        </w:rPr>
        <w:t>brenda SA CE</w:t>
      </w:r>
      <w:r w:rsidR="00A06E34" w:rsidRPr="00062169">
        <w:rPr>
          <w:rFonts w:ascii="Calibri" w:hAnsi="Calibri" w:cs="Calibri"/>
          <w:lang w:val="sq-AL"/>
        </w:rPr>
        <w:t>.</w:t>
      </w:r>
    </w:p>
    <w:p w:rsidR="006E6CB8" w:rsidRPr="00062169" w:rsidRDefault="00641280" w:rsidP="00900B3B">
      <w:pPr>
        <w:pStyle w:val="textregular"/>
        <w:numPr>
          <w:ilvl w:val="0"/>
          <w:numId w:val="14"/>
        </w:numPr>
        <w:spacing w:after="0" w:line="276" w:lineRule="auto"/>
        <w:jc w:val="both"/>
        <w:rPr>
          <w:rFonts w:ascii="Calibri" w:hAnsi="Calibri" w:cs="Calibri"/>
          <w:lang w:val="sq-AL"/>
        </w:rPr>
      </w:pPr>
      <w:r w:rsidRPr="00062169">
        <w:rPr>
          <w:rFonts w:ascii="Calibri" w:hAnsi="Calibri" w:cs="Calibri"/>
          <w:lang w:val="sq-AL"/>
        </w:rPr>
        <w:t>Entiteti</w:t>
      </w:r>
      <w:r w:rsidR="002B5BFD" w:rsidRPr="00062169">
        <w:rPr>
          <w:rFonts w:ascii="Calibri" w:hAnsi="Calibri" w:cs="Calibri"/>
          <w:lang w:val="sq-AL"/>
        </w:rPr>
        <w:t xml:space="preserve"> </w:t>
      </w:r>
      <w:r w:rsidR="006E7718" w:rsidRPr="00062169">
        <w:rPr>
          <w:rFonts w:ascii="Calibri" w:hAnsi="Calibri" w:cs="Calibri"/>
          <w:lang w:val="sq-AL"/>
        </w:rPr>
        <w:t xml:space="preserve">ose </w:t>
      </w:r>
      <w:r w:rsidRPr="00062169">
        <w:rPr>
          <w:rFonts w:ascii="Calibri" w:hAnsi="Calibri" w:cs="Calibri"/>
          <w:lang w:val="sq-AL"/>
        </w:rPr>
        <w:t>entitetet</w:t>
      </w:r>
      <w:r w:rsidR="002B5BFD" w:rsidRPr="00062169">
        <w:rPr>
          <w:rFonts w:ascii="Calibri" w:hAnsi="Calibri" w:cs="Calibri"/>
          <w:lang w:val="sq-AL"/>
        </w:rPr>
        <w:t xml:space="preserve"> </w:t>
      </w:r>
      <w:r w:rsidR="006E7718" w:rsidRPr="00062169">
        <w:rPr>
          <w:rFonts w:ascii="Calibri" w:hAnsi="Calibri" w:cs="Calibri"/>
          <w:lang w:val="sq-AL"/>
        </w:rPr>
        <w:t>t</w:t>
      </w:r>
      <w:r w:rsidR="001A6733" w:rsidRPr="00062169">
        <w:rPr>
          <w:rFonts w:ascii="Calibri" w:hAnsi="Calibri" w:cs="Calibri"/>
          <w:lang w:val="sq-AL"/>
        </w:rPr>
        <w:t>ë</w:t>
      </w:r>
      <w:r w:rsidR="006E7718" w:rsidRPr="00062169">
        <w:rPr>
          <w:rFonts w:ascii="Calibri" w:hAnsi="Calibri" w:cs="Calibri"/>
          <w:lang w:val="sq-AL"/>
        </w:rPr>
        <w:t xml:space="preserve"> cilave u </w:t>
      </w:r>
      <w:r w:rsidR="001A6733" w:rsidRPr="00062169">
        <w:rPr>
          <w:rFonts w:ascii="Calibri" w:hAnsi="Calibri" w:cs="Calibri"/>
          <w:lang w:val="sq-AL"/>
        </w:rPr>
        <w:t>ë</w:t>
      </w:r>
      <w:r w:rsidR="006E7718" w:rsidRPr="00062169">
        <w:rPr>
          <w:rFonts w:ascii="Calibri" w:hAnsi="Calibri" w:cs="Calibri"/>
          <w:lang w:val="sq-AL"/>
        </w:rPr>
        <w:t>sht</w:t>
      </w:r>
      <w:r w:rsidR="001A6733" w:rsidRPr="00062169">
        <w:rPr>
          <w:rFonts w:ascii="Calibri" w:hAnsi="Calibri" w:cs="Calibri"/>
          <w:lang w:val="sq-AL"/>
        </w:rPr>
        <w:t>ë</w:t>
      </w:r>
      <w:r w:rsidR="006E7718" w:rsidRPr="00062169">
        <w:rPr>
          <w:rFonts w:ascii="Calibri" w:hAnsi="Calibri" w:cs="Calibri"/>
          <w:lang w:val="sq-AL"/>
        </w:rPr>
        <w:t xml:space="preserve"> besuar </w:t>
      </w:r>
      <w:r w:rsidR="002B5BFD" w:rsidRPr="00062169">
        <w:rPr>
          <w:rFonts w:ascii="Calibri" w:hAnsi="Calibri" w:cs="Calibri"/>
          <w:lang w:val="sq-AL"/>
        </w:rPr>
        <w:t xml:space="preserve">detyra e barazimit përfundimtar </w:t>
      </w:r>
      <w:r w:rsidR="00F02D9C" w:rsidRPr="00062169">
        <w:rPr>
          <w:rFonts w:ascii="Calibri" w:hAnsi="Calibri" w:cs="Calibri"/>
          <w:lang w:val="sq-AL"/>
        </w:rPr>
        <w:t>CC</w:t>
      </w:r>
      <w:r w:rsidR="00D35A1C" w:rsidRPr="00062169">
        <w:rPr>
          <w:rFonts w:ascii="Calibri" w:hAnsi="Calibri" w:cs="Calibri"/>
          <w:lang w:val="sq-AL"/>
        </w:rPr>
        <w:t>FR</w:t>
      </w:r>
      <w:r w:rsidR="006E7718" w:rsidRPr="00062169">
        <w:rPr>
          <w:rFonts w:ascii="Calibri" w:hAnsi="Calibri" w:cs="Calibri"/>
          <w:lang w:val="sq-AL"/>
        </w:rPr>
        <w:t xml:space="preserve"> do të mbledhë të gjitha të dhënat e kërkuara për të llogaritur çmim</w:t>
      </w:r>
      <w:r w:rsidR="002B5BFD" w:rsidRPr="00062169">
        <w:rPr>
          <w:rFonts w:ascii="Calibri" w:hAnsi="Calibri" w:cs="Calibri"/>
          <w:lang w:val="sq-AL"/>
        </w:rPr>
        <w:t xml:space="preserve">in për energjinë </w:t>
      </w:r>
      <w:r w:rsidR="000E7916" w:rsidRPr="00062169">
        <w:rPr>
          <w:rFonts w:ascii="Calibri" w:hAnsi="Calibri" w:cs="Calibri"/>
          <w:lang w:val="sq-AL"/>
        </w:rPr>
        <w:t>e</w:t>
      </w:r>
      <w:r w:rsidR="006E7718" w:rsidRPr="00062169">
        <w:rPr>
          <w:rFonts w:ascii="Calibri" w:hAnsi="Calibri" w:cs="Calibri"/>
          <w:lang w:val="sq-AL"/>
        </w:rPr>
        <w:t xml:space="preserve"> shkëmbimit </w:t>
      </w:r>
      <w:r w:rsidR="000E7916" w:rsidRPr="00062169">
        <w:rPr>
          <w:rFonts w:ascii="Calibri" w:hAnsi="Calibri" w:cs="Calibri"/>
          <w:lang w:val="sq-AL"/>
        </w:rPr>
        <w:t xml:space="preserve">gjatë </w:t>
      </w:r>
      <w:r w:rsidR="006E7718" w:rsidRPr="00062169">
        <w:rPr>
          <w:rFonts w:ascii="Calibri" w:hAnsi="Calibri" w:cs="Calibri"/>
          <w:lang w:val="sq-AL"/>
        </w:rPr>
        <w:t>procesit t</w:t>
      </w:r>
      <w:r w:rsidR="001A6733" w:rsidRPr="00062169">
        <w:rPr>
          <w:rFonts w:ascii="Calibri" w:hAnsi="Calibri" w:cs="Calibri"/>
          <w:lang w:val="sq-AL"/>
        </w:rPr>
        <w:t>ë</w:t>
      </w:r>
      <w:r w:rsidR="006E7718" w:rsidRPr="00062169">
        <w:rPr>
          <w:rFonts w:ascii="Calibri" w:hAnsi="Calibri" w:cs="Calibri"/>
          <w:lang w:val="sq-AL"/>
        </w:rPr>
        <w:t xml:space="preserve"> </w:t>
      </w:r>
      <w:r w:rsidR="002B5BFD" w:rsidRPr="00062169">
        <w:rPr>
          <w:rFonts w:ascii="Calibri" w:hAnsi="Calibri" w:cs="Calibri"/>
          <w:lang w:val="sq-AL"/>
        </w:rPr>
        <w:t xml:space="preserve">rregullimit </w:t>
      </w:r>
      <w:r w:rsidR="00C85011" w:rsidRPr="00062169">
        <w:rPr>
          <w:rFonts w:ascii="Calibri" w:hAnsi="Calibri" w:cs="Calibri"/>
          <w:lang w:val="sq-AL"/>
        </w:rPr>
        <w:t>stabilizues</w:t>
      </w:r>
      <w:r w:rsidR="002B5BFD" w:rsidRPr="00062169">
        <w:rPr>
          <w:rFonts w:ascii="Calibri" w:hAnsi="Calibri" w:cs="Calibri"/>
          <w:lang w:val="sq-AL"/>
        </w:rPr>
        <w:t xml:space="preserve"> të frekuencës</w:t>
      </w:r>
      <w:r w:rsidR="006E7718" w:rsidRPr="00062169">
        <w:rPr>
          <w:rFonts w:ascii="Calibri" w:hAnsi="Calibri" w:cs="Calibri"/>
          <w:lang w:val="sq-AL"/>
        </w:rPr>
        <w:t xml:space="preserve"> dhe </w:t>
      </w:r>
      <w:r w:rsidR="00D33785" w:rsidRPr="00062169">
        <w:rPr>
          <w:rFonts w:ascii="Calibri" w:hAnsi="Calibri" w:cs="Calibri"/>
          <w:lang w:val="sq-AL"/>
        </w:rPr>
        <w:t xml:space="preserve">periodës </w:t>
      </w:r>
      <w:r w:rsidR="006E7718" w:rsidRPr="00062169">
        <w:rPr>
          <w:rFonts w:ascii="Calibri" w:hAnsi="Calibri" w:cs="Calibri"/>
          <w:lang w:val="sq-AL"/>
        </w:rPr>
        <w:t>s</w:t>
      </w:r>
      <w:r w:rsidR="001A6733" w:rsidRPr="00062169">
        <w:rPr>
          <w:rFonts w:ascii="Calibri" w:hAnsi="Calibri" w:cs="Calibri"/>
          <w:lang w:val="sq-AL"/>
        </w:rPr>
        <w:t>ë</w:t>
      </w:r>
      <w:r w:rsidR="006E7718" w:rsidRPr="00062169">
        <w:rPr>
          <w:rFonts w:ascii="Calibri" w:hAnsi="Calibri" w:cs="Calibri"/>
          <w:lang w:val="sq-AL"/>
        </w:rPr>
        <w:t xml:space="preserve"> </w:t>
      </w:r>
      <w:r w:rsidR="00AE3781" w:rsidRPr="00062169">
        <w:rPr>
          <w:rFonts w:ascii="Calibri" w:hAnsi="Calibri" w:cs="Calibri"/>
          <w:lang w:val="sq-AL"/>
        </w:rPr>
        <w:t xml:space="preserve">ndryshimit (rritje / ulje) </w:t>
      </w:r>
      <w:r w:rsidR="006E7718" w:rsidRPr="00062169">
        <w:rPr>
          <w:rFonts w:ascii="Calibri" w:hAnsi="Calibri" w:cs="Calibri"/>
          <w:lang w:val="sq-AL"/>
        </w:rPr>
        <w:t>p</w:t>
      </w:r>
      <w:r w:rsidR="001A6733" w:rsidRPr="00062169">
        <w:rPr>
          <w:rFonts w:ascii="Calibri" w:hAnsi="Calibri" w:cs="Calibri"/>
          <w:lang w:val="sq-AL"/>
        </w:rPr>
        <w:t>ë</w:t>
      </w:r>
      <w:r w:rsidR="006E7718" w:rsidRPr="00062169">
        <w:rPr>
          <w:rFonts w:ascii="Calibri" w:hAnsi="Calibri" w:cs="Calibri"/>
          <w:lang w:val="sq-AL"/>
        </w:rPr>
        <w:t xml:space="preserve">r çdo </w:t>
      </w:r>
      <w:r w:rsidR="002B5BFD" w:rsidRPr="00062169">
        <w:rPr>
          <w:rFonts w:ascii="Calibri" w:hAnsi="Calibri" w:cs="Calibri"/>
          <w:lang w:val="sq-AL"/>
        </w:rPr>
        <w:t>periodë të barazimit përfundimtar</w:t>
      </w:r>
      <w:r w:rsidR="006E7718" w:rsidRPr="00062169">
        <w:rPr>
          <w:rFonts w:ascii="Calibri" w:hAnsi="Calibri" w:cs="Calibri"/>
          <w:lang w:val="sq-AL"/>
        </w:rPr>
        <w:t xml:space="preserve"> </w:t>
      </w:r>
      <w:r w:rsidR="00AE3781" w:rsidRPr="00062169">
        <w:rPr>
          <w:rFonts w:ascii="Calibri" w:hAnsi="Calibri" w:cs="Calibri"/>
          <w:lang w:val="sq-AL"/>
        </w:rPr>
        <w:t>TSO</w:t>
      </w:r>
      <w:r w:rsidR="006E7718" w:rsidRPr="00062169">
        <w:rPr>
          <w:rFonts w:ascii="Calibri" w:hAnsi="Calibri" w:cs="Calibri"/>
          <w:lang w:val="sq-AL"/>
        </w:rPr>
        <w:t>-</w:t>
      </w:r>
      <w:r w:rsidR="00AE3781" w:rsidRPr="00062169">
        <w:rPr>
          <w:rFonts w:ascii="Calibri" w:hAnsi="Calibri" w:cs="Calibri"/>
          <w:lang w:val="sq-AL"/>
        </w:rPr>
        <w:t xml:space="preserve">TSO </w:t>
      </w:r>
      <w:r w:rsidR="006E7718" w:rsidRPr="00062169">
        <w:rPr>
          <w:rFonts w:ascii="Calibri" w:hAnsi="Calibri" w:cs="Calibri"/>
          <w:lang w:val="sq-AL"/>
        </w:rPr>
        <w:t>dhe do t</w:t>
      </w:r>
      <w:r w:rsidR="001A6733" w:rsidRPr="00062169">
        <w:rPr>
          <w:rFonts w:ascii="Calibri" w:hAnsi="Calibri" w:cs="Calibri"/>
          <w:lang w:val="sq-AL"/>
        </w:rPr>
        <w:t>ë</w:t>
      </w:r>
      <w:r w:rsidR="006E7718" w:rsidRPr="00062169">
        <w:rPr>
          <w:rFonts w:ascii="Calibri" w:hAnsi="Calibri" w:cs="Calibri"/>
          <w:lang w:val="sq-AL"/>
        </w:rPr>
        <w:t xml:space="preserve"> llogaris</w:t>
      </w:r>
      <w:r w:rsidR="001A6733" w:rsidRPr="00062169">
        <w:rPr>
          <w:rFonts w:ascii="Calibri" w:hAnsi="Calibri" w:cs="Calibri"/>
          <w:lang w:val="sq-AL"/>
        </w:rPr>
        <w:t>ë</w:t>
      </w:r>
      <w:r w:rsidR="006E7718" w:rsidRPr="00062169">
        <w:rPr>
          <w:rFonts w:ascii="Calibri" w:hAnsi="Calibri" w:cs="Calibri"/>
          <w:lang w:val="sq-AL"/>
        </w:rPr>
        <w:t xml:space="preserve"> rezultatin financiar dhe </w:t>
      </w:r>
      <w:r w:rsidR="002B5BFD" w:rsidRPr="00062169">
        <w:rPr>
          <w:rFonts w:ascii="Calibri" w:hAnsi="Calibri" w:cs="Calibri"/>
          <w:lang w:val="sq-AL"/>
        </w:rPr>
        <w:t>rrjedhën e parasë</w:t>
      </w:r>
      <w:r w:rsidR="006E7718" w:rsidRPr="00062169">
        <w:rPr>
          <w:rFonts w:ascii="Calibri" w:hAnsi="Calibri" w:cs="Calibri"/>
          <w:lang w:val="sq-AL"/>
        </w:rPr>
        <w:t xml:space="preserve"> p</w:t>
      </w:r>
      <w:r w:rsidR="001A6733" w:rsidRPr="00062169">
        <w:rPr>
          <w:rFonts w:ascii="Calibri" w:hAnsi="Calibri" w:cs="Calibri"/>
          <w:lang w:val="sq-AL"/>
        </w:rPr>
        <w:t>ë</w:t>
      </w:r>
      <w:r w:rsidR="006E7718" w:rsidRPr="00062169">
        <w:rPr>
          <w:rFonts w:ascii="Calibri" w:hAnsi="Calibri" w:cs="Calibri"/>
          <w:lang w:val="sq-AL"/>
        </w:rPr>
        <w:t>r çdo bllok LFC ose zon</w:t>
      </w:r>
      <w:r w:rsidR="001A6733" w:rsidRPr="00062169">
        <w:rPr>
          <w:rFonts w:ascii="Calibri" w:hAnsi="Calibri" w:cs="Calibri"/>
          <w:lang w:val="sq-AL"/>
        </w:rPr>
        <w:t>ë</w:t>
      </w:r>
      <w:r w:rsidR="006E7718" w:rsidRPr="00062169">
        <w:rPr>
          <w:rFonts w:ascii="Calibri" w:hAnsi="Calibri" w:cs="Calibri"/>
          <w:lang w:val="sq-AL"/>
        </w:rPr>
        <w:t xml:space="preserve"> LFC</w:t>
      </w:r>
      <w:r w:rsidR="002E0AC0" w:rsidRPr="00062169">
        <w:rPr>
          <w:rFonts w:ascii="Calibri" w:hAnsi="Calibri" w:cs="Calibri"/>
          <w:lang w:val="sq-AL"/>
        </w:rPr>
        <w:t>.</w:t>
      </w:r>
    </w:p>
    <w:p w:rsidR="006E6CB8" w:rsidRPr="00062169" w:rsidRDefault="006E7718" w:rsidP="00900B3B">
      <w:pPr>
        <w:pStyle w:val="textregular"/>
        <w:keepNext/>
        <w:numPr>
          <w:ilvl w:val="0"/>
          <w:numId w:val="14"/>
        </w:numPr>
        <w:spacing w:after="0" w:line="276" w:lineRule="auto"/>
        <w:ind w:left="357" w:hanging="357"/>
        <w:jc w:val="both"/>
        <w:rPr>
          <w:rFonts w:ascii="Calibri" w:hAnsi="Calibri" w:cs="Calibri"/>
          <w:lang w:val="sq-AL"/>
        </w:rPr>
      </w:pPr>
      <w:r w:rsidRPr="00062169">
        <w:rPr>
          <w:rFonts w:ascii="Calibri" w:hAnsi="Calibri" w:cs="Calibri"/>
          <w:lang w:val="sq-AL"/>
        </w:rPr>
        <w:t>Inputi i funksionit t</w:t>
      </w:r>
      <w:r w:rsidR="001A6733" w:rsidRPr="00062169">
        <w:rPr>
          <w:rFonts w:ascii="Calibri" w:hAnsi="Calibri" w:cs="Calibri"/>
          <w:lang w:val="sq-AL"/>
        </w:rPr>
        <w:t>ë</w:t>
      </w:r>
      <w:r w:rsidRPr="00062169">
        <w:rPr>
          <w:rFonts w:ascii="Calibri" w:hAnsi="Calibri" w:cs="Calibri"/>
          <w:lang w:val="sq-AL"/>
        </w:rPr>
        <w:t xml:space="preserve"> </w:t>
      </w:r>
      <w:r w:rsidR="008011C5" w:rsidRPr="00062169">
        <w:rPr>
          <w:rFonts w:ascii="Calibri" w:hAnsi="Calibri" w:cs="Calibri"/>
          <w:lang w:val="sq-AL"/>
        </w:rPr>
        <w:t xml:space="preserve">barazimi përfundimtar </w:t>
      </w:r>
      <w:r w:rsidR="006E6CB8" w:rsidRPr="00062169">
        <w:rPr>
          <w:rFonts w:ascii="Calibri" w:hAnsi="Calibri" w:cs="Calibri"/>
          <w:lang w:val="sq-AL"/>
        </w:rPr>
        <w:t xml:space="preserve">CCFR </w:t>
      </w:r>
      <w:r w:rsidRPr="00062169">
        <w:rPr>
          <w:rFonts w:ascii="Calibri" w:hAnsi="Calibri" w:cs="Calibri"/>
          <w:lang w:val="sq-AL"/>
        </w:rPr>
        <w:t>do t</w:t>
      </w:r>
      <w:r w:rsidR="001A6733" w:rsidRPr="00062169">
        <w:rPr>
          <w:rFonts w:ascii="Calibri" w:hAnsi="Calibri" w:cs="Calibri"/>
          <w:lang w:val="sq-AL"/>
        </w:rPr>
        <w:t>ë</w:t>
      </w:r>
      <w:r w:rsidRPr="00062169">
        <w:rPr>
          <w:rFonts w:ascii="Calibri" w:hAnsi="Calibri" w:cs="Calibri"/>
          <w:lang w:val="sq-AL"/>
        </w:rPr>
        <w:t xml:space="preserve"> jet</w:t>
      </w:r>
      <w:r w:rsidR="001A6733" w:rsidRPr="00062169">
        <w:rPr>
          <w:rFonts w:ascii="Calibri" w:hAnsi="Calibri" w:cs="Calibri"/>
          <w:lang w:val="sq-AL"/>
        </w:rPr>
        <w:t>ë</w:t>
      </w:r>
      <w:r w:rsidR="006E6CB8" w:rsidRPr="00062169">
        <w:rPr>
          <w:rFonts w:ascii="Calibri" w:hAnsi="Calibri" w:cs="Calibri"/>
          <w:lang w:val="sq-AL"/>
        </w:rPr>
        <w:t>:</w:t>
      </w:r>
    </w:p>
    <w:p w:rsidR="006E6CB8" w:rsidRPr="00062169" w:rsidRDefault="008011C5" w:rsidP="00900B3B">
      <w:pPr>
        <w:pStyle w:val="textregular"/>
        <w:numPr>
          <w:ilvl w:val="1"/>
          <w:numId w:val="14"/>
        </w:numPr>
        <w:spacing w:after="0" w:line="276" w:lineRule="auto"/>
        <w:jc w:val="both"/>
        <w:rPr>
          <w:rFonts w:ascii="Calibri" w:hAnsi="Calibri" w:cs="Calibri"/>
          <w:lang w:val="sq-AL"/>
        </w:rPr>
      </w:pPr>
      <w:r w:rsidRPr="00062169">
        <w:rPr>
          <w:rFonts w:ascii="Calibri" w:hAnsi="Calibri" w:cs="Calibri"/>
          <w:lang w:val="sq-AL"/>
        </w:rPr>
        <w:t>sasia e s</w:t>
      </w:r>
      <w:r w:rsidR="006E7718" w:rsidRPr="00062169">
        <w:rPr>
          <w:rFonts w:ascii="Calibri" w:hAnsi="Calibri" w:cs="Calibri"/>
          <w:lang w:val="sq-AL"/>
        </w:rPr>
        <w:t xml:space="preserve">hkëmbimit të energjisë të qëllimshme si rezultat i procesit të </w:t>
      </w:r>
      <w:r w:rsidRPr="00062169">
        <w:rPr>
          <w:rFonts w:ascii="Calibri" w:hAnsi="Calibri" w:cs="Calibri"/>
          <w:lang w:val="sq-AL"/>
        </w:rPr>
        <w:t xml:space="preserve">rregullimit </w:t>
      </w:r>
      <w:r w:rsidR="00C85011" w:rsidRPr="00062169">
        <w:rPr>
          <w:rFonts w:ascii="Calibri" w:hAnsi="Calibri" w:cs="Calibri"/>
          <w:lang w:val="sq-AL"/>
        </w:rPr>
        <w:t>stabilizues</w:t>
      </w:r>
      <w:r w:rsidRPr="00062169">
        <w:rPr>
          <w:rFonts w:ascii="Calibri" w:hAnsi="Calibri" w:cs="Calibri"/>
          <w:lang w:val="sq-AL"/>
        </w:rPr>
        <w:t xml:space="preserve"> të </w:t>
      </w:r>
      <w:r w:rsidR="006E7718" w:rsidRPr="00062169">
        <w:rPr>
          <w:rFonts w:ascii="Calibri" w:hAnsi="Calibri" w:cs="Calibri"/>
          <w:lang w:val="sq-AL"/>
        </w:rPr>
        <w:t xml:space="preserve">frekuencës dhe </w:t>
      </w:r>
      <w:r w:rsidR="00D33785" w:rsidRPr="00062169">
        <w:rPr>
          <w:rFonts w:ascii="Calibri" w:hAnsi="Calibri" w:cs="Calibri"/>
          <w:lang w:val="sq-AL"/>
        </w:rPr>
        <w:t xml:space="preserve">periodës </w:t>
      </w:r>
      <w:r w:rsidR="006E7718" w:rsidRPr="00062169">
        <w:rPr>
          <w:rFonts w:ascii="Calibri" w:hAnsi="Calibri" w:cs="Calibri"/>
          <w:lang w:val="sq-AL"/>
        </w:rPr>
        <w:t xml:space="preserve">së </w:t>
      </w:r>
      <w:r w:rsidR="00AE3781" w:rsidRPr="00062169">
        <w:rPr>
          <w:rFonts w:ascii="Calibri" w:hAnsi="Calibri" w:cs="Calibri"/>
          <w:lang w:val="sq-AL"/>
        </w:rPr>
        <w:t xml:space="preserve">ndryshimit (rritje / ulje) </w:t>
      </w:r>
      <w:r w:rsidR="006E7718" w:rsidRPr="00062169">
        <w:rPr>
          <w:rFonts w:ascii="Calibri" w:hAnsi="Calibri" w:cs="Calibri"/>
          <w:lang w:val="sq-AL"/>
        </w:rPr>
        <w:t xml:space="preserve">në përputhje me Nenin 7 të </w:t>
      </w:r>
      <w:r w:rsidR="006E6CB8" w:rsidRPr="00062169">
        <w:rPr>
          <w:rFonts w:ascii="Calibri" w:hAnsi="Calibri" w:cs="Calibri"/>
          <w:lang w:val="sq-AL"/>
        </w:rPr>
        <w:t>CCU;</w:t>
      </w:r>
    </w:p>
    <w:p w:rsidR="006E6CB8" w:rsidRPr="00062169" w:rsidRDefault="006E7718" w:rsidP="00900B3B">
      <w:pPr>
        <w:pStyle w:val="textregular"/>
        <w:numPr>
          <w:ilvl w:val="1"/>
          <w:numId w:val="14"/>
        </w:numPr>
        <w:spacing w:after="0" w:line="276" w:lineRule="auto"/>
        <w:jc w:val="both"/>
        <w:rPr>
          <w:rFonts w:ascii="Calibri" w:hAnsi="Calibri" w:cs="Calibri"/>
          <w:lang w:val="sq-AL"/>
        </w:rPr>
      </w:pPr>
      <w:r w:rsidRPr="00062169">
        <w:rPr>
          <w:rFonts w:ascii="Calibri" w:hAnsi="Calibri" w:cs="Calibri"/>
          <w:lang w:val="sq-AL"/>
        </w:rPr>
        <w:t xml:space="preserve">çmimin e tregut </w:t>
      </w:r>
      <w:r w:rsidR="00DF3078" w:rsidRPr="00062169">
        <w:rPr>
          <w:rFonts w:ascii="Calibri" w:hAnsi="Calibri" w:cs="Calibri"/>
          <w:lang w:val="sq-AL"/>
        </w:rPr>
        <w:t>një ditë para</w:t>
      </w:r>
      <w:r w:rsidRPr="00062169">
        <w:rPr>
          <w:rFonts w:ascii="Calibri" w:hAnsi="Calibri" w:cs="Calibri"/>
          <w:lang w:val="sq-AL"/>
        </w:rPr>
        <w:t xml:space="preserve"> të çdo Blloku </w:t>
      </w:r>
      <w:r w:rsidR="006E6CB8" w:rsidRPr="00062169">
        <w:rPr>
          <w:rFonts w:ascii="Calibri" w:hAnsi="Calibri" w:cs="Calibri"/>
          <w:lang w:val="sq-AL"/>
        </w:rPr>
        <w:t xml:space="preserve">LFC </w:t>
      </w:r>
      <w:r w:rsidRPr="00062169">
        <w:rPr>
          <w:rFonts w:ascii="Calibri" w:hAnsi="Calibri" w:cs="Calibri"/>
          <w:lang w:val="sq-AL"/>
        </w:rPr>
        <w:t>n</w:t>
      </w:r>
      <w:r w:rsidR="001A6733" w:rsidRPr="00062169">
        <w:rPr>
          <w:rFonts w:ascii="Calibri" w:hAnsi="Calibri" w:cs="Calibri"/>
          <w:lang w:val="sq-AL"/>
        </w:rPr>
        <w:t>ë</w:t>
      </w:r>
      <w:r w:rsidR="00AE3781" w:rsidRPr="00062169">
        <w:rPr>
          <w:rFonts w:ascii="Calibri" w:hAnsi="Calibri" w:cs="Calibri"/>
          <w:lang w:val="sq-AL"/>
        </w:rPr>
        <w:t xml:space="preserve"> </w:t>
      </w:r>
      <w:r w:rsidR="006E6CB8" w:rsidRPr="00062169">
        <w:rPr>
          <w:rFonts w:ascii="Calibri" w:hAnsi="Calibri" w:cs="Calibri"/>
          <w:lang w:val="sq-AL"/>
        </w:rPr>
        <w:t xml:space="preserve">SA CE </w:t>
      </w:r>
      <w:r w:rsidRPr="00062169">
        <w:rPr>
          <w:rFonts w:ascii="Calibri" w:hAnsi="Calibri" w:cs="Calibri"/>
          <w:lang w:val="sq-AL"/>
        </w:rPr>
        <w:t>n</w:t>
      </w:r>
      <w:r w:rsidR="001A6733" w:rsidRPr="00062169">
        <w:rPr>
          <w:rFonts w:ascii="Calibri" w:hAnsi="Calibri" w:cs="Calibri"/>
          <w:lang w:val="sq-AL"/>
        </w:rPr>
        <w:t>ë</w:t>
      </w:r>
      <w:r w:rsidRPr="00062169">
        <w:rPr>
          <w:rFonts w:ascii="Calibri" w:hAnsi="Calibri" w:cs="Calibri"/>
          <w:lang w:val="sq-AL"/>
        </w:rPr>
        <w:t xml:space="preserve"> p</w:t>
      </w:r>
      <w:r w:rsidR="001A6733" w:rsidRPr="00062169">
        <w:rPr>
          <w:rFonts w:ascii="Calibri" w:hAnsi="Calibri" w:cs="Calibri"/>
          <w:lang w:val="sq-AL"/>
        </w:rPr>
        <w:t>ë</w:t>
      </w:r>
      <w:r w:rsidRPr="00062169">
        <w:rPr>
          <w:rFonts w:ascii="Calibri" w:hAnsi="Calibri" w:cs="Calibri"/>
          <w:lang w:val="sq-AL"/>
        </w:rPr>
        <w:t xml:space="preserve">rputhje me Nenin </w:t>
      </w:r>
      <w:r w:rsidR="006E6CB8" w:rsidRPr="00062169">
        <w:rPr>
          <w:rFonts w:ascii="Calibri" w:hAnsi="Calibri" w:cs="Calibri"/>
          <w:lang w:val="sq-AL"/>
        </w:rPr>
        <w:t xml:space="preserve">8(2)(a) </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w:t>
      </w:r>
      <w:r w:rsidR="009B3D95" w:rsidRPr="00062169">
        <w:rPr>
          <w:rFonts w:ascii="Calibri" w:hAnsi="Calibri" w:cs="Calibri"/>
          <w:lang w:val="sq-AL"/>
        </w:rPr>
        <w:t xml:space="preserve">këtij </w:t>
      </w:r>
      <w:r w:rsidR="006E6CB8" w:rsidRPr="00062169">
        <w:rPr>
          <w:rFonts w:ascii="Calibri" w:hAnsi="Calibri" w:cs="Calibri"/>
          <w:lang w:val="sq-AL"/>
        </w:rPr>
        <w:t>CCFR;</w:t>
      </w:r>
    </w:p>
    <w:p w:rsidR="006E6CB8" w:rsidRPr="00062169" w:rsidRDefault="006E7718" w:rsidP="00900B3B">
      <w:pPr>
        <w:pStyle w:val="textregular"/>
        <w:numPr>
          <w:ilvl w:val="1"/>
          <w:numId w:val="14"/>
        </w:numPr>
        <w:spacing w:after="0" w:line="276" w:lineRule="auto"/>
        <w:jc w:val="both"/>
        <w:rPr>
          <w:rFonts w:ascii="Calibri" w:hAnsi="Calibri" w:cs="Calibri"/>
          <w:lang w:val="sq-AL"/>
        </w:rPr>
      </w:pPr>
      <w:r w:rsidRPr="00062169">
        <w:rPr>
          <w:rFonts w:ascii="Calibri" w:hAnsi="Calibri" w:cs="Calibri"/>
          <w:lang w:val="sq-AL"/>
        </w:rPr>
        <w:t xml:space="preserve">devijimin mesatar të frekuencës për secilën </w:t>
      </w:r>
      <w:r w:rsidR="00D33785" w:rsidRPr="00062169">
        <w:rPr>
          <w:rFonts w:ascii="Calibri" w:hAnsi="Calibri" w:cs="Calibri"/>
          <w:lang w:val="sq-AL"/>
        </w:rPr>
        <w:t xml:space="preserve">periodë </w:t>
      </w:r>
      <w:r w:rsidRPr="00062169">
        <w:rPr>
          <w:rFonts w:ascii="Calibri" w:hAnsi="Calibri" w:cs="Calibri"/>
          <w:lang w:val="sq-AL"/>
        </w:rPr>
        <w:t xml:space="preserve">të </w:t>
      </w:r>
      <w:r w:rsidR="00D33785" w:rsidRPr="00062169">
        <w:rPr>
          <w:rFonts w:ascii="Calibri" w:hAnsi="Calibri" w:cs="Calibri"/>
          <w:lang w:val="sq-AL"/>
        </w:rPr>
        <w:t xml:space="preserve">barazimit përfundimtar </w:t>
      </w:r>
      <w:r w:rsidR="00AE3781" w:rsidRPr="00062169">
        <w:rPr>
          <w:rFonts w:ascii="Calibri" w:hAnsi="Calibri" w:cs="Calibri"/>
          <w:lang w:val="sq-AL"/>
        </w:rPr>
        <w:t xml:space="preserve">TSO </w:t>
      </w:r>
      <w:r w:rsidRPr="00062169">
        <w:rPr>
          <w:rFonts w:ascii="Calibri" w:hAnsi="Calibri" w:cs="Calibri"/>
          <w:lang w:val="sq-AL"/>
        </w:rPr>
        <w:t>-</w:t>
      </w:r>
      <w:r w:rsidR="00AE3781" w:rsidRPr="00062169">
        <w:rPr>
          <w:rFonts w:ascii="Calibri" w:hAnsi="Calibri" w:cs="Calibri"/>
          <w:lang w:val="sq-AL"/>
        </w:rPr>
        <w:t xml:space="preserve">TSO </w:t>
      </w:r>
      <w:r w:rsidRPr="00062169">
        <w:rPr>
          <w:rFonts w:ascii="Calibri" w:hAnsi="Calibri" w:cs="Calibri"/>
          <w:lang w:val="sq-AL"/>
        </w:rPr>
        <w:t xml:space="preserve">të SA CE e cila përcaktohet nga një </w:t>
      </w:r>
      <w:r w:rsidR="00AE3781" w:rsidRPr="00062169">
        <w:rPr>
          <w:rFonts w:ascii="Calibri" w:hAnsi="Calibri" w:cs="Calibri"/>
          <w:lang w:val="sq-AL"/>
        </w:rPr>
        <w:t xml:space="preserve">TSO </w:t>
      </w:r>
      <w:r w:rsidRPr="00062169">
        <w:rPr>
          <w:rFonts w:ascii="Calibri" w:hAnsi="Calibri" w:cs="Calibri"/>
          <w:lang w:val="sq-AL"/>
        </w:rPr>
        <w:t xml:space="preserve">e </w:t>
      </w:r>
      <w:r w:rsidR="00DF3078" w:rsidRPr="00062169">
        <w:rPr>
          <w:rFonts w:ascii="Calibri" w:hAnsi="Calibri" w:cs="Calibri"/>
          <w:lang w:val="sq-AL"/>
        </w:rPr>
        <w:t>para</w:t>
      </w:r>
      <w:r w:rsidRPr="00062169">
        <w:rPr>
          <w:rFonts w:ascii="Calibri" w:hAnsi="Calibri" w:cs="Calibri"/>
          <w:lang w:val="sq-AL"/>
        </w:rPr>
        <w:t>caktuar</w:t>
      </w:r>
      <w:r w:rsidR="006E6CB8" w:rsidRPr="00062169">
        <w:rPr>
          <w:rFonts w:ascii="Calibri" w:hAnsi="Calibri" w:cs="Calibri"/>
          <w:lang w:val="sq-AL"/>
        </w:rPr>
        <w:t>;</w:t>
      </w:r>
    </w:p>
    <w:p w:rsidR="006E6CB8" w:rsidRPr="00062169" w:rsidRDefault="00DF3078" w:rsidP="00900B3B">
      <w:pPr>
        <w:pStyle w:val="textregular"/>
        <w:numPr>
          <w:ilvl w:val="1"/>
          <w:numId w:val="14"/>
        </w:numPr>
        <w:spacing w:after="0" w:line="276" w:lineRule="auto"/>
        <w:jc w:val="both"/>
        <w:rPr>
          <w:rFonts w:ascii="Calibri" w:hAnsi="Calibri" w:cs="Calibri"/>
          <w:lang w:val="sq-AL"/>
        </w:rPr>
      </w:pPr>
      <w:r w:rsidRPr="00062169">
        <w:rPr>
          <w:rFonts w:ascii="Calibri" w:hAnsi="Calibri" w:cs="Calibri"/>
          <w:lang w:val="sq-AL"/>
        </w:rPr>
        <w:t>Sasia e</w:t>
      </w:r>
      <w:r w:rsidR="006E7718" w:rsidRPr="00062169">
        <w:rPr>
          <w:rFonts w:ascii="Calibri" w:hAnsi="Calibri" w:cs="Calibri"/>
          <w:lang w:val="sq-AL"/>
        </w:rPr>
        <w:t xml:space="preserve"> shk</w:t>
      </w:r>
      <w:r w:rsidR="001A6733" w:rsidRPr="00062169">
        <w:rPr>
          <w:rFonts w:ascii="Calibri" w:hAnsi="Calibri" w:cs="Calibri"/>
          <w:lang w:val="sq-AL"/>
        </w:rPr>
        <w:t>ë</w:t>
      </w:r>
      <w:r w:rsidR="006E7718" w:rsidRPr="00062169">
        <w:rPr>
          <w:rFonts w:ascii="Calibri" w:hAnsi="Calibri" w:cs="Calibri"/>
          <w:lang w:val="sq-AL"/>
        </w:rPr>
        <w:t>mbimeve t</w:t>
      </w:r>
      <w:r w:rsidR="001A6733" w:rsidRPr="00062169">
        <w:rPr>
          <w:rFonts w:ascii="Calibri" w:hAnsi="Calibri" w:cs="Calibri"/>
          <w:lang w:val="sq-AL"/>
        </w:rPr>
        <w:t>ë</w:t>
      </w:r>
      <w:r w:rsidR="006E7718" w:rsidRPr="00062169">
        <w:rPr>
          <w:rFonts w:ascii="Calibri" w:hAnsi="Calibri" w:cs="Calibri"/>
          <w:lang w:val="sq-AL"/>
        </w:rPr>
        <w:t xml:space="preserve"> paq</w:t>
      </w:r>
      <w:r w:rsidR="001A6733" w:rsidRPr="00062169">
        <w:rPr>
          <w:rFonts w:ascii="Calibri" w:hAnsi="Calibri" w:cs="Calibri"/>
          <w:lang w:val="sq-AL"/>
        </w:rPr>
        <w:t>ë</w:t>
      </w:r>
      <w:r w:rsidR="006E7718" w:rsidRPr="00062169">
        <w:rPr>
          <w:rFonts w:ascii="Calibri" w:hAnsi="Calibri" w:cs="Calibri"/>
          <w:lang w:val="sq-AL"/>
        </w:rPr>
        <w:t xml:space="preserve">llimshme </w:t>
      </w:r>
      <w:r w:rsidRPr="00062169">
        <w:rPr>
          <w:rFonts w:ascii="Calibri" w:hAnsi="Calibri" w:cs="Calibri"/>
          <w:lang w:val="sq-AL"/>
        </w:rPr>
        <w:t xml:space="preserve">të energjisë </w:t>
      </w:r>
      <w:r w:rsidR="006E7718" w:rsidRPr="00062169">
        <w:rPr>
          <w:rFonts w:ascii="Calibri" w:hAnsi="Calibri" w:cs="Calibri"/>
          <w:lang w:val="sq-AL"/>
        </w:rPr>
        <w:t>n</w:t>
      </w:r>
      <w:r w:rsidR="001A6733" w:rsidRPr="00062169">
        <w:rPr>
          <w:rFonts w:ascii="Calibri" w:hAnsi="Calibri" w:cs="Calibri"/>
          <w:lang w:val="sq-AL"/>
        </w:rPr>
        <w:t>ë</w:t>
      </w:r>
      <w:r w:rsidR="006E7718" w:rsidRPr="00062169">
        <w:rPr>
          <w:rFonts w:ascii="Calibri" w:hAnsi="Calibri" w:cs="Calibri"/>
          <w:lang w:val="sq-AL"/>
        </w:rPr>
        <w:t xml:space="preserve"> p</w:t>
      </w:r>
      <w:r w:rsidR="001A6733" w:rsidRPr="00062169">
        <w:rPr>
          <w:rFonts w:ascii="Calibri" w:hAnsi="Calibri" w:cs="Calibri"/>
          <w:lang w:val="sq-AL"/>
        </w:rPr>
        <w:t>ë</w:t>
      </w:r>
      <w:r w:rsidR="006E7718" w:rsidRPr="00062169">
        <w:rPr>
          <w:rFonts w:ascii="Calibri" w:hAnsi="Calibri" w:cs="Calibri"/>
          <w:lang w:val="sq-AL"/>
        </w:rPr>
        <w:t xml:space="preserve">rputhje me Nenin </w:t>
      </w:r>
      <w:r w:rsidR="006E6CB8" w:rsidRPr="00062169">
        <w:rPr>
          <w:rFonts w:ascii="Calibri" w:hAnsi="Calibri" w:cs="Calibri"/>
          <w:lang w:val="sq-AL"/>
        </w:rPr>
        <w:t xml:space="preserve">7 </w:t>
      </w:r>
      <w:r w:rsidR="006E7718" w:rsidRPr="00062169">
        <w:rPr>
          <w:rFonts w:ascii="Calibri" w:hAnsi="Calibri" w:cs="Calibri"/>
          <w:lang w:val="sq-AL"/>
        </w:rPr>
        <w:t>t</w:t>
      </w:r>
      <w:r w:rsidR="001A6733" w:rsidRPr="00062169">
        <w:rPr>
          <w:rFonts w:ascii="Calibri" w:hAnsi="Calibri" w:cs="Calibri"/>
          <w:lang w:val="sq-AL"/>
        </w:rPr>
        <w:t>ë</w:t>
      </w:r>
      <w:r w:rsidR="006E7718" w:rsidRPr="00062169">
        <w:rPr>
          <w:rFonts w:ascii="Calibri" w:hAnsi="Calibri" w:cs="Calibri"/>
          <w:lang w:val="sq-AL"/>
        </w:rPr>
        <w:t xml:space="preserve"> </w:t>
      </w:r>
      <w:r w:rsidR="009B3D95" w:rsidRPr="00062169">
        <w:rPr>
          <w:rFonts w:ascii="Calibri" w:hAnsi="Calibri" w:cs="Calibri"/>
          <w:lang w:val="sq-AL"/>
        </w:rPr>
        <w:t xml:space="preserve">këtij </w:t>
      </w:r>
      <w:r w:rsidR="006E6CB8" w:rsidRPr="00062169">
        <w:rPr>
          <w:rFonts w:ascii="Calibri" w:hAnsi="Calibri" w:cs="Calibri"/>
          <w:lang w:val="sq-AL"/>
        </w:rPr>
        <w:t>CCFR.</w:t>
      </w:r>
    </w:p>
    <w:p w:rsidR="006E6CB8" w:rsidRPr="00062169" w:rsidRDefault="006E7718" w:rsidP="00900B3B">
      <w:pPr>
        <w:pStyle w:val="textregular"/>
        <w:keepNext/>
        <w:keepLines/>
        <w:numPr>
          <w:ilvl w:val="0"/>
          <w:numId w:val="14"/>
        </w:numPr>
        <w:spacing w:after="0" w:line="276" w:lineRule="auto"/>
        <w:jc w:val="both"/>
        <w:rPr>
          <w:rFonts w:ascii="Calibri" w:hAnsi="Calibri" w:cs="Calibri"/>
          <w:lang w:val="sq-AL"/>
        </w:rPr>
      </w:pPr>
      <w:r w:rsidRPr="00062169">
        <w:rPr>
          <w:rFonts w:ascii="Calibri" w:hAnsi="Calibri" w:cs="Calibri"/>
          <w:lang w:val="sq-AL"/>
        </w:rPr>
        <w:t xml:space="preserve">Funksioni i </w:t>
      </w:r>
      <w:r w:rsidR="00DF3078" w:rsidRPr="00062169">
        <w:rPr>
          <w:rFonts w:ascii="Calibri" w:hAnsi="Calibri" w:cs="Calibri"/>
          <w:lang w:val="sq-AL"/>
        </w:rPr>
        <w:t xml:space="preserve">barazimit përfundimtar </w:t>
      </w:r>
      <w:r w:rsidR="006E6CB8" w:rsidRPr="00062169">
        <w:rPr>
          <w:rFonts w:ascii="Calibri" w:hAnsi="Calibri" w:cs="Calibri"/>
          <w:lang w:val="sq-AL"/>
        </w:rPr>
        <w:t xml:space="preserve">CCFR </w:t>
      </w:r>
      <w:r w:rsidRPr="00062169">
        <w:rPr>
          <w:rFonts w:ascii="Calibri" w:hAnsi="Calibri" w:cs="Calibri"/>
          <w:lang w:val="sq-AL"/>
        </w:rPr>
        <w:t>do t</w:t>
      </w:r>
      <w:r w:rsidR="001A6733" w:rsidRPr="00062169">
        <w:rPr>
          <w:rFonts w:ascii="Calibri" w:hAnsi="Calibri" w:cs="Calibri"/>
          <w:lang w:val="sq-AL"/>
        </w:rPr>
        <w:t>ë</w:t>
      </w:r>
      <w:r w:rsidRPr="00062169">
        <w:rPr>
          <w:rFonts w:ascii="Calibri" w:hAnsi="Calibri" w:cs="Calibri"/>
          <w:lang w:val="sq-AL"/>
        </w:rPr>
        <w:t xml:space="preserve"> llogaris</w:t>
      </w:r>
      <w:r w:rsidR="001A6733" w:rsidRPr="00062169">
        <w:rPr>
          <w:rFonts w:ascii="Calibri" w:hAnsi="Calibri" w:cs="Calibri"/>
          <w:lang w:val="sq-AL"/>
        </w:rPr>
        <w:t>ë</w:t>
      </w:r>
      <w:r w:rsidRPr="00062169">
        <w:rPr>
          <w:rFonts w:ascii="Calibri" w:hAnsi="Calibri" w:cs="Calibri"/>
          <w:lang w:val="sq-AL"/>
        </w:rPr>
        <w:t xml:space="preserve"> </w:t>
      </w:r>
      <w:r w:rsidR="00DF3078" w:rsidRPr="00062169">
        <w:rPr>
          <w:rFonts w:ascii="Calibri" w:hAnsi="Calibri" w:cs="Calibri"/>
          <w:lang w:val="sq-AL"/>
        </w:rPr>
        <w:t xml:space="preserve">të dhënat </w:t>
      </w:r>
      <w:r w:rsidRPr="00062169">
        <w:rPr>
          <w:rFonts w:ascii="Calibri" w:hAnsi="Calibri" w:cs="Calibri"/>
          <w:lang w:val="sq-AL"/>
        </w:rPr>
        <w:t>vijuese</w:t>
      </w:r>
      <w:r w:rsidR="006E6CB8" w:rsidRPr="00062169">
        <w:rPr>
          <w:rFonts w:ascii="Calibri" w:hAnsi="Calibri" w:cs="Calibri"/>
          <w:lang w:val="sq-AL"/>
        </w:rPr>
        <w:t>:</w:t>
      </w:r>
    </w:p>
    <w:p w:rsidR="006E6CB8" w:rsidRPr="00062169" w:rsidRDefault="00784369" w:rsidP="00900B3B">
      <w:pPr>
        <w:pStyle w:val="textregular"/>
        <w:keepNext/>
        <w:keepLines/>
        <w:numPr>
          <w:ilvl w:val="1"/>
          <w:numId w:val="14"/>
        </w:numPr>
        <w:spacing w:after="0" w:line="276" w:lineRule="auto"/>
        <w:jc w:val="both"/>
        <w:rPr>
          <w:rFonts w:ascii="Calibri" w:hAnsi="Calibri" w:cs="Calibri"/>
          <w:lang w:val="sq-AL"/>
        </w:rPr>
      </w:pPr>
      <w:r w:rsidRPr="00062169">
        <w:rPr>
          <w:rFonts w:ascii="Calibri" w:hAnsi="Calibri" w:cs="Calibri"/>
          <w:lang w:val="sq-AL"/>
        </w:rPr>
        <w:t>Çmimin p</w:t>
      </w:r>
      <w:r w:rsidR="001A6733" w:rsidRPr="00062169">
        <w:rPr>
          <w:rFonts w:ascii="Calibri" w:hAnsi="Calibri" w:cs="Calibri"/>
          <w:lang w:val="sq-AL"/>
        </w:rPr>
        <w:t>ë</w:t>
      </w:r>
      <w:r w:rsidRPr="00062169">
        <w:rPr>
          <w:rFonts w:ascii="Calibri" w:hAnsi="Calibri" w:cs="Calibri"/>
          <w:lang w:val="sq-AL"/>
        </w:rPr>
        <w:t>r shk</w:t>
      </w:r>
      <w:r w:rsidR="001A6733" w:rsidRPr="00062169">
        <w:rPr>
          <w:rFonts w:ascii="Calibri" w:hAnsi="Calibri" w:cs="Calibri"/>
          <w:lang w:val="sq-AL"/>
        </w:rPr>
        <w:t>ë</w:t>
      </w:r>
      <w:r w:rsidRPr="00062169">
        <w:rPr>
          <w:rFonts w:ascii="Calibri" w:hAnsi="Calibri" w:cs="Calibri"/>
          <w:lang w:val="sq-AL"/>
        </w:rPr>
        <w:t>mbimet e q</w:t>
      </w:r>
      <w:r w:rsidR="001A6733" w:rsidRPr="00062169">
        <w:rPr>
          <w:rFonts w:ascii="Calibri" w:hAnsi="Calibri" w:cs="Calibri"/>
          <w:lang w:val="sq-AL"/>
        </w:rPr>
        <w:t>ë</w:t>
      </w:r>
      <w:r w:rsidRPr="00062169">
        <w:rPr>
          <w:rFonts w:ascii="Calibri" w:hAnsi="Calibri" w:cs="Calibri"/>
          <w:lang w:val="sq-AL"/>
        </w:rPr>
        <w:t>llimshme t</w:t>
      </w:r>
      <w:r w:rsidR="001A6733" w:rsidRPr="00062169">
        <w:rPr>
          <w:rFonts w:ascii="Calibri" w:hAnsi="Calibri" w:cs="Calibri"/>
          <w:lang w:val="sq-AL"/>
        </w:rPr>
        <w:t>ë</w:t>
      </w:r>
      <w:r w:rsidRPr="00062169">
        <w:rPr>
          <w:rFonts w:ascii="Calibri" w:hAnsi="Calibri" w:cs="Calibri"/>
          <w:lang w:val="sq-AL"/>
        </w:rPr>
        <w:t xml:space="preserve"> energjis</w:t>
      </w:r>
      <w:r w:rsidR="001A6733" w:rsidRPr="00062169">
        <w:rPr>
          <w:rFonts w:ascii="Calibri" w:hAnsi="Calibri" w:cs="Calibri"/>
          <w:lang w:val="sq-AL"/>
        </w:rPr>
        <w:t>ë</w:t>
      </w:r>
      <w:r w:rsidRPr="00062169">
        <w:rPr>
          <w:rFonts w:ascii="Calibri" w:hAnsi="Calibri" w:cs="Calibri"/>
          <w:lang w:val="sq-AL"/>
        </w:rPr>
        <w:t xml:space="preserve"> si rezultat i procesit t</w:t>
      </w:r>
      <w:r w:rsidR="001A6733" w:rsidRPr="00062169">
        <w:rPr>
          <w:rFonts w:ascii="Calibri" w:hAnsi="Calibri" w:cs="Calibri"/>
          <w:lang w:val="sq-AL"/>
        </w:rPr>
        <w:t>ë</w:t>
      </w:r>
      <w:r w:rsidRPr="00062169">
        <w:rPr>
          <w:rFonts w:ascii="Calibri" w:hAnsi="Calibri" w:cs="Calibri"/>
          <w:lang w:val="sq-AL"/>
        </w:rPr>
        <w:t xml:space="preserve"> </w:t>
      </w:r>
      <w:r w:rsidR="00DF3078" w:rsidRPr="00062169">
        <w:rPr>
          <w:rFonts w:ascii="Calibri" w:hAnsi="Calibri" w:cs="Calibri"/>
          <w:lang w:val="sq-AL"/>
        </w:rPr>
        <w:t xml:space="preserve">rregullimit </w:t>
      </w:r>
      <w:r w:rsidR="00C85011" w:rsidRPr="00062169">
        <w:rPr>
          <w:rFonts w:ascii="Calibri" w:hAnsi="Calibri" w:cs="Calibri"/>
          <w:lang w:val="sq-AL"/>
        </w:rPr>
        <w:t>stabilizues</w:t>
      </w:r>
      <w:r w:rsidR="00DF3078" w:rsidRPr="00062169">
        <w:rPr>
          <w:rFonts w:ascii="Calibri" w:hAnsi="Calibri" w:cs="Calibri"/>
          <w:lang w:val="sq-AL"/>
        </w:rPr>
        <w:t xml:space="preserve"> </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frekuenc</w:t>
      </w:r>
      <w:r w:rsidR="001A6733" w:rsidRPr="00062169">
        <w:rPr>
          <w:rFonts w:ascii="Calibri" w:hAnsi="Calibri" w:cs="Calibri"/>
          <w:lang w:val="sq-AL"/>
        </w:rPr>
        <w:t>ë</w:t>
      </w:r>
      <w:r w:rsidRPr="00062169">
        <w:rPr>
          <w:rFonts w:ascii="Calibri" w:hAnsi="Calibri" w:cs="Calibri"/>
          <w:lang w:val="sq-AL"/>
        </w:rPr>
        <w:t>s p</w:t>
      </w:r>
      <w:r w:rsidR="001A6733" w:rsidRPr="00062169">
        <w:rPr>
          <w:rFonts w:ascii="Calibri" w:hAnsi="Calibri" w:cs="Calibri"/>
          <w:lang w:val="sq-AL"/>
        </w:rPr>
        <w:t>ë</w:t>
      </w:r>
      <w:r w:rsidRPr="00062169">
        <w:rPr>
          <w:rFonts w:ascii="Calibri" w:hAnsi="Calibri" w:cs="Calibri"/>
          <w:lang w:val="sq-AL"/>
        </w:rPr>
        <w:t xml:space="preserve">r çdo </w:t>
      </w:r>
      <w:r w:rsidR="00DF3078" w:rsidRPr="00062169">
        <w:rPr>
          <w:rFonts w:ascii="Calibri" w:hAnsi="Calibri" w:cs="Calibri"/>
          <w:lang w:val="sq-AL"/>
        </w:rPr>
        <w:t>periodë të barazimit përfundimtar</w:t>
      </w:r>
      <w:r w:rsidRPr="00062169">
        <w:rPr>
          <w:rFonts w:ascii="Calibri" w:hAnsi="Calibri" w:cs="Calibri"/>
          <w:lang w:val="sq-AL"/>
        </w:rPr>
        <w:t xml:space="preserve"> </w:t>
      </w:r>
      <w:r w:rsidR="00AE3781" w:rsidRPr="00062169">
        <w:rPr>
          <w:rFonts w:ascii="Calibri" w:hAnsi="Calibri" w:cs="Calibri"/>
          <w:lang w:val="sq-AL"/>
        </w:rPr>
        <w:t xml:space="preserve">TSO </w:t>
      </w:r>
      <w:r w:rsidRPr="00062169">
        <w:rPr>
          <w:rFonts w:ascii="Calibri" w:hAnsi="Calibri" w:cs="Calibri"/>
          <w:lang w:val="sq-AL"/>
        </w:rPr>
        <w:t>-</w:t>
      </w:r>
      <w:r w:rsidR="00AE3781" w:rsidRPr="00062169">
        <w:rPr>
          <w:rFonts w:ascii="Calibri" w:hAnsi="Calibri" w:cs="Calibri"/>
          <w:lang w:val="sq-AL"/>
        </w:rPr>
        <w:t>TSO</w:t>
      </w:r>
      <w:r w:rsidR="006E6CB8" w:rsidRPr="00062169">
        <w:rPr>
          <w:rFonts w:ascii="Calibri" w:hAnsi="Calibri" w:cs="Calibri"/>
          <w:lang w:val="sq-AL"/>
        </w:rPr>
        <w:t>;</w:t>
      </w:r>
    </w:p>
    <w:p w:rsidR="006E6CB8" w:rsidRPr="00062169" w:rsidRDefault="00DF3078" w:rsidP="00900B3B">
      <w:pPr>
        <w:pStyle w:val="textregular"/>
        <w:keepNext/>
        <w:keepLines/>
        <w:numPr>
          <w:ilvl w:val="1"/>
          <w:numId w:val="14"/>
        </w:numPr>
        <w:spacing w:after="0" w:line="276" w:lineRule="auto"/>
        <w:jc w:val="both"/>
        <w:rPr>
          <w:rFonts w:ascii="Calibri" w:hAnsi="Calibri" w:cs="Calibri"/>
          <w:lang w:val="sq-AL"/>
        </w:rPr>
      </w:pPr>
      <w:r w:rsidRPr="00062169">
        <w:rPr>
          <w:rFonts w:ascii="Calibri" w:hAnsi="Calibri" w:cs="Calibri"/>
          <w:lang w:val="sq-AL"/>
        </w:rPr>
        <w:t xml:space="preserve">rrjedhat </w:t>
      </w:r>
      <w:r w:rsidR="00784369" w:rsidRPr="00062169">
        <w:rPr>
          <w:rFonts w:ascii="Calibri" w:hAnsi="Calibri" w:cs="Calibri"/>
          <w:lang w:val="sq-AL"/>
        </w:rPr>
        <w:t>financiare ndërmjet të gjitha blloqeve LFC ose zonave të LFC në SA CE si rezultat i shkëmbimit t</w:t>
      </w:r>
      <w:r w:rsidR="001A6733" w:rsidRPr="00062169">
        <w:rPr>
          <w:rFonts w:ascii="Calibri" w:hAnsi="Calibri" w:cs="Calibri"/>
          <w:lang w:val="sq-AL"/>
        </w:rPr>
        <w:t>ë</w:t>
      </w:r>
      <w:r w:rsidR="00784369" w:rsidRPr="00062169">
        <w:rPr>
          <w:rFonts w:ascii="Calibri" w:hAnsi="Calibri" w:cs="Calibri"/>
          <w:lang w:val="sq-AL"/>
        </w:rPr>
        <w:t xml:space="preserve"> q</w:t>
      </w:r>
      <w:r w:rsidR="001A6733" w:rsidRPr="00062169">
        <w:rPr>
          <w:rFonts w:ascii="Calibri" w:hAnsi="Calibri" w:cs="Calibri"/>
          <w:lang w:val="sq-AL"/>
        </w:rPr>
        <w:t>ë</w:t>
      </w:r>
      <w:r w:rsidR="00784369" w:rsidRPr="00062169">
        <w:rPr>
          <w:rFonts w:ascii="Calibri" w:hAnsi="Calibri" w:cs="Calibri"/>
          <w:lang w:val="sq-AL"/>
        </w:rPr>
        <w:t>llimshme t</w:t>
      </w:r>
      <w:r w:rsidR="001A6733" w:rsidRPr="00062169">
        <w:rPr>
          <w:rFonts w:ascii="Calibri" w:hAnsi="Calibri" w:cs="Calibri"/>
          <w:lang w:val="sq-AL"/>
        </w:rPr>
        <w:t>ë</w:t>
      </w:r>
      <w:r w:rsidR="00784369" w:rsidRPr="00062169">
        <w:rPr>
          <w:rFonts w:ascii="Calibri" w:hAnsi="Calibri" w:cs="Calibri"/>
          <w:lang w:val="sq-AL"/>
        </w:rPr>
        <w:t xml:space="preserve"> energjis</w:t>
      </w:r>
      <w:r w:rsidR="001A6733" w:rsidRPr="00062169">
        <w:rPr>
          <w:rFonts w:ascii="Calibri" w:hAnsi="Calibri" w:cs="Calibri"/>
          <w:lang w:val="sq-AL"/>
        </w:rPr>
        <w:t>ë</w:t>
      </w:r>
      <w:r w:rsidR="00784369" w:rsidRPr="00062169">
        <w:rPr>
          <w:rFonts w:ascii="Calibri" w:hAnsi="Calibri" w:cs="Calibri"/>
          <w:lang w:val="sq-AL"/>
        </w:rPr>
        <w:t xml:space="preserve"> s</w:t>
      </w:r>
      <w:r w:rsidR="001A6733" w:rsidRPr="00062169">
        <w:rPr>
          <w:rFonts w:ascii="Calibri" w:hAnsi="Calibri" w:cs="Calibri"/>
          <w:lang w:val="sq-AL"/>
        </w:rPr>
        <w:t>ë</w:t>
      </w:r>
      <w:r w:rsidR="00784369" w:rsidRPr="00062169">
        <w:rPr>
          <w:rFonts w:ascii="Calibri" w:hAnsi="Calibri" w:cs="Calibri"/>
          <w:lang w:val="sq-AL"/>
        </w:rPr>
        <w:t xml:space="preserve"> procesit t</w:t>
      </w:r>
      <w:r w:rsidR="001A6733" w:rsidRPr="00062169">
        <w:rPr>
          <w:rFonts w:ascii="Calibri" w:hAnsi="Calibri" w:cs="Calibri"/>
          <w:lang w:val="sq-AL"/>
        </w:rPr>
        <w:t>ë</w:t>
      </w:r>
      <w:r w:rsidR="00784369" w:rsidRPr="00062169">
        <w:rPr>
          <w:rFonts w:ascii="Calibri" w:hAnsi="Calibri" w:cs="Calibri"/>
          <w:lang w:val="sq-AL"/>
        </w:rPr>
        <w:t xml:space="preserve"> </w:t>
      </w:r>
      <w:r w:rsidRPr="00062169">
        <w:rPr>
          <w:rFonts w:ascii="Calibri" w:hAnsi="Calibri" w:cs="Calibri"/>
          <w:lang w:val="sq-AL"/>
        </w:rPr>
        <w:t xml:space="preserve">rregullimit </w:t>
      </w:r>
      <w:r w:rsidR="00C85011" w:rsidRPr="00062169">
        <w:rPr>
          <w:rFonts w:ascii="Calibri" w:hAnsi="Calibri" w:cs="Calibri"/>
          <w:lang w:val="sq-AL"/>
        </w:rPr>
        <w:t>stabilizues</w:t>
      </w:r>
      <w:r w:rsidRPr="00062169">
        <w:rPr>
          <w:rFonts w:ascii="Calibri" w:hAnsi="Calibri" w:cs="Calibri"/>
          <w:lang w:val="sq-AL"/>
        </w:rPr>
        <w:t xml:space="preserve"> </w:t>
      </w:r>
      <w:r w:rsidR="00784369" w:rsidRPr="00062169">
        <w:rPr>
          <w:rFonts w:ascii="Calibri" w:hAnsi="Calibri" w:cs="Calibri"/>
          <w:lang w:val="sq-AL"/>
        </w:rPr>
        <w:t>t</w:t>
      </w:r>
      <w:r w:rsidR="001A6733" w:rsidRPr="00062169">
        <w:rPr>
          <w:rFonts w:ascii="Calibri" w:hAnsi="Calibri" w:cs="Calibri"/>
          <w:lang w:val="sq-AL"/>
        </w:rPr>
        <w:t>ë</w:t>
      </w:r>
      <w:r w:rsidR="00784369" w:rsidRPr="00062169">
        <w:rPr>
          <w:rFonts w:ascii="Calibri" w:hAnsi="Calibri" w:cs="Calibri"/>
          <w:lang w:val="sq-AL"/>
        </w:rPr>
        <w:t xml:space="preserve"> frekuenc</w:t>
      </w:r>
      <w:r w:rsidR="001A6733" w:rsidRPr="00062169">
        <w:rPr>
          <w:rFonts w:ascii="Calibri" w:hAnsi="Calibri" w:cs="Calibri"/>
          <w:lang w:val="sq-AL"/>
        </w:rPr>
        <w:t>ë</w:t>
      </w:r>
      <w:r w:rsidR="00784369" w:rsidRPr="00062169">
        <w:rPr>
          <w:rFonts w:ascii="Calibri" w:hAnsi="Calibri" w:cs="Calibri"/>
          <w:lang w:val="sq-AL"/>
        </w:rPr>
        <w:t>s p</w:t>
      </w:r>
      <w:r w:rsidR="001A6733" w:rsidRPr="00062169">
        <w:rPr>
          <w:rFonts w:ascii="Calibri" w:hAnsi="Calibri" w:cs="Calibri"/>
          <w:lang w:val="sq-AL"/>
        </w:rPr>
        <w:t>ë</w:t>
      </w:r>
      <w:r w:rsidR="00784369" w:rsidRPr="00062169">
        <w:rPr>
          <w:rFonts w:ascii="Calibri" w:hAnsi="Calibri" w:cs="Calibri"/>
          <w:lang w:val="sq-AL"/>
        </w:rPr>
        <w:t xml:space="preserve">r çdo </w:t>
      </w:r>
      <w:r w:rsidR="00D33785" w:rsidRPr="00062169">
        <w:rPr>
          <w:rFonts w:ascii="Calibri" w:hAnsi="Calibri" w:cs="Calibri"/>
          <w:lang w:val="sq-AL"/>
        </w:rPr>
        <w:t>periodë të barazimit përfundimtar</w:t>
      </w:r>
      <w:r w:rsidR="00784369" w:rsidRPr="00062169">
        <w:rPr>
          <w:rFonts w:ascii="Calibri" w:hAnsi="Calibri" w:cs="Calibri"/>
          <w:lang w:val="sq-AL"/>
        </w:rPr>
        <w:t xml:space="preserve"> </w:t>
      </w:r>
      <w:r w:rsidR="00AE3781" w:rsidRPr="00062169">
        <w:rPr>
          <w:rFonts w:ascii="Calibri" w:hAnsi="Calibri" w:cs="Calibri"/>
          <w:lang w:val="sq-AL"/>
        </w:rPr>
        <w:t xml:space="preserve">TSO </w:t>
      </w:r>
      <w:r w:rsidR="00784369" w:rsidRPr="00062169">
        <w:rPr>
          <w:rFonts w:ascii="Calibri" w:hAnsi="Calibri" w:cs="Calibri"/>
          <w:lang w:val="sq-AL"/>
        </w:rPr>
        <w:t>-</w:t>
      </w:r>
      <w:r w:rsidR="00AE3781" w:rsidRPr="00062169">
        <w:rPr>
          <w:rFonts w:ascii="Calibri" w:hAnsi="Calibri" w:cs="Calibri"/>
          <w:lang w:val="sq-AL"/>
        </w:rPr>
        <w:t>TSO</w:t>
      </w:r>
      <w:r w:rsidR="006E6CB8" w:rsidRPr="00062169">
        <w:rPr>
          <w:rFonts w:ascii="Calibri" w:hAnsi="Calibri" w:cs="Calibri"/>
          <w:lang w:val="sq-AL"/>
        </w:rPr>
        <w:t>.</w:t>
      </w:r>
    </w:p>
    <w:p w:rsidR="00DE5E31" w:rsidRPr="00062169" w:rsidRDefault="00784369" w:rsidP="00900B3B">
      <w:pPr>
        <w:pStyle w:val="textregular"/>
        <w:numPr>
          <w:ilvl w:val="0"/>
          <w:numId w:val="14"/>
        </w:numPr>
        <w:spacing w:after="0" w:line="276" w:lineRule="auto"/>
        <w:jc w:val="both"/>
        <w:rPr>
          <w:rFonts w:ascii="Calibri" w:hAnsi="Calibri" w:cs="Calibri"/>
          <w:lang w:val="sq-AL"/>
        </w:rPr>
      </w:pP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gjitha </w:t>
      </w:r>
      <w:r w:rsidR="00DF3078" w:rsidRPr="00062169">
        <w:rPr>
          <w:rFonts w:ascii="Calibri" w:hAnsi="Calibri" w:cs="Calibri"/>
          <w:lang w:val="sq-AL"/>
        </w:rPr>
        <w:t xml:space="preserve">sasitë </w:t>
      </w:r>
      <w:r w:rsidRPr="00062169">
        <w:rPr>
          <w:rFonts w:ascii="Calibri" w:hAnsi="Calibri" w:cs="Calibri"/>
          <w:lang w:val="sq-AL"/>
        </w:rPr>
        <w:t>e energjis</w:t>
      </w:r>
      <w:r w:rsidR="001A6733" w:rsidRPr="00062169">
        <w:rPr>
          <w:rFonts w:ascii="Calibri" w:hAnsi="Calibri" w:cs="Calibri"/>
          <w:lang w:val="sq-AL"/>
        </w:rPr>
        <w:t>ë</w:t>
      </w:r>
      <w:r w:rsidRPr="00062169">
        <w:rPr>
          <w:rFonts w:ascii="Calibri" w:hAnsi="Calibri" w:cs="Calibri"/>
          <w:lang w:val="sq-AL"/>
        </w:rPr>
        <w:t xml:space="preserve"> s</w:t>
      </w:r>
      <w:r w:rsidR="001A6733" w:rsidRPr="00062169">
        <w:rPr>
          <w:rFonts w:ascii="Calibri" w:hAnsi="Calibri" w:cs="Calibri"/>
          <w:lang w:val="sq-AL"/>
        </w:rPr>
        <w:t>ë</w:t>
      </w:r>
      <w:r w:rsidRPr="00062169">
        <w:rPr>
          <w:rFonts w:ascii="Calibri" w:hAnsi="Calibri" w:cs="Calibri"/>
          <w:lang w:val="sq-AL"/>
        </w:rPr>
        <w:t xml:space="preserve"> </w:t>
      </w:r>
      <w:r w:rsidR="009114D7" w:rsidRPr="00062169">
        <w:rPr>
          <w:rFonts w:ascii="Calibri" w:hAnsi="Calibri" w:cs="Calibri"/>
          <w:lang w:val="sq-AL"/>
        </w:rPr>
        <w:t xml:space="preserve">periodës </w:t>
      </w:r>
      <w:r w:rsidRPr="00062169">
        <w:rPr>
          <w:rFonts w:ascii="Calibri" w:hAnsi="Calibri" w:cs="Calibri"/>
          <w:lang w:val="sq-AL"/>
        </w:rPr>
        <w:t>s</w:t>
      </w:r>
      <w:r w:rsidR="001A6733" w:rsidRPr="00062169">
        <w:rPr>
          <w:rFonts w:ascii="Calibri" w:hAnsi="Calibri" w:cs="Calibri"/>
          <w:lang w:val="sq-AL"/>
        </w:rPr>
        <w:t>ë</w:t>
      </w:r>
      <w:r w:rsidRPr="00062169">
        <w:rPr>
          <w:rFonts w:ascii="Calibri" w:hAnsi="Calibri" w:cs="Calibri"/>
          <w:lang w:val="sq-AL"/>
        </w:rPr>
        <w:t xml:space="preserve"> </w:t>
      </w:r>
      <w:r w:rsidR="00AE3781" w:rsidRPr="00062169">
        <w:rPr>
          <w:rFonts w:ascii="Calibri" w:hAnsi="Calibri" w:cs="Calibri"/>
          <w:lang w:val="sq-AL"/>
        </w:rPr>
        <w:t xml:space="preserve">ndryshimit (rritje / ulje) </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llogaritura p</w:t>
      </w:r>
      <w:r w:rsidR="001A6733" w:rsidRPr="00062169">
        <w:rPr>
          <w:rFonts w:ascii="Calibri" w:hAnsi="Calibri" w:cs="Calibri"/>
          <w:lang w:val="sq-AL"/>
        </w:rPr>
        <w:t>ë</w:t>
      </w:r>
      <w:r w:rsidRPr="00062169">
        <w:rPr>
          <w:rFonts w:ascii="Calibri" w:hAnsi="Calibri" w:cs="Calibri"/>
          <w:lang w:val="sq-AL"/>
        </w:rPr>
        <w:t>r çdo bllok LFC ose zon</w:t>
      </w:r>
      <w:r w:rsidR="001A6733" w:rsidRPr="00062169">
        <w:rPr>
          <w:rFonts w:ascii="Calibri" w:hAnsi="Calibri" w:cs="Calibri"/>
          <w:lang w:val="sq-AL"/>
        </w:rPr>
        <w:t>ë</w:t>
      </w:r>
      <w:r w:rsidRPr="00062169">
        <w:rPr>
          <w:rFonts w:ascii="Calibri" w:hAnsi="Calibri" w:cs="Calibri"/>
          <w:lang w:val="sq-AL"/>
        </w:rPr>
        <w:t xml:space="preserve"> LFC p</w:t>
      </w:r>
      <w:r w:rsidR="001A6733" w:rsidRPr="00062169">
        <w:rPr>
          <w:rFonts w:ascii="Calibri" w:hAnsi="Calibri" w:cs="Calibri"/>
          <w:lang w:val="sq-AL"/>
        </w:rPr>
        <w:t>ë</w:t>
      </w:r>
      <w:r w:rsidRPr="00062169">
        <w:rPr>
          <w:rFonts w:ascii="Calibri" w:hAnsi="Calibri" w:cs="Calibri"/>
          <w:lang w:val="sq-AL"/>
        </w:rPr>
        <w:t xml:space="preserve">r çdo </w:t>
      </w:r>
      <w:r w:rsidR="009114D7" w:rsidRPr="00062169">
        <w:rPr>
          <w:rFonts w:ascii="Calibri" w:hAnsi="Calibri" w:cs="Calibri"/>
          <w:lang w:val="sq-AL"/>
        </w:rPr>
        <w:t>periodë të barazimit përfundimtar</w:t>
      </w:r>
      <w:r w:rsidRPr="00062169">
        <w:rPr>
          <w:rFonts w:ascii="Calibri" w:hAnsi="Calibri" w:cs="Calibri"/>
          <w:lang w:val="sq-AL"/>
        </w:rPr>
        <w:t xml:space="preserve"> </w:t>
      </w:r>
      <w:r w:rsidR="00AE3781" w:rsidRPr="00062169">
        <w:rPr>
          <w:rFonts w:ascii="Calibri" w:hAnsi="Calibri" w:cs="Calibri"/>
          <w:lang w:val="sq-AL"/>
        </w:rPr>
        <w:t xml:space="preserve">TSO </w:t>
      </w:r>
      <w:r w:rsidRPr="00062169">
        <w:rPr>
          <w:rFonts w:ascii="Calibri" w:hAnsi="Calibri" w:cs="Calibri"/>
          <w:lang w:val="sq-AL"/>
        </w:rPr>
        <w:t>-</w:t>
      </w:r>
      <w:r w:rsidR="00AE3781" w:rsidRPr="00062169">
        <w:rPr>
          <w:rFonts w:ascii="Calibri" w:hAnsi="Calibri" w:cs="Calibri"/>
          <w:lang w:val="sq-AL"/>
        </w:rPr>
        <w:t>TSO</w:t>
      </w:r>
      <w:r w:rsidRPr="00062169">
        <w:rPr>
          <w:rFonts w:ascii="Calibri" w:hAnsi="Calibri" w:cs="Calibri"/>
          <w:lang w:val="sq-AL"/>
        </w:rPr>
        <w:t>, n</w:t>
      </w:r>
      <w:r w:rsidR="001A6733" w:rsidRPr="00062169">
        <w:rPr>
          <w:rFonts w:ascii="Calibri" w:hAnsi="Calibri" w:cs="Calibri"/>
          <w:lang w:val="sq-AL"/>
        </w:rPr>
        <w:t>ë</w:t>
      </w:r>
      <w:r w:rsidRPr="00062169">
        <w:rPr>
          <w:rFonts w:ascii="Calibri" w:hAnsi="Calibri" w:cs="Calibri"/>
          <w:lang w:val="sq-AL"/>
        </w:rPr>
        <w:t xml:space="preserve"> p</w:t>
      </w:r>
      <w:r w:rsidR="001A6733" w:rsidRPr="00062169">
        <w:rPr>
          <w:rFonts w:ascii="Calibri" w:hAnsi="Calibri" w:cs="Calibri"/>
          <w:lang w:val="sq-AL"/>
        </w:rPr>
        <w:t>ë</w:t>
      </w:r>
      <w:r w:rsidRPr="00062169">
        <w:rPr>
          <w:rFonts w:ascii="Calibri" w:hAnsi="Calibri" w:cs="Calibri"/>
          <w:lang w:val="sq-AL"/>
        </w:rPr>
        <w:t>rputhje me Nenin 7 t</w:t>
      </w:r>
      <w:r w:rsidR="001A6733" w:rsidRPr="00062169">
        <w:rPr>
          <w:rFonts w:ascii="Calibri" w:hAnsi="Calibri" w:cs="Calibri"/>
          <w:lang w:val="sq-AL"/>
        </w:rPr>
        <w:t>ë</w:t>
      </w:r>
      <w:r w:rsidRPr="00062169">
        <w:rPr>
          <w:rFonts w:ascii="Calibri" w:hAnsi="Calibri" w:cs="Calibri"/>
          <w:lang w:val="sq-AL"/>
        </w:rPr>
        <w:t xml:space="preserve"> </w:t>
      </w:r>
      <w:r w:rsidR="009B3D95" w:rsidRPr="00062169">
        <w:rPr>
          <w:rFonts w:ascii="Calibri" w:hAnsi="Calibri" w:cs="Calibri"/>
          <w:lang w:val="sq-AL"/>
        </w:rPr>
        <w:t xml:space="preserve">këtij </w:t>
      </w:r>
      <w:r w:rsidR="00DE5E31" w:rsidRPr="00062169">
        <w:rPr>
          <w:rFonts w:ascii="Calibri" w:hAnsi="Calibri" w:cs="Calibri"/>
          <w:lang w:val="sq-AL"/>
        </w:rPr>
        <w:t xml:space="preserve">CCFR, </w:t>
      </w:r>
      <w:r w:rsidRPr="00062169">
        <w:rPr>
          <w:rFonts w:ascii="Calibri" w:hAnsi="Calibri" w:cs="Calibri"/>
          <w:lang w:val="sq-AL"/>
        </w:rPr>
        <w:t>do t</w:t>
      </w:r>
      <w:r w:rsidR="001A6733" w:rsidRPr="00062169">
        <w:rPr>
          <w:rFonts w:ascii="Calibri" w:hAnsi="Calibri" w:cs="Calibri"/>
          <w:lang w:val="sq-AL"/>
        </w:rPr>
        <w:t>ë</w:t>
      </w:r>
      <w:r w:rsidRPr="00062169">
        <w:rPr>
          <w:rFonts w:ascii="Calibri" w:hAnsi="Calibri" w:cs="Calibri"/>
          <w:lang w:val="sq-AL"/>
        </w:rPr>
        <w:t xml:space="preserve"> </w:t>
      </w:r>
      <w:r w:rsidR="009334E8" w:rsidRPr="00062169">
        <w:rPr>
          <w:rFonts w:ascii="Calibri" w:hAnsi="Calibri" w:cs="Calibri"/>
          <w:lang w:val="sq-AL"/>
        </w:rPr>
        <w:t xml:space="preserve">paguhen </w:t>
      </w:r>
      <w:r w:rsidRPr="00062169">
        <w:rPr>
          <w:rFonts w:ascii="Calibri" w:hAnsi="Calibri" w:cs="Calibri"/>
          <w:lang w:val="sq-AL"/>
        </w:rPr>
        <w:t>me t</w:t>
      </w:r>
      <w:r w:rsidR="001A6733" w:rsidRPr="00062169">
        <w:rPr>
          <w:rFonts w:ascii="Calibri" w:hAnsi="Calibri" w:cs="Calibri"/>
          <w:lang w:val="sq-AL"/>
        </w:rPr>
        <w:t>ë</w:t>
      </w:r>
      <w:r w:rsidRPr="00062169">
        <w:rPr>
          <w:rFonts w:ascii="Calibri" w:hAnsi="Calibri" w:cs="Calibri"/>
          <w:lang w:val="sq-AL"/>
        </w:rPr>
        <w:t xml:space="preserve"> nj</w:t>
      </w:r>
      <w:r w:rsidR="001A6733" w:rsidRPr="00062169">
        <w:rPr>
          <w:rFonts w:ascii="Calibri" w:hAnsi="Calibri" w:cs="Calibri"/>
          <w:lang w:val="sq-AL"/>
        </w:rPr>
        <w:t>ë</w:t>
      </w:r>
      <w:r w:rsidRPr="00062169">
        <w:rPr>
          <w:rFonts w:ascii="Calibri" w:hAnsi="Calibri" w:cs="Calibri"/>
          <w:lang w:val="sq-AL"/>
        </w:rPr>
        <w:t>jtin çmim t</w:t>
      </w:r>
      <w:r w:rsidR="001A6733" w:rsidRPr="00062169">
        <w:rPr>
          <w:rFonts w:ascii="Calibri" w:hAnsi="Calibri" w:cs="Calibri"/>
          <w:lang w:val="sq-AL"/>
        </w:rPr>
        <w:t>ë</w:t>
      </w:r>
      <w:r w:rsidRPr="00062169">
        <w:rPr>
          <w:rFonts w:ascii="Calibri" w:hAnsi="Calibri" w:cs="Calibri"/>
          <w:lang w:val="sq-AL"/>
        </w:rPr>
        <w:t xml:space="preserve"> llogaritur p</w:t>
      </w:r>
      <w:r w:rsidR="001A6733" w:rsidRPr="00062169">
        <w:rPr>
          <w:rFonts w:ascii="Calibri" w:hAnsi="Calibri" w:cs="Calibri"/>
          <w:lang w:val="sq-AL"/>
        </w:rPr>
        <w:t>ë</w:t>
      </w:r>
      <w:r w:rsidRPr="00062169">
        <w:rPr>
          <w:rFonts w:ascii="Calibri" w:hAnsi="Calibri" w:cs="Calibri"/>
          <w:lang w:val="sq-AL"/>
        </w:rPr>
        <w:t>r at</w:t>
      </w:r>
      <w:r w:rsidR="001A6733" w:rsidRPr="00062169">
        <w:rPr>
          <w:rFonts w:ascii="Calibri" w:hAnsi="Calibri" w:cs="Calibri"/>
          <w:lang w:val="sq-AL"/>
        </w:rPr>
        <w:t>ë</w:t>
      </w:r>
      <w:r w:rsidRPr="00062169">
        <w:rPr>
          <w:rFonts w:ascii="Calibri" w:hAnsi="Calibri" w:cs="Calibri"/>
          <w:lang w:val="sq-AL"/>
        </w:rPr>
        <w:t xml:space="preserve"> </w:t>
      </w:r>
      <w:r w:rsidR="009114D7" w:rsidRPr="00062169">
        <w:rPr>
          <w:rFonts w:ascii="Calibri" w:hAnsi="Calibri" w:cs="Calibri"/>
          <w:lang w:val="sq-AL"/>
        </w:rPr>
        <w:t>periodë të barazimit përfundimtar</w:t>
      </w:r>
      <w:r w:rsidRPr="00062169">
        <w:rPr>
          <w:rFonts w:ascii="Calibri" w:hAnsi="Calibri" w:cs="Calibri"/>
          <w:lang w:val="sq-AL"/>
        </w:rPr>
        <w:t xml:space="preserve"> </w:t>
      </w:r>
      <w:r w:rsidR="00AE3781" w:rsidRPr="00062169">
        <w:rPr>
          <w:rFonts w:ascii="Calibri" w:hAnsi="Calibri" w:cs="Calibri"/>
          <w:lang w:val="sq-AL"/>
        </w:rPr>
        <w:t xml:space="preserve">TSO </w:t>
      </w:r>
      <w:r w:rsidRPr="00062169">
        <w:rPr>
          <w:rFonts w:ascii="Calibri" w:hAnsi="Calibri" w:cs="Calibri"/>
          <w:lang w:val="sq-AL"/>
        </w:rPr>
        <w:t>-</w:t>
      </w:r>
      <w:r w:rsidR="00AE3781" w:rsidRPr="00062169">
        <w:rPr>
          <w:rFonts w:ascii="Calibri" w:hAnsi="Calibri" w:cs="Calibri"/>
          <w:lang w:val="sq-AL"/>
        </w:rPr>
        <w:t>TSO</w:t>
      </w:r>
      <w:r w:rsidRPr="00062169">
        <w:rPr>
          <w:rFonts w:ascii="Calibri" w:hAnsi="Calibri" w:cs="Calibri"/>
          <w:lang w:val="sq-AL"/>
        </w:rPr>
        <w:t>, n</w:t>
      </w:r>
      <w:r w:rsidR="001A6733" w:rsidRPr="00062169">
        <w:rPr>
          <w:rFonts w:ascii="Calibri" w:hAnsi="Calibri" w:cs="Calibri"/>
          <w:lang w:val="sq-AL"/>
        </w:rPr>
        <w:t>ë</w:t>
      </w:r>
      <w:r w:rsidRPr="00062169">
        <w:rPr>
          <w:rFonts w:ascii="Calibri" w:hAnsi="Calibri" w:cs="Calibri"/>
          <w:lang w:val="sq-AL"/>
        </w:rPr>
        <w:t xml:space="preserve"> p</w:t>
      </w:r>
      <w:r w:rsidR="001A6733" w:rsidRPr="00062169">
        <w:rPr>
          <w:rFonts w:ascii="Calibri" w:hAnsi="Calibri" w:cs="Calibri"/>
          <w:lang w:val="sq-AL"/>
        </w:rPr>
        <w:t>ë</w:t>
      </w:r>
      <w:r w:rsidRPr="00062169">
        <w:rPr>
          <w:rFonts w:ascii="Calibri" w:hAnsi="Calibri" w:cs="Calibri"/>
          <w:lang w:val="sq-AL"/>
        </w:rPr>
        <w:t xml:space="preserve">rputhje me Nenin </w:t>
      </w:r>
      <w:r w:rsidR="00DE5E31" w:rsidRPr="00062169">
        <w:rPr>
          <w:rFonts w:ascii="Calibri" w:hAnsi="Calibri" w:cs="Calibri"/>
          <w:lang w:val="sq-AL"/>
        </w:rPr>
        <w:t xml:space="preserve">8(1) </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w:t>
      </w:r>
      <w:r w:rsidR="009B3D95" w:rsidRPr="00062169">
        <w:rPr>
          <w:rFonts w:ascii="Calibri" w:hAnsi="Calibri" w:cs="Calibri"/>
          <w:lang w:val="sq-AL"/>
        </w:rPr>
        <w:t xml:space="preserve">këtij </w:t>
      </w:r>
      <w:r w:rsidR="00DE5E31" w:rsidRPr="00062169">
        <w:rPr>
          <w:rFonts w:ascii="Calibri" w:hAnsi="Calibri" w:cs="Calibri"/>
          <w:lang w:val="sq-AL"/>
        </w:rPr>
        <w:t>CCFR.</w:t>
      </w:r>
    </w:p>
    <w:p w:rsidR="00DE5E31" w:rsidRPr="00062169" w:rsidRDefault="00784369" w:rsidP="00900B3B">
      <w:pPr>
        <w:pStyle w:val="textregular"/>
        <w:numPr>
          <w:ilvl w:val="0"/>
          <w:numId w:val="14"/>
        </w:numPr>
        <w:spacing w:after="0" w:line="276" w:lineRule="auto"/>
        <w:ind w:hanging="502"/>
        <w:jc w:val="both"/>
        <w:rPr>
          <w:rFonts w:ascii="Calibri" w:hAnsi="Calibri" w:cs="Calibri"/>
          <w:lang w:val="sq-AL"/>
        </w:rPr>
      </w:pPr>
      <w:r w:rsidRPr="00062169">
        <w:rPr>
          <w:rFonts w:ascii="Calibri" w:hAnsi="Calibri" w:cs="Calibri"/>
          <w:lang w:val="sq-AL"/>
        </w:rPr>
        <w:lastRenderedPageBreak/>
        <w:t>T</w:t>
      </w:r>
      <w:r w:rsidR="001A6733" w:rsidRPr="00062169">
        <w:rPr>
          <w:rFonts w:ascii="Calibri" w:hAnsi="Calibri" w:cs="Calibri"/>
          <w:lang w:val="sq-AL"/>
        </w:rPr>
        <w:t>ë</w:t>
      </w:r>
      <w:r w:rsidRPr="00062169">
        <w:rPr>
          <w:rFonts w:ascii="Calibri" w:hAnsi="Calibri" w:cs="Calibri"/>
          <w:lang w:val="sq-AL"/>
        </w:rPr>
        <w:t xml:space="preserve"> gjitha </w:t>
      </w:r>
      <w:r w:rsidR="000E7916" w:rsidRPr="00062169">
        <w:rPr>
          <w:rFonts w:ascii="Calibri" w:hAnsi="Calibri" w:cs="Calibri"/>
          <w:lang w:val="sq-AL"/>
        </w:rPr>
        <w:t xml:space="preserve">sasitë </w:t>
      </w:r>
      <w:r w:rsidRPr="00062169">
        <w:rPr>
          <w:rFonts w:ascii="Calibri" w:hAnsi="Calibri" w:cs="Calibri"/>
          <w:lang w:val="sq-AL"/>
        </w:rPr>
        <w:t>e energjis</w:t>
      </w:r>
      <w:r w:rsidR="001A6733" w:rsidRPr="00062169">
        <w:rPr>
          <w:rFonts w:ascii="Calibri" w:hAnsi="Calibri" w:cs="Calibri"/>
          <w:lang w:val="sq-AL"/>
        </w:rPr>
        <w:t>ë</w:t>
      </w:r>
      <w:r w:rsidRPr="00062169">
        <w:rPr>
          <w:rFonts w:ascii="Calibri" w:hAnsi="Calibri" w:cs="Calibri"/>
          <w:lang w:val="sq-AL"/>
        </w:rPr>
        <w:t xml:space="preserve"> </w:t>
      </w:r>
      <w:r w:rsidR="00DF3078" w:rsidRPr="00062169">
        <w:rPr>
          <w:rFonts w:ascii="Calibri" w:hAnsi="Calibri" w:cs="Calibri"/>
          <w:lang w:val="sq-AL"/>
        </w:rPr>
        <w:t xml:space="preserve">së rregullimit </w:t>
      </w:r>
      <w:r w:rsidR="00C85011" w:rsidRPr="00062169">
        <w:rPr>
          <w:rFonts w:ascii="Calibri" w:hAnsi="Calibri" w:cs="Calibri"/>
          <w:lang w:val="sq-AL"/>
        </w:rPr>
        <w:t>stabilizues</w:t>
      </w:r>
      <w:r w:rsidR="00DF3078" w:rsidRPr="00062169">
        <w:rPr>
          <w:rFonts w:ascii="Calibri" w:hAnsi="Calibri" w:cs="Calibri"/>
          <w:lang w:val="sq-AL"/>
        </w:rPr>
        <w:t xml:space="preserve"> </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frekuenc</w:t>
      </w:r>
      <w:r w:rsidR="001A6733" w:rsidRPr="00062169">
        <w:rPr>
          <w:rFonts w:ascii="Calibri" w:hAnsi="Calibri" w:cs="Calibri"/>
          <w:lang w:val="sq-AL"/>
        </w:rPr>
        <w:t>ë</w:t>
      </w:r>
      <w:r w:rsidRPr="00062169">
        <w:rPr>
          <w:rFonts w:ascii="Calibri" w:hAnsi="Calibri" w:cs="Calibri"/>
          <w:lang w:val="sq-AL"/>
        </w:rPr>
        <w:t>s t</w:t>
      </w:r>
      <w:r w:rsidR="001A6733" w:rsidRPr="00062169">
        <w:rPr>
          <w:rFonts w:ascii="Calibri" w:hAnsi="Calibri" w:cs="Calibri"/>
          <w:lang w:val="sq-AL"/>
        </w:rPr>
        <w:t>ë</w:t>
      </w:r>
      <w:r w:rsidRPr="00062169">
        <w:rPr>
          <w:rFonts w:ascii="Calibri" w:hAnsi="Calibri" w:cs="Calibri"/>
          <w:lang w:val="sq-AL"/>
        </w:rPr>
        <w:t xml:space="preserve"> llogaritura p</w:t>
      </w:r>
      <w:r w:rsidR="001A6733" w:rsidRPr="00062169">
        <w:rPr>
          <w:rFonts w:ascii="Calibri" w:hAnsi="Calibri" w:cs="Calibri"/>
          <w:lang w:val="sq-AL"/>
        </w:rPr>
        <w:t>ë</w:t>
      </w:r>
      <w:r w:rsidRPr="00062169">
        <w:rPr>
          <w:rFonts w:ascii="Calibri" w:hAnsi="Calibri" w:cs="Calibri"/>
          <w:lang w:val="sq-AL"/>
        </w:rPr>
        <w:t xml:space="preserve">r </w:t>
      </w:r>
      <w:r w:rsidR="00B308B2" w:rsidRPr="00062169">
        <w:rPr>
          <w:rFonts w:ascii="Calibri" w:hAnsi="Calibri" w:cs="Calibri"/>
          <w:lang w:val="sq-AL"/>
        </w:rPr>
        <w:t>çdo bllok LFC ose zon</w:t>
      </w:r>
      <w:r w:rsidR="001A6733" w:rsidRPr="00062169">
        <w:rPr>
          <w:rFonts w:ascii="Calibri" w:hAnsi="Calibri" w:cs="Calibri"/>
          <w:lang w:val="sq-AL"/>
        </w:rPr>
        <w:t>ë</w:t>
      </w:r>
      <w:r w:rsidR="00B308B2" w:rsidRPr="00062169">
        <w:rPr>
          <w:rFonts w:ascii="Calibri" w:hAnsi="Calibri" w:cs="Calibri"/>
          <w:lang w:val="sq-AL"/>
        </w:rPr>
        <w:t xml:space="preserve"> LFC p</w:t>
      </w:r>
      <w:r w:rsidR="001A6733" w:rsidRPr="00062169">
        <w:rPr>
          <w:rFonts w:ascii="Calibri" w:hAnsi="Calibri" w:cs="Calibri"/>
          <w:lang w:val="sq-AL"/>
        </w:rPr>
        <w:t>ë</w:t>
      </w:r>
      <w:r w:rsidR="00B308B2" w:rsidRPr="00062169">
        <w:rPr>
          <w:rFonts w:ascii="Calibri" w:hAnsi="Calibri" w:cs="Calibri"/>
          <w:lang w:val="sq-AL"/>
        </w:rPr>
        <w:t xml:space="preserve">r çdo </w:t>
      </w:r>
      <w:r w:rsidR="00DF3078" w:rsidRPr="00062169">
        <w:rPr>
          <w:rFonts w:ascii="Calibri" w:hAnsi="Calibri" w:cs="Calibri"/>
          <w:lang w:val="sq-AL"/>
        </w:rPr>
        <w:t>periodë të barazimit përfundimtar</w:t>
      </w:r>
      <w:r w:rsidR="00B308B2" w:rsidRPr="00062169">
        <w:rPr>
          <w:rFonts w:ascii="Calibri" w:hAnsi="Calibri" w:cs="Calibri"/>
          <w:lang w:val="sq-AL"/>
        </w:rPr>
        <w:t xml:space="preserve"> </w:t>
      </w:r>
      <w:r w:rsidR="00AE3781" w:rsidRPr="00062169">
        <w:rPr>
          <w:rFonts w:ascii="Calibri" w:hAnsi="Calibri" w:cs="Calibri"/>
          <w:lang w:val="sq-AL"/>
        </w:rPr>
        <w:t xml:space="preserve">TSO </w:t>
      </w:r>
      <w:r w:rsidR="00B308B2" w:rsidRPr="00062169">
        <w:rPr>
          <w:rFonts w:ascii="Calibri" w:hAnsi="Calibri" w:cs="Calibri"/>
          <w:lang w:val="sq-AL"/>
        </w:rPr>
        <w:t>-</w:t>
      </w:r>
      <w:r w:rsidR="00AE3781" w:rsidRPr="00062169">
        <w:rPr>
          <w:rFonts w:ascii="Calibri" w:hAnsi="Calibri" w:cs="Calibri"/>
          <w:lang w:val="sq-AL"/>
        </w:rPr>
        <w:t>TSO</w:t>
      </w:r>
      <w:r w:rsidR="00B308B2" w:rsidRPr="00062169">
        <w:rPr>
          <w:rFonts w:ascii="Calibri" w:hAnsi="Calibri" w:cs="Calibri"/>
          <w:lang w:val="sq-AL"/>
        </w:rPr>
        <w:t>, n</w:t>
      </w:r>
      <w:r w:rsidR="001A6733" w:rsidRPr="00062169">
        <w:rPr>
          <w:rFonts w:ascii="Calibri" w:hAnsi="Calibri" w:cs="Calibri"/>
          <w:lang w:val="sq-AL"/>
        </w:rPr>
        <w:t>ë</w:t>
      </w:r>
      <w:r w:rsidR="00B308B2" w:rsidRPr="00062169">
        <w:rPr>
          <w:rFonts w:ascii="Calibri" w:hAnsi="Calibri" w:cs="Calibri"/>
          <w:lang w:val="sq-AL"/>
        </w:rPr>
        <w:t xml:space="preserve"> p</w:t>
      </w:r>
      <w:r w:rsidR="001A6733" w:rsidRPr="00062169">
        <w:rPr>
          <w:rFonts w:ascii="Calibri" w:hAnsi="Calibri" w:cs="Calibri"/>
          <w:lang w:val="sq-AL"/>
        </w:rPr>
        <w:t>ë</w:t>
      </w:r>
      <w:r w:rsidR="00B308B2" w:rsidRPr="00062169">
        <w:rPr>
          <w:rFonts w:ascii="Calibri" w:hAnsi="Calibri" w:cs="Calibri"/>
          <w:lang w:val="sq-AL"/>
        </w:rPr>
        <w:t>rputhje me Nenin 7 t</w:t>
      </w:r>
      <w:r w:rsidR="001A6733" w:rsidRPr="00062169">
        <w:rPr>
          <w:rFonts w:ascii="Calibri" w:hAnsi="Calibri" w:cs="Calibri"/>
          <w:lang w:val="sq-AL"/>
        </w:rPr>
        <w:t>ë</w:t>
      </w:r>
      <w:r w:rsidR="00B308B2" w:rsidRPr="00062169">
        <w:rPr>
          <w:rFonts w:ascii="Calibri" w:hAnsi="Calibri" w:cs="Calibri"/>
          <w:lang w:val="sq-AL"/>
        </w:rPr>
        <w:t xml:space="preserve"> </w:t>
      </w:r>
      <w:r w:rsidR="009B3D95" w:rsidRPr="00062169">
        <w:rPr>
          <w:rFonts w:ascii="Calibri" w:hAnsi="Calibri" w:cs="Calibri"/>
          <w:lang w:val="sq-AL"/>
        </w:rPr>
        <w:t xml:space="preserve">këtij </w:t>
      </w:r>
      <w:r w:rsidR="00B308B2" w:rsidRPr="00062169">
        <w:rPr>
          <w:rFonts w:ascii="Calibri" w:hAnsi="Calibri" w:cs="Calibri"/>
          <w:lang w:val="sq-AL"/>
        </w:rPr>
        <w:t>CCFR, do t</w:t>
      </w:r>
      <w:r w:rsidR="001A6733" w:rsidRPr="00062169">
        <w:rPr>
          <w:rFonts w:ascii="Calibri" w:hAnsi="Calibri" w:cs="Calibri"/>
          <w:lang w:val="sq-AL"/>
        </w:rPr>
        <w:t>ë</w:t>
      </w:r>
      <w:r w:rsidR="00B308B2" w:rsidRPr="00062169">
        <w:rPr>
          <w:rFonts w:ascii="Calibri" w:hAnsi="Calibri" w:cs="Calibri"/>
          <w:lang w:val="sq-AL"/>
        </w:rPr>
        <w:t xml:space="preserve"> </w:t>
      </w:r>
      <w:r w:rsidR="009334E8" w:rsidRPr="00062169">
        <w:rPr>
          <w:rFonts w:ascii="Calibri" w:hAnsi="Calibri" w:cs="Calibri"/>
          <w:lang w:val="sq-AL"/>
        </w:rPr>
        <w:t xml:space="preserve">paguhen </w:t>
      </w:r>
      <w:r w:rsidR="00B308B2" w:rsidRPr="00062169">
        <w:rPr>
          <w:rFonts w:ascii="Calibri" w:hAnsi="Calibri" w:cs="Calibri"/>
          <w:lang w:val="sq-AL"/>
        </w:rPr>
        <w:t>me t</w:t>
      </w:r>
      <w:r w:rsidR="001A6733" w:rsidRPr="00062169">
        <w:rPr>
          <w:rFonts w:ascii="Calibri" w:hAnsi="Calibri" w:cs="Calibri"/>
          <w:lang w:val="sq-AL"/>
        </w:rPr>
        <w:t>ë</w:t>
      </w:r>
      <w:r w:rsidR="00B308B2" w:rsidRPr="00062169">
        <w:rPr>
          <w:rFonts w:ascii="Calibri" w:hAnsi="Calibri" w:cs="Calibri"/>
          <w:lang w:val="sq-AL"/>
        </w:rPr>
        <w:t xml:space="preserve"> nj</w:t>
      </w:r>
      <w:r w:rsidR="001A6733" w:rsidRPr="00062169">
        <w:rPr>
          <w:rFonts w:ascii="Calibri" w:hAnsi="Calibri" w:cs="Calibri"/>
          <w:lang w:val="sq-AL"/>
        </w:rPr>
        <w:t>ë</w:t>
      </w:r>
      <w:r w:rsidR="00B308B2" w:rsidRPr="00062169">
        <w:rPr>
          <w:rFonts w:ascii="Calibri" w:hAnsi="Calibri" w:cs="Calibri"/>
          <w:lang w:val="sq-AL"/>
        </w:rPr>
        <w:t>jtin çmim t</w:t>
      </w:r>
      <w:r w:rsidR="001A6733" w:rsidRPr="00062169">
        <w:rPr>
          <w:rFonts w:ascii="Calibri" w:hAnsi="Calibri" w:cs="Calibri"/>
          <w:lang w:val="sq-AL"/>
        </w:rPr>
        <w:t>ë</w:t>
      </w:r>
      <w:r w:rsidR="00B308B2" w:rsidRPr="00062169">
        <w:rPr>
          <w:rFonts w:ascii="Calibri" w:hAnsi="Calibri" w:cs="Calibri"/>
          <w:lang w:val="sq-AL"/>
        </w:rPr>
        <w:t xml:space="preserve"> llogaritur p</w:t>
      </w:r>
      <w:r w:rsidR="001A6733" w:rsidRPr="00062169">
        <w:rPr>
          <w:rFonts w:ascii="Calibri" w:hAnsi="Calibri" w:cs="Calibri"/>
          <w:lang w:val="sq-AL"/>
        </w:rPr>
        <w:t>ë</w:t>
      </w:r>
      <w:r w:rsidR="00B308B2" w:rsidRPr="00062169">
        <w:rPr>
          <w:rFonts w:ascii="Calibri" w:hAnsi="Calibri" w:cs="Calibri"/>
          <w:lang w:val="sq-AL"/>
        </w:rPr>
        <w:t>r at</w:t>
      </w:r>
      <w:r w:rsidR="001A6733" w:rsidRPr="00062169">
        <w:rPr>
          <w:rFonts w:ascii="Calibri" w:hAnsi="Calibri" w:cs="Calibri"/>
          <w:lang w:val="sq-AL"/>
        </w:rPr>
        <w:t>ë</w:t>
      </w:r>
      <w:r w:rsidR="00B308B2" w:rsidRPr="00062169">
        <w:rPr>
          <w:rFonts w:ascii="Calibri" w:hAnsi="Calibri" w:cs="Calibri"/>
          <w:lang w:val="sq-AL"/>
        </w:rPr>
        <w:t xml:space="preserve"> </w:t>
      </w:r>
      <w:r w:rsidR="009114D7" w:rsidRPr="00062169">
        <w:rPr>
          <w:rFonts w:ascii="Calibri" w:hAnsi="Calibri" w:cs="Calibri"/>
          <w:lang w:val="sq-AL"/>
        </w:rPr>
        <w:t>periodë të barazimit përfundimtar</w:t>
      </w:r>
      <w:r w:rsidR="00B308B2" w:rsidRPr="00062169">
        <w:rPr>
          <w:rFonts w:ascii="Calibri" w:hAnsi="Calibri" w:cs="Calibri"/>
          <w:lang w:val="sq-AL"/>
        </w:rPr>
        <w:t xml:space="preserve"> </w:t>
      </w:r>
      <w:r w:rsidR="00AE3781" w:rsidRPr="00062169">
        <w:rPr>
          <w:rFonts w:ascii="Calibri" w:hAnsi="Calibri" w:cs="Calibri"/>
          <w:lang w:val="sq-AL"/>
        </w:rPr>
        <w:t xml:space="preserve">TSO </w:t>
      </w:r>
      <w:r w:rsidR="00B308B2" w:rsidRPr="00062169">
        <w:rPr>
          <w:rFonts w:ascii="Calibri" w:hAnsi="Calibri" w:cs="Calibri"/>
          <w:lang w:val="sq-AL"/>
        </w:rPr>
        <w:t>-</w:t>
      </w:r>
      <w:r w:rsidR="00AE3781" w:rsidRPr="00062169">
        <w:rPr>
          <w:rFonts w:ascii="Calibri" w:hAnsi="Calibri" w:cs="Calibri"/>
          <w:lang w:val="sq-AL"/>
        </w:rPr>
        <w:t>TSO</w:t>
      </w:r>
      <w:r w:rsidR="00B308B2" w:rsidRPr="00062169">
        <w:rPr>
          <w:rFonts w:ascii="Calibri" w:hAnsi="Calibri" w:cs="Calibri"/>
          <w:lang w:val="sq-AL"/>
        </w:rPr>
        <w:t>, n</w:t>
      </w:r>
      <w:r w:rsidR="001A6733" w:rsidRPr="00062169">
        <w:rPr>
          <w:rFonts w:ascii="Calibri" w:hAnsi="Calibri" w:cs="Calibri"/>
          <w:lang w:val="sq-AL"/>
        </w:rPr>
        <w:t>ë</w:t>
      </w:r>
      <w:r w:rsidR="00B308B2" w:rsidRPr="00062169">
        <w:rPr>
          <w:rFonts w:ascii="Calibri" w:hAnsi="Calibri" w:cs="Calibri"/>
          <w:lang w:val="sq-AL"/>
        </w:rPr>
        <w:t xml:space="preserve"> p</w:t>
      </w:r>
      <w:r w:rsidR="001A6733" w:rsidRPr="00062169">
        <w:rPr>
          <w:rFonts w:ascii="Calibri" w:hAnsi="Calibri" w:cs="Calibri"/>
          <w:lang w:val="sq-AL"/>
        </w:rPr>
        <w:t>ë</w:t>
      </w:r>
      <w:r w:rsidR="00B308B2" w:rsidRPr="00062169">
        <w:rPr>
          <w:rFonts w:ascii="Calibri" w:hAnsi="Calibri" w:cs="Calibri"/>
          <w:lang w:val="sq-AL"/>
        </w:rPr>
        <w:t xml:space="preserve">rputhje me Nenin </w:t>
      </w:r>
      <w:r w:rsidR="00F2111A" w:rsidRPr="00062169">
        <w:rPr>
          <w:rFonts w:ascii="Calibri" w:hAnsi="Calibri" w:cs="Calibri"/>
          <w:lang w:val="sq-AL"/>
        </w:rPr>
        <w:t>8</w:t>
      </w:r>
      <w:r w:rsidR="0053102F" w:rsidRPr="00062169">
        <w:rPr>
          <w:rFonts w:ascii="Calibri" w:hAnsi="Calibri" w:cs="Calibri"/>
          <w:lang w:val="sq-AL"/>
        </w:rPr>
        <w:t>(</w:t>
      </w:r>
      <w:r w:rsidR="00D43883" w:rsidRPr="00062169">
        <w:rPr>
          <w:rFonts w:ascii="Calibri" w:hAnsi="Calibri" w:cs="Calibri"/>
          <w:lang w:val="sq-AL"/>
        </w:rPr>
        <w:t>2</w:t>
      </w:r>
      <w:r w:rsidR="0053102F" w:rsidRPr="00062169">
        <w:rPr>
          <w:rFonts w:ascii="Calibri" w:hAnsi="Calibri" w:cs="Calibri"/>
          <w:lang w:val="sq-AL"/>
        </w:rPr>
        <w:t>)</w:t>
      </w:r>
      <w:r w:rsidR="00B308B2" w:rsidRPr="00062169">
        <w:rPr>
          <w:rFonts w:ascii="Calibri" w:hAnsi="Calibri" w:cs="Calibri"/>
          <w:lang w:val="sq-AL"/>
        </w:rPr>
        <w:t xml:space="preserve"> t</w:t>
      </w:r>
      <w:r w:rsidR="001A6733" w:rsidRPr="00062169">
        <w:rPr>
          <w:rFonts w:ascii="Calibri" w:hAnsi="Calibri" w:cs="Calibri"/>
          <w:lang w:val="sq-AL"/>
        </w:rPr>
        <w:t>ë</w:t>
      </w:r>
      <w:r w:rsidR="00B308B2" w:rsidRPr="00062169">
        <w:rPr>
          <w:rFonts w:ascii="Calibri" w:hAnsi="Calibri" w:cs="Calibri"/>
          <w:lang w:val="sq-AL"/>
        </w:rPr>
        <w:t xml:space="preserve"> </w:t>
      </w:r>
      <w:r w:rsidR="009B3D95" w:rsidRPr="00062169">
        <w:rPr>
          <w:rFonts w:ascii="Calibri" w:hAnsi="Calibri" w:cs="Calibri"/>
          <w:lang w:val="sq-AL"/>
        </w:rPr>
        <w:t xml:space="preserve">këtij </w:t>
      </w:r>
      <w:r w:rsidR="007C3F31" w:rsidRPr="00062169">
        <w:rPr>
          <w:rFonts w:ascii="Calibri" w:hAnsi="Calibri" w:cs="Calibri"/>
          <w:lang w:val="sq-AL"/>
        </w:rPr>
        <w:t>CCF</w:t>
      </w:r>
      <w:r w:rsidR="00DE5E31" w:rsidRPr="00062169">
        <w:rPr>
          <w:rFonts w:ascii="Calibri" w:hAnsi="Calibri" w:cs="Calibri"/>
          <w:lang w:val="sq-AL"/>
        </w:rPr>
        <w:t>R.</w:t>
      </w:r>
    </w:p>
    <w:p w:rsidR="00DE5E31" w:rsidRPr="00062169" w:rsidRDefault="00DF3078" w:rsidP="00900B3B">
      <w:pPr>
        <w:pStyle w:val="textregular"/>
        <w:numPr>
          <w:ilvl w:val="0"/>
          <w:numId w:val="14"/>
        </w:numPr>
        <w:spacing w:after="0" w:line="276" w:lineRule="auto"/>
        <w:ind w:hanging="502"/>
        <w:jc w:val="both"/>
        <w:rPr>
          <w:rFonts w:ascii="Calibri" w:hAnsi="Calibri" w:cs="Calibri"/>
          <w:lang w:val="sq-AL"/>
        </w:rPr>
      </w:pPr>
      <w:r w:rsidRPr="00062169">
        <w:rPr>
          <w:rFonts w:ascii="Calibri" w:hAnsi="Calibri" w:cs="Calibri"/>
          <w:lang w:val="sq-AL"/>
        </w:rPr>
        <w:t xml:space="preserve">Barazimi përfundimtar </w:t>
      </w:r>
      <w:r w:rsidR="00B308B2" w:rsidRPr="00062169">
        <w:rPr>
          <w:rFonts w:ascii="Calibri" w:hAnsi="Calibri" w:cs="Calibri"/>
          <w:lang w:val="sq-AL"/>
        </w:rPr>
        <w:t>do të realizohet në nivelin e zonave</w:t>
      </w:r>
      <w:r w:rsidRPr="00062169">
        <w:rPr>
          <w:rFonts w:ascii="Calibri" w:hAnsi="Calibri" w:cs="Calibri"/>
          <w:lang w:val="sq-AL"/>
        </w:rPr>
        <w:t xml:space="preserve"> rregulluese</w:t>
      </w:r>
      <w:r w:rsidR="00B308B2" w:rsidRPr="00062169">
        <w:rPr>
          <w:rFonts w:ascii="Calibri" w:hAnsi="Calibri" w:cs="Calibri"/>
          <w:lang w:val="sq-AL"/>
        </w:rPr>
        <w:t xml:space="preserve"> LFC</w:t>
      </w:r>
      <w:r w:rsidRPr="00062169">
        <w:rPr>
          <w:rFonts w:ascii="Calibri" w:hAnsi="Calibri" w:cs="Calibri"/>
          <w:lang w:val="sq-AL"/>
        </w:rPr>
        <w:t xml:space="preserve"> përveç në rastet</w:t>
      </w:r>
      <w:r w:rsidR="00DE5E31" w:rsidRPr="00062169">
        <w:rPr>
          <w:rFonts w:ascii="Calibri" w:hAnsi="Calibri" w:cs="Calibri"/>
          <w:lang w:val="sq-AL"/>
        </w:rPr>
        <w:t>:</w:t>
      </w:r>
    </w:p>
    <w:p w:rsidR="00DE5E31" w:rsidRPr="00062169" w:rsidRDefault="00DF3078" w:rsidP="00900B3B">
      <w:pPr>
        <w:pStyle w:val="textregular"/>
        <w:numPr>
          <w:ilvl w:val="1"/>
          <w:numId w:val="14"/>
        </w:numPr>
        <w:spacing w:after="0" w:line="276" w:lineRule="auto"/>
        <w:jc w:val="both"/>
        <w:rPr>
          <w:rFonts w:ascii="Calibri" w:hAnsi="Calibri" w:cs="Calibri"/>
          <w:lang w:val="sq-AL"/>
        </w:rPr>
      </w:pPr>
      <w:r w:rsidRPr="00062169">
        <w:rPr>
          <w:rFonts w:ascii="Calibri" w:hAnsi="Calibri" w:cs="Calibri"/>
          <w:lang w:val="sq-AL"/>
        </w:rPr>
        <w:t>Kur t</w:t>
      </w:r>
      <w:r w:rsidR="001A6733" w:rsidRPr="00062169">
        <w:rPr>
          <w:rFonts w:ascii="Calibri" w:hAnsi="Calibri" w:cs="Calibri"/>
          <w:lang w:val="sq-AL"/>
        </w:rPr>
        <w:t>ë</w:t>
      </w:r>
      <w:r w:rsidR="00B308B2" w:rsidRPr="00062169">
        <w:rPr>
          <w:rFonts w:ascii="Calibri" w:hAnsi="Calibri" w:cs="Calibri"/>
          <w:lang w:val="sq-AL"/>
        </w:rPr>
        <w:t xml:space="preserve"> gjitha </w:t>
      </w:r>
      <w:r w:rsidR="00AE3781" w:rsidRPr="00062169">
        <w:rPr>
          <w:rFonts w:ascii="Calibri" w:hAnsi="Calibri" w:cs="Calibri"/>
          <w:lang w:val="sq-AL"/>
        </w:rPr>
        <w:t xml:space="preserve">TSO </w:t>
      </w:r>
      <w:r w:rsidR="00B308B2" w:rsidRPr="00062169">
        <w:rPr>
          <w:rFonts w:ascii="Calibri" w:hAnsi="Calibri" w:cs="Calibri"/>
          <w:lang w:val="sq-AL"/>
        </w:rPr>
        <w:t>-t</w:t>
      </w:r>
      <w:r w:rsidR="001A6733" w:rsidRPr="00062169">
        <w:rPr>
          <w:rFonts w:ascii="Calibri" w:hAnsi="Calibri" w:cs="Calibri"/>
          <w:lang w:val="sq-AL"/>
        </w:rPr>
        <w:t>ë</w:t>
      </w:r>
      <w:r w:rsidR="00B308B2" w:rsidRPr="00062169">
        <w:rPr>
          <w:rFonts w:ascii="Calibri" w:hAnsi="Calibri" w:cs="Calibri"/>
          <w:lang w:val="sq-AL"/>
        </w:rPr>
        <w:t xml:space="preserve"> e nj</w:t>
      </w:r>
      <w:r w:rsidR="001A6733" w:rsidRPr="00062169">
        <w:rPr>
          <w:rFonts w:ascii="Calibri" w:hAnsi="Calibri" w:cs="Calibri"/>
          <w:lang w:val="sq-AL"/>
        </w:rPr>
        <w:t>ë</w:t>
      </w:r>
      <w:r w:rsidR="00B308B2" w:rsidRPr="00062169">
        <w:rPr>
          <w:rFonts w:ascii="Calibri" w:hAnsi="Calibri" w:cs="Calibri"/>
          <w:lang w:val="sq-AL"/>
        </w:rPr>
        <w:t xml:space="preserve"> blloku LFC bien dakord </w:t>
      </w:r>
      <w:r w:rsidRPr="00062169">
        <w:rPr>
          <w:rFonts w:ascii="Calibri" w:hAnsi="Calibri" w:cs="Calibri"/>
          <w:lang w:val="sq-AL"/>
        </w:rPr>
        <w:t>që barazimi përfunindimtar</w:t>
      </w:r>
      <w:r w:rsidR="00B308B2" w:rsidRPr="00062169">
        <w:rPr>
          <w:rFonts w:ascii="Calibri" w:hAnsi="Calibri" w:cs="Calibri"/>
          <w:lang w:val="sq-AL"/>
        </w:rPr>
        <w:t xml:space="preserve"> </w:t>
      </w:r>
      <w:r w:rsidRPr="00062169">
        <w:rPr>
          <w:rFonts w:ascii="Calibri" w:hAnsi="Calibri" w:cs="Calibri"/>
          <w:lang w:val="sq-AL"/>
        </w:rPr>
        <w:t xml:space="preserve">të bëhet </w:t>
      </w:r>
      <w:r w:rsidR="00B308B2" w:rsidRPr="00062169">
        <w:rPr>
          <w:rFonts w:ascii="Calibri" w:hAnsi="Calibri" w:cs="Calibri"/>
          <w:lang w:val="sq-AL"/>
        </w:rPr>
        <w:t>n</w:t>
      </w:r>
      <w:r w:rsidR="001A6733" w:rsidRPr="00062169">
        <w:rPr>
          <w:rFonts w:ascii="Calibri" w:hAnsi="Calibri" w:cs="Calibri"/>
          <w:lang w:val="sq-AL"/>
        </w:rPr>
        <w:t>ë</w:t>
      </w:r>
      <w:r w:rsidR="00B308B2" w:rsidRPr="00062169">
        <w:rPr>
          <w:rFonts w:ascii="Calibri" w:hAnsi="Calibri" w:cs="Calibri"/>
          <w:lang w:val="sq-AL"/>
        </w:rPr>
        <w:t xml:space="preserve"> nivel t</w:t>
      </w:r>
      <w:r w:rsidR="001A6733" w:rsidRPr="00062169">
        <w:rPr>
          <w:rFonts w:ascii="Calibri" w:hAnsi="Calibri" w:cs="Calibri"/>
          <w:lang w:val="sq-AL"/>
        </w:rPr>
        <w:t>ë</w:t>
      </w:r>
      <w:r w:rsidR="00B308B2" w:rsidRPr="00062169">
        <w:rPr>
          <w:rFonts w:ascii="Calibri" w:hAnsi="Calibri" w:cs="Calibri"/>
          <w:lang w:val="sq-AL"/>
        </w:rPr>
        <w:t xml:space="preserve"> bllokut LFC</w:t>
      </w:r>
      <w:r w:rsidR="00DE5E31" w:rsidRPr="00062169">
        <w:rPr>
          <w:rFonts w:ascii="Calibri" w:hAnsi="Calibri" w:cs="Calibri"/>
          <w:lang w:val="sq-AL"/>
        </w:rPr>
        <w:t>; o</w:t>
      </w:r>
      <w:r w:rsidR="00B308B2" w:rsidRPr="00062169">
        <w:rPr>
          <w:rFonts w:ascii="Calibri" w:hAnsi="Calibri" w:cs="Calibri"/>
          <w:lang w:val="sq-AL"/>
        </w:rPr>
        <w:t>se</w:t>
      </w:r>
    </w:p>
    <w:p w:rsidR="00DE5E31" w:rsidRPr="00062169" w:rsidRDefault="00B308B2" w:rsidP="00900B3B">
      <w:pPr>
        <w:pStyle w:val="textregular"/>
        <w:numPr>
          <w:ilvl w:val="1"/>
          <w:numId w:val="14"/>
        </w:numPr>
        <w:spacing w:after="0" w:line="276" w:lineRule="auto"/>
        <w:jc w:val="both"/>
        <w:rPr>
          <w:rFonts w:ascii="Calibri" w:hAnsi="Calibri" w:cs="Calibri"/>
          <w:lang w:val="sq-AL"/>
        </w:rPr>
      </w:pPr>
      <w:r w:rsidRPr="00062169">
        <w:rPr>
          <w:rFonts w:ascii="Calibri" w:hAnsi="Calibri" w:cs="Calibri"/>
          <w:lang w:val="sq-AL"/>
        </w:rPr>
        <w:t xml:space="preserve">Disa </w:t>
      </w:r>
      <w:r w:rsidR="00AE3781" w:rsidRPr="00062169">
        <w:rPr>
          <w:rFonts w:ascii="Calibri" w:hAnsi="Calibri" w:cs="Calibri"/>
          <w:lang w:val="sq-AL"/>
        </w:rPr>
        <w:t xml:space="preserve">TSO </w:t>
      </w:r>
      <w:r w:rsidRPr="00062169">
        <w:rPr>
          <w:rFonts w:ascii="Calibri" w:hAnsi="Calibri" w:cs="Calibri"/>
          <w:lang w:val="sq-AL"/>
        </w:rPr>
        <w:t xml:space="preserve"> t</w:t>
      </w:r>
      <w:r w:rsidR="001A6733" w:rsidRPr="00062169">
        <w:rPr>
          <w:rFonts w:ascii="Calibri" w:hAnsi="Calibri" w:cs="Calibri"/>
          <w:lang w:val="sq-AL"/>
        </w:rPr>
        <w:t>ë</w:t>
      </w:r>
      <w:r w:rsidRPr="00062169">
        <w:rPr>
          <w:rFonts w:ascii="Calibri" w:hAnsi="Calibri" w:cs="Calibri"/>
          <w:lang w:val="sq-AL"/>
        </w:rPr>
        <w:t xml:space="preserve"> nj</w:t>
      </w:r>
      <w:r w:rsidR="001A6733" w:rsidRPr="00062169">
        <w:rPr>
          <w:rFonts w:ascii="Calibri" w:hAnsi="Calibri" w:cs="Calibri"/>
          <w:lang w:val="sq-AL"/>
        </w:rPr>
        <w:t>ë</w:t>
      </w:r>
      <w:r w:rsidRPr="00062169">
        <w:rPr>
          <w:rFonts w:ascii="Calibri" w:hAnsi="Calibri" w:cs="Calibri"/>
          <w:lang w:val="sq-AL"/>
        </w:rPr>
        <w:t xml:space="preserve"> blloku t</w:t>
      </w:r>
      <w:r w:rsidR="001A6733" w:rsidRPr="00062169">
        <w:rPr>
          <w:rFonts w:ascii="Calibri" w:hAnsi="Calibri" w:cs="Calibri"/>
          <w:lang w:val="sq-AL"/>
        </w:rPr>
        <w:t>ë</w:t>
      </w:r>
      <w:r w:rsidRPr="00062169">
        <w:rPr>
          <w:rFonts w:ascii="Calibri" w:hAnsi="Calibri" w:cs="Calibri"/>
          <w:lang w:val="sq-AL"/>
        </w:rPr>
        <w:t xml:space="preserve"> vet</w:t>
      </w:r>
      <w:r w:rsidR="001A6733" w:rsidRPr="00062169">
        <w:rPr>
          <w:rFonts w:ascii="Calibri" w:hAnsi="Calibri" w:cs="Calibri"/>
          <w:lang w:val="sq-AL"/>
        </w:rPr>
        <w:t>ë</w:t>
      </w:r>
      <w:r w:rsidRPr="00062169">
        <w:rPr>
          <w:rFonts w:ascii="Calibri" w:hAnsi="Calibri" w:cs="Calibri"/>
          <w:lang w:val="sq-AL"/>
        </w:rPr>
        <w:t xml:space="preserve">m LFC bien dakord </w:t>
      </w:r>
      <w:r w:rsidR="00DF3078" w:rsidRPr="00062169">
        <w:rPr>
          <w:rFonts w:ascii="Calibri" w:hAnsi="Calibri" w:cs="Calibri"/>
          <w:lang w:val="sq-AL"/>
        </w:rPr>
        <w:t xml:space="preserve">që barazimi përfundimtar për zonat e tyre rregulluese të jetë i </w:t>
      </w:r>
      <w:r w:rsidRPr="00062169">
        <w:rPr>
          <w:rFonts w:ascii="Calibri" w:hAnsi="Calibri" w:cs="Calibri"/>
          <w:lang w:val="sq-AL"/>
        </w:rPr>
        <w:t>p</w:t>
      </w:r>
      <w:r w:rsidR="001A6733" w:rsidRPr="00062169">
        <w:rPr>
          <w:rFonts w:ascii="Calibri" w:hAnsi="Calibri" w:cs="Calibri"/>
          <w:lang w:val="sq-AL"/>
        </w:rPr>
        <w:t>ë</w:t>
      </w:r>
      <w:r w:rsidRPr="00062169">
        <w:rPr>
          <w:rFonts w:ascii="Calibri" w:hAnsi="Calibri" w:cs="Calibri"/>
          <w:lang w:val="sq-AL"/>
        </w:rPr>
        <w:t>rbashk</w:t>
      </w:r>
      <w:r w:rsidR="001A6733" w:rsidRPr="00062169">
        <w:rPr>
          <w:rFonts w:ascii="Calibri" w:hAnsi="Calibri" w:cs="Calibri"/>
          <w:lang w:val="sq-AL"/>
        </w:rPr>
        <w:t>ë</w:t>
      </w:r>
      <w:r w:rsidRPr="00062169">
        <w:rPr>
          <w:rFonts w:ascii="Calibri" w:hAnsi="Calibri" w:cs="Calibri"/>
          <w:lang w:val="sq-AL"/>
        </w:rPr>
        <w:t>t</w:t>
      </w:r>
      <w:r w:rsidR="00DE5E31" w:rsidRPr="00062169">
        <w:rPr>
          <w:rFonts w:ascii="Calibri" w:hAnsi="Calibri" w:cs="Calibri"/>
          <w:lang w:val="sq-AL"/>
        </w:rPr>
        <w:t>.</w:t>
      </w:r>
    </w:p>
    <w:p w:rsidR="00763863" w:rsidRPr="00062169" w:rsidRDefault="00641280" w:rsidP="00900B3B">
      <w:pPr>
        <w:pStyle w:val="textregular"/>
        <w:numPr>
          <w:ilvl w:val="0"/>
          <w:numId w:val="14"/>
        </w:numPr>
        <w:spacing w:after="0" w:line="276" w:lineRule="auto"/>
        <w:ind w:hanging="502"/>
        <w:jc w:val="both"/>
        <w:rPr>
          <w:rFonts w:ascii="Calibri" w:hAnsi="Calibri" w:cs="Calibri"/>
          <w:lang w:val="sq-AL"/>
        </w:rPr>
      </w:pPr>
      <w:r w:rsidRPr="00062169">
        <w:rPr>
          <w:rFonts w:ascii="Calibri" w:hAnsi="Calibri" w:cs="Calibri"/>
          <w:lang w:val="sq-AL"/>
        </w:rPr>
        <w:t>Entiteti</w:t>
      </w:r>
      <w:r w:rsidR="00DF3078" w:rsidRPr="00062169">
        <w:rPr>
          <w:rFonts w:ascii="Calibri" w:hAnsi="Calibri" w:cs="Calibri"/>
          <w:lang w:val="sq-AL"/>
        </w:rPr>
        <w:t xml:space="preserve"> </w:t>
      </w:r>
      <w:r w:rsidR="00B308B2" w:rsidRPr="00062169">
        <w:rPr>
          <w:rFonts w:ascii="Calibri" w:hAnsi="Calibri" w:cs="Calibri"/>
          <w:lang w:val="sq-AL"/>
        </w:rPr>
        <w:t xml:space="preserve">ose </w:t>
      </w:r>
      <w:r w:rsidRPr="00062169">
        <w:rPr>
          <w:rFonts w:ascii="Calibri" w:hAnsi="Calibri" w:cs="Calibri"/>
          <w:lang w:val="sq-AL"/>
        </w:rPr>
        <w:t>entitetet</w:t>
      </w:r>
      <w:r w:rsidR="00DF3078" w:rsidRPr="00062169">
        <w:rPr>
          <w:rFonts w:ascii="Calibri" w:hAnsi="Calibri" w:cs="Calibri"/>
          <w:lang w:val="sq-AL"/>
        </w:rPr>
        <w:t xml:space="preserve"> </w:t>
      </w:r>
      <w:r w:rsidR="00B308B2" w:rsidRPr="00062169">
        <w:rPr>
          <w:rFonts w:ascii="Calibri" w:hAnsi="Calibri" w:cs="Calibri"/>
          <w:lang w:val="sq-AL"/>
        </w:rPr>
        <w:t>të cilave u është besuar detyra e faturimit duhet t</w:t>
      </w:r>
      <w:r w:rsidR="00DF3078" w:rsidRPr="00062169">
        <w:rPr>
          <w:rFonts w:ascii="Calibri" w:hAnsi="Calibri" w:cs="Calibri"/>
          <w:lang w:val="en-US"/>
        </w:rPr>
        <w:t>’</w:t>
      </w:r>
      <w:r w:rsidR="00B308B2" w:rsidRPr="00062169">
        <w:rPr>
          <w:rFonts w:ascii="Calibri" w:hAnsi="Calibri" w:cs="Calibri"/>
          <w:lang w:val="sq-AL"/>
        </w:rPr>
        <w:t xml:space="preserve">i faturojnë </w:t>
      </w:r>
      <w:r w:rsidR="00AE3781" w:rsidRPr="00062169">
        <w:rPr>
          <w:rFonts w:ascii="Calibri" w:hAnsi="Calibri" w:cs="Calibri"/>
          <w:lang w:val="sq-AL"/>
        </w:rPr>
        <w:t>TSO</w:t>
      </w:r>
      <w:r w:rsidR="00B308B2" w:rsidRPr="00062169">
        <w:rPr>
          <w:rFonts w:ascii="Calibri" w:hAnsi="Calibri" w:cs="Calibri"/>
          <w:lang w:val="sq-AL"/>
        </w:rPr>
        <w:t xml:space="preserve">-ve SA CE sipas rezultateve të funksionit të </w:t>
      </w:r>
      <w:r w:rsidR="00DF3078" w:rsidRPr="00062169">
        <w:rPr>
          <w:rFonts w:ascii="Calibri" w:hAnsi="Calibri" w:cs="Calibri"/>
          <w:lang w:val="sq-AL"/>
        </w:rPr>
        <w:t xml:space="preserve">barazimit përfundimtar të </w:t>
      </w:r>
      <w:r w:rsidR="00763863" w:rsidRPr="00062169">
        <w:rPr>
          <w:rFonts w:ascii="Calibri" w:hAnsi="Calibri" w:cs="Calibri"/>
          <w:lang w:val="sq-AL"/>
        </w:rPr>
        <w:t>CCFR.</w:t>
      </w:r>
    </w:p>
    <w:p w:rsidR="00DE5E31" w:rsidRDefault="00B308B2" w:rsidP="00900B3B">
      <w:pPr>
        <w:pStyle w:val="textregular"/>
        <w:numPr>
          <w:ilvl w:val="0"/>
          <w:numId w:val="14"/>
        </w:numPr>
        <w:spacing w:after="0" w:line="276" w:lineRule="auto"/>
        <w:ind w:hanging="502"/>
        <w:jc w:val="both"/>
        <w:rPr>
          <w:rFonts w:ascii="Calibri" w:hAnsi="Calibri" w:cs="Calibri"/>
          <w:lang w:val="sq-AL"/>
        </w:rPr>
      </w:pPr>
      <w:r w:rsidRPr="00062169">
        <w:rPr>
          <w:rFonts w:ascii="Calibri" w:hAnsi="Calibri" w:cs="Calibri"/>
          <w:lang w:val="sq-AL"/>
        </w:rPr>
        <w:t xml:space="preserve">Të gjitha </w:t>
      </w:r>
      <w:r w:rsidR="00AE3781" w:rsidRPr="00062169">
        <w:rPr>
          <w:rFonts w:ascii="Calibri" w:hAnsi="Calibri" w:cs="Calibri"/>
          <w:lang w:val="sq-AL"/>
        </w:rPr>
        <w:t xml:space="preserve">TSO e </w:t>
      </w:r>
      <w:r w:rsidRPr="00062169">
        <w:rPr>
          <w:rFonts w:ascii="Calibri" w:hAnsi="Calibri" w:cs="Calibri"/>
          <w:lang w:val="sq-AL"/>
        </w:rPr>
        <w:t>SA CE</w:t>
      </w:r>
      <w:r w:rsidR="00593607" w:rsidRPr="00062169">
        <w:rPr>
          <w:rFonts w:ascii="Calibri" w:hAnsi="Calibri" w:cs="Calibri"/>
          <w:lang w:val="sq-AL"/>
        </w:rPr>
        <w:t xml:space="preserve"> do të</w:t>
      </w:r>
      <w:r w:rsidRPr="00062169">
        <w:rPr>
          <w:rFonts w:ascii="Calibri" w:hAnsi="Calibri" w:cs="Calibri"/>
          <w:lang w:val="sq-AL"/>
        </w:rPr>
        <w:t xml:space="preserve"> pranojnë </w:t>
      </w:r>
      <w:r w:rsidR="00593607" w:rsidRPr="00062169">
        <w:rPr>
          <w:rFonts w:ascii="Calibri" w:hAnsi="Calibri" w:cs="Calibri"/>
          <w:lang w:val="sq-AL"/>
        </w:rPr>
        <w:t xml:space="preserve">rrjedhat </w:t>
      </w:r>
      <w:r w:rsidRPr="00062169">
        <w:rPr>
          <w:rFonts w:ascii="Calibri" w:hAnsi="Calibri" w:cs="Calibri"/>
          <w:lang w:val="sq-AL"/>
        </w:rPr>
        <w:t>financiare</w:t>
      </w:r>
      <w:r w:rsidR="00593607" w:rsidRPr="00062169">
        <w:rPr>
          <w:rFonts w:ascii="Calibri" w:hAnsi="Calibri" w:cs="Calibri"/>
          <w:lang w:val="sq-AL"/>
        </w:rPr>
        <w:t xml:space="preserve"> të llogaritura</w:t>
      </w:r>
      <w:r w:rsidRPr="00062169">
        <w:rPr>
          <w:rFonts w:ascii="Calibri" w:hAnsi="Calibri" w:cs="Calibri"/>
          <w:lang w:val="sq-AL"/>
        </w:rPr>
        <w:t xml:space="preserve"> dhe janë të detyruar të paguajnë sipas tyre. </w:t>
      </w:r>
      <w:r w:rsidR="00593607" w:rsidRPr="00062169">
        <w:rPr>
          <w:rFonts w:ascii="Calibri" w:hAnsi="Calibri" w:cs="Calibri"/>
          <w:lang w:val="sq-AL"/>
        </w:rPr>
        <w:t xml:space="preserve">Rrjedhat </w:t>
      </w:r>
      <w:r w:rsidRPr="00062169">
        <w:rPr>
          <w:rFonts w:ascii="Calibri" w:hAnsi="Calibri" w:cs="Calibri"/>
          <w:lang w:val="sq-AL"/>
        </w:rPr>
        <w:t xml:space="preserve">financiare </w:t>
      </w:r>
      <w:r w:rsidR="00593607" w:rsidRPr="00062169">
        <w:rPr>
          <w:rFonts w:ascii="Calibri" w:hAnsi="Calibri" w:cs="Calibri"/>
          <w:lang w:val="sq-AL"/>
        </w:rPr>
        <w:t xml:space="preserve">mund </w:t>
      </w:r>
      <w:r w:rsidRPr="00062169">
        <w:rPr>
          <w:rFonts w:ascii="Calibri" w:hAnsi="Calibri" w:cs="Calibri"/>
          <w:lang w:val="sq-AL"/>
        </w:rPr>
        <w:t xml:space="preserve">të rishikohen në rast se gjendet </w:t>
      </w:r>
      <w:r w:rsidR="00593607" w:rsidRPr="00062169">
        <w:rPr>
          <w:rFonts w:ascii="Calibri" w:hAnsi="Calibri" w:cs="Calibri"/>
          <w:lang w:val="sq-AL"/>
        </w:rPr>
        <w:t>ndonjë</w:t>
      </w:r>
      <w:r w:rsidRPr="00062169">
        <w:rPr>
          <w:rFonts w:ascii="Calibri" w:hAnsi="Calibri" w:cs="Calibri"/>
          <w:lang w:val="sq-AL"/>
        </w:rPr>
        <w:t xml:space="preserve"> gabim në llogaritje ose në të dhënat</w:t>
      </w:r>
      <w:r w:rsidR="00593607" w:rsidRPr="00062169">
        <w:rPr>
          <w:rFonts w:ascii="Calibri" w:hAnsi="Calibri" w:cs="Calibri"/>
          <w:lang w:val="sq-AL"/>
        </w:rPr>
        <w:t xml:space="preserve"> hyrëse</w:t>
      </w:r>
      <w:r w:rsidRPr="00062169">
        <w:rPr>
          <w:rFonts w:ascii="Calibri" w:hAnsi="Calibri" w:cs="Calibri"/>
          <w:lang w:val="sq-AL"/>
        </w:rPr>
        <w:t xml:space="preserve"> në llogaritje</w:t>
      </w:r>
      <w:r w:rsidR="00DE5E31" w:rsidRPr="00062169">
        <w:rPr>
          <w:rFonts w:ascii="Calibri" w:hAnsi="Calibri" w:cs="Calibri"/>
          <w:lang w:val="sq-AL"/>
        </w:rPr>
        <w:t>.</w:t>
      </w:r>
    </w:p>
    <w:p w:rsidR="00C75EC0" w:rsidRDefault="00C75EC0" w:rsidP="00C75EC0">
      <w:pPr>
        <w:pStyle w:val="textregular"/>
        <w:spacing w:after="0" w:line="276" w:lineRule="auto"/>
        <w:jc w:val="both"/>
        <w:rPr>
          <w:rFonts w:ascii="Calibri" w:hAnsi="Calibri" w:cs="Calibri"/>
          <w:lang w:val="sq-AL"/>
        </w:rPr>
      </w:pPr>
    </w:p>
    <w:p w:rsidR="00C75EC0" w:rsidRDefault="00C75EC0" w:rsidP="00C75EC0">
      <w:pPr>
        <w:pStyle w:val="textregular"/>
        <w:spacing w:after="0" w:line="276" w:lineRule="auto"/>
        <w:jc w:val="both"/>
        <w:rPr>
          <w:rFonts w:ascii="Calibri" w:hAnsi="Calibri" w:cs="Calibri"/>
          <w:lang w:val="sq-AL"/>
        </w:rPr>
      </w:pPr>
    </w:p>
    <w:p w:rsidR="00C75EC0" w:rsidRPr="00062169" w:rsidRDefault="00C75EC0" w:rsidP="00C75EC0">
      <w:pPr>
        <w:pStyle w:val="textregular"/>
        <w:spacing w:after="0" w:line="276" w:lineRule="auto"/>
        <w:jc w:val="both"/>
        <w:rPr>
          <w:rFonts w:ascii="Calibri" w:hAnsi="Calibri" w:cs="Calibri"/>
          <w:lang w:val="sq-AL"/>
        </w:rPr>
      </w:pPr>
    </w:p>
    <w:p w:rsidR="00320E70" w:rsidRPr="00062169" w:rsidRDefault="00320E70" w:rsidP="00900B3B">
      <w:pPr>
        <w:spacing w:line="276" w:lineRule="auto"/>
        <w:rPr>
          <w:rFonts w:ascii="Calibri" w:hAnsi="Calibri" w:cs="Calibri"/>
          <w:b/>
          <w:color w:val="23236E" w:themeColor="text2"/>
          <w:lang w:val="sq-AL"/>
        </w:rPr>
      </w:pPr>
    </w:p>
    <w:p w:rsidR="00B308B2" w:rsidRPr="00C75EC0" w:rsidRDefault="00B308B2" w:rsidP="00900B3B">
      <w:pPr>
        <w:pStyle w:val="headline2"/>
        <w:spacing w:after="0" w:line="276" w:lineRule="auto"/>
        <w:ind w:left="360"/>
        <w:rPr>
          <w:rFonts w:ascii="Calibri" w:hAnsi="Calibri" w:cs="Calibri"/>
          <w:color w:val="000000" w:themeColor="text1"/>
          <w:sz w:val="22"/>
          <w:szCs w:val="22"/>
          <w:lang w:val="sq-AL"/>
        </w:rPr>
      </w:pPr>
      <w:bookmarkStart w:id="27" w:name="_Toc65219932"/>
      <w:r w:rsidRPr="00C75EC0">
        <w:rPr>
          <w:rFonts w:ascii="Calibri" w:hAnsi="Calibri" w:cs="Calibri"/>
          <w:color w:val="000000" w:themeColor="text1"/>
          <w:sz w:val="22"/>
          <w:szCs w:val="22"/>
          <w:lang w:val="sq-AL"/>
        </w:rPr>
        <w:t>Neni 4</w:t>
      </w:r>
      <w:r w:rsidRPr="00C75EC0">
        <w:rPr>
          <w:rFonts w:ascii="Calibri" w:hAnsi="Calibri" w:cs="Calibri"/>
          <w:color w:val="000000" w:themeColor="text1"/>
          <w:sz w:val="22"/>
          <w:szCs w:val="22"/>
          <w:lang w:val="sq-AL"/>
        </w:rPr>
        <w:br/>
      </w:r>
      <w:r w:rsidR="006D604B" w:rsidRPr="00C75EC0">
        <w:rPr>
          <w:rFonts w:ascii="Calibri" w:hAnsi="Calibri" w:cs="Calibri"/>
          <w:color w:val="000000" w:themeColor="text1"/>
          <w:sz w:val="22"/>
          <w:szCs w:val="22"/>
          <w:lang w:val="sq-AL"/>
        </w:rPr>
        <w:t xml:space="preserve">Implementimi </w:t>
      </w:r>
      <w:r w:rsidRPr="00C75EC0">
        <w:rPr>
          <w:rFonts w:ascii="Calibri" w:hAnsi="Calibri" w:cs="Calibri"/>
          <w:color w:val="000000" w:themeColor="text1"/>
          <w:sz w:val="22"/>
          <w:szCs w:val="22"/>
          <w:lang w:val="sq-AL"/>
        </w:rPr>
        <w:t xml:space="preserve">i </w:t>
      </w:r>
      <w:r w:rsidR="00593607" w:rsidRPr="00C75EC0">
        <w:rPr>
          <w:rFonts w:ascii="Calibri" w:hAnsi="Calibri" w:cs="Calibri"/>
          <w:color w:val="000000" w:themeColor="text1"/>
          <w:sz w:val="22"/>
          <w:szCs w:val="22"/>
          <w:lang w:val="sq-AL"/>
        </w:rPr>
        <w:t>barazimit përfundimtar të</w:t>
      </w:r>
      <w:r w:rsidRPr="00C75EC0">
        <w:rPr>
          <w:rFonts w:ascii="Calibri" w:hAnsi="Calibri" w:cs="Calibri"/>
          <w:color w:val="000000" w:themeColor="text1"/>
          <w:sz w:val="22"/>
          <w:szCs w:val="22"/>
          <w:lang w:val="sq-AL"/>
        </w:rPr>
        <w:t xml:space="preserve"> përbashkët</w:t>
      </w:r>
      <w:bookmarkEnd w:id="27"/>
    </w:p>
    <w:p w:rsidR="00D21F08" w:rsidRPr="00062169" w:rsidRDefault="00D21F08" w:rsidP="00900B3B">
      <w:pPr>
        <w:pStyle w:val="headline2"/>
        <w:spacing w:after="0" w:line="276" w:lineRule="auto"/>
        <w:ind w:left="360"/>
        <w:rPr>
          <w:rFonts w:ascii="Calibri" w:hAnsi="Calibri" w:cs="Calibri"/>
          <w:sz w:val="22"/>
          <w:szCs w:val="22"/>
          <w:lang w:val="sq-AL"/>
        </w:rPr>
      </w:pPr>
    </w:p>
    <w:p w:rsidR="0001595A" w:rsidRPr="00062169" w:rsidRDefault="00B308B2" w:rsidP="00900B3B">
      <w:pPr>
        <w:pStyle w:val="ListParagraph"/>
        <w:numPr>
          <w:ilvl w:val="0"/>
          <w:numId w:val="8"/>
        </w:numPr>
        <w:spacing w:after="0" w:line="276" w:lineRule="auto"/>
        <w:ind w:left="357" w:hanging="357"/>
        <w:contextualSpacing w:val="0"/>
        <w:rPr>
          <w:rFonts w:ascii="Calibri" w:hAnsi="Calibri" w:cs="Calibri"/>
          <w:lang w:val="sq-AL"/>
        </w:rPr>
      </w:pPr>
      <w:r w:rsidRPr="00062169">
        <w:rPr>
          <w:rFonts w:ascii="Calibri" w:hAnsi="Calibri" w:cs="Calibri"/>
          <w:lang w:val="sq-AL"/>
        </w:rPr>
        <w:t xml:space="preserve">Të gjitha </w:t>
      </w:r>
      <w:r w:rsidR="00AE3781" w:rsidRPr="00062169">
        <w:rPr>
          <w:rFonts w:ascii="Calibri" w:hAnsi="Calibri" w:cs="Calibri"/>
          <w:lang w:val="sq-AL"/>
        </w:rPr>
        <w:t>TSO</w:t>
      </w:r>
      <w:r w:rsidRPr="00062169">
        <w:rPr>
          <w:rFonts w:ascii="Calibri" w:hAnsi="Calibri" w:cs="Calibri"/>
          <w:lang w:val="sq-AL"/>
        </w:rPr>
        <w:t xml:space="preserve">-të e SA CE </w:t>
      </w:r>
      <w:r w:rsidR="000E7916" w:rsidRPr="00062169">
        <w:rPr>
          <w:rFonts w:ascii="Calibri" w:hAnsi="Calibri" w:cs="Calibri"/>
          <w:lang w:val="sq-AL"/>
        </w:rPr>
        <w:t xml:space="preserve">implementojnë </w:t>
      </w:r>
      <w:r w:rsidRPr="00062169">
        <w:rPr>
          <w:rFonts w:ascii="Calibri" w:hAnsi="Calibri" w:cs="Calibri"/>
          <w:lang w:val="sq-AL"/>
        </w:rPr>
        <w:t xml:space="preserve">rregullat e përbashkëta të </w:t>
      </w:r>
      <w:r w:rsidR="00C01F5F" w:rsidRPr="00062169">
        <w:rPr>
          <w:rFonts w:ascii="Calibri" w:hAnsi="Calibri" w:cs="Calibri"/>
          <w:lang w:val="sq-AL"/>
        </w:rPr>
        <w:t xml:space="preserve">barazimit përfundimtar </w:t>
      </w:r>
      <w:r w:rsidRPr="00062169">
        <w:rPr>
          <w:rFonts w:ascii="Calibri" w:hAnsi="Calibri" w:cs="Calibri"/>
          <w:lang w:val="sq-AL"/>
        </w:rPr>
        <w:t xml:space="preserve">brenda 12 muajve pas miratimit të </w:t>
      </w:r>
      <w:r w:rsidR="009B3D95" w:rsidRPr="00062169">
        <w:rPr>
          <w:rFonts w:ascii="Calibri" w:hAnsi="Calibri" w:cs="Calibri"/>
          <w:lang w:val="sq-AL"/>
        </w:rPr>
        <w:t xml:space="preserve">këtij </w:t>
      </w:r>
      <w:r w:rsidRPr="00062169">
        <w:rPr>
          <w:rFonts w:ascii="Calibri" w:hAnsi="Calibri" w:cs="Calibri"/>
          <w:lang w:val="sq-AL"/>
        </w:rPr>
        <w:t>CCFR, në përputhje me Nenin 5 (5) të EBGL</w:t>
      </w:r>
      <w:r w:rsidR="0001595A" w:rsidRPr="00062169">
        <w:rPr>
          <w:rFonts w:ascii="Calibri" w:hAnsi="Calibri" w:cs="Calibri"/>
          <w:lang w:val="sq-AL"/>
        </w:rPr>
        <w:t>.</w:t>
      </w:r>
    </w:p>
    <w:p w:rsidR="00256BAE" w:rsidRPr="00062169" w:rsidRDefault="00B308B2" w:rsidP="00900B3B">
      <w:pPr>
        <w:pStyle w:val="ListParagraph"/>
        <w:numPr>
          <w:ilvl w:val="0"/>
          <w:numId w:val="8"/>
        </w:numPr>
        <w:spacing w:after="0" w:line="276" w:lineRule="auto"/>
        <w:contextualSpacing w:val="0"/>
        <w:rPr>
          <w:rFonts w:ascii="Calibri" w:hAnsi="Calibri" w:cs="Calibri"/>
          <w:lang w:val="sq-AL"/>
        </w:rPr>
      </w:pPr>
      <w:r w:rsidRPr="00062169">
        <w:rPr>
          <w:rFonts w:ascii="Calibri" w:hAnsi="Calibri" w:cs="Calibri"/>
          <w:lang w:val="sq-AL"/>
        </w:rPr>
        <w:t xml:space="preserve">Hapat e mëposhtëm dhe afatet kohore do të përdoren si udhërrëfyes për zbatimin e rregullave të përbashkëta të </w:t>
      </w:r>
      <w:r w:rsidR="00C01F5F" w:rsidRPr="00062169">
        <w:rPr>
          <w:rFonts w:ascii="Calibri" w:hAnsi="Calibri" w:cs="Calibri"/>
          <w:lang w:val="sq-AL"/>
        </w:rPr>
        <w:t>barazimit përfundimtar</w:t>
      </w:r>
      <w:r w:rsidR="00256BAE" w:rsidRPr="00062169">
        <w:rPr>
          <w:rFonts w:ascii="Calibri" w:hAnsi="Calibri" w:cs="Calibri"/>
          <w:lang w:val="sq-AL"/>
        </w:rPr>
        <w:t>:</w:t>
      </w:r>
    </w:p>
    <w:p w:rsidR="000A6D80" w:rsidRPr="00062169" w:rsidRDefault="00081BE6" w:rsidP="00900B3B">
      <w:pPr>
        <w:pStyle w:val="ListParagraph"/>
        <w:numPr>
          <w:ilvl w:val="1"/>
          <w:numId w:val="8"/>
        </w:numPr>
        <w:spacing w:after="0" w:line="276" w:lineRule="auto"/>
        <w:rPr>
          <w:rFonts w:ascii="Calibri" w:hAnsi="Calibri" w:cs="Calibri"/>
          <w:lang w:val="sq-AL"/>
        </w:rPr>
      </w:pPr>
      <w:r w:rsidRPr="00062169">
        <w:rPr>
          <w:rFonts w:ascii="Calibri" w:hAnsi="Calibri" w:cs="Calibri"/>
          <w:lang w:val="sq-AL"/>
        </w:rPr>
        <w:t>Përshtatja e</w:t>
      </w:r>
      <w:r w:rsidR="00B308B2" w:rsidRPr="00062169">
        <w:rPr>
          <w:rFonts w:ascii="Calibri" w:hAnsi="Calibri" w:cs="Calibri"/>
          <w:lang w:val="sq-AL"/>
        </w:rPr>
        <w:t xml:space="preserve"> të gjithë </w:t>
      </w:r>
      <w:r w:rsidR="00FA7905" w:rsidRPr="00062169">
        <w:rPr>
          <w:rFonts w:ascii="Calibri" w:hAnsi="Calibri" w:cs="Calibri"/>
          <w:lang w:val="sq-AL"/>
        </w:rPr>
        <w:t>njehsorëve</w:t>
      </w:r>
      <w:r w:rsidR="00B308B2" w:rsidRPr="00062169">
        <w:rPr>
          <w:rFonts w:ascii="Calibri" w:hAnsi="Calibri" w:cs="Calibri"/>
          <w:lang w:val="sq-AL"/>
        </w:rPr>
        <w:t xml:space="preserve">: Të gjithë </w:t>
      </w:r>
      <w:r w:rsidR="00AE3781" w:rsidRPr="00062169">
        <w:rPr>
          <w:rFonts w:ascii="Calibri" w:hAnsi="Calibri" w:cs="Calibri"/>
          <w:lang w:val="sq-AL"/>
        </w:rPr>
        <w:t>TSO</w:t>
      </w:r>
      <w:r w:rsidR="00B308B2" w:rsidRPr="00062169">
        <w:rPr>
          <w:rFonts w:ascii="Calibri" w:hAnsi="Calibri" w:cs="Calibri"/>
          <w:lang w:val="sq-AL"/>
        </w:rPr>
        <w:t xml:space="preserve">-të e SA CE </w:t>
      </w:r>
      <w:r w:rsidR="000E7916" w:rsidRPr="00062169">
        <w:rPr>
          <w:rFonts w:ascii="Calibri" w:hAnsi="Calibri" w:cs="Calibri"/>
          <w:lang w:val="sq-AL"/>
        </w:rPr>
        <w:t xml:space="preserve">të </w:t>
      </w:r>
      <w:r w:rsidR="00B308B2" w:rsidRPr="00062169">
        <w:rPr>
          <w:rFonts w:ascii="Calibri" w:hAnsi="Calibri" w:cs="Calibri"/>
          <w:lang w:val="sq-AL"/>
        </w:rPr>
        <w:t>k</w:t>
      </w:r>
      <w:r w:rsidR="000E7916" w:rsidRPr="00062169">
        <w:rPr>
          <w:rFonts w:ascii="Calibri" w:hAnsi="Calibri" w:cs="Calibri"/>
          <w:lang w:val="sq-AL"/>
        </w:rPr>
        <w:t>e</w:t>
      </w:r>
      <w:r w:rsidR="00B308B2" w:rsidRPr="00062169">
        <w:rPr>
          <w:rFonts w:ascii="Calibri" w:hAnsi="Calibri" w:cs="Calibri"/>
          <w:lang w:val="sq-AL"/>
        </w:rPr>
        <w:t xml:space="preserve">në ndryshuar pajisjet matëse të tyre dhe janë në gjendje të </w:t>
      </w:r>
      <w:r w:rsidR="000E7916" w:rsidRPr="00062169">
        <w:rPr>
          <w:rFonts w:ascii="Calibri" w:hAnsi="Calibri" w:cs="Calibri"/>
          <w:lang w:val="sq-AL"/>
        </w:rPr>
        <w:t xml:space="preserve">masin </w:t>
      </w:r>
      <w:r w:rsidR="00B308B2" w:rsidRPr="00062169">
        <w:rPr>
          <w:rFonts w:ascii="Calibri" w:hAnsi="Calibri" w:cs="Calibri"/>
          <w:lang w:val="sq-AL"/>
        </w:rPr>
        <w:t xml:space="preserve">shkëmbimet e energjisë në </w:t>
      </w:r>
      <w:r w:rsidR="009114D7" w:rsidRPr="00062169">
        <w:rPr>
          <w:rFonts w:ascii="Calibri" w:hAnsi="Calibri" w:cs="Calibri"/>
          <w:lang w:val="sq-AL"/>
        </w:rPr>
        <w:t>periodën e barazimit përfundimtar</w:t>
      </w:r>
      <w:r w:rsidR="00B308B2" w:rsidRPr="00062169">
        <w:rPr>
          <w:rFonts w:ascii="Calibri" w:hAnsi="Calibri" w:cs="Calibri"/>
          <w:lang w:val="sq-AL"/>
        </w:rPr>
        <w:t xml:space="preserve"> </w:t>
      </w:r>
      <w:r w:rsidR="00AE3781" w:rsidRPr="00062169">
        <w:rPr>
          <w:rFonts w:ascii="Calibri" w:hAnsi="Calibri" w:cs="Calibri"/>
          <w:lang w:val="sq-AL"/>
        </w:rPr>
        <w:t xml:space="preserve">TSO </w:t>
      </w:r>
      <w:r w:rsidR="00B308B2" w:rsidRPr="00062169">
        <w:rPr>
          <w:rFonts w:ascii="Calibri" w:hAnsi="Calibri" w:cs="Calibri"/>
          <w:lang w:val="sq-AL"/>
        </w:rPr>
        <w:t>-</w:t>
      </w:r>
      <w:r w:rsidR="00AE3781" w:rsidRPr="00062169">
        <w:rPr>
          <w:rFonts w:ascii="Calibri" w:hAnsi="Calibri" w:cs="Calibri"/>
          <w:lang w:val="sq-AL"/>
        </w:rPr>
        <w:t>TSO</w:t>
      </w:r>
      <w:r w:rsidR="00E8647B" w:rsidRPr="00062169">
        <w:rPr>
          <w:rFonts w:ascii="Calibri" w:hAnsi="Calibri" w:cs="Calibri"/>
          <w:lang w:val="sq-AL"/>
        </w:rPr>
        <w:t>.</w:t>
      </w:r>
    </w:p>
    <w:p w:rsidR="00BE5F16" w:rsidRPr="00062169" w:rsidRDefault="00B308B2" w:rsidP="00900B3B">
      <w:pPr>
        <w:pStyle w:val="ListParagraph"/>
        <w:numPr>
          <w:ilvl w:val="1"/>
          <w:numId w:val="8"/>
        </w:numPr>
        <w:spacing w:after="0" w:line="276" w:lineRule="auto"/>
        <w:rPr>
          <w:rFonts w:ascii="Calibri" w:hAnsi="Calibri" w:cs="Calibri"/>
          <w:lang w:val="sq-AL"/>
        </w:rPr>
      </w:pPr>
      <w:r w:rsidRPr="00062169">
        <w:rPr>
          <w:rFonts w:ascii="Calibri" w:hAnsi="Calibri" w:cs="Calibri"/>
          <w:lang w:val="sq-AL"/>
        </w:rPr>
        <w:t xml:space="preserve">Emërimi i </w:t>
      </w:r>
      <w:r w:rsidR="00641280" w:rsidRPr="00062169">
        <w:rPr>
          <w:rFonts w:ascii="Calibri" w:hAnsi="Calibri" w:cs="Calibri"/>
          <w:lang w:val="sq-AL"/>
        </w:rPr>
        <w:t>entiteteve</w:t>
      </w:r>
      <w:r w:rsidRPr="00062169">
        <w:rPr>
          <w:rFonts w:ascii="Calibri" w:hAnsi="Calibri" w:cs="Calibri"/>
          <w:lang w:val="sq-AL"/>
        </w:rPr>
        <w:t>: Funksioni i</w:t>
      </w:r>
      <w:r w:rsidR="00E1506D" w:rsidRPr="00062169">
        <w:rPr>
          <w:rFonts w:ascii="Calibri" w:hAnsi="Calibri" w:cs="Calibri"/>
          <w:lang w:val="sq-AL"/>
        </w:rPr>
        <w:t xml:space="preserve"> </w:t>
      </w:r>
      <w:r w:rsidR="009E298F" w:rsidRPr="00062169">
        <w:rPr>
          <w:rFonts w:ascii="Calibri" w:hAnsi="Calibri" w:cs="Calibri"/>
          <w:lang w:val="sq-AL"/>
        </w:rPr>
        <w:t>llogaritjes</w:t>
      </w:r>
      <w:r w:rsidR="00DF211D" w:rsidRPr="00062169">
        <w:rPr>
          <w:rFonts w:ascii="Calibri" w:hAnsi="Calibri" w:cs="Calibri"/>
          <w:lang w:val="sq-AL"/>
        </w:rPr>
        <w:t xml:space="preserve"> </w:t>
      </w:r>
      <w:r w:rsidRPr="00062169">
        <w:rPr>
          <w:rFonts w:ascii="Calibri" w:hAnsi="Calibri" w:cs="Calibri"/>
          <w:lang w:val="sq-AL"/>
        </w:rPr>
        <w:t xml:space="preserve">të CCFR, funksioni i </w:t>
      </w:r>
      <w:r w:rsidR="00FA7905" w:rsidRPr="00062169">
        <w:rPr>
          <w:rFonts w:ascii="Calibri" w:hAnsi="Calibri" w:cs="Calibri"/>
          <w:lang w:val="sq-AL"/>
        </w:rPr>
        <w:t xml:space="preserve">barazimit përfundimtar </w:t>
      </w:r>
      <w:r w:rsidRPr="00062169">
        <w:rPr>
          <w:rFonts w:ascii="Calibri" w:hAnsi="Calibri" w:cs="Calibri"/>
          <w:lang w:val="sq-AL"/>
        </w:rPr>
        <w:t xml:space="preserve">së CCU dhe detyrat e faturimit janë emëruar në një ose disa </w:t>
      </w:r>
      <w:r w:rsidR="00641280" w:rsidRPr="00062169">
        <w:rPr>
          <w:rFonts w:ascii="Calibri" w:hAnsi="Calibri" w:cs="Calibri"/>
          <w:lang w:val="sq-AL"/>
        </w:rPr>
        <w:t>entitete</w:t>
      </w:r>
      <w:r w:rsidR="00C02485" w:rsidRPr="00062169">
        <w:rPr>
          <w:rFonts w:ascii="Calibri" w:hAnsi="Calibri" w:cs="Calibri"/>
          <w:lang w:val="sq-AL"/>
        </w:rPr>
        <w:t xml:space="preserve"> </w:t>
      </w:r>
      <w:r w:rsidRPr="00062169">
        <w:rPr>
          <w:rFonts w:ascii="Calibri" w:hAnsi="Calibri" w:cs="Calibri"/>
          <w:lang w:val="sq-AL"/>
        </w:rPr>
        <w:t>sipas nenit 3 të CCU</w:t>
      </w:r>
      <w:r w:rsidR="00BE5F16" w:rsidRPr="00062169">
        <w:rPr>
          <w:rFonts w:ascii="Calibri" w:hAnsi="Calibri" w:cs="Calibri"/>
          <w:lang w:val="sq-AL"/>
        </w:rPr>
        <w:t>.</w:t>
      </w:r>
    </w:p>
    <w:p w:rsidR="00256BAE" w:rsidRPr="00062169" w:rsidRDefault="002C07E3" w:rsidP="00900B3B">
      <w:pPr>
        <w:pStyle w:val="ListParagraph"/>
        <w:numPr>
          <w:ilvl w:val="1"/>
          <w:numId w:val="8"/>
        </w:numPr>
        <w:spacing w:after="0" w:line="276" w:lineRule="auto"/>
        <w:contextualSpacing w:val="0"/>
        <w:rPr>
          <w:rFonts w:ascii="Calibri" w:hAnsi="Calibri" w:cs="Calibri"/>
          <w:lang w:val="sq-AL"/>
        </w:rPr>
      </w:pPr>
      <w:r w:rsidRPr="00062169">
        <w:rPr>
          <w:rFonts w:ascii="Calibri" w:hAnsi="Calibri" w:cs="Calibri"/>
          <w:lang w:val="sq-AL"/>
        </w:rPr>
        <w:t xml:space="preserve">Implementimi </w:t>
      </w:r>
      <w:r w:rsidR="00B308B2" w:rsidRPr="00062169">
        <w:rPr>
          <w:rFonts w:ascii="Calibri" w:hAnsi="Calibri" w:cs="Calibri"/>
          <w:lang w:val="sq-AL"/>
        </w:rPr>
        <w:t xml:space="preserve">i funksionit </w:t>
      </w:r>
      <w:r w:rsidR="00DF211D" w:rsidRPr="00062169">
        <w:rPr>
          <w:rFonts w:ascii="Calibri" w:hAnsi="Calibri" w:cs="Calibri"/>
          <w:lang w:val="sq-AL"/>
        </w:rPr>
        <w:t xml:space="preserve">të </w:t>
      </w:r>
      <w:r w:rsidR="009E298F" w:rsidRPr="00062169">
        <w:rPr>
          <w:rFonts w:ascii="Calibri" w:hAnsi="Calibri" w:cs="Calibri"/>
          <w:lang w:val="sq-AL"/>
        </w:rPr>
        <w:t>llogaritjes</w:t>
      </w:r>
      <w:r w:rsidR="00DF211D" w:rsidRPr="00062169">
        <w:rPr>
          <w:rFonts w:ascii="Calibri" w:hAnsi="Calibri" w:cs="Calibri"/>
          <w:lang w:val="sq-AL"/>
        </w:rPr>
        <w:t xml:space="preserve"> </w:t>
      </w:r>
      <w:r w:rsidR="00B308B2" w:rsidRPr="00062169">
        <w:rPr>
          <w:rFonts w:ascii="Calibri" w:hAnsi="Calibri" w:cs="Calibri"/>
          <w:lang w:val="sq-AL"/>
        </w:rPr>
        <w:t xml:space="preserve">të </w:t>
      </w:r>
      <w:r w:rsidR="00C06B6E" w:rsidRPr="00062169">
        <w:rPr>
          <w:rFonts w:ascii="Calibri" w:hAnsi="Calibri" w:cs="Calibri"/>
          <w:lang w:val="sq-AL"/>
        </w:rPr>
        <w:t>CCFR</w:t>
      </w:r>
      <w:r w:rsidR="00256BAE" w:rsidRPr="00062169">
        <w:rPr>
          <w:rFonts w:ascii="Calibri" w:hAnsi="Calibri" w:cs="Calibri"/>
          <w:lang w:val="sq-AL"/>
        </w:rPr>
        <w:t xml:space="preserve">: </w:t>
      </w:r>
      <w:r w:rsidR="00641280" w:rsidRPr="00062169">
        <w:rPr>
          <w:rFonts w:ascii="Calibri" w:hAnsi="Calibri" w:cs="Calibri"/>
          <w:lang w:val="sq-AL"/>
        </w:rPr>
        <w:t>entiteti</w:t>
      </w:r>
      <w:r w:rsidR="000E43C5" w:rsidRPr="00062169">
        <w:rPr>
          <w:rFonts w:ascii="Calibri" w:hAnsi="Calibri" w:cs="Calibri"/>
          <w:lang w:val="sq-AL"/>
        </w:rPr>
        <w:t xml:space="preserve"> </w:t>
      </w:r>
      <w:r w:rsidR="00B308B2" w:rsidRPr="00062169">
        <w:rPr>
          <w:rFonts w:ascii="Calibri" w:hAnsi="Calibri" w:cs="Calibri"/>
          <w:lang w:val="sq-AL"/>
        </w:rPr>
        <w:t xml:space="preserve">ose </w:t>
      </w:r>
      <w:r w:rsidR="00641280" w:rsidRPr="00062169">
        <w:rPr>
          <w:rFonts w:ascii="Calibri" w:hAnsi="Calibri" w:cs="Calibri"/>
          <w:lang w:val="sq-AL"/>
        </w:rPr>
        <w:t>entitetet</w:t>
      </w:r>
      <w:r w:rsidR="000E43C5" w:rsidRPr="00062169">
        <w:rPr>
          <w:rFonts w:ascii="Calibri" w:hAnsi="Calibri" w:cs="Calibri"/>
          <w:lang w:val="sq-AL"/>
        </w:rPr>
        <w:t xml:space="preserve"> </w:t>
      </w:r>
      <w:r w:rsidR="00B308B2" w:rsidRPr="00062169">
        <w:rPr>
          <w:rFonts w:ascii="Calibri" w:hAnsi="Calibri" w:cs="Calibri"/>
          <w:lang w:val="sq-AL"/>
        </w:rPr>
        <w:t xml:space="preserve">të cilave u është besuar funksioni i </w:t>
      </w:r>
      <w:r w:rsidR="009E298F" w:rsidRPr="00062169">
        <w:rPr>
          <w:rFonts w:ascii="Calibri" w:hAnsi="Calibri" w:cs="Calibri"/>
          <w:lang w:val="sq-AL"/>
        </w:rPr>
        <w:t>llogaritjes</w:t>
      </w:r>
      <w:r w:rsidR="00DF211D" w:rsidRPr="00062169">
        <w:rPr>
          <w:rFonts w:ascii="Calibri" w:hAnsi="Calibri" w:cs="Calibri"/>
          <w:lang w:val="sq-AL"/>
        </w:rPr>
        <w:t xml:space="preserve"> </w:t>
      </w:r>
      <w:r w:rsidR="00B308B2" w:rsidRPr="00062169">
        <w:rPr>
          <w:rFonts w:ascii="Calibri" w:hAnsi="Calibri" w:cs="Calibri"/>
          <w:lang w:val="sq-AL"/>
        </w:rPr>
        <w:t xml:space="preserve">të </w:t>
      </w:r>
      <w:r w:rsidR="005A0754" w:rsidRPr="00062169">
        <w:rPr>
          <w:rFonts w:ascii="Calibri" w:hAnsi="Calibri" w:cs="Calibri"/>
          <w:lang w:val="sq-AL"/>
        </w:rPr>
        <w:t>CCFR</w:t>
      </w:r>
      <w:r w:rsidR="00256BAE" w:rsidRPr="00062169">
        <w:rPr>
          <w:rFonts w:ascii="Calibri" w:hAnsi="Calibri" w:cs="Calibri"/>
          <w:lang w:val="sq-AL"/>
        </w:rPr>
        <w:t xml:space="preserve">. </w:t>
      </w:r>
      <w:r w:rsidR="00B308B2" w:rsidRPr="00062169">
        <w:rPr>
          <w:rFonts w:ascii="Calibri" w:hAnsi="Calibri" w:cs="Calibri"/>
          <w:lang w:val="sq-AL"/>
        </w:rPr>
        <w:t xml:space="preserve">Të gjithë </w:t>
      </w:r>
      <w:r w:rsidR="00AE3781" w:rsidRPr="00062169">
        <w:rPr>
          <w:rFonts w:ascii="Calibri" w:hAnsi="Calibri" w:cs="Calibri"/>
          <w:lang w:val="sq-AL"/>
        </w:rPr>
        <w:t>TSO</w:t>
      </w:r>
      <w:r w:rsidR="00B308B2" w:rsidRPr="00062169">
        <w:rPr>
          <w:rFonts w:ascii="Calibri" w:hAnsi="Calibri" w:cs="Calibri"/>
          <w:lang w:val="sq-AL"/>
        </w:rPr>
        <w:t>-të e SA CE do të zbatojnë ndërfaqet e tyre me funksionin e</w:t>
      </w:r>
      <w:r w:rsidR="00E1506D" w:rsidRPr="00062169">
        <w:rPr>
          <w:rFonts w:ascii="Calibri" w:hAnsi="Calibri" w:cs="Calibri"/>
          <w:lang w:val="sq-AL"/>
        </w:rPr>
        <w:t xml:space="preserve"> </w:t>
      </w:r>
      <w:r w:rsidR="009E298F" w:rsidRPr="00062169">
        <w:rPr>
          <w:rFonts w:ascii="Calibri" w:hAnsi="Calibri" w:cs="Calibri"/>
          <w:lang w:val="sq-AL"/>
        </w:rPr>
        <w:t>llogaritjes</w:t>
      </w:r>
      <w:r w:rsidR="00DF211D" w:rsidRPr="00062169">
        <w:rPr>
          <w:rFonts w:ascii="Calibri" w:hAnsi="Calibri" w:cs="Calibri"/>
          <w:lang w:val="sq-AL"/>
        </w:rPr>
        <w:t xml:space="preserve"> së energjisë në kufi</w:t>
      </w:r>
      <w:r w:rsidR="00B308B2" w:rsidRPr="00062169">
        <w:rPr>
          <w:rFonts w:ascii="Calibri" w:hAnsi="Calibri" w:cs="Calibri"/>
          <w:lang w:val="sq-AL"/>
        </w:rPr>
        <w:t xml:space="preserve"> të </w:t>
      </w:r>
      <w:r w:rsidR="00C06B6E" w:rsidRPr="00062169">
        <w:rPr>
          <w:rFonts w:ascii="Calibri" w:hAnsi="Calibri" w:cs="Calibri"/>
          <w:lang w:val="sq-AL"/>
        </w:rPr>
        <w:t xml:space="preserve">CCFR </w:t>
      </w:r>
      <w:r w:rsidR="00B308B2" w:rsidRPr="00062169">
        <w:rPr>
          <w:rFonts w:ascii="Calibri" w:hAnsi="Calibri" w:cs="Calibri"/>
          <w:lang w:val="sq-AL"/>
        </w:rPr>
        <w:t>nëse është e nevojshme</w:t>
      </w:r>
      <w:r w:rsidR="00256BAE" w:rsidRPr="00062169">
        <w:rPr>
          <w:rFonts w:ascii="Calibri" w:hAnsi="Calibri" w:cs="Calibri"/>
          <w:lang w:val="sq-AL"/>
        </w:rPr>
        <w:t>.</w:t>
      </w:r>
    </w:p>
    <w:p w:rsidR="00256BAE" w:rsidRPr="00062169" w:rsidRDefault="002C07E3" w:rsidP="00900B3B">
      <w:pPr>
        <w:pStyle w:val="ListParagraph"/>
        <w:numPr>
          <w:ilvl w:val="1"/>
          <w:numId w:val="8"/>
        </w:numPr>
        <w:spacing w:after="0" w:line="276" w:lineRule="auto"/>
        <w:contextualSpacing w:val="0"/>
        <w:rPr>
          <w:rFonts w:ascii="Calibri" w:hAnsi="Calibri" w:cs="Calibri"/>
          <w:lang w:val="sq-AL"/>
        </w:rPr>
      </w:pPr>
      <w:r w:rsidRPr="00062169">
        <w:rPr>
          <w:rFonts w:ascii="Calibri" w:hAnsi="Calibri" w:cs="Calibri"/>
          <w:lang w:val="sq-AL"/>
        </w:rPr>
        <w:t xml:space="preserve">Implementimi </w:t>
      </w:r>
      <w:r w:rsidR="00B308B2" w:rsidRPr="00062169">
        <w:rPr>
          <w:rFonts w:ascii="Calibri" w:hAnsi="Calibri" w:cs="Calibri"/>
          <w:lang w:val="sq-AL"/>
        </w:rPr>
        <w:t xml:space="preserve">i funksionit të </w:t>
      </w:r>
      <w:r w:rsidRPr="00062169">
        <w:rPr>
          <w:rFonts w:ascii="Calibri" w:hAnsi="Calibri" w:cs="Calibri"/>
          <w:lang w:val="sq-AL"/>
        </w:rPr>
        <w:t xml:space="preserve">barazimt përfundimtar </w:t>
      </w:r>
      <w:r w:rsidR="00B308B2" w:rsidRPr="00062169">
        <w:rPr>
          <w:rFonts w:ascii="Calibri" w:hAnsi="Calibri" w:cs="Calibri"/>
          <w:lang w:val="sq-AL"/>
        </w:rPr>
        <w:t xml:space="preserve">së </w:t>
      </w:r>
      <w:r w:rsidR="005A0754" w:rsidRPr="00062169">
        <w:rPr>
          <w:rFonts w:ascii="Calibri" w:hAnsi="Calibri" w:cs="Calibri"/>
          <w:lang w:val="sq-AL"/>
        </w:rPr>
        <w:t>CCFR</w:t>
      </w:r>
      <w:r w:rsidR="00256BAE" w:rsidRPr="00062169">
        <w:rPr>
          <w:rFonts w:ascii="Calibri" w:hAnsi="Calibri" w:cs="Calibri"/>
          <w:lang w:val="sq-AL"/>
        </w:rPr>
        <w:t xml:space="preserve">: </w:t>
      </w:r>
      <w:r w:rsidR="00641280" w:rsidRPr="00062169">
        <w:rPr>
          <w:rFonts w:ascii="Calibri" w:hAnsi="Calibri" w:cs="Calibri"/>
          <w:lang w:val="sq-AL"/>
        </w:rPr>
        <w:t>entiteti</w:t>
      </w:r>
      <w:r w:rsidR="000E43C5" w:rsidRPr="00062169">
        <w:rPr>
          <w:rFonts w:ascii="Calibri" w:hAnsi="Calibri" w:cs="Calibri"/>
          <w:lang w:val="sq-AL"/>
        </w:rPr>
        <w:t xml:space="preserve"> </w:t>
      </w:r>
      <w:r w:rsidR="00B308B2" w:rsidRPr="00062169">
        <w:rPr>
          <w:rFonts w:ascii="Calibri" w:hAnsi="Calibri" w:cs="Calibri"/>
          <w:lang w:val="sq-AL"/>
        </w:rPr>
        <w:t xml:space="preserve">ose </w:t>
      </w:r>
      <w:r w:rsidR="00641280" w:rsidRPr="00062169">
        <w:rPr>
          <w:rFonts w:ascii="Calibri" w:hAnsi="Calibri" w:cs="Calibri"/>
          <w:lang w:val="sq-AL"/>
        </w:rPr>
        <w:t>entitetet</w:t>
      </w:r>
      <w:r w:rsidR="000E43C5" w:rsidRPr="00062169">
        <w:rPr>
          <w:rFonts w:ascii="Calibri" w:hAnsi="Calibri" w:cs="Calibri"/>
          <w:lang w:val="sq-AL"/>
        </w:rPr>
        <w:t xml:space="preserve"> </w:t>
      </w:r>
      <w:r w:rsidR="00B308B2" w:rsidRPr="00062169">
        <w:rPr>
          <w:rFonts w:ascii="Calibri" w:hAnsi="Calibri" w:cs="Calibri"/>
          <w:lang w:val="sq-AL"/>
        </w:rPr>
        <w:t xml:space="preserve">të cilave u është besuar funksioni i </w:t>
      </w:r>
      <w:r w:rsidRPr="00062169">
        <w:rPr>
          <w:rFonts w:ascii="Calibri" w:hAnsi="Calibri" w:cs="Calibri"/>
          <w:lang w:val="sq-AL"/>
        </w:rPr>
        <w:t xml:space="preserve">barazimit përfundimtar </w:t>
      </w:r>
      <w:r w:rsidR="00B308B2" w:rsidRPr="00062169">
        <w:rPr>
          <w:rFonts w:ascii="Calibri" w:hAnsi="Calibri" w:cs="Calibri"/>
          <w:lang w:val="sq-AL"/>
        </w:rPr>
        <w:t xml:space="preserve">së </w:t>
      </w:r>
      <w:r w:rsidR="005A0754" w:rsidRPr="00062169">
        <w:rPr>
          <w:rFonts w:ascii="Calibri" w:hAnsi="Calibri" w:cs="Calibri"/>
          <w:lang w:val="sq-AL"/>
        </w:rPr>
        <w:t>CCFR</w:t>
      </w:r>
      <w:r w:rsidR="00E1506D" w:rsidRPr="00062169">
        <w:rPr>
          <w:rFonts w:ascii="Calibri" w:hAnsi="Calibri" w:cs="Calibri"/>
          <w:lang w:val="sq-AL"/>
        </w:rPr>
        <w:t xml:space="preserve"> </w:t>
      </w:r>
      <w:r w:rsidR="00B308B2" w:rsidRPr="00062169">
        <w:rPr>
          <w:rFonts w:ascii="Calibri" w:hAnsi="Calibri" w:cs="Calibri"/>
          <w:lang w:val="sq-AL"/>
        </w:rPr>
        <w:t>duhet t</w:t>
      </w:r>
      <w:r w:rsidR="001A6733" w:rsidRPr="00062169">
        <w:rPr>
          <w:rFonts w:ascii="Calibri" w:hAnsi="Calibri" w:cs="Calibri"/>
          <w:lang w:val="sq-AL"/>
        </w:rPr>
        <w:t>ë</w:t>
      </w:r>
      <w:r w:rsidR="00B308B2" w:rsidRPr="00062169">
        <w:rPr>
          <w:rFonts w:ascii="Calibri" w:hAnsi="Calibri" w:cs="Calibri"/>
          <w:lang w:val="sq-AL"/>
        </w:rPr>
        <w:t xml:space="preserve"> zbatojn</w:t>
      </w:r>
      <w:r w:rsidR="001A6733" w:rsidRPr="00062169">
        <w:rPr>
          <w:rFonts w:ascii="Calibri" w:hAnsi="Calibri" w:cs="Calibri"/>
          <w:lang w:val="sq-AL"/>
        </w:rPr>
        <w:t>ë</w:t>
      </w:r>
      <w:r w:rsidR="00B308B2" w:rsidRPr="00062169">
        <w:rPr>
          <w:rFonts w:ascii="Calibri" w:hAnsi="Calibri" w:cs="Calibri"/>
          <w:lang w:val="sq-AL"/>
        </w:rPr>
        <w:t xml:space="preserve"> funksionin e </w:t>
      </w:r>
      <w:r w:rsidRPr="00062169">
        <w:rPr>
          <w:rFonts w:ascii="Calibri" w:hAnsi="Calibri" w:cs="Calibri"/>
          <w:lang w:val="sq-AL"/>
        </w:rPr>
        <w:t xml:space="preserve">llogaritjes së </w:t>
      </w:r>
      <w:r w:rsidR="005A0754" w:rsidRPr="00062169">
        <w:rPr>
          <w:rFonts w:ascii="Calibri" w:hAnsi="Calibri" w:cs="Calibri"/>
          <w:lang w:val="sq-AL"/>
        </w:rPr>
        <w:t>CCFR</w:t>
      </w:r>
      <w:r w:rsidR="00256BAE" w:rsidRPr="00062169">
        <w:rPr>
          <w:rFonts w:ascii="Calibri" w:hAnsi="Calibri" w:cs="Calibri"/>
          <w:lang w:val="sq-AL"/>
        </w:rPr>
        <w:t xml:space="preserve">. </w:t>
      </w:r>
      <w:r w:rsidR="00460784" w:rsidRPr="00062169">
        <w:rPr>
          <w:rFonts w:ascii="Calibri" w:hAnsi="Calibri" w:cs="Calibri"/>
          <w:lang w:val="sq-AL"/>
        </w:rPr>
        <w:t xml:space="preserve">Të gjithë </w:t>
      </w:r>
      <w:r w:rsidR="00AE3781" w:rsidRPr="00062169">
        <w:rPr>
          <w:rFonts w:ascii="Calibri" w:hAnsi="Calibri" w:cs="Calibri"/>
          <w:lang w:val="sq-AL"/>
        </w:rPr>
        <w:t>TSO</w:t>
      </w:r>
      <w:r w:rsidR="00460784" w:rsidRPr="00062169">
        <w:rPr>
          <w:rFonts w:ascii="Calibri" w:hAnsi="Calibri" w:cs="Calibri"/>
          <w:lang w:val="sq-AL"/>
        </w:rPr>
        <w:t>-të e SA CE do të zbatojnë ndërfaqet</w:t>
      </w:r>
      <w:r w:rsidRPr="00062169">
        <w:rPr>
          <w:rFonts w:ascii="Calibri" w:hAnsi="Calibri" w:cs="Calibri"/>
          <w:lang w:val="sq-AL"/>
        </w:rPr>
        <w:t xml:space="preserve"> (interface)</w:t>
      </w:r>
      <w:r w:rsidR="00460784" w:rsidRPr="00062169">
        <w:rPr>
          <w:rFonts w:ascii="Calibri" w:hAnsi="Calibri" w:cs="Calibri"/>
          <w:lang w:val="sq-AL"/>
        </w:rPr>
        <w:t xml:space="preserve"> e tyre me funksionin e </w:t>
      </w:r>
      <w:r w:rsidRPr="00062169">
        <w:rPr>
          <w:rFonts w:ascii="Calibri" w:hAnsi="Calibri" w:cs="Calibri"/>
          <w:lang w:val="sq-AL"/>
        </w:rPr>
        <w:t xml:space="preserve">barazimit përfundimtar </w:t>
      </w:r>
      <w:r w:rsidR="00460784" w:rsidRPr="00062169">
        <w:rPr>
          <w:rFonts w:ascii="Calibri" w:hAnsi="Calibri" w:cs="Calibri"/>
          <w:lang w:val="sq-AL"/>
        </w:rPr>
        <w:t>të CCFR nëse është e nevojshme</w:t>
      </w:r>
      <w:r w:rsidR="00256BAE" w:rsidRPr="00062169">
        <w:rPr>
          <w:rFonts w:ascii="Calibri" w:hAnsi="Calibri" w:cs="Calibri"/>
          <w:lang w:val="sq-AL"/>
        </w:rPr>
        <w:t>.</w:t>
      </w:r>
    </w:p>
    <w:p w:rsidR="005C524B" w:rsidRPr="00062169" w:rsidRDefault="002C07E3" w:rsidP="00900B3B">
      <w:pPr>
        <w:pStyle w:val="ListParagraph"/>
        <w:numPr>
          <w:ilvl w:val="1"/>
          <w:numId w:val="8"/>
        </w:numPr>
        <w:spacing w:after="0" w:line="276" w:lineRule="auto"/>
        <w:contextualSpacing w:val="0"/>
        <w:rPr>
          <w:rFonts w:ascii="Calibri" w:hAnsi="Calibri" w:cs="Calibri"/>
          <w:lang w:val="sq-AL"/>
        </w:rPr>
      </w:pPr>
      <w:r w:rsidRPr="00062169">
        <w:rPr>
          <w:rFonts w:ascii="Calibri" w:hAnsi="Calibri" w:cs="Calibri"/>
          <w:lang w:val="sq-AL"/>
        </w:rPr>
        <w:lastRenderedPageBreak/>
        <w:t xml:space="preserve">Implementimi </w:t>
      </w:r>
      <w:r w:rsidR="00460784" w:rsidRPr="00062169">
        <w:rPr>
          <w:rFonts w:ascii="Calibri" w:hAnsi="Calibri" w:cs="Calibri"/>
          <w:lang w:val="sq-AL"/>
        </w:rPr>
        <w:t xml:space="preserve">i detyrave të faturimit të </w:t>
      </w:r>
      <w:r w:rsidR="005C524B" w:rsidRPr="00062169">
        <w:rPr>
          <w:rFonts w:ascii="Calibri" w:hAnsi="Calibri" w:cs="Calibri"/>
          <w:lang w:val="sq-AL"/>
        </w:rPr>
        <w:t xml:space="preserve">CCFR: </w:t>
      </w:r>
      <w:r w:rsidR="00641280" w:rsidRPr="00062169">
        <w:rPr>
          <w:rFonts w:ascii="Calibri" w:hAnsi="Calibri" w:cs="Calibri"/>
          <w:lang w:val="sq-AL"/>
        </w:rPr>
        <w:t>entiteti</w:t>
      </w:r>
      <w:r w:rsidR="000E43C5" w:rsidRPr="00062169">
        <w:rPr>
          <w:rFonts w:ascii="Calibri" w:hAnsi="Calibri" w:cs="Calibri"/>
          <w:lang w:val="sq-AL"/>
        </w:rPr>
        <w:t xml:space="preserve"> </w:t>
      </w:r>
      <w:r w:rsidR="00460784" w:rsidRPr="00062169">
        <w:rPr>
          <w:rFonts w:ascii="Calibri" w:hAnsi="Calibri" w:cs="Calibri"/>
          <w:lang w:val="sq-AL"/>
        </w:rPr>
        <w:t xml:space="preserve">ose </w:t>
      </w:r>
      <w:r w:rsidR="00641280" w:rsidRPr="00062169">
        <w:rPr>
          <w:rFonts w:ascii="Calibri" w:hAnsi="Calibri" w:cs="Calibri"/>
          <w:lang w:val="sq-AL"/>
        </w:rPr>
        <w:t>entitetet</w:t>
      </w:r>
      <w:r w:rsidR="000E43C5" w:rsidRPr="00062169">
        <w:rPr>
          <w:rFonts w:ascii="Calibri" w:hAnsi="Calibri" w:cs="Calibri"/>
          <w:lang w:val="sq-AL"/>
        </w:rPr>
        <w:t xml:space="preserve"> </w:t>
      </w:r>
      <w:r w:rsidR="00460784" w:rsidRPr="00062169">
        <w:rPr>
          <w:rFonts w:ascii="Calibri" w:hAnsi="Calibri" w:cs="Calibri"/>
          <w:lang w:val="sq-AL"/>
        </w:rPr>
        <w:t xml:space="preserve">të cilave u është besuar detyra e faturimit të </w:t>
      </w:r>
      <w:r w:rsidR="005C524B" w:rsidRPr="00062169">
        <w:rPr>
          <w:rFonts w:ascii="Calibri" w:hAnsi="Calibri" w:cs="Calibri"/>
          <w:lang w:val="sq-AL"/>
        </w:rPr>
        <w:t xml:space="preserve">CCFR </w:t>
      </w:r>
      <w:r w:rsidR="00460784" w:rsidRPr="00062169">
        <w:rPr>
          <w:rFonts w:ascii="Calibri" w:hAnsi="Calibri" w:cs="Calibri"/>
          <w:lang w:val="sq-AL"/>
        </w:rPr>
        <w:t xml:space="preserve">duhet të zbatojnë detyrat e faturimit të </w:t>
      </w:r>
      <w:r w:rsidR="005C524B" w:rsidRPr="00062169">
        <w:rPr>
          <w:rFonts w:ascii="Calibri" w:hAnsi="Calibri" w:cs="Calibri"/>
          <w:lang w:val="sq-AL"/>
        </w:rPr>
        <w:t xml:space="preserve">CCFR. </w:t>
      </w:r>
      <w:r w:rsidR="00460784" w:rsidRPr="00062169">
        <w:rPr>
          <w:rFonts w:ascii="Calibri" w:hAnsi="Calibri" w:cs="Calibri"/>
          <w:lang w:val="sq-AL"/>
        </w:rPr>
        <w:t>Do t</w:t>
      </w:r>
      <w:r w:rsidR="001A6733" w:rsidRPr="00062169">
        <w:rPr>
          <w:rFonts w:ascii="Calibri" w:hAnsi="Calibri" w:cs="Calibri"/>
          <w:lang w:val="sq-AL"/>
        </w:rPr>
        <w:t>ë</w:t>
      </w:r>
      <w:r w:rsidR="00460784" w:rsidRPr="00062169">
        <w:rPr>
          <w:rFonts w:ascii="Calibri" w:hAnsi="Calibri" w:cs="Calibri"/>
          <w:lang w:val="sq-AL"/>
        </w:rPr>
        <w:t xml:space="preserve"> konfigurohen t</w:t>
      </w:r>
      <w:r w:rsidR="001A6733" w:rsidRPr="00062169">
        <w:rPr>
          <w:rFonts w:ascii="Calibri" w:hAnsi="Calibri" w:cs="Calibri"/>
          <w:lang w:val="sq-AL"/>
        </w:rPr>
        <w:t>ë</w:t>
      </w:r>
      <w:r w:rsidR="00460784" w:rsidRPr="00062169">
        <w:rPr>
          <w:rFonts w:ascii="Calibri" w:hAnsi="Calibri" w:cs="Calibri"/>
          <w:lang w:val="sq-AL"/>
        </w:rPr>
        <w:t xml:space="preserve"> gjitha nd</w:t>
      </w:r>
      <w:r w:rsidR="001A6733" w:rsidRPr="00062169">
        <w:rPr>
          <w:rFonts w:ascii="Calibri" w:hAnsi="Calibri" w:cs="Calibri"/>
          <w:lang w:val="sq-AL"/>
        </w:rPr>
        <w:t>ë</w:t>
      </w:r>
      <w:r w:rsidR="00460784" w:rsidRPr="00062169">
        <w:rPr>
          <w:rFonts w:ascii="Calibri" w:hAnsi="Calibri" w:cs="Calibri"/>
          <w:lang w:val="sq-AL"/>
        </w:rPr>
        <w:t>rfaqet e nevojshme</w:t>
      </w:r>
      <w:r w:rsidR="005C524B" w:rsidRPr="00062169">
        <w:rPr>
          <w:rFonts w:ascii="Calibri" w:hAnsi="Calibri" w:cs="Calibri"/>
          <w:lang w:val="sq-AL"/>
        </w:rPr>
        <w:t>.</w:t>
      </w:r>
    </w:p>
    <w:p w:rsidR="00256BAE" w:rsidRPr="00062169" w:rsidRDefault="00E7552B" w:rsidP="00900B3B">
      <w:pPr>
        <w:pStyle w:val="ListParagraph"/>
        <w:numPr>
          <w:ilvl w:val="1"/>
          <w:numId w:val="8"/>
        </w:numPr>
        <w:spacing w:after="0" w:line="276" w:lineRule="auto"/>
        <w:contextualSpacing w:val="0"/>
        <w:rPr>
          <w:rFonts w:ascii="Calibri" w:hAnsi="Calibri" w:cs="Calibri"/>
          <w:lang w:val="sq-AL"/>
        </w:rPr>
      </w:pPr>
      <w:r w:rsidRPr="00062169">
        <w:rPr>
          <w:rFonts w:ascii="Calibri" w:hAnsi="Calibri" w:cs="Calibri"/>
          <w:lang w:val="sq-AL"/>
        </w:rPr>
        <w:t>Testimi</w:t>
      </w:r>
      <w:r w:rsidR="00256BAE" w:rsidRPr="00062169">
        <w:rPr>
          <w:rFonts w:ascii="Calibri" w:hAnsi="Calibri" w:cs="Calibri"/>
          <w:lang w:val="sq-AL"/>
        </w:rPr>
        <w:t xml:space="preserve">: </w:t>
      </w:r>
      <w:r w:rsidR="00460784" w:rsidRPr="00062169">
        <w:rPr>
          <w:rFonts w:ascii="Calibri" w:hAnsi="Calibri" w:cs="Calibri"/>
          <w:lang w:val="sq-AL"/>
        </w:rPr>
        <w:t>T</w:t>
      </w:r>
      <w:r w:rsidR="001A6733" w:rsidRPr="00062169">
        <w:rPr>
          <w:rFonts w:ascii="Calibri" w:hAnsi="Calibri" w:cs="Calibri"/>
          <w:lang w:val="sq-AL"/>
        </w:rPr>
        <w:t>ë</w:t>
      </w:r>
      <w:r w:rsidR="00460784" w:rsidRPr="00062169">
        <w:rPr>
          <w:rFonts w:ascii="Calibri" w:hAnsi="Calibri" w:cs="Calibri"/>
          <w:lang w:val="sq-AL"/>
        </w:rPr>
        <w:t xml:space="preserve"> gjitha </w:t>
      </w:r>
      <w:r w:rsidR="00AE3781" w:rsidRPr="00062169">
        <w:rPr>
          <w:rFonts w:ascii="Calibri" w:hAnsi="Calibri" w:cs="Calibri"/>
          <w:lang w:val="sq-AL"/>
        </w:rPr>
        <w:t xml:space="preserve">TSO </w:t>
      </w:r>
      <w:r w:rsidR="00460784" w:rsidRPr="00062169">
        <w:rPr>
          <w:rFonts w:ascii="Calibri" w:hAnsi="Calibri" w:cs="Calibri"/>
          <w:lang w:val="sq-AL"/>
        </w:rPr>
        <w:t xml:space="preserve">e </w:t>
      </w:r>
      <w:r w:rsidR="00B37243" w:rsidRPr="00062169">
        <w:rPr>
          <w:rFonts w:ascii="Calibri" w:hAnsi="Calibri" w:cs="Calibri"/>
          <w:lang w:val="sq-AL"/>
        </w:rPr>
        <w:t xml:space="preserve">SA </w:t>
      </w:r>
      <w:r w:rsidR="00E8647B" w:rsidRPr="00062169">
        <w:rPr>
          <w:rFonts w:ascii="Calibri" w:hAnsi="Calibri" w:cs="Calibri"/>
          <w:lang w:val="sq-AL"/>
        </w:rPr>
        <w:t xml:space="preserve">CE </w:t>
      </w:r>
      <w:r w:rsidR="00460784" w:rsidRPr="00062169">
        <w:rPr>
          <w:rFonts w:ascii="Calibri" w:hAnsi="Calibri" w:cs="Calibri"/>
          <w:lang w:val="sq-AL"/>
        </w:rPr>
        <w:t>do t</w:t>
      </w:r>
      <w:r w:rsidR="001A6733" w:rsidRPr="00062169">
        <w:rPr>
          <w:rFonts w:ascii="Calibri" w:hAnsi="Calibri" w:cs="Calibri"/>
          <w:lang w:val="sq-AL"/>
        </w:rPr>
        <w:t>ë</w:t>
      </w:r>
      <w:r w:rsidR="00460784" w:rsidRPr="00062169">
        <w:rPr>
          <w:rFonts w:ascii="Calibri" w:hAnsi="Calibri" w:cs="Calibri"/>
          <w:lang w:val="sq-AL"/>
        </w:rPr>
        <w:t xml:space="preserve"> testojn</w:t>
      </w:r>
      <w:r w:rsidR="001A6733" w:rsidRPr="00062169">
        <w:rPr>
          <w:rFonts w:ascii="Calibri" w:hAnsi="Calibri" w:cs="Calibri"/>
          <w:lang w:val="sq-AL"/>
        </w:rPr>
        <w:t>ë</w:t>
      </w:r>
      <w:r w:rsidR="00460784" w:rsidRPr="00062169">
        <w:rPr>
          <w:rFonts w:ascii="Calibri" w:hAnsi="Calibri" w:cs="Calibri"/>
          <w:lang w:val="sq-AL"/>
        </w:rPr>
        <w:t xml:space="preserve"> nd</w:t>
      </w:r>
      <w:r w:rsidR="001A6733" w:rsidRPr="00062169">
        <w:rPr>
          <w:rFonts w:ascii="Calibri" w:hAnsi="Calibri" w:cs="Calibri"/>
          <w:lang w:val="sq-AL"/>
        </w:rPr>
        <w:t>ë</w:t>
      </w:r>
      <w:r w:rsidR="00460784" w:rsidRPr="00062169">
        <w:rPr>
          <w:rFonts w:ascii="Calibri" w:hAnsi="Calibri" w:cs="Calibri"/>
          <w:lang w:val="sq-AL"/>
        </w:rPr>
        <w:t>rfaqet n</w:t>
      </w:r>
      <w:r w:rsidR="001A6733" w:rsidRPr="00062169">
        <w:rPr>
          <w:rFonts w:ascii="Calibri" w:hAnsi="Calibri" w:cs="Calibri"/>
          <w:lang w:val="sq-AL"/>
        </w:rPr>
        <w:t>ë</w:t>
      </w:r>
      <w:r w:rsidR="00DF211D" w:rsidRPr="00062169">
        <w:rPr>
          <w:rFonts w:ascii="Calibri" w:hAnsi="Calibri" w:cs="Calibri"/>
          <w:lang w:val="sq-AL"/>
        </w:rPr>
        <w:t xml:space="preserve"> Llogaritjen </w:t>
      </w:r>
      <w:r w:rsidR="00460784" w:rsidRPr="00062169">
        <w:rPr>
          <w:rFonts w:ascii="Calibri" w:hAnsi="Calibri" w:cs="Calibri"/>
          <w:lang w:val="sq-AL"/>
        </w:rPr>
        <w:t xml:space="preserve">CCFR, funksionin e </w:t>
      </w:r>
      <w:r w:rsidR="002C07E3" w:rsidRPr="00062169">
        <w:rPr>
          <w:rFonts w:ascii="Calibri" w:hAnsi="Calibri" w:cs="Calibri"/>
          <w:lang w:val="sq-AL"/>
        </w:rPr>
        <w:t xml:space="preserve">barazimit përfundimtar </w:t>
      </w:r>
      <w:r w:rsidR="00C06B6E" w:rsidRPr="00062169">
        <w:rPr>
          <w:rFonts w:ascii="Calibri" w:hAnsi="Calibri" w:cs="Calibri"/>
          <w:lang w:val="sq-AL"/>
        </w:rPr>
        <w:t xml:space="preserve">CCFR </w:t>
      </w:r>
      <w:r w:rsidR="00460784" w:rsidRPr="00062169">
        <w:rPr>
          <w:rFonts w:ascii="Calibri" w:hAnsi="Calibri" w:cs="Calibri"/>
          <w:lang w:val="sq-AL"/>
        </w:rPr>
        <w:t>dhe n</w:t>
      </w:r>
      <w:r w:rsidR="001A6733" w:rsidRPr="00062169">
        <w:rPr>
          <w:rFonts w:ascii="Calibri" w:hAnsi="Calibri" w:cs="Calibri"/>
          <w:lang w:val="sq-AL"/>
        </w:rPr>
        <w:t>ë</w:t>
      </w:r>
      <w:r w:rsidR="00460784" w:rsidRPr="00062169">
        <w:rPr>
          <w:rFonts w:ascii="Calibri" w:hAnsi="Calibri" w:cs="Calibri"/>
          <w:lang w:val="sq-AL"/>
        </w:rPr>
        <w:t xml:space="preserve">se </w:t>
      </w:r>
      <w:r w:rsidR="001A6733" w:rsidRPr="00062169">
        <w:rPr>
          <w:rFonts w:ascii="Calibri" w:hAnsi="Calibri" w:cs="Calibri"/>
          <w:lang w:val="sq-AL"/>
        </w:rPr>
        <w:t>ë</w:t>
      </w:r>
      <w:r w:rsidR="00460784" w:rsidRPr="00062169">
        <w:rPr>
          <w:rFonts w:ascii="Calibri" w:hAnsi="Calibri" w:cs="Calibri"/>
          <w:lang w:val="sq-AL"/>
        </w:rPr>
        <w:t>sht</w:t>
      </w:r>
      <w:r w:rsidR="001A6733" w:rsidRPr="00062169">
        <w:rPr>
          <w:rFonts w:ascii="Calibri" w:hAnsi="Calibri" w:cs="Calibri"/>
          <w:lang w:val="sq-AL"/>
        </w:rPr>
        <w:t>ë</w:t>
      </w:r>
      <w:r w:rsidR="00460784" w:rsidRPr="00062169">
        <w:rPr>
          <w:rFonts w:ascii="Calibri" w:hAnsi="Calibri" w:cs="Calibri"/>
          <w:lang w:val="sq-AL"/>
        </w:rPr>
        <w:t xml:space="preserve"> e zbatueshme</w:t>
      </w:r>
      <w:r w:rsidR="002C07E3" w:rsidRPr="00062169">
        <w:rPr>
          <w:rFonts w:ascii="Calibri" w:hAnsi="Calibri" w:cs="Calibri"/>
          <w:lang w:val="sq-AL"/>
        </w:rPr>
        <w:t xml:space="preserve"> procesin e</w:t>
      </w:r>
      <w:r w:rsidR="00460784" w:rsidRPr="00062169">
        <w:rPr>
          <w:rFonts w:ascii="Calibri" w:hAnsi="Calibri" w:cs="Calibri"/>
          <w:lang w:val="sq-AL"/>
        </w:rPr>
        <w:t xml:space="preserve"> faturimit </w:t>
      </w:r>
      <w:r w:rsidR="00C059B1" w:rsidRPr="00062169">
        <w:rPr>
          <w:rFonts w:ascii="Calibri" w:hAnsi="Calibri" w:cs="Calibri"/>
          <w:lang w:val="sq-AL"/>
        </w:rPr>
        <w:t>CCU</w:t>
      </w:r>
      <w:r w:rsidR="00256BAE" w:rsidRPr="00062169">
        <w:rPr>
          <w:rFonts w:ascii="Calibri" w:hAnsi="Calibri" w:cs="Calibri"/>
          <w:lang w:val="sq-AL"/>
        </w:rPr>
        <w:t>.</w:t>
      </w:r>
    </w:p>
    <w:p w:rsidR="00256BAE" w:rsidRPr="00062169" w:rsidRDefault="00CF4B28" w:rsidP="00900B3B">
      <w:pPr>
        <w:pStyle w:val="ListParagraph"/>
        <w:numPr>
          <w:ilvl w:val="1"/>
          <w:numId w:val="8"/>
        </w:numPr>
        <w:spacing w:after="0" w:line="276" w:lineRule="auto"/>
        <w:contextualSpacing w:val="0"/>
        <w:rPr>
          <w:rFonts w:ascii="Calibri" w:hAnsi="Calibri" w:cs="Calibri"/>
          <w:lang w:val="sq-AL"/>
        </w:rPr>
      </w:pPr>
      <w:r w:rsidRPr="00062169">
        <w:rPr>
          <w:rFonts w:ascii="Calibri" w:hAnsi="Calibri" w:cs="Calibri"/>
          <w:lang w:val="sq-AL"/>
        </w:rPr>
        <w:t>Operimi</w:t>
      </w:r>
      <w:r w:rsidR="005031F5" w:rsidRPr="00062169">
        <w:rPr>
          <w:rFonts w:ascii="Calibri" w:hAnsi="Calibri" w:cs="Calibri"/>
          <w:lang w:val="sq-AL"/>
        </w:rPr>
        <w:t xml:space="preserve"> real</w:t>
      </w:r>
      <w:r w:rsidR="00256BAE" w:rsidRPr="00062169">
        <w:rPr>
          <w:rFonts w:ascii="Calibri" w:hAnsi="Calibri" w:cs="Calibri"/>
          <w:lang w:val="sq-AL"/>
        </w:rPr>
        <w:t xml:space="preserve">: </w:t>
      </w:r>
      <w:r w:rsidR="00460784" w:rsidRPr="00062169">
        <w:rPr>
          <w:rFonts w:ascii="Calibri" w:hAnsi="Calibri" w:cs="Calibri"/>
          <w:lang w:val="sq-AL"/>
        </w:rPr>
        <w:t xml:space="preserve">Nëse të gjitha testimet në përputhje me Nenin 4 (2) (f) të </w:t>
      </w:r>
      <w:r w:rsidR="009B3D95" w:rsidRPr="00062169">
        <w:rPr>
          <w:rFonts w:ascii="Calibri" w:hAnsi="Calibri" w:cs="Calibri"/>
          <w:lang w:val="sq-AL"/>
        </w:rPr>
        <w:t xml:space="preserve">këtij </w:t>
      </w:r>
      <w:r w:rsidR="00460784" w:rsidRPr="00062169">
        <w:rPr>
          <w:rFonts w:ascii="Calibri" w:hAnsi="Calibri" w:cs="Calibri"/>
          <w:lang w:val="sq-AL"/>
        </w:rPr>
        <w:t xml:space="preserve">CCFR do të jenë të suksesshme, </w:t>
      </w:r>
      <w:r w:rsidR="005031F5" w:rsidRPr="00062169">
        <w:rPr>
          <w:rFonts w:ascii="Calibri" w:hAnsi="Calibri" w:cs="Calibri"/>
          <w:lang w:val="sq-AL"/>
        </w:rPr>
        <w:t>barazimet përfundimtare të përbashkëata</w:t>
      </w:r>
      <w:r w:rsidR="00460784" w:rsidRPr="00062169">
        <w:rPr>
          <w:rFonts w:ascii="Calibri" w:hAnsi="Calibri" w:cs="Calibri"/>
          <w:lang w:val="sq-AL"/>
        </w:rPr>
        <w:t xml:space="preserve"> </w:t>
      </w:r>
      <w:r w:rsidR="005031F5" w:rsidRPr="00062169">
        <w:rPr>
          <w:rFonts w:ascii="Calibri" w:hAnsi="Calibri" w:cs="Calibri"/>
          <w:lang w:val="sq-AL"/>
        </w:rPr>
        <w:t>do të fillojnë të zbatohen</w:t>
      </w:r>
      <w:r w:rsidR="00256BAE" w:rsidRPr="00062169">
        <w:rPr>
          <w:rFonts w:ascii="Calibri" w:hAnsi="Calibri" w:cs="Calibri"/>
          <w:lang w:val="sq-AL"/>
        </w:rPr>
        <w:t>.</w:t>
      </w:r>
    </w:p>
    <w:p w:rsidR="00460784" w:rsidRPr="00062169" w:rsidRDefault="00460784" w:rsidP="00900B3B">
      <w:pPr>
        <w:pStyle w:val="ListParagraph"/>
        <w:numPr>
          <w:ilvl w:val="1"/>
          <w:numId w:val="8"/>
        </w:numPr>
        <w:spacing w:after="0" w:line="276" w:lineRule="auto"/>
        <w:contextualSpacing w:val="0"/>
        <w:rPr>
          <w:rFonts w:ascii="Calibri" w:hAnsi="Calibri" w:cs="Calibri"/>
          <w:lang w:val="sq-AL"/>
        </w:rPr>
      </w:pPr>
      <w:r w:rsidRPr="00062169">
        <w:rPr>
          <w:rFonts w:ascii="Calibri" w:hAnsi="Calibri" w:cs="Calibri"/>
          <w:lang w:val="sq-AL"/>
        </w:rPr>
        <w:t xml:space="preserve">Mekanizmi i rishikimit: Pas implementimit të këtyre rregullave të përbashkëta të </w:t>
      </w:r>
      <w:r w:rsidR="005031F5" w:rsidRPr="00062169">
        <w:rPr>
          <w:rFonts w:ascii="Calibri" w:hAnsi="Calibri" w:cs="Calibri"/>
          <w:lang w:val="sq-AL"/>
        </w:rPr>
        <w:t>barazimit përfundimtar</w:t>
      </w:r>
      <w:r w:rsidRPr="00062169">
        <w:rPr>
          <w:rFonts w:ascii="Calibri" w:hAnsi="Calibri" w:cs="Calibri"/>
          <w:lang w:val="sq-AL"/>
        </w:rPr>
        <w:t xml:space="preserve">, një mekanizëm shqyrtimi fillon nga fundi i vitit 2022, në të cilin </w:t>
      </w:r>
      <w:r w:rsidR="00AE3781" w:rsidRPr="00062169">
        <w:rPr>
          <w:rFonts w:ascii="Calibri" w:hAnsi="Calibri" w:cs="Calibri"/>
          <w:lang w:val="sq-AL"/>
        </w:rPr>
        <w:t xml:space="preserve">TSO </w:t>
      </w:r>
      <w:r w:rsidRPr="00062169">
        <w:rPr>
          <w:rFonts w:ascii="Calibri" w:hAnsi="Calibri" w:cs="Calibri"/>
          <w:lang w:val="sq-AL"/>
        </w:rPr>
        <w:t xml:space="preserve">e SA  CE do të shqyrtojnë CCFR. Një rishikim do të bëhet të paktën çdo tre vjet pas shqyrtimit të parë të duhur deri në fund të vitit 2022. Në mekanizmin e rishikimit, </w:t>
      </w:r>
      <w:r w:rsidR="00A30633" w:rsidRPr="00062169">
        <w:rPr>
          <w:rFonts w:ascii="Calibri" w:hAnsi="Calibri" w:cs="Calibri"/>
          <w:lang w:val="sq-AL"/>
        </w:rPr>
        <w:t xml:space="preserve">do të vlerësohet </w:t>
      </w:r>
      <w:r w:rsidRPr="00062169">
        <w:rPr>
          <w:rFonts w:ascii="Calibri" w:hAnsi="Calibri" w:cs="Calibri"/>
          <w:lang w:val="sq-AL"/>
        </w:rPr>
        <w:t xml:space="preserve">mundësia për evoluimin e çmimeve të balancimit në vend të çmimeve të tregut </w:t>
      </w:r>
      <w:r w:rsidR="005031F5" w:rsidRPr="00062169">
        <w:rPr>
          <w:rFonts w:ascii="Calibri" w:hAnsi="Calibri" w:cs="Calibri"/>
          <w:lang w:val="sq-AL"/>
        </w:rPr>
        <w:t>një ditë para</w:t>
      </w:r>
      <w:r w:rsidRPr="00062169">
        <w:rPr>
          <w:rFonts w:ascii="Calibri" w:hAnsi="Calibri" w:cs="Calibri"/>
          <w:lang w:val="sq-AL"/>
        </w:rPr>
        <w:t xml:space="preserve">. Përveç kësaj, mekanizmi i rishikimit mund të prekë, për shembull, parametrat e rregullave </w:t>
      </w:r>
      <w:r w:rsidR="005031F5" w:rsidRPr="00062169">
        <w:rPr>
          <w:rFonts w:ascii="Calibri" w:hAnsi="Calibri" w:cs="Calibri"/>
          <w:lang w:val="sq-AL"/>
        </w:rPr>
        <w:t xml:space="preserve">mbi </w:t>
      </w:r>
      <w:r w:rsidRPr="00062169">
        <w:rPr>
          <w:rFonts w:ascii="Calibri" w:hAnsi="Calibri" w:cs="Calibri"/>
          <w:lang w:val="sq-AL"/>
        </w:rPr>
        <w:t>çmime</w:t>
      </w:r>
      <w:r w:rsidR="005031F5" w:rsidRPr="00062169">
        <w:rPr>
          <w:rFonts w:ascii="Calibri" w:hAnsi="Calibri" w:cs="Calibri"/>
          <w:lang w:val="sq-AL"/>
        </w:rPr>
        <w:t>t</w:t>
      </w:r>
      <w:r w:rsidRPr="00062169">
        <w:rPr>
          <w:rFonts w:ascii="Calibri" w:hAnsi="Calibri" w:cs="Calibri"/>
          <w:lang w:val="sq-AL"/>
        </w:rPr>
        <w:t xml:space="preserve"> të përshkruara në nenin 8 të </w:t>
      </w:r>
      <w:r w:rsidR="009B3D95" w:rsidRPr="00062169">
        <w:rPr>
          <w:rFonts w:ascii="Calibri" w:hAnsi="Calibri" w:cs="Calibri"/>
          <w:lang w:val="sq-AL"/>
        </w:rPr>
        <w:t xml:space="preserve">këtij </w:t>
      </w:r>
      <w:r w:rsidRPr="00062169">
        <w:rPr>
          <w:rFonts w:ascii="Calibri" w:hAnsi="Calibri" w:cs="Calibri"/>
          <w:lang w:val="sq-AL"/>
        </w:rPr>
        <w:t>CCFR, por edhe detaje teknike si grumbullimi i të dhënave. Çdo ndryshim në CCFR duhet të dorëzohet nga autoritetet përkatëse rregullatore për miratim.</w:t>
      </w:r>
    </w:p>
    <w:p w:rsidR="000C007D" w:rsidRDefault="00460784" w:rsidP="00900B3B">
      <w:pPr>
        <w:pStyle w:val="ListParagraph"/>
        <w:numPr>
          <w:ilvl w:val="0"/>
          <w:numId w:val="8"/>
        </w:numPr>
        <w:spacing w:after="0" w:line="276" w:lineRule="auto"/>
        <w:contextualSpacing w:val="0"/>
        <w:rPr>
          <w:rFonts w:ascii="Calibri" w:hAnsi="Calibri" w:cs="Calibri"/>
          <w:lang w:val="sq-AL"/>
        </w:rPr>
      </w:pPr>
      <w:r w:rsidRPr="00062169">
        <w:rPr>
          <w:rFonts w:ascii="Calibri" w:hAnsi="Calibri" w:cs="Calibri"/>
          <w:lang w:val="sq-AL"/>
        </w:rPr>
        <w:t xml:space="preserve">Të gjitha funksionet e </w:t>
      </w:r>
      <w:r w:rsidR="005031F5" w:rsidRPr="00062169">
        <w:rPr>
          <w:rFonts w:ascii="Calibri" w:hAnsi="Calibri" w:cs="Calibri"/>
          <w:lang w:val="sq-AL"/>
        </w:rPr>
        <w:t xml:space="preserve">barazimit përfundimtar </w:t>
      </w:r>
      <w:r w:rsidRPr="00062169">
        <w:rPr>
          <w:rFonts w:ascii="Calibri" w:hAnsi="Calibri" w:cs="Calibri"/>
          <w:lang w:val="sq-AL"/>
        </w:rPr>
        <w:t xml:space="preserve">në pajtim me nenet 19-22 të EBGL do të marrin parasysh se vëllimet e shkëmbimeve të qëllimshme energjisë mund të duhet të dorëzohen në një zgjidhje tjetër kohore nëse ndryshohet </w:t>
      </w:r>
      <w:r w:rsidR="009114D7" w:rsidRPr="00062169">
        <w:rPr>
          <w:rFonts w:ascii="Calibri" w:hAnsi="Calibri" w:cs="Calibri"/>
          <w:lang w:val="sq-AL"/>
        </w:rPr>
        <w:t xml:space="preserve">perioda </w:t>
      </w:r>
      <w:r w:rsidRPr="00062169">
        <w:rPr>
          <w:rFonts w:ascii="Calibri" w:hAnsi="Calibri" w:cs="Calibri"/>
          <w:lang w:val="sq-AL"/>
        </w:rPr>
        <w:t xml:space="preserve">e </w:t>
      </w:r>
      <w:r w:rsidR="005031F5" w:rsidRPr="00062169">
        <w:rPr>
          <w:rFonts w:ascii="Calibri" w:hAnsi="Calibri" w:cs="Calibri"/>
          <w:lang w:val="sq-AL"/>
        </w:rPr>
        <w:t xml:space="preserve">barazimit përfundimtar </w:t>
      </w:r>
      <w:r w:rsidR="00AE3781" w:rsidRPr="00062169">
        <w:rPr>
          <w:rFonts w:ascii="Calibri" w:hAnsi="Calibri" w:cs="Calibri"/>
          <w:lang w:val="sq-AL"/>
        </w:rPr>
        <w:t xml:space="preserve">TSO </w:t>
      </w:r>
      <w:r w:rsidRPr="00062169">
        <w:rPr>
          <w:rFonts w:ascii="Calibri" w:hAnsi="Calibri" w:cs="Calibri"/>
          <w:lang w:val="sq-AL"/>
        </w:rPr>
        <w:t>-</w:t>
      </w:r>
      <w:r w:rsidR="00A30633" w:rsidRPr="00062169">
        <w:rPr>
          <w:rFonts w:ascii="Calibri" w:hAnsi="Calibri" w:cs="Calibri"/>
          <w:lang w:val="sq-AL"/>
        </w:rPr>
        <w:t>TSO</w:t>
      </w:r>
      <w:r w:rsidRPr="00062169">
        <w:rPr>
          <w:rFonts w:ascii="Calibri" w:hAnsi="Calibri" w:cs="Calibri"/>
          <w:lang w:val="sq-AL"/>
        </w:rPr>
        <w:t xml:space="preserve"> për energjin</w:t>
      </w:r>
      <w:r w:rsidR="001A6733" w:rsidRPr="00062169">
        <w:rPr>
          <w:rFonts w:ascii="Calibri" w:hAnsi="Calibri" w:cs="Calibri"/>
          <w:lang w:val="sq-AL"/>
        </w:rPr>
        <w:t>ë</w:t>
      </w:r>
      <w:r w:rsidRPr="00062169">
        <w:rPr>
          <w:rFonts w:ascii="Calibri" w:hAnsi="Calibri" w:cs="Calibri"/>
          <w:lang w:val="sq-AL"/>
        </w:rPr>
        <w:t xml:space="preserve"> e procesit t</w:t>
      </w:r>
      <w:r w:rsidR="001A6733" w:rsidRPr="00062169">
        <w:rPr>
          <w:rFonts w:ascii="Calibri" w:hAnsi="Calibri" w:cs="Calibri"/>
          <w:lang w:val="sq-AL"/>
        </w:rPr>
        <w:t>ë</w:t>
      </w:r>
      <w:r w:rsidRPr="00062169">
        <w:rPr>
          <w:rFonts w:ascii="Calibri" w:hAnsi="Calibri" w:cs="Calibri"/>
          <w:lang w:val="sq-AL"/>
        </w:rPr>
        <w:t xml:space="preserve"> </w:t>
      </w:r>
      <w:r w:rsidR="005031F5" w:rsidRPr="00062169">
        <w:rPr>
          <w:rFonts w:ascii="Calibri" w:hAnsi="Calibri" w:cs="Calibri"/>
          <w:lang w:val="sq-AL"/>
        </w:rPr>
        <w:t xml:space="preserve">rregullimit </w:t>
      </w:r>
      <w:r w:rsidR="00C85011" w:rsidRPr="00062169">
        <w:rPr>
          <w:rFonts w:ascii="Calibri" w:hAnsi="Calibri" w:cs="Calibri"/>
          <w:lang w:val="sq-AL"/>
        </w:rPr>
        <w:t>stabilizues</w:t>
      </w:r>
      <w:r w:rsidR="005031F5" w:rsidRPr="00062169">
        <w:rPr>
          <w:rFonts w:ascii="Calibri" w:hAnsi="Calibri" w:cs="Calibri"/>
          <w:lang w:val="sq-AL"/>
        </w:rPr>
        <w:t xml:space="preserve"> të frekuencës</w:t>
      </w:r>
      <w:r w:rsidRPr="00062169">
        <w:rPr>
          <w:rFonts w:ascii="Calibri" w:hAnsi="Calibri" w:cs="Calibri"/>
          <w:lang w:val="sq-AL"/>
        </w:rPr>
        <w:t xml:space="preserve"> dhe </w:t>
      </w:r>
      <w:r w:rsidR="00A30633" w:rsidRPr="00062169">
        <w:rPr>
          <w:rFonts w:ascii="Calibri" w:hAnsi="Calibri" w:cs="Calibri"/>
          <w:lang w:val="sq-AL"/>
        </w:rPr>
        <w:t>ndryshimit (rritje / ulje) të energjisë</w:t>
      </w:r>
      <w:r w:rsidR="000C007D" w:rsidRPr="00062169">
        <w:rPr>
          <w:rFonts w:ascii="Calibri" w:hAnsi="Calibri" w:cs="Calibri"/>
          <w:lang w:val="sq-AL"/>
        </w:rPr>
        <w:t>.</w:t>
      </w:r>
    </w:p>
    <w:p w:rsidR="00C75EC0" w:rsidRDefault="00C75EC0" w:rsidP="00C75EC0">
      <w:pPr>
        <w:spacing w:line="276" w:lineRule="auto"/>
        <w:rPr>
          <w:rFonts w:ascii="Calibri" w:hAnsi="Calibri" w:cs="Calibri"/>
          <w:lang w:val="sq-AL"/>
        </w:rPr>
      </w:pPr>
    </w:p>
    <w:p w:rsidR="00C75EC0" w:rsidRPr="00C75EC0" w:rsidRDefault="00C75EC0" w:rsidP="00C75EC0">
      <w:pPr>
        <w:spacing w:line="276" w:lineRule="auto"/>
        <w:rPr>
          <w:rFonts w:ascii="Calibri" w:hAnsi="Calibri" w:cs="Calibri"/>
          <w:lang w:val="sq-AL"/>
        </w:rPr>
      </w:pPr>
    </w:p>
    <w:p w:rsidR="00460784" w:rsidRPr="00062169" w:rsidRDefault="00460784" w:rsidP="00900B3B">
      <w:pPr>
        <w:pStyle w:val="headline2"/>
        <w:spacing w:after="0" w:line="276" w:lineRule="auto"/>
        <w:ind w:left="360"/>
        <w:rPr>
          <w:rFonts w:ascii="Calibri" w:hAnsi="Calibri" w:cs="Calibri"/>
          <w:sz w:val="22"/>
          <w:szCs w:val="22"/>
          <w:lang w:val="sq-AL"/>
        </w:rPr>
      </w:pPr>
      <w:bookmarkStart w:id="28" w:name="_Toc509993363"/>
      <w:bookmarkStart w:id="29" w:name="_Toc510006483"/>
      <w:bookmarkStart w:id="30" w:name="_Toc510507375"/>
      <w:bookmarkStart w:id="31" w:name="_Toc510522102"/>
      <w:bookmarkStart w:id="32" w:name="_Toc7419793"/>
    </w:p>
    <w:p w:rsidR="00460784" w:rsidRPr="00C75EC0" w:rsidRDefault="00460784" w:rsidP="00900B3B">
      <w:pPr>
        <w:pStyle w:val="headline2"/>
        <w:spacing w:after="0" w:line="276" w:lineRule="auto"/>
        <w:ind w:left="360"/>
        <w:rPr>
          <w:rFonts w:ascii="Calibri" w:hAnsi="Calibri" w:cs="Calibri"/>
          <w:color w:val="000000" w:themeColor="text1"/>
          <w:sz w:val="22"/>
          <w:szCs w:val="22"/>
          <w:lang w:val="sq-AL"/>
        </w:rPr>
      </w:pPr>
      <w:bookmarkStart w:id="33" w:name="_Toc65219933"/>
      <w:r w:rsidRPr="00C75EC0">
        <w:rPr>
          <w:rFonts w:ascii="Calibri" w:hAnsi="Calibri" w:cs="Calibri"/>
          <w:color w:val="000000" w:themeColor="text1"/>
          <w:sz w:val="22"/>
          <w:szCs w:val="22"/>
          <w:lang w:val="sq-AL"/>
        </w:rPr>
        <w:t>Neni 5</w:t>
      </w:r>
      <w:r w:rsidRPr="00C75EC0">
        <w:rPr>
          <w:rFonts w:ascii="Calibri" w:hAnsi="Calibri" w:cs="Calibri"/>
          <w:color w:val="000000" w:themeColor="text1"/>
          <w:sz w:val="22"/>
          <w:szCs w:val="22"/>
          <w:lang w:val="sq-AL"/>
        </w:rPr>
        <w:br/>
        <w:t xml:space="preserve">Funksionet e </w:t>
      </w:r>
      <w:r w:rsidR="005031F5" w:rsidRPr="00C75EC0">
        <w:rPr>
          <w:rFonts w:ascii="Calibri" w:hAnsi="Calibri" w:cs="Calibri"/>
          <w:color w:val="000000" w:themeColor="text1"/>
          <w:sz w:val="22"/>
          <w:szCs w:val="22"/>
          <w:lang w:val="sq-AL"/>
        </w:rPr>
        <w:t>barazimit përfundimtar të përbashkët</w:t>
      </w:r>
      <w:bookmarkEnd w:id="33"/>
      <w:r w:rsidRPr="00C75EC0">
        <w:rPr>
          <w:rFonts w:ascii="Calibri" w:hAnsi="Calibri" w:cs="Calibri"/>
          <w:color w:val="000000" w:themeColor="text1"/>
          <w:sz w:val="22"/>
          <w:szCs w:val="22"/>
          <w:lang w:val="sq-AL"/>
        </w:rPr>
        <w:t xml:space="preserve"> </w:t>
      </w:r>
      <w:bookmarkEnd w:id="28"/>
      <w:bookmarkEnd w:id="29"/>
      <w:bookmarkEnd w:id="30"/>
      <w:bookmarkEnd w:id="31"/>
      <w:bookmarkEnd w:id="32"/>
    </w:p>
    <w:p w:rsidR="00D21F08" w:rsidRPr="00062169" w:rsidRDefault="00D21F08" w:rsidP="00900B3B">
      <w:pPr>
        <w:pStyle w:val="headline2"/>
        <w:spacing w:after="0" w:line="276" w:lineRule="auto"/>
        <w:ind w:left="360"/>
        <w:rPr>
          <w:rFonts w:ascii="Calibri" w:hAnsi="Calibri" w:cs="Calibri"/>
          <w:sz w:val="22"/>
          <w:szCs w:val="22"/>
          <w:lang w:val="sq-AL"/>
        </w:rPr>
      </w:pPr>
    </w:p>
    <w:p w:rsidR="0001595A" w:rsidRPr="00062169" w:rsidRDefault="005031F5" w:rsidP="00900B3B">
      <w:pPr>
        <w:pStyle w:val="textregular"/>
        <w:numPr>
          <w:ilvl w:val="0"/>
          <w:numId w:val="38"/>
        </w:numPr>
        <w:spacing w:after="0" w:line="276" w:lineRule="auto"/>
        <w:jc w:val="both"/>
        <w:rPr>
          <w:rFonts w:ascii="Calibri" w:hAnsi="Calibri" w:cs="Calibri"/>
          <w:lang w:val="sq-AL"/>
        </w:rPr>
      </w:pPr>
      <w:r w:rsidRPr="00062169">
        <w:rPr>
          <w:rFonts w:ascii="Calibri" w:hAnsi="Calibri" w:cs="Calibri"/>
          <w:lang w:val="sq-AL"/>
        </w:rPr>
        <w:t>Barazimi përfundimtar i përbashkët</w:t>
      </w:r>
      <w:r w:rsidR="00460784" w:rsidRPr="00062169">
        <w:rPr>
          <w:rFonts w:ascii="Calibri" w:hAnsi="Calibri" w:cs="Calibri"/>
          <w:lang w:val="sq-AL"/>
        </w:rPr>
        <w:t xml:space="preserve"> në pajtim me këtë CCFR do të përbëhet nga funksioni</w:t>
      </w:r>
      <w:r w:rsidR="00DF211D" w:rsidRPr="00062169">
        <w:rPr>
          <w:rFonts w:ascii="Calibri" w:hAnsi="Calibri" w:cs="Calibri"/>
          <w:lang w:val="sq-AL"/>
        </w:rPr>
        <w:t xml:space="preserve"> i </w:t>
      </w:r>
      <w:r w:rsidR="009E298F" w:rsidRPr="00062169">
        <w:rPr>
          <w:rFonts w:ascii="Calibri" w:hAnsi="Calibri" w:cs="Calibri"/>
          <w:lang w:val="sq-AL"/>
        </w:rPr>
        <w:t>llogaritjes</w:t>
      </w:r>
      <w:r w:rsidR="00DF211D" w:rsidRPr="00062169">
        <w:rPr>
          <w:rFonts w:ascii="Calibri" w:hAnsi="Calibri" w:cs="Calibri"/>
          <w:lang w:val="sq-AL"/>
        </w:rPr>
        <w:t xml:space="preserve"> </w:t>
      </w:r>
      <w:r w:rsidRPr="00062169">
        <w:rPr>
          <w:rFonts w:ascii="Calibri" w:hAnsi="Calibri" w:cs="Calibri"/>
          <w:lang w:val="sq-AL"/>
        </w:rPr>
        <w:t>së</w:t>
      </w:r>
      <w:r w:rsidR="00460784" w:rsidRPr="00062169">
        <w:rPr>
          <w:rFonts w:ascii="Calibri" w:hAnsi="Calibri" w:cs="Calibri"/>
          <w:lang w:val="sq-AL"/>
        </w:rPr>
        <w:t xml:space="preserve"> CCFR dhe funksioni i </w:t>
      </w:r>
      <w:r w:rsidRPr="00062169">
        <w:rPr>
          <w:rFonts w:ascii="Calibri" w:hAnsi="Calibri" w:cs="Calibri"/>
          <w:lang w:val="sq-AL"/>
        </w:rPr>
        <w:t xml:space="preserve">barazimit përfundimtar </w:t>
      </w:r>
      <w:r w:rsidR="00460784" w:rsidRPr="00062169">
        <w:rPr>
          <w:rFonts w:ascii="Calibri" w:hAnsi="Calibri" w:cs="Calibri"/>
          <w:lang w:val="sq-AL"/>
        </w:rPr>
        <w:t>së CCFR</w:t>
      </w:r>
      <w:r w:rsidR="00D6770D" w:rsidRPr="00062169">
        <w:rPr>
          <w:rFonts w:ascii="Calibri" w:hAnsi="Calibri" w:cs="Calibri"/>
          <w:lang w:val="sq-AL"/>
        </w:rPr>
        <w:t>.</w:t>
      </w:r>
    </w:p>
    <w:p w:rsidR="00924604" w:rsidRPr="00062169" w:rsidRDefault="00460784" w:rsidP="00900B3B">
      <w:pPr>
        <w:pStyle w:val="textregular"/>
        <w:numPr>
          <w:ilvl w:val="0"/>
          <w:numId w:val="38"/>
        </w:numPr>
        <w:spacing w:after="0" w:line="276" w:lineRule="auto"/>
        <w:jc w:val="both"/>
        <w:rPr>
          <w:rFonts w:ascii="Calibri" w:hAnsi="Calibri" w:cs="Calibri"/>
          <w:lang w:val="sq-AL"/>
        </w:rPr>
      </w:pPr>
      <w:r w:rsidRPr="00062169">
        <w:rPr>
          <w:rFonts w:ascii="Calibri" w:hAnsi="Calibri" w:cs="Calibri"/>
          <w:lang w:val="sq-AL"/>
        </w:rPr>
        <w:t>Q</w:t>
      </w:r>
      <w:r w:rsidR="001A6733" w:rsidRPr="00062169">
        <w:rPr>
          <w:rFonts w:ascii="Calibri" w:hAnsi="Calibri" w:cs="Calibri"/>
          <w:lang w:val="sq-AL"/>
        </w:rPr>
        <w:t>ë</w:t>
      </w:r>
      <w:r w:rsidRPr="00062169">
        <w:rPr>
          <w:rFonts w:ascii="Calibri" w:hAnsi="Calibri" w:cs="Calibri"/>
          <w:lang w:val="sq-AL"/>
        </w:rPr>
        <w:t xml:space="preserve">llimi i funksionit </w:t>
      </w:r>
      <w:r w:rsidR="00404F22" w:rsidRPr="00062169">
        <w:rPr>
          <w:rFonts w:ascii="Calibri" w:hAnsi="Calibri" w:cs="Calibri"/>
          <w:lang w:val="sq-AL"/>
        </w:rPr>
        <w:t xml:space="preserve">të </w:t>
      </w:r>
      <w:r w:rsidR="009E298F" w:rsidRPr="00062169">
        <w:rPr>
          <w:rFonts w:ascii="Calibri" w:hAnsi="Calibri" w:cs="Calibri"/>
          <w:lang w:val="sq-AL"/>
        </w:rPr>
        <w:t>llogaritjes</w:t>
      </w:r>
      <w:r w:rsidR="00404F22" w:rsidRPr="00062169">
        <w:rPr>
          <w:rFonts w:ascii="Calibri" w:hAnsi="Calibri" w:cs="Calibri"/>
          <w:lang w:val="sq-AL"/>
        </w:rPr>
        <w:t xml:space="preserve"> </w:t>
      </w:r>
      <w:r w:rsidR="005031F5" w:rsidRPr="00062169">
        <w:rPr>
          <w:rFonts w:ascii="Calibri" w:hAnsi="Calibri" w:cs="Calibri"/>
          <w:lang w:val="sq-AL"/>
        </w:rPr>
        <w:t xml:space="preserve">së </w:t>
      </w:r>
      <w:r w:rsidR="00C06B6E" w:rsidRPr="00062169">
        <w:rPr>
          <w:rFonts w:ascii="Calibri" w:hAnsi="Calibri" w:cs="Calibri"/>
          <w:lang w:val="sq-AL"/>
        </w:rPr>
        <w:t xml:space="preserve">CCFR </w:t>
      </w:r>
      <w:r w:rsidRPr="00062169">
        <w:rPr>
          <w:rFonts w:ascii="Calibri" w:hAnsi="Calibri" w:cs="Calibri"/>
          <w:lang w:val="sq-AL"/>
        </w:rPr>
        <w:t>do t</w:t>
      </w:r>
      <w:r w:rsidR="001A6733" w:rsidRPr="00062169">
        <w:rPr>
          <w:rFonts w:ascii="Calibri" w:hAnsi="Calibri" w:cs="Calibri"/>
          <w:lang w:val="sq-AL"/>
        </w:rPr>
        <w:t>ë</w:t>
      </w:r>
      <w:r w:rsidRPr="00062169">
        <w:rPr>
          <w:rFonts w:ascii="Calibri" w:hAnsi="Calibri" w:cs="Calibri"/>
          <w:lang w:val="sq-AL"/>
        </w:rPr>
        <w:t xml:space="preserve"> jet</w:t>
      </w:r>
      <w:r w:rsidR="001A6733" w:rsidRPr="00062169">
        <w:rPr>
          <w:rFonts w:ascii="Calibri" w:hAnsi="Calibri" w:cs="Calibri"/>
          <w:lang w:val="sq-AL"/>
        </w:rPr>
        <w:t>ë</w:t>
      </w:r>
      <w:r w:rsidRPr="00062169">
        <w:rPr>
          <w:rFonts w:ascii="Calibri" w:hAnsi="Calibri" w:cs="Calibri"/>
          <w:lang w:val="sq-AL"/>
        </w:rPr>
        <w:t xml:space="preserve"> llogaritja e shk</w:t>
      </w:r>
      <w:r w:rsidR="001A6733" w:rsidRPr="00062169">
        <w:rPr>
          <w:rFonts w:ascii="Calibri" w:hAnsi="Calibri" w:cs="Calibri"/>
          <w:lang w:val="sq-AL"/>
        </w:rPr>
        <w:t>ë</w:t>
      </w:r>
      <w:r w:rsidRPr="00062169">
        <w:rPr>
          <w:rFonts w:ascii="Calibri" w:hAnsi="Calibri" w:cs="Calibri"/>
          <w:lang w:val="sq-AL"/>
        </w:rPr>
        <w:t>mbimeve t</w:t>
      </w:r>
      <w:r w:rsidR="001A6733" w:rsidRPr="00062169">
        <w:rPr>
          <w:rFonts w:ascii="Calibri" w:hAnsi="Calibri" w:cs="Calibri"/>
          <w:lang w:val="sq-AL"/>
        </w:rPr>
        <w:t>ë</w:t>
      </w:r>
      <w:r w:rsidRPr="00062169">
        <w:rPr>
          <w:rFonts w:ascii="Calibri" w:hAnsi="Calibri" w:cs="Calibri"/>
          <w:lang w:val="sq-AL"/>
        </w:rPr>
        <w:t xml:space="preserve"> q</w:t>
      </w:r>
      <w:r w:rsidR="001A6733" w:rsidRPr="00062169">
        <w:rPr>
          <w:rFonts w:ascii="Calibri" w:hAnsi="Calibri" w:cs="Calibri"/>
          <w:lang w:val="sq-AL"/>
        </w:rPr>
        <w:t>ë</w:t>
      </w:r>
      <w:r w:rsidRPr="00062169">
        <w:rPr>
          <w:rFonts w:ascii="Calibri" w:hAnsi="Calibri" w:cs="Calibri"/>
          <w:lang w:val="sq-AL"/>
        </w:rPr>
        <w:t>llimshme t</w:t>
      </w:r>
      <w:r w:rsidR="001A6733" w:rsidRPr="00062169">
        <w:rPr>
          <w:rFonts w:ascii="Calibri" w:hAnsi="Calibri" w:cs="Calibri"/>
          <w:lang w:val="sq-AL"/>
        </w:rPr>
        <w:t>ë</w:t>
      </w:r>
      <w:r w:rsidRPr="00062169">
        <w:rPr>
          <w:rFonts w:ascii="Calibri" w:hAnsi="Calibri" w:cs="Calibri"/>
          <w:lang w:val="sq-AL"/>
        </w:rPr>
        <w:t xml:space="preserve"> energjis</w:t>
      </w:r>
      <w:r w:rsidR="001A6733" w:rsidRPr="00062169">
        <w:rPr>
          <w:rFonts w:ascii="Calibri" w:hAnsi="Calibri" w:cs="Calibri"/>
          <w:lang w:val="sq-AL"/>
        </w:rPr>
        <w:t>ë</w:t>
      </w:r>
      <w:r w:rsidRPr="00062169">
        <w:rPr>
          <w:rFonts w:ascii="Calibri" w:hAnsi="Calibri" w:cs="Calibri"/>
          <w:lang w:val="sq-AL"/>
        </w:rPr>
        <w:t xml:space="preserve"> si rezultat i </w:t>
      </w:r>
      <w:r w:rsidR="009114D7" w:rsidRPr="00062169">
        <w:rPr>
          <w:rFonts w:ascii="Calibri" w:hAnsi="Calibri" w:cs="Calibri"/>
          <w:lang w:val="sq-AL"/>
        </w:rPr>
        <w:t xml:space="preserve">periodës </w:t>
      </w:r>
      <w:r w:rsidRPr="00062169">
        <w:rPr>
          <w:rFonts w:ascii="Calibri" w:hAnsi="Calibri" w:cs="Calibri"/>
          <w:lang w:val="sq-AL"/>
        </w:rPr>
        <w:t>s</w:t>
      </w:r>
      <w:r w:rsidR="001A6733" w:rsidRPr="00062169">
        <w:rPr>
          <w:rFonts w:ascii="Calibri" w:hAnsi="Calibri" w:cs="Calibri"/>
          <w:lang w:val="sq-AL"/>
        </w:rPr>
        <w:t>ë</w:t>
      </w:r>
      <w:r w:rsidRPr="00062169">
        <w:rPr>
          <w:rFonts w:ascii="Calibri" w:hAnsi="Calibri" w:cs="Calibri"/>
          <w:lang w:val="sq-AL"/>
        </w:rPr>
        <w:t xml:space="preserve"> </w:t>
      </w:r>
      <w:r w:rsidR="00A30633" w:rsidRPr="00062169">
        <w:rPr>
          <w:rFonts w:ascii="Calibri" w:hAnsi="Calibri" w:cs="Calibri"/>
          <w:lang w:val="sq-AL"/>
        </w:rPr>
        <w:t xml:space="preserve">ndryshimit (rritje / ulje) </w:t>
      </w:r>
      <w:r w:rsidRPr="00062169">
        <w:rPr>
          <w:rFonts w:ascii="Calibri" w:hAnsi="Calibri" w:cs="Calibri"/>
          <w:lang w:val="sq-AL"/>
        </w:rPr>
        <w:t>dhe procesit t</w:t>
      </w:r>
      <w:r w:rsidR="001A6733" w:rsidRPr="00062169">
        <w:rPr>
          <w:rFonts w:ascii="Calibri" w:hAnsi="Calibri" w:cs="Calibri"/>
          <w:lang w:val="sq-AL"/>
        </w:rPr>
        <w:t>ë</w:t>
      </w:r>
      <w:r w:rsidRPr="00062169">
        <w:rPr>
          <w:rFonts w:ascii="Calibri" w:hAnsi="Calibri" w:cs="Calibri"/>
          <w:lang w:val="sq-AL"/>
        </w:rPr>
        <w:t xml:space="preserve"> </w:t>
      </w:r>
      <w:r w:rsidR="005031F5" w:rsidRPr="00062169">
        <w:rPr>
          <w:rFonts w:ascii="Calibri" w:hAnsi="Calibri" w:cs="Calibri"/>
          <w:lang w:val="sq-AL"/>
        </w:rPr>
        <w:t xml:space="preserve">rregullimit </w:t>
      </w:r>
      <w:r w:rsidR="00C85011" w:rsidRPr="00062169">
        <w:rPr>
          <w:rFonts w:ascii="Calibri" w:hAnsi="Calibri" w:cs="Calibri"/>
          <w:lang w:val="sq-AL"/>
        </w:rPr>
        <w:t>stabilizues</w:t>
      </w:r>
      <w:r w:rsidR="005031F5" w:rsidRPr="00062169">
        <w:rPr>
          <w:rFonts w:ascii="Calibri" w:hAnsi="Calibri" w:cs="Calibri"/>
          <w:lang w:val="sq-AL"/>
        </w:rPr>
        <w:t xml:space="preserve"> </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frekuenc</w:t>
      </w:r>
      <w:r w:rsidR="001A6733" w:rsidRPr="00062169">
        <w:rPr>
          <w:rFonts w:ascii="Calibri" w:hAnsi="Calibri" w:cs="Calibri"/>
          <w:lang w:val="sq-AL"/>
        </w:rPr>
        <w:t>ë</w:t>
      </w:r>
      <w:r w:rsidRPr="00062169">
        <w:rPr>
          <w:rFonts w:ascii="Calibri" w:hAnsi="Calibri" w:cs="Calibri"/>
          <w:lang w:val="sq-AL"/>
        </w:rPr>
        <w:t>s</w:t>
      </w:r>
      <w:r w:rsidR="007F22FE" w:rsidRPr="00062169">
        <w:rPr>
          <w:rFonts w:ascii="Calibri" w:hAnsi="Calibri" w:cs="Calibri"/>
          <w:lang w:val="sq-AL"/>
        </w:rPr>
        <w:t xml:space="preserve">, </w:t>
      </w:r>
      <w:r w:rsidRPr="00062169">
        <w:rPr>
          <w:rFonts w:ascii="Calibri" w:hAnsi="Calibri" w:cs="Calibri"/>
          <w:lang w:val="sq-AL"/>
        </w:rPr>
        <w:t>p</w:t>
      </w:r>
      <w:r w:rsidR="001A6733" w:rsidRPr="00062169">
        <w:rPr>
          <w:rFonts w:ascii="Calibri" w:hAnsi="Calibri" w:cs="Calibri"/>
          <w:lang w:val="sq-AL"/>
        </w:rPr>
        <w:t>ë</w:t>
      </w:r>
      <w:r w:rsidRPr="00062169">
        <w:rPr>
          <w:rFonts w:ascii="Calibri" w:hAnsi="Calibri" w:cs="Calibri"/>
          <w:lang w:val="sq-AL"/>
        </w:rPr>
        <w:t xml:space="preserve">r çdo </w:t>
      </w:r>
      <w:r w:rsidR="009114D7" w:rsidRPr="00062169">
        <w:rPr>
          <w:rFonts w:ascii="Calibri" w:hAnsi="Calibri" w:cs="Calibri"/>
          <w:lang w:val="sq-AL"/>
        </w:rPr>
        <w:t xml:space="preserve">periodë </w:t>
      </w:r>
      <w:r w:rsidR="005031F5" w:rsidRPr="00062169">
        <w:rPr>
          <w:rFonts w:ascii="Calibri" w:hAnsi="Calibri" w:cs="Calibri"/>
          <w:lang w:val="sq-AL"/>
        </w:rPr>
        <w:t xml:space="preserve">të barazimit përfundimtar </w:t>
      </w:r>
      <w:r w:rsidR="00AE3781" w:rsidRPr="00062169">
        <w:rPr>
          <w:rFonts w:ascii="Calibri" w:hAnsi="Calibri" w:cs="Calibri"/>
          <w:lang w:val="sq-AL"/>
        </w:rPr>
        <w:t xml:space="preserve">TSO </w:t>
      </w:r>
      <w:r w:rsidRPr="00062169">
        <w:rPr>
          <w:rFonts w:ascii="Calibri" w:hAnsi="Calibri" w:cs="Calibri"/>
          <w:lang w:val="sq-AL"/>
        </w:rPr>
        <w:t>-</w:t>
      </w:r>
      <w:r w:rsidR="00AE3781" w:rsidRPr="00062169">
        <w:rPr>
          <w:rFonts w:ascii="Calibri" w:hAnsi="Calibri" w:cs="Calibri"/>
          <w:lang w:val="sq-AL"/>
        </w:rPr>
        <w:t xml:space="preserve">TSO </w:t>
      </w:r>
      <w:r w:rsidRPr="00062169">
        <w:rPr>
          <w:rFonts w:ascii="Calibri" w:hAnsi="Calibri" w:cs="Calibri"/>
          <w:lang w:val="sq-AL"/>
        </w:rPr>
        <w:t xml:space="preserve">brenda </w:t>
      </w:r>
      <w:r w:rsidR="007F22FE" w:rsidRPr="00062169">
        <w:rPr>
          <w:rFonts w:ascii="Calibri" w:hAnsi="Calibri" w:cs="Calibri"/>
          <w:lang w:val="sq-AL"/>
        </w:rPr>
        <w:t>SA CE</w:t>
      </w:r>
      <w:r w:rsidR="00A65853" w:rsidRPr="00062169">
        <w:rPr>
          <w:rFonts w:ascii="Calibri" w:hAnsi="Calibri" w:cs="Calibri"/>
          <w:lang w:val="sq-AL"/>
        </w:rPr>
        <w:t>,</w:t>
      </w:r>
      <w:r w:rsidRPr="00062169">
        <w:rPr>
          <w:rFonts w:ascii="Calibri" w:hAnsi="Calibri" w:cs="Calibri"/>
          <w:lang w:val="sq-AL"/>
        </w:rPr>
        <w:t xml:space="preserve"> n</w:t>
      </w:r>
      <w:r w:rsidR="001A6733" w:rsidRPr="00062169">
        <w:rPr>
          <w:rFonts w:ascii="Calibri" w:hAnsi="Calibri" w:cs="Calibri"/>
          <w:lang w:val="sq-AL"/>
        </w:rPr>
        <w:t>ë</w:t>
      </w:r>
      <w:r w:rsidRPr="00062169">
        <w:rPr>
          <w:rFonts w:ascii="Calibri" w:hAnsi="Calibri" w:cs="Calibri"/>
          <w:lang w:val="sq-AL"/>
        </w:rPr>
        <w:t xml:space="preserve"> p</w:t>
      </w:r>
      <w:r w:rsidR="001A6733" w:rsidRPr="00062169">
        <w:rPr>
          <w:rFonts w:ascii="Calibri" w:hAnsi="Calibri" w:cs="Calibri"/>
          <w:lang w:val="sq-AL"/>
        </w:rPr>
        <w:t>ë</w:t>
      </w:r>
      <w:r w:rsidRPr="00062169">
        <w:rPr>
          <w:rFonts w:ascii="Calibri" w:hAnsi="Calibri" w:cs="Calibri"/>
          <w:lang w:val="sq-AL"/>
        </w:rPr>
        <w:t>rputhje me Nenin 3 t</w:t>
      </w:r>
      <w:r w:rsidR="001A6733" w:rsidRPr="00062169">
        <w:rPr>
          <w:rFonts w:ascii="Calibri" w:hAnsi="Calibri" w:cs="Calibri"/>
          <w:lang w:val="sq-AL"/>
        </w:rPr>
        <w:t>ë</w:t>
      </w:r>
      <w:r w:rsidRPr="00062169">
        <w:rPr>
          <w:rFonts w:ascii="Calibri" w:hAnsi="Calibri" w:cs="Calibri"/>
          <w:lang w:val="sq-AL"/>
        </w:rPr>
        <w:t xml:space="preserve"> </w:t>
      </w:r>
      <w:r w:rsidR="009B3D95" w:rsidRPr="00062169">
        <w:rPr>
          <w:rFonts w:ascii="Calibri" w:hAnsi="Calibri" w:cs="Calibri"/>
          <w:lang w:val="sq-AL"/>
        </w:rPr>
        <w:t xml:space="preserve">këtij </w:t>
      </w:r>
      <w:r w:rsidR="00A65853" w:rsidRPr="00062169">
        <w:rPr>
          <w:rFonts w:ascii="Calibri" w:hAnsi="Calibri" w:cs="Calibri"/>
          <w:lang w:val="sq-AL"/>
        </w:rPr>
        <w:t>CCFR</w:t>
      </w:r>
      <w:r w:rsidR="00DB4A34" w:rsidRPr="00062169">
        <w:rPr>
          <w:rFonts w:ascii="Calibri" w:hAnsi="Calibri" w:cs="Calibri"/>
          <w:lang w:val="sq-AL"/>
        </w:rPr>
        <w:t>.</w:t>
      </w:r>
    </w:p>
    <w:p w:rsidR="007F22FE" w:rsidRPr="00062169" w:rsidRDefault="00460784" w:rsidP="00900B3B">
      <w:pPr>
        <w:pStyle w:val="textregular"/>
        <w:numPr>
          <w:ilvl w:val="0"/>
          <w:numId w:val="38"/>
        </w:numPr>
        <w:spacing w:after="0" w:line="276" w:lineRule="auto"/>
        <w:jc w:val="both"/>
        <w:rPr>
          <w:rFonts w:ascii="Calibri" w:hAnsi="Calibri" w:cs="Calibri"/>
          <w:lang w:val="sq-AL"/>
        </w:rPr>
      </w:pPr>
      <w:r w:rsidRPr="00062169">
        <w:rPr>
          <w:rFonts w:ascii="Calibri" w:hAnsi="Calibri" w:cs="Calibri"/>
          <w:lang w:val="sq-AL"/>
        </w:rPr>
        <w:t xml:space="preserve">Qëllimi i funksionit të </w:t>
      </w:r>
      <w:r w:rsidR="005031F5" w:rsidRPr="00062169">
        <w:rPr>
          <w:rFonts w:ascii="Calibri" w:hAnsi="Calibri" w:cs="Calibri"/>
          <w:lang w:val="sq-AL"/>
        </w:rPr>
        <w:t xml:space="preserve">barazimit përfundimtar </w:t>
      </w:r>
      <w:r w:rsidRPr="00062169">
        <w:rPr>
          <w:rFonts w:ascii="Calibri" w:hAnsi="Calibri" w:cs="Calibri"/>
          <w:lang w:val="sq-AL"/>
        </w:rPr>
        <w:t xml:space="preserve">së </w:t>
      </w:r>
      <w:r w:rsidR="00924604" w:rsidRPr="00062169">
        <w:rPr>
          <w:rFonts w:ascii="Calibri" w:hAnsi="Calibri" w:cs="Calibri"/>
          <w:lang w:val="sq-AL"/>
        </w:rPr>
        <w:t>CCFR</w:t>
      </w:r>
      <w:r w:rsidR="00E1506D" w:rsidRPr="00062169">
        <w:rPr>
          <w:rFonts w:ascii="Calibri" w:hAnsi="Calibri" w:cs="Calibri"/>
          <w:lang w:val="sq-AL"/>
        </w:rPr>
        <w:t xml:space="preserve"> </w:t>
      </w:r>
      <w:r w:rsidR="001A6733" w:rsidRPr="00062169">
        <w:rPr>
          <w:rFonts w:ascii="Calibri" w:hAnsi="Calibri" w:cs="Calibri"/>
          <w:lang w:val="sq-AL"/>
        </w:rPr>
        <w:t>ë</w:t>
      </w:r>
      <w:r w:rsidRPr="00062169">
        <w:rPr>
          <w:rFonts w:ascii="Calibri" w:hAnsi="Calibri" w:cs="Calibri"/>
          <w:lang w:val="sq-AL"/>
        </w:rPr>
        <w:t>sht</w:t>
      </w:r>
      <w:r w:rsidR="001A6733" w:rsidRPr="00062169">
        <w:rPr>
          <w:rFonts w:ascii="Calibri" w:hAnsi="Calibri" w:cs="Calibri"/>
          <w:lang w:val="sq-AL"/>
        </w:rPr>
        <w:t>ë</w:t>
      </w:r>
      <w:r w:rsidRPr="00062169">
        <w:rPr>
          <w:rFonts w:ascii="Calibri" w:hAnsi="Calibri" w:cs="Calibri"/>
          <w:lang w:val="sq-AL"/>
        </w:rPr>
        <w:t xml:space="preserve"> llogaritja e çmimit t</w:t>
      </w:r>
      <w:r w:rsidR="001A6733" w:rsidRPr="00062169">
        <w:rPr>
          <w:rFonts w:ascii="Calibri" w:hAnsi="Calibri" w:cs="Calibri"/>
          <w:lang w:val="sq-AL"/>
        </w:rPr>
        <w:t>ë</w:t>
      </w:r>
      <w:r w:rsidRPr="00062169">
        <w:rPr>
          <w:rFonts w:ascii="Calibri" w:hAnsi="Calibri" w:cs="Calibri"/>
          <w:lang w:val="sq-AL"/>
        </w:rPr>
        <w:t xml:space="preserve"> shk</w:t>
      </w:r>
      <w:r w:rsidR="001A6733" w:rsidRPr="00062169">
        <w:rPr>
          <w:rFonts w:ascii="Calibri" w:hAnsi="Calibri" w:cs="Calibri"/>
          <w:lang w:val="sq-AL"/>
        </w:rPr>
        <w:t>ë</w:t>
      </w:r>
      <w:r w:rsidRPr="00062169">
        <w:rPr>
          <w:rFonts w:ascii="Calibri" w:hAnsi="Calibri" w:cs="Calibri"/>
          <w:lang w:val="sq-AL"/>
        </w:rPr>
        <w:t>mbimeve t</w:t>
      </w:r>
      <w:r w:rsidR="001A6733" w:rsidRPr="00062169">
        <w:rPr>
          <w:rFonts w:ascii="Calibri" w:hAnsi="Calibri" w:cs="Calibri"/>
          <w:lang w:val="sq-AL"/>
        </w:rPr>
        <w:t>ë</w:t>
      </w:r>
      <w:r w:rsidR="00E1506D" w:rsidRPr="00062169">
        <w:rPr>
          <w:rFonts w:ascii="Calibri" w:hAnsi="Calibri" w:cs="Calibri"/>
          <w:lang w:val="sq-AL"/>
        </w:rPr>
        <w:t xml:space="preserve"> </w:t>
      </w:r>
      <w:r w:rsidR="00010178" w:rsidRPr="00062169">
        <w:rPr>
          <w:rFonts w:ascii="Calibri" w:hAnsi="Calibri" w:cs="Calibri"/>
          <w:lang w:val="sq-AL"/>
        </w:rPr>
        <w:t>q</w:t>
      </w:r>
      <w:r w:rsidR="001A6733" w:rsidRPr="00062169">
        <w:rPr>
          <w:rFonts w:ascii="Calibri" w:hAnsi="Calibri" w:cs="Calibri"/>
          <w:lang w:val="sq-AL"/>
        </w:rPr>
        <w:t>ë</w:t>
      </w:r>
      <w:r w:rsidR="00010178" w:rsidRPr="00062169">
        <w:rPr>
          <w:rFonts w:ascii="Calibri" w:hAnsi="Calibri" w:cs="Calibri"/>
          <w:lang w:val="sq-AL"/>
        </w:rPr>
        <w:t>llimshme t</w:t>
      </w:r>
      <w:r w:rsidR="001A6733" w:rsidRPr="00062169">
        <w:rPr>
          <w:rFonts w:ascii="Calibri" w:hAnsi="Calibri" w:cs="Calibri"/>
          <w:lang w:val="sq-AL"/>
        </w:rPr>
        <w:t>ë</w:t>
      </w:r>
      <w:r w:rsidR="00010178" w:rsidRPr="00062169">
        <w:rPr>
          <w:rFonts w:ascii="Calibri" w:hAnsi="Calibri" w:cs="Calibri"/>
          <w:lang w:val="sq-AL"/>
        </w:rPr>
        <w:t xml:space="preserve"> energjis</w:t>
      </w:r>
      <w:r w:rsidR="001A6733" w:rsidRPr="00062169">
        <w:rPr>
          <w:rFonts w:ascii="Calibri" w:hAnsi="Calibri" w:cs="Calibri"/>
          <w:lang w:val="sq-AL"/>
        </w:rPr>
        <w:t>ë</w:t>
      </w:r>
      <w:r w:rsidR="00010178" w:rsidRPr="00062169">
        <w:rPr>
          <w:rFonts w:ascii="Calibri" w:hAnsi="Calibri" w:cs="Calibri"/>
          <w:lang w:val="sq-AL"/>
        </w:rPr>
        <w:t xml:space="preserve"> si rezultat i procesit t</w:t>
      </w:r>
      <w:r w:rsidR="001A6733" w:rsidRPr="00062169">
        <w:rPr>
          <w:rFonts w:ascii="Calibri" w:hAnsi="Calibri" w:cs="Calibri"/>
          <w:lang w:val="sq-AL"/>
        </w:rPr>
        <w:t>ë</w:t>
      </w:r>
      <w:r w:rsidR="00010178" w:rsidRPr="00062169">
        <w:rPr>
          <w:rFonts w:ascii="Calibri" w:hAnsi="Calibri" w:cs="Calibri"/>
          <w:lang w:val="sq-AL"/>
        </w:rPr>
        <w:t xml:space="preserve"> </w:t>
      </w:r>
      <w:r w:rsidR="00C42CC9" w:rsidRPr="00062169">
        <w:rPr>
          <w:rFonts w:ascii="Calibri" w:hAnsi="Calibri" w:cs="Calibri"/>
          <w:lang w:val="sq-AL"/>
        </w:rPr>
        <w:t xml:space="preserve">rregullimt </w:t>
      </w:r>
      <w:r w:rsidR="00C85011" w:rsidRPr="00062169">
        <w:rPr>
          <w:rFonts w:ascii="Calibri" w:hAnsi="Calibri" w:cs="Calibri"/>
          <w:lang w:val="sq-AL"/>
        </w:rPr>
        <w:t>stabilizues</w:t>
      </w:r>
      <w:r w:rsidR="00C42CC9" w:rsidRPr="00062169">
        <w:rPr>
          <w:rFonts w:ascii="Calibri" w:hAnsi="Calibri" w:cs="Calibri"/>
          <w:lang w:val="sq-AL"/>
        </w:rPr>
        <w:t xml:space="preserve"> të frekuencës</w:t>
      </w:r>
      <w:r w:rsidR="00010178" w:rsidRPr="00062169">
        <w:rPr>
          <w:rFonts w:ascii="Calibri" w:hAnsi="Calibri" w:cs="Calibri"/>
          <w:lang w:val="sq-AL"/>
        </w:rPr>
        <w:t xml:space="preserve"> p</w:t>
      </w:r>
      <w:r w:rsidR="001A6733" w:rsidRPr="00062169">
        <w:rPr>
          <w:rFonts w:ascii="Calibri" w:hAnsi="Calibri" w:cs="Calibri"/>
          <w:lang w:val="sq-AL"/>
        </w:rPr>
        <w:t>ë</w:t>
      </w:r>
      <w:r w:rsidR="00010178" w:rsidRPr="00062169">
        <w:rPr>
          <w:rFonts w:ascii="Calibri" w:hAnsi="Calibri" w:cs="Calibri"/>
          <w:lang w:val="sq-AL"/>
        </w:rPr>
        <w:t xml:space="preserve">r çdo </w:t>
      </w:r>
      <w:r w:rsidR="00C42CC9" w:rsidRPr="00062169">
        <w:rPr>
          <w:rFonts w:ascii="Calibri" w:hAnsi="Calibri" w:cs="Calibri"/>
          <w:lang w:val="sq-AL"/>
        </w:rPr>
        <w:t xml:space="preserve">periodë të barazimit përfundimtar </w:t>
      </w:r>
      <w:r w:rsidR="00AE3781" w:rsidRPr="00062169">
        <w:rPr>
          <w:rFonts w:ascii="Calibri" w:hAnsi="Calibri" w:cs="Calibri"/>
          <w:lang w:val="sq-AL"/>
        </w:rPr>
        <w:t xml:space="preserve">TSO </w:t>
      </w:r>
      <w:r w:rsidR="00010178" w:rsidRPr="00062169">
        <w:rPr>
          <w:rFonts w:ascii="Calibri" w:hAnsi="Calibri" w:cs="Calibri"/>
          <w:lang w:val="sq-AL"/>
        </w:rPr>
        <w:t>-</w:t>
      </w:r>
      <w:r w:rsidR="00AE3781" w:rsidRPr="00062169">
        <w:rPr>
          <w:rFonts w:ascii="Calibri" w:hAnsi="Calibri" w:cs="Calibri"/>
          <w:lang w:val="sq-AL"/>
        </w:rPr>
        <w:t xml:space="preserve">TSO </w:t>
      </w:r>
      <w:r w:rsidR="00010178" w:rsidRPr="00062169">
        <w:rPr>
          <w:rFonts w:ascii="Calibri" w:hAnsi="Calibri" w:cs="Calibri"/>
          <w:lang w:val="sq-AL"/>
        </w:rPr>
        <w:t xml:space="preserve">dhe të </w:t>
      </w:r>
      <w:r w:rsidR="00C42CC9" w:rsidRPr="00062169">
        <w:rPr>
          <w:rFonts w:ascii="Calibri" w:hAnsi="Calibri" w:cs="Calibri"/>
          <w:lang w:val="sq-AL"/>
        </w:rPr>
        <w:t xml:space="preserve">rrjedhave </w:t>
      </w:r>
      <w:r w:rsidR="00010178" w:rsidRPr="00062169">
        <w:rPr>
          <w:rFonts w:ascii="Calibri" w:hAnsi="Calibri" w:cs="Calibri"/>
          <w:lang w:val="sq-AL"/>
        </w:rPr>
        <w:t>financiare midis të gjitha blloqeve LFC ose zonave LFC në SA CE si rezultat i shk</w:t>
      </w:r>
      <w:r w:rsidR="001A6733" w:rsidRPr="00062169">
        <w:rPr>
          <w:rFonts w:ascii="Calibri" w:hAnsi="Calibri" w:cs="Calibri"/>
          <w:lang w:val="sq-AL"/>
        </w:rPr>
        <w:t>ë</w:t>
      </w:r>
      <w:r w:rsidR="00010178" w:rsidRPr="00062169">
        <w:rPr>
          <w:rFonts w:ascii="Calibri" w:hAnsi="Calibri" w:cs="Calibri"/>
          <w:lang w:val="sq-AL"/>
        </w:rPr>
        <w:t>mbimeve t</w:t>
      </w:r>
      <w:r w:rsidR="001A6733" w:rsidRPr="00062169">
        <w:rPr>
          <w:rFonts w:ascii="Calibri" w:hAnsi="Calibri" w:cs="Calibri"/>
          <w:lang w:val="sq-AL"/>
        </w:rPr>
        <w:t>ë</w:t>
      </w:r>
      <w:r w:rsidR="00010178" w:rsidRPr="00062169">
        <w:rPr>
          <w:rFonts w:ascii="Calibri" w:hAnsi="Calibri" w:cs="Calibri"/>
          <w:lang w:val="sq-AL"/>
        </w:rPr>
        <w:t xml:space="preserve"> q</w:t>
      </w:r>
      <w:r w:rsidR="001A6733" w:rsidRPr="00062169">
        <w:rPr>
          <w:rFonts w:ascii="Calibri" w:hAnsi="Calibri" w:cs="Calibri"/>
          <w:lang w:val="sq-AL"/>
        </w:rPr>
        <w:t>ë</w:t>
      </w:r>
      <w:r w:rsidR="00010178" w:rsidRPr="00062169">
        <w:rPr>
          <w:rFonts w:ascii="Calibri" w:hAnsi="Calibri" w:cs="Calibri"/>
          <w:lang w:val="sq-AL"/>
        </w:rPr>
        <w:t>llimshme t</w:t>
      </w:r>
      <w:r w:rsidR="001A6733" w:rsidRPr="00062169">
        <w:rPr>
          <w:rFonts w:ascii="Calibri" w:hAnsi="Calibri" w:cs="Calibri"/>
          <w:lang w:val="sq-AL"/>
        </w:rPr>
        <w:t>ë</w:t>
      </w:r>
      <w:r w:rsidR="00010178" w:rsidRPr="00062169">
        <w:rPr>
          <w:rFonts w:ascii="Calibri" w:hAnsi="Calibri" w:cs="Calibri"/>
          <w:lang w:val="sq-AL"/>
        </w:rPr>
        <w:t xml:space="preserve"> energjis</w:t>
      </w:r>
      <w:r w:rsidR="001A6733" w:rsidRPr="00062169">
        <w:rPr>
          <w:rFonts w:ascii="Calibri" w:hAnsi="Calibri" w:cs="Calibri"/>
          <w:lang w:val="sq-AL"/>
        </w:rPr>
        <w:t>ë</w:t>
      </w:r>
      <w:r w:rsidR="00010178" w:rsidRPr="00062169">
        <w:rPr>
          <w:rFonts w:ascii="Calibri" w:hAnsi="Calibri" w:cs="Calibri"/>
          <w:lang w:val="sq-AL"/>
        </w:rPr>
        <w:t xml:space="preserve"> s</w:t>
      </w:r>
      <w:r w:rsidR="001A6733" w:rsidRPr="00062169">
        <w:rPr>
          <w:rFonts w:ascii="Calibri" w:hAnsi="Calibri" w:cs="Calibri"/>
          <w:lang w:val="sq-AL"/>
        </w:rPr>
        <w:t>ë</w:t>
      </w:r>
      <w:r w:rsidR="00010178" w:rsidRPr="00062169">
        <w:rPr>
          <w:rFonts w:ascii="Calibri" w:hAnsi="Calibri" w:cs="Calibri"/>
          <w:lang w:val="sq-AL"/>
        </w:rPr>
        <w:t xml:space="preserve"> procesit t</w:t>
      </w:r>
      <w:r w:rsidR="001A6733" w:rsidRPr="00062169">
        <w:rPr>
          <w:rFonts w:ascii="Calibri" w:hAnsi="Calibri" w:cs="Calibri"/>
          <w:lang w:val="sq-AL"/>
        </w:rPr>
        <w:t>ë</w:t>
      </w:r>
      <w:r w:rsidR="00010178" w:rsidRPr="00062169">
        <w:rPr>
          <w:rFonts w:ascii="Calibri" w:hAnsi="Calibri" w:cs="Calibri"/>
          <w:lang w:val="sq-AL"/>
        </w:rPr>
        <w:t xml:space="preserve"> </w:t>
      </w:r>
      <w:r w:rsidR="00C42CC9" w:rsidRPr="00062169">
        <w:rPr>
          <w:rFonts w:ascii="Calibri" w:hAnsi="Calibri" w:cs="Calibri"/>
          <w:lang w:val="sq-AL"/>
        </w:rPr>
        <w:t xml:space="preserve">rregullimit </w:t>
      </w:r>
      <w:r w:rsidR="00C85011" w:rsidRPr="00062169">
        <w:rPr>
          <w:rFonts w:ascii="Calibri" w:hAnsi="Calibri" w:cs="Calibri"/>
          <w:lang w:val="sq-AL"/>
        </w:rPr>
        <w:t>stabilizues</w:t>
      </w:r>
      <w:r w:rsidR="00C42CC9" w:rsidRPr="00062169">
        <w:rPr>
          <w:rFonts w:ascii="Calibri" w:hAnsi="Calibri" w:cs="Calibri"/>
          <w:lang w:val="sq-AL"/>
        </w:rPr>
        <w:t xml:space="preserve"> </w:t>
      </w:r>
      <w:r w:rsidR="00010178" w:rsidRPr="00062169">
        <w:rPr>
          <w:rFonts w:ascii="Calibri" w:hAnsi="Calibri" w:cs="Calibri"/>
          <w:lang w:val="sq-AL"/>
        </w:rPr>
        <w:t>t</w:t>
      </w:r>
      <w:r w:rsidR="001A6733" w:rsidRPr="00062169">
        <w:rPr>
          <w:rFonts w:ascii="Calibri" w:hAnsi="Calibri" w:cs="Calibri"/>
          <w:lang w:val="sq-AL"/>
        </w:rPr>
        <w:t>ë</w:t>
      </w:r>
      <w:r w:rsidR="00010178" w:rsidRPr="00062169">
        <w:rPr>
          <w:rFonts w:ascii="Calibri" w:hAnsi="Calibri" w:cs="Calibri"/>
          <w:lang w:val="sq-AL"/>
        </w:rPr>
        <w:t xml:space="preserve"> frekuenc</w:t>
      </w:r>
      <w:r w:rsidR="001A6733" w:rsidRPr="00062169">
        <w:rPr>
          <w:rFonts w:ascii="Calibri" w:hAnsi="Calibri" w:cs="Calibri"/>
          <w:lang w:val="sq-AL"/>
        </w:rPr>
        <w:t>ë</w:t>
      </w:r>
      <w:r w:rsidR="00010178" w:rsidRPr="00062169">
        <w:rPr>
          <w:rFonts w:ascii="Calibri" w:hAnsi="Calibri" w:cs="Calibri"/>
          <w:lang w:val="sq-AL"/>
        </w:rPr>
        <w:t>s, n</w:t>
      </w:r>
      <w:r w:rsidR="001A6733" w:rsidRPr="00062169">
        <w:rPr>
          <w:rFonts w:ascii="Calibri" w:hAnsi="Calibri" w:cs="Calibri"/>
          <w:lang w:val="sq-AL"/>
        </w:rPr>
        <w:t>ë</w:t>
      </w:r>
      <w:r w:rsidR="00010178" w:rsidRPr="00062169">
        <w:rPr>
          <w:rFonts w:ascii="Calibri" w:hAnsi="Calibri" w:cs="Calibri"/>
          <w:lang w:val="sq-AL"/>
        </w:rPr>
        <w:t xml:space="preserve"> p</w:t>
      </w:r>
      <w:r w:rsidR="001A6733" w:rsidRPr="00062169">
        <w:rPr>
          <w:rFonts w:ascii="Calibri" w:hAnsi="Calibri" w:cs="Calibri"/>
          <w:lang w:val="sq-AL"/>
        </w:rPr>
        <w:t>ë</w:t>
      </w:r>
      <w:r w:rsidR="00010178" w:rsidRPr="00062169">
        <w:rPr>
          <w:rFonts w:ascii="Calibri" w:hAnsi="Calibri" w:cs="Calibri"/>
          <w:lang w:val="sq-AL"/>
        </w:rPr>
        <w:t>rputhje me Nenin 3 t</w:t>
      </w:r>
      <w:r w:rsidR="001A6733" w:rsidRPr="00062169">
        <w:rPr>
          <w:rFonts w:ascii="Calibri" w:hAnsi="Calibri" w:cs="Calibri"/>
          <w:lang w:val="sq-AL"/>
        </w:rPr>
        <w:t>ë</w:t>
      </w:r>
      <w:r w:rsidR="00010178" w:rsidRPr="00062169">
        <w:rPr>
          <w:rFonts w:ascii="Calibri" w:hAnsi="Calibri" w:cs="Calibri"/>
          <w:lang w:val="sq-AL"/>
        </w:rPr>
        <w:t xml:space="preserve"> </w:t>
      </w:r>
      <w:r w:rsidR="009B3D95" w:rsidRPr="00062169">
        <w:rPr>
          <w:rFonts w:ascii="Calibri" w:hAnsi="Calibri" w:cs="Calibri"/>
          <w:lang w:val="sq-AL"/>
        </w:rPr>
        <w:t xml:space="preserve">këtij </w:t>
      </w:r>
      <w:r w:rsidR="00A65853" w:rsidRPr="00062169">
        <w:rPr>
          <w:rFonts w:ascii="Calibri" w:hAnsi="Calibri" w:cs="Calibri"/>
          <w:lang w:val="sq-AL"/>
        </w:rPr>
        <w:t>CCFR</w:t>
      </w:r>
      <w:r w:rsidR="007F22FE" w:rsidRPr="00062169">
        <w:rPr>
          <w:rFonts w:ascii="Calibri" w:hAnsi="Calibri" w:cs="Calibri"/>
          <w:lang w:val="sq-AL"/>
        </w:rPr>
        <w:t>.</w:t>
      </w:r>
    </w:p>
    <w:p w:rsidR="00CA22CF" w:rsidRPr="00062169" w:rsidRDefault="00CA22CF" w:rsidP="00900B3B">
      <w:pPr>
        <w:pStyle w:val="textregular"/>
        <w:spacing w:after="0" w:line="276" w:lineRule="auto"/>
        <w:jc w:val="both"/>
        <w:rPr>
          <w:rFonts w:ascii="Calibri" w:hAnsi="Calibri" w:cs="Calibri"/>
          <w:b/>
          <w:color w:val="000000" w:themeColor="text1"/>
          <w:lang w:val="sq-AL"/>
        </w:rPr>
      </w:pPr>
    </w:p>
    <w:p w:rsidR="00010178" w:rsidRPr="00062169" w:rsidRDefault="00010178" w:rsidP="00900B3B">
      <w:pPr>
        <w:pStyle w:val="headline2"/>
        <w:spacing w:after="0" w:line="276" w:lineRule="auto"/>
        <w:ind w:left="360"/>
        <w:rPr>
          <w:rFonts w:ascii="Calibri" w:hAnsi="Calibri" w:cs="Calibri"/>
          <w:color w:val="000000" w:themeColor="text1"/>
          <w:sz w:val="22"/>
          <w:szCs w:val="22"/>
          <w:lang w:val="sq-AL"/>
        </w:rPr>
      </w:pPr>
      <w:bookmarkStart w:id="34" w:name="_Toc510006484"/>
      <w:bookmarkStart w:id="35" w:name="_Toc510507376"/>
      <w:bookmarkStart w:id="36" w:name="_Toc510522103"/>
      <w:bookmarkStart w:id="37" w:name="_Toc7419794"/>
      <w:bookmarkStart w:id="38" w:name="_Toc65219934"/>
      <w:r w:rsidRPr="00062169">
        <w:rPr>
          <w:rFonts w:ascii="Calibri" w:hAnsi="Calibri" w:cs="Calibri"/>
          <w:color w:val="000000" w:themeColor="text1"/>
          <w:sz w:val="22"/>
          <w:szCs w:val="22"/>
          <w:lang w:val="sq-AL"/>
        </w:rPr>
        <w:lastRenderedPageBreak/>
        <w:t>Neni 6</w:t>
      </w:r>
      <w:bookmarkEnd w:id="34"/>
      <w:r w:rsidRPr="00062169">
        <w:rPr>
          <w:rFonts w:ascii="Calibri" w:hAnsi="Calibri" w:cs="Calibri"/>
          <w:color w:val="000000" w:themeColor="text1"/>
          <w:sz w:val="22"/>
          <w:szCs w:val="22"/>
          <w:lang w:val="sq-AL"/>
        </w:rPr>
        <w:br/>
      </w:r>
      <w:bookmarkEnd w:id="35"/>
      <w:bookmarkEnd w:id="36"/>
      <w:bookmarkEnd w:id="37"/>
      <w:r w:rsidR="009E556E" w:rsidRPr="00062169">
        <w:rPr>
          <w:rFonts w:ascii="Calibri" w:hAnsi="Calibri" w:cs="Calibri"/>
          <w:color w:val="000000" w:themeColor="text1"/>
          <w:sz w:val="22"/>
          <w:szCs w:val="22"/>
          <w:lang w:val="sq-AL"/>
        </w:rPr>
        <w:t xml:space="preserve">Perioda </w:t>
      </w:r>
      <w:r w:rsidRPr="00062169">
        <w:rPr>
          <w:rFonts w:ascii="Calibri" w:hAnsi="Calibri" w:cs="Calibri"/>
          <w:color w:val="000000" w:themeColor="text1"/>
          <w:sz w:val="22"/>
          <w:szCs w:val="22"/>
          <w:lang w:val="sq-AL"/>
        </w:rPr>
        <w:t xml:space="preserve">e </w:t>
      </w:r>
      <w:r w:rsidR="00C42CC9" w:rsidRPr="00062169">
        <w:rPr>
          <w:rFonts w:ascii="Calibri" w:hAnsi="Calibri" w:cs="Calibri"/>
          <w:color w:val="000000" w:themeColor="text1"/>
          <w:sz w:val="22"/>
          <w:szCs w:val="22"/>
          <w:lang w:val="sq-AL"/>
        </w:rPr>
        <w:t>barazimit përfundimtar</w:t>
      </w:r>
      <w:bookmarkEnd w:id="38"/>
    </w:p>
    <w:p w:rsidR="00D21F08" w:rsidRPr="00062169" w:rsidRDefault="00D21F08" w:rsidP="00900B3B">
      <w:pPr>
        <w:pStyle w:val="headline2"/>
        <w:spacing w:after="0" w:line="276" w:lineRule="auto"/>
        <w:ind w:left="360"/>
        <w:rPr>
          <w:rFonts w:ascii="Calibri" w:hAnsi="Calibri" w:cs="Calibri"/>
          <w:sz w:val="22"/>
          <w:szCs w:val="22"/>
          <w:lang w:val="sq-AL"/>
        </w:rPr>
      </w:pPr>
    </w:p>
    <w:p w:rsidR="00F2111A" w:rsidRPr="00062169" w:rsidRDefault="009E556E" w:rsidP="00900B3B">
      <w:pPr>
        <w:pStyle w:val="ListParagraph"/>
        <w:numPr>
          <w:ilvl w:val="0"/>
          <w:numId w:val="31"/>
        </w:numPr>
        <w:spacing w:after="0" w:line="276" w:lineRule="auto"/>
        <w:ind w:left="357" w:hanging="357"/>
        <w:contextualSpacing w:val="0"/>
        <w:rPr>
          <w:rFonts w:ascii="Calibri" w:hAnsi="Calibri" w:cs="Calibri"/>
          <w:lang w:val="sq-AL"/>
        </w:rPr>
      </w:pPr>
      <w:r w:rsidRPr="00062169">
        <w:rPr>
          <w:rFonts w:ascii="Calibri" w:hAnsi="Calibri" w:cs="Calibri"/>
          <w:lang w:val="sq-AL"/>
        </w:rPr>
        <w:t xml:space="preserve">Perioda </w:t>
      </w:r>
      <w:r w:rsidR="00010178" w:rsidRPr="00062169">
        <w:rPr>
          <w:rFonts w:ascii="Calibri" w:hAnsi="Calibri" w:cs="Calibri"/>
          <w:lang w:val="sq-AL"/>
        </w:rPr>
        <w:t xml:space="preserve">e </w:t>
      </w:r>
      <w:r w:rsidR="00C42CC9" w:rsidRPr="00062169">
        <w:rPr>
          <w:rFonts w:ascii="Calibri" w:hAnsi="Calibri" w:cs="Calibri"/>
          <w:lang w:val="sq-AL"/>
        </w:rPr>
        <w:t xml:space="preserve">barazimit përfundimtar </w:t>
      </w:r>
      <w:r w:rsidR="00AE3781" w:rsidRPr="00062169">
        <w:rPr>
          <w:rFonts w:ascii="Calibri" w:hAnsi="Calibri" w:cs="Calibri"/>
          <w:lang w:val="sq-AL"/>
        </w:rPr>
        <w:t xml:space="preserve">TSO </w:t>
      </w:r>
      <w:r w:rsidR="00010178" w:rsidRPr="00062169">
        <w:rPr>
          <w:rFonts w:ascii="Calibri" w:hAnsi="Calibri" w:cs="Calibri"/>
          <w:lang w:val="sq-AL"/>
        </w:rPr>
        <w:t>-</w:t>
      </w:r>
      <w:r w:rsidR="00AE3781" w:rsidRPr="00062169">
        <w:rPr>
          <w:rFonts w:ascii="Calibri" w:hAnsi="Calibri" w:cs="Calibri"/>
          <w:lang w:val="sq-AL"/>
        </w:rPr>
        <w:t xml:space="preserve">TSO </w:t>
      </w:r>
      <w:r w:rsidR="00010178" w:rsidRPr="00062169">
        <w:rPr>
          <w:rFonts w:ascii="Calibri" w:hAnsi="Calibri" w:cs="Calibri"/>
          <w:lang w:val="sq-AL"/>
        </w:rPr>
        <w:t>është caktuar të jetë 15 minuta</w:t>
      </w:r>
      <w:r w:rsidR="00F2111A" w:rsidRPr="00062169">
        <w:rPr>
          <w:rFonts w:ascii="Calibri" w:hAnsi="Calibri" w:cs="Calibri"/>
          <w:lang w:val="sq-AL"/>
        </w:rPr>
        <w:t>.</w:t>
      </w:r>
    </w:p>
    <w:p w:rsidR="00F2111A" w:rsidRPr="00062169" w:rsidRDefault="009E556E" w:rsidP="005043E5">
      <w:pPr>
        <w:pStyle w:val="ListParagraph"/>
        <w:numPr>
          <w:ilvl w:val="0"/>
          <w:numId w:val="31"/>
        </w:numPr>
        <w:spacing w:after="0" w:line="276" w:lineRule="auto"/>
        <w:ind w:left="357" w:hanging="357"/>
        <w:contextualSpacing w:val="0"/>
        <w:jc w:val="left"/>
        <w:rPr>
          <w:rFonts w:ascii="Calibri" w:hAnsi="Calibri" w:cs="Calibri"/>
          <w:lang w:val="sq-AL"/>
        </w:rPr>
      </w:pPr>
      <w:r w:rsidRPr="00062169">
        <w:rPr>
          <w:rFonts w:ascii="Calibri" w:hAnsi="Calibri" w:cs="Calibri"/>
          <w:lang w:val="sq-AL"/>
        </w:rPr>
        <w:t xml:space="preserve">Perioda </w:t>
      </w:r>
      <w:r w:rsidR="00010178" w:rsidRPr="00062169">
        <w:rPr>
          <w:rFonts w:ascii="Calibri" w:hAnsi="Calibri" w:cs="Calibri"/>
          <w:lang w:val="sq-AL"/>
        </w:rPr>
        <w:t xml:space="preserve">e </w:t>
      </w:r>
      <w:r w:rsidR="00C42CC9" w:rsidRPr="00062169">
        <w:rPr>
          <w:rFonts w:ascii="Calibri" w:hAnsi="Calibri" w:cs="Calibri"/>
          <w:lang w:val="sq-AL"/>
        </w:rPr>
        <w:t xml:space="preserve">barazimit përfundimtar </w:t>
      </w:r>
      <w:r w:rsidR="00AE3781" w:rsidRPr="00062169">
        <w:rPr>
          <w:rFonts w:ascii="Calibri" w:hAnsi="Calibri" w:cs="Calibri"/>
          <w:lang w:val="sq-AL"/>
        </w:rPr>
        <w:t xml:space="preserve">TSO </w:t>
      </w:r>
      <w:r w:rsidR="00010178" w:rsidRPr="00062169">
        <w:rPr>
          <w:rFonts w:ascii="Calibri" w:hAnsi="Calibri" w:cs="Calibri"/>
          <w:lang w:val="sq-AL"/>
        </w:rPr>
        <w:t>-</w:t>
      </w:r>
      <w:r w:rsidR="00AE3781" w:rsidRPr="00062169">
        <w:rPr>
          <w:rFonts w:ascii="Calibri" w:hAnsi="Calibri" w:cs="Calibri"/>
          <w:lang w:val="sq-AL"/>
        </w:rPr>
        <w:t xml:space="preserve">TSO </w:t>
      </w:r>
      <w:r w:rsidR="00010178" w:rsidRPr="00062169">
        <w:rPr>
          <w:rFonts w:ascii="Calibri" w:hAnsi="Calibri" w:cs="Calibri"/>
          <w:lang w:val="sq-AL"/>
        </w:rPr>
        <w:t>të çdo dite fillon menjëherë pas orës 00:00.</w:t>
      </w:r>
      <w:r w:rsidR="00DA1608" w:rsidRPr="00062169">
        <w:rPr>
          <w:rFonts w:ascii="Calibri" w:hAnsi="Calibri" w:cs="Calibri"/>
          <w:lang w:val="sq-AL"/>
        </w:rPr>
        <w:t xml:space="preserve"> </w:t>
      </w:r>
      <w:r w:rsidR="009334E8" w:rsidRPr="00062169">
        <w:rPr>
          <w:rFonts w:ascii="Calibri" w:hAnsi="Calibri" w:cs="Calibri"/>
          <w:lang w:val="sq-AL"/>
        </w:rPr>
        <w:t xml:space="preserve">Periodat </w:t>
      </w:r>
      <w:r w:rsidR="00010178" w:rsidRPr="00062169">
        <w:rPr>
          <w:rFonts w:ascii="Calibri" w:hAnsi="Calibri" w:cs="Calibri"/>
          <w:lang w:val="sq-AL"/>
        </w:rPr>
        <w:t xml:space="preserve">e </w:t>
      </w:r>
      <w:r w:rsidR="00C42CC9" w:rsidRPr="00062169">
        <w:rPr>
          <w:rFonts w:ascii="Calibri" w:hAnsi="Calibri" w:cs="Calibri"/>
          <w:lang w:val="sq-AL"/>
        </w:rPr>
        <w:t xml:space="preserve">barazimt përfundimtar </w:t>
      </w:r>
      <w:r w:rsidR="00AE3781" w:rsidRPr="00062169">
        <w:rPr>
          <w:rFonts w:ascii="Calibri" w:hAnsi="Calibri" w:cs="Calibri"/>
          <w:lang w:val="sq-AL"/>
        </w:rPr>
        <w:t>TSO</w:t>
      </w:r>
      <w:r w:rsidR="00C42CC9" w:rsidRPr="00062169">
        <w:rPr>
          <w:rFonts w:ascii="Calibri" w:hAnsi="Calibri" w:cs="Calibri"/>
          <w:lang w:val="sq-AL"/>
        </w:rPr>
        <w:t xml:space="preserve"> </w:t>
      </w:r>
      <w:r w:rsidR="00010178" w:rsidRPr="00062169">
        <w:rPr>
          <w:rFonts w:ascii="Calibri" w:hAnsi="Calibri" w:cs="Calibri"/>
          <w:lang w:val="sq-AL"/>
        </w:rPr>
        <w:t>-</w:t>
      </w:r>
      <w:r w:rsidR="00C42CC9" w:rsidRPr="00062169">
        <w:rPr>
          <w:rFonts w:ascii="Calibri" w:hAnsi="Calibri" w:cs="Calibri"/>
          <w:lang w:val="sq-AL"/>
        </w:rPr>
        <w:t xml:space="preserve"> </w:t>
      </w:r>
      <w:r w:rsidR="00AE3781" w:rsidRPr="00062169">
        <w:rPr>
          <w:rFonts w:ascii="Calibri" w:hAnsi="Calibri" w:cs="Calibri"/>
          <w:lang w:val="sq-AL"/>
        </w:rPr>
        <w:t xml:space="preserve">TSO </w:t>
      </w:r>
      <w:r w:rsidR="00010178" w:rsidRPr="00062169">
        <w:rPr>
          <w:rFonts w:ascii="Calibri" w:hAnsi="Calibri" w:cs="Calibri"/>
          <w:lang w:val="sq-AL"/>
        </w:rPr>
        <w:t>do të jenë të njëpasnjëshme dhe jo të mbivendosura</w:t>
      </w:r>
      <w:r w:rsidR="00F2111A" w:rsidRPr="00062169">
        <w:rPr>
          <w:rFonts w:ascii="Calibri" w:hAnsi="Calibri" w:cs="Calibri"/>
          <w:lang w:val="sq-AL"/>
        </w:rPr>
        <w:t>.</w:t>
      </w:r>
    </w:p>
    <w:p w:rsidR="00F2111A" w:rsidRPr="00062169" w:rsidRDefault="00F2111A" w:rsidP="00900B3B">
      <w:pPr>
        <w:spacing w:line="276" w:lineRule="auto"/>
        <w:rPr>
          <w:rFonts w:ascii="Calibri" w:hAnsi="Calibri" w:cs="Calibri"/>
          <w:b/>
          <w:color w:val="000000" w:themeColor="text1"/>
          <w:lang w:val="sq-AL"/>
        </w:rPr>
      </w:pPr>
    </w:p>
    <w:p w:rsidR="00010178" w:rsidRPr="00062169" w:rsidRDefault="00010178" w:rsidP="00900B3B">
      <w:pPr>
        <w:pStyle w:val="headline2"/>
        <w:spacing w:after="0" w:line="276" w:lineRule="auto"/>
        <w:rPr>
          <w:rFonts w:ascii="Calibri" w:hAnsi="Calibri" w:cs="Calibri"/>
          <w:color w:val="000000" w:themeColor="text1"/>
          <w:sz w:val="22"/>
          <w:szCs w:val="22"/>
          <w:lang w:val="sq-AL"/>
        </w:rPr>
      </w:pPr>
      <w:bookmarkStart w:id="39" w:name="_Toc65219935"/>
      <w:r w:rsidRPr="00062169">
        <w:rPr>
          <w:rFonts w:ascii="Calibri" w:hAnsi="Calibri" w:cs="Calibri"/>
          <w:color w:val="000000" w:themeColor="text1"/>
          <w:sz w:val="22"/>
          <w:szCs w:val="22"/>
          <w:lang w:val="sq-AL"/>
        </w:rPr>
        <w:t>Neni 7</w:t>
      </w:r>
      <w:r w:rsidRPr="00062169">
        <w:rPr>
          <w:rFonts w:ascii="Calibri" w:hAnsi="Calibri" w:cs="Calibri"/>
          <w:color w:val="000000" w:themeColor="text1"/>
          <w:sz w:val="22"/>
          <w:szCs w:val="22"/>
          <w:lang w:val="sq-AL"/>
        </w:rPr>
        <w:br/>
        <w:t xml:space="preserve">Përcaktimi i </w:t>
      </w:r>
      <w:r w:rsidR="00C42CC9" w:rsidRPr="00062169">
        <w:rPr>
          <w:rFonts w:ascii="Calibri" w:hAnsi="Calibri" w:cs="Calibri"/>
          <w:color w:val="000000" w:themeColor="text1"/>
          <w:sz w:val="22"/>
          <w:szCs w:val="22"/>
          <w:lang w:val="sq-AL"/>
        </w:rPr>
        <w:t xml:space="preserve">sasive të energjisë </w:t>
      </w:r>
      <w:r w:rsidRPr="00062169">
        <w:rPr>
          <w:rFonts w:ascii="Calibri" w:hAnsi="Calibri" w:cs="Calibri"/>
          <w:color w:val="000000" w:themeColor="text1"/>
          <w:sz w:val="22"/>
          <w:szCs w:val="22"/>
          <w:lang w:val="sq-AL"/>
        </w:rPr>
        <w:t xml:space="preserve">për </w:t>
      </w:r>
      <w:r w:rsidR="002A50A8" w:rsidRPr="00062169">
        <w:rPr>
          <w:rFonts w:ascii="Calibri" w:hAnsi="Calibri" w:cs="Calibri"/>
          <w:color w:val="000000" w:themeColor="text1"/>
          <w:sz w:val="22"/>
          <w:szCs w:val="22"/>
          <w:lang w:val="sq-AL"/>
        </w:rPr>
        <w:t>periodë të barazimit përfundimtar</w:t>
      </w:r>
      <w:r w:rsidRPr="00062169">
        <w:rPr>
          <w:rFonts w:ascii="Calibri" w:hAnsi="Calibri" w:cs="Calibri"/>
          <w:color w:val="000000" w:themeColor="text1"/>
          <w:sz w:val="22"/>
          <w:szCs w:val="22"/>
          <w:lang w:val="sq-AL"/>
        </w:rPr>
        <w:t xml:space="preserve"> </w:t>
      </w:r>
      <w:r w:rsidR="00AE3781" w:rsidRPr="00062169">
        <w:rPr>
          <w:rFonts w:ascii="Calibri" w:hAnsi="Calibri" w:cs="Calibri"/>
          <w:color w:val="000000" w:themeColor="text1"/>
          <w:sz w:val="22"/>
          <w:szCs w:val="22"/>
          <w:lang w:val="sq-AL"/>
        </w:rPr>
        <w:t xml:space="preserve">TSO </w:t>
      </w:r>
      <w:r w:rsidRPr="00062169">
        <w:rPr>
          <w:rFonts w:ascii="Calibri" w:hAnsi="Calibri" w:cs="Calibri"/>
          <w:color w:val="000000" w:themeColor="text1"/>
          <w:sz w:val="22"/>
          <w:szCs w:val="22"/>
          <w:lang w:val="sq-AL"/>
        </w:rPr>
        <w:t xml:space="preserve"> – </w:t>
      </w:r>
      <w:r w:rsidR="00AE3781" w:rsidRPr="00062169">
        <w:rPr>
          <w:rFonts w:ascii="Calibri" w:hAnsi="Calibri" w:cs="Calibri"/>
          <w:color w:val="000000" w:themeColor="text1"/>
          <w:sz w:val="22"/>
          <w:szCs w:val="22"/>
          <w:lang w:val="sq-AL"/>
        </w:rPr>
        <w:t>TSO</w:t>
      </w:r>
      <w:bookmarkEnd w:id="39"/>
      <w:r w:rsidR="00AE3781" w:rsidRPr="00062169">
        <w:rPr>
          <w:rFonts w:ascii="Calibri" w:hAnsi="Calibri" w:cs="Calibri"/>
          <w:color w:val="000000" w:themeColor="text1"/>
          <w:sz w:val="22"/>
          <w:szCs w:val="22"/>
          <w:lang w:val="sq-AL"/>
        </w:rPr>
        <w:t xml:space="preserve"> </w:t>
      </w:r>
    </w:p>
    <w:p w:rsidR="00010178" w:rsidRPr="00062169" w:rsidRDefault="00010178" w:rsidP="00900B3B">
      <w:pPr>
        <w:pStyle w:val="headline2"/>
        <w:spacing w:after="0" w:line="276" w:lineRule="auto"/>
        <w:rPr>
          <w:rFonts w:ascii="Calibri" w:hAnsi="Calibri" w:cs="Calibri"/>
          <w:sz w:val="22"/>
          <w:szCs w:val="22"/>
          <w:lang w:val="sq-AL"/>
        </w:rPr>
      </w:pPr>
    </w:p>
    <w:p w:rsidR="00722C74" w:rsidRPr="00062169" w:rsidRDefault="008C2BF8" w:rsidP="00900B3B">
      <w:pPr>
        <w:pStyle w:val="textregular"/>
        <w:numPr>
          <w:ilvl w:val="0"/>
          <w:numId w:val="27"/>
        </w:numPr>
        <w:spacing w:after="0" w:line="276" w:lineRule="auto"/>
        <w:jc w:val="both"/>
        <w:rPr>
          <w:rFonts w:ascii="Calibri" w:hAnsi="Calibri" w:cs="Calibri"/>
          <w:lang w:val="sq-AL"/>
        </w:rPr>
      </w:pPr>
      <w:r w:rsidRPr="00062169">
        <w:rPr>
          <w:rFonts w:ascii="Calibri" w:hAnsi="Calibri" w:cs="Calibri"/>
          <w:lang w:val="sq-AL"/>
        </w:rPr>
        <w:t>Sasit</w:t>
      </w:r>
      <w:r w:rsidR="009E556E" w:rsidRPr="00062169">
        <w:rPr>
          <w:rFonts w:ascii="Calibri" w:hAnsi="Calibri" w:cs="Calibri"/>
          <w:lang w:val="sq-AL"/>
        </w:rPr>
        <w:t>ë</w:t>
      </w:r>
      <w:r w:rsidRPr="00062169">
        <w:rPr>
          <w:rFonts w:ascii="Calibri" w:hAnsi="Calibri" w:cs="Calibri"/>
          <w:lang w:val="sq-AL"/>
        </w:rPr>
        <w:t xml:space="preserve"> </w:t>
      </w:r>
      <w:r w:rsidR="000F339A" w:rsidRPr="00062169">
        <w:rPr>
          <w:rFonts w:ascii="Calibri" w:hAnsi="Calibri" w:cs="Calibri"/>
          <w:lang w:val="sq-AL"/>
        </w:rPr>
        <w:t>e shk</w:t>
      </w:r>
      <w:r w:rsidR="001A6733" w:rsidRPr="00062169">
        <w:rPr>
          <w:rFonts w:ascii="Calibri" w:hAnsi="Calibri" w:cs="Calibri"/>
          <w:lang w:val="sq-AL"/>
        </w:rPr>
        <w:t>ë</w:t>
      </w:r>
      <w:r w:rsidR="000F339A" w:rsidRPr="00062169">
        <w:rPr>
          <w:rFonts w:ascii="Calibri" w:hAnsi="Calibri" w:cs="Calibri"/>
          <w:lang w:val="sq-AL"/>
        </w:rPr>
        <w:t>mbimeve t</w:t>
      </w:r>
      <w:r w:rsidR="001A6733" w:rsidRPr="00062169">
        <w:rPr>
          <w:rFonts w:ascii="Calibri" w:hAnsi="Calibri" w:cs="Calibri"/>
          <w:lang w:val="sq-AL"/>
        </w:rPr>
        <w:t>ë</w:t>
      </w:r>
      <w:r w:rsidR="000F339A" w:rsidRPr="00062169">
        <w:rPr>
          <w:rFonts w:ascii="Calibri" w:hAnsi="Calibri" w:cs="Calibri"/>
          <w:lang w:val="sq-AL"/>
        </w:rPr>
        <w:t xml:space="preserve"> q</w:t>
      </w:r>
      <w:r w:rsidR="001A6733" w:rsidRPr="00062169">
        <w:rPr>
          <w:rFonts w:ascii="Calibri" w:hAnsi="Calibri" w:cs="Calibri"/>
          <w:lang w:val="sq-AL"/>
        </w:rPr>
        <w:t>ë</w:t>
      </w:r>
      <w:r w:rsidR="000F339A" w:rsidRPr="00062169">
        <w:rPr>
          <w:rFonts w:ascii="Calibri" w:hAnsi="Calibri" w:cs="Calibri"/>
          <w:lang w:val="sq-AL"/>
        </w:rPr>
        <w:t>llimshme t</w:t>
      </w:r>
      <w:r w:rsidR="001A6733" w:rsidRPr="00062169">
        <w:rPr>
          <w:rFonts w:ascii="Calibri" w:hAnsi="Calibri" w:cs="Calibri"/>
          <w:lang w:val="sq-AL"/>
        </w:rPr>
        <w:t>ë</w:t>
      </w:r>
      <w:r w:rsidR="000F339A" w:rsidRPr="00062169">
        <w:rPr>
          <w:rFonts w:ascii="Calibri" w:hAnsi="Calibri" w:cs="Calibri"/>
          <w:lang w:val="sq-AL"/>
        </w:rPr>
        <w:t xml:space="preserve"> energjis</w:t>
      </w:r>
      <w:r w:rsidR="001A6733" w:rsidRPr="00062169">
        <w:rPr>
          <w:rFonts w:ascii="Calibri" w:hAnsi="Calibri" w:cs="Calibri"/>
          <w:lang w:val="sq-AL"/>
        </w:rPr>
        <w:t>ë</w:t>
      </w:r>
      <w:r w:rsidR="000F339A" w:rsidRPr="00062169">
        <w:rPr>
          <w:rFonts w:ascii="Calibri" w:hAnsi="Calibri" w:cs="Calibri"/>
          <w:lang w:val="sq-AL"/>
        </w:rPr>
        <w:t xml:space="preserve"> si rezultat i procesit t</w:t>
      </w:r>
      <w:r w:rsidR="001A6733" w:rsidRPr="00062169">
        <w:rPr>
          <w:rFonts w:ascii="Calibri" w:hAnsi="Calibri" w:cs="Calibri"/>
          <w:lang w:val="sq-AL"/>
        </w:rPr>
        <w:t>ë</w:t>
      </w:r>
      <w:r w:rsidR="000F339A" w:rsidRPr="00062169">
        <w:rPr>
          <w:rFonts w:ascii="Calibri" w:hAnsi="Calibri" w:cs="Calibri"/>
          <w:lang w:val="sq-AL"/>
        </w:rPr>
        <w:t xml:space="preserve"> </w:t>
      </w:r>
      <w:r w:rsidRPr="00062169">
        <w:rPr>
          <w:rFonts w:ascii="Calibri" w:hAnsi="Calibri" w:cs="Calibri"/>
          <w:lang w:val="sq-AL"/>
        </w:rPr>
        <w:t xml:space="preserve">rregullimit </w:t>
      </w:r>
      <w:r w:rsidR="00C85011" w:rsidRPr="00062169">
        <w:rPr>
          <w:rFonts w:ascii="Calibri" w:hAnsi="Calibri" w:cs="Calibri"/>
          <w:lang w:val="sq-AL"/>
        </w:rPr>
        <w:t>stabilizues</w:t>
      </w:r>
      <w:r w:rsidRPr="00062169">
        <w:rPr>
          <w:rFonts w:ascii="Calibri" w:hAnsi="Calibri" w:cs="Calibri"/>
          <w:lang w:val="sq-AL"/>
        </w:rPr>
        <w:t xml:space="preserve"> </w:t>
      </w:r>
      <w:r w:rsidR="000F339A" w:rsidRPr="00062169">
        <w:rPr>
          <w:rFonts w:ascii="Calibri" w:hAnsi="Calibri" w:cs="Calibri"/>
          <w:lang w:val="sq-AL"/>
        </w:rPr>
        <w:t>t</w:t>
      </w:r>
      <w:r w:rsidR="001A6733" w:rsidRPr="00062169">
        <w:rPr>
          <w:rFonts w:ascii="Calibri" w:hAnsi="Calibri" w:cs="Calibri"/>
          <w:lang w:val="sq-AL"/>
        </w:rPr>
        <w:t>ë</w:t>
      </w:r>
      <w:r w:rsidR="000F339A" w:rsidRPr="00062169">
        <w:rPr>
          <w:rFonts w:ascii="Calibri" w:hAnsi="Calibri" w:cs="Calibri"/>
          <w:lang w:val="sq-AL"/>
        </w:rPr>
        <w:t xml:space="preserve"> frekuenc</w:t>
      </w:r>
      <w:r w:rsidR="001A6733" w:rsidRPr="00062169">
        <w:rPr>
          <w:rFonts w:ascii="Calibri" w:hAnsi="Calibri" w:cs="Calibri"/>
          <w:lang w:val="sq-AL"/>
        </w:rPr>
        <w:t>ë</w:t>
      </w:r>
      <w:r w:rsidR="000F339A" w:rsidRPr="00062169">
        <w:rPr>
          <w:rFonts w:ascii="Calibri" w:hAnsi="Calibri" w:cs="Calibri"/>
          <w:lang w:val="sq-AL"/>
        </w:rPr>
        <w:t xml:space="preserve">s sipas Nenit </w:t>
      </w:r>
      <w:r w:rsidR="005B18D0" w:rsidRPr="00062169">
        <w:rPr>
          <w:rFonts w:ascii="Calibri" w:hAnsi="Calibri" w:cs="Calibri"/>
          <w:lang w:val="sq-AL"/>
        </w:rPr>
        <w:t xml:space="preserve">50(3)(a) </w:t>
      </w:r>
      <w:r w:rsidR="000F339A"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5B18D0" w:rsidRPr="00062169">
        <w:rPr>
          <w:rFonts w:ascii="Calibri" w:hAnsi="Calibri" w:cs="Calibri"/>
          <w:lang w:val="sq-AL"/>
        </w:rPr>
        <w:t xml:space="preserve">EBGL </w:t>
      </w:r>
      <w:r w:rsidR="000F339A" w:rsidRPr="00062169">
        <w:rPr>
          <w:rFonts w:ascii="Calibri" w:hAnsi="Calibri" w:cs="Calibri"/>
          <w:lang w:val="sq-AL"/>
        </w:rPr>
        <w:t xml:space="preserve">llogariten nga funksioni </w:t>
      </w:r>
      <w:r w:rsidR="00404F22" w:rsidRPr="00062169">
        <w:rPr>
          <w:rFonts w:ascii="Calibri" w:hAnsi="Calibri" w:cs="Calibri"/>
          <w:lang w:val="sq-AL"/>
        </w:rPr>
        <w:t xml:space="preserve">i </w:t>
      </w:r>
      <w:r w:rsidR="009E298F" w:rsidRPr="00062169">
        <w:rPr>
          <w:rFonts w:ascii="Calibri" w:hAnsi="Calibri" w:cs="Calibri"/>
          <w:lang w:val="sq-AL"/>
        </w:rPr>
        <w:t>llogaritjes</w:t>
      </w:r>
      <w:r w:rsidR="00404F22" w:rsidRPr="00062169">
        <w:rPr>
          <w:rFonts w:ascii="Calibri" w:hAnsi="Calibri" w:cs="Calibri"/>
          <w:lang w:val="sq-AL"/>
        </w:rPr>
        <w:t xml:space="preserve"> </w:t>
      </w:r>
      <w:r w:rsidRPr="00062169">
        <w:rPr>
          <w:rFonts w:ascii="Calibri" w:hAnsi="Calibri" w:cs="Calibri"/>
          <w:lang w:val="sq-AL"/>
        </w:rPr>
        <w:t>i</w:t>
      </w:r>
      <w:r w:rsidR="000F339A" w:rsidRPr="00062169">
        <w:rPr>
          <w:rFonts w:ascii="Calibri" w:hAnsi="Calibri" w:cs="Calibri"/>
          <w:lang w:val="sq-AL"/>
        </w:rPr>
        <w:t xml:space="preserve"> </w:t>
      </w:r>
      <w:r w:rsidR="00C06B6E" w:rsidRPr="00062169">
        <w:rPr>
          <w:rFonts w:ascii="Calibri" w:hAnsi="Calibri" w:cs="Calibri"/>
          <w:lang w:val="sq-AL"/>
        </w:rPr>
        <w:t>CCFR</w:t>
      </w:r>
      <w:r w:rsidR="00055AC2" w:rsidRPr="00062169">
        <w:rPr>
          <w:rFonts w:ascii="Calibri" w:hAnsi="Calibri" w:cs="Calibri"/>
          <w:lang w:val="sq-AL"/>
        </w:rPr>
        <w:t>,</w:t>
      </w:r>
      <w:r w:rsidR="000F339A" w:rsidRPr="00062169">
        <w:rPr>
          <w:rFonts w:ascii="Calibri" w:hAnsi="Calibri" w:cs="Calibri"/>
          <w:lang w:val="sq-AL"/>
        </w:rPr>
        <w:t xml:space="preserve"> p</w:t>
      </w:r>
      <w:r w:rsidR="001A6733" w:rsidRPr="00062169">
        <w:rPr>
          <w:rFonts w:ascii="Calibri" w:hAnsi="Calibri" w:cs="Calibri"/>
          <w:lang w:val="sq-AL"/>
        </w:rPr>
        <w:t>ë</w:t>
      </w:r>
      <w:r w:rsidR="000F339A" w:rsidRPr="00062169">
        <w:rPr>
          <w:rFonts w:ascii="Calibri" w:hAnsi="Calibri" w:cs="Calibri"/>
          <w:lang w:val="sq-AL"/>
        </w:rPr>
        <w:t>r</w:t>
      </w:r>
      <w:r w:rsidR="00E1506D" w:rsidRPr="00062169">
        <w:rPr>
          <w:rFonts w:ascii="Calibri" w:hAnsi="Calibri" w:cs="Calibri"/>
          <w:lang w:val="sq-AL"/>
        </w:rPr>
        <w:t xml:space="preserve"> </w:t>
      </w:r>
      <w:r w:rsidR="000F339A" w:rsidRPr="00062169">
        <w:rPr>
          <w:rFonts w:ascii="Calibri" w:hAnsi="Calibri" w:cs="Calibri"/>
          <w:lang w:val="sq-AL"/>
        </w:rPr>
        <w:t xml:space="preserve">secilin bllok </w:t>
      </w:r>
      <w:r w:rsidR="00722C74" w:rsidRPr="00062169">
        <w:rPr>
          <w:rFonts w:ascii="Calibri" w:hAnsi="Calibri" w:cs="Calibri"/>
          <w:lang w:val="sq-AL"/>
        </w:rPr>
        <w:t xml:space="preserve">LFC </w:t>
      </w:r>
      <w:r w:rsidR="000F339A" w:rsidRPr="00062169">
        <w:rPr>
          <w:rFonts w:ascii="Calibri" w:hAnsi="Calibri" w:cs="Calibri"/>
          <w:lang w:val="sq-AL"/>
        </w:rPr>
        <w:t>ose zon</w:t>
      </w:r>
      <w:r w:rsidR="001A6733" w:rsidRPr="00062169">
        <w:rPr>
          <w:rFonts w:ascii="Calibri" w:hAnsi="Calibri" w:cs="Calibri"/>
          <w:lang w:val="sq-AL"/>
        </w:rPr>
        <w:t>ë</w:t>
      </w:r>
      <w:r w:rsidR="00E1506D" w:rsidRPr="00062169">
        <w:rPr>
          <w:rFonts w:ascii="Calibri" w:hAnsi="Calibri" w:cs="Calibri"/>
          <w:lang w:val="sq-AL"/>
        </w:rPr>
        <w:t xml:space="preserve"> </w:t>
      </w:r>
      <w:r w:rsidR="00722C74" w:rsidRPr="00062169">
        <w:rPr>
          <w:rFonts w:ascii="Calibri" w:hAnsi="Calibri" w:cs="Calibri"/>
          <w:lang w:val="sq-AL"/>
        </w:rPr>
        <w:t xml:space="preserve">LFC </w:t>
      </w:r>
      <w:r w:rsidR="000F339A" w:rsidRPr="00062169">
        <w:rPr>
          <w:rFonts w:ascii="Calibri" w:hAnsi="Calibri" w:cs="Calibri"/>
          <w:lang w:val="sq-AL"/>
        </w:rPr>
        <w:t>p</w:t>
      </w:r>
      <w:r w:rsidR="001A6733" w:rsidRPr="00062169">
        <w:rPr>
          <w:rFonts w:ascii="Calibri" w:hAnsi="Calibri" w:cs="Calibri"/>
          <w:lang w:val="sq-AL"/>
        </w:rPr>
        <w:t>ë</w:t>
      </w:r>
      <w:r w:rsidR="000F339A" w:rsidRPr="00062169">
        <w:rPr>
          <w:rFonts w:ascii="Calibri" w:hAnsi="Calibri" w:cs="Calibri"/>
          <w:lang w:val="sq-AL"/>
        </w:rPr>
        <w:t xml:space="preserve">r çdo </w:t>
      </w:r>
      <w:r w:rsidRPr="00062169">
        <w:rPr>
          <w:rFonts w:ascii="Calibri" w:hAnsi="Calibri" w:cs="Calibri"/>
          <w:lang w:val="sq-AL"/>
        </w:rPr>
        <w:t>periodë të barazimit përfundimtar</w:t>
      </w:r>
      <w:r w:rsidR="000F339A" w:rsidRPr="00062169">
        <w:rPr>
          <w:rFonts w:ascii="Calibri" w:hAnsi="Calibri" w:cs="Calibri"/>
          <w:lang w:val="sq-AL"/>
        </w:rPr>
        <w:t xml:space="preserve"> </w:t>
      </w:r>
      <w:r w:rsidR="00AE3781" w:rsidRPr="00062169">
        <w:rPr>
          <w:rFonts w:ascii="Calibri" w:hAnsi="Calibri" w:cs="Calibri"/>
          <w:lang w:val="sq-AL"/>
        </w:rPr>
        <w:t xml:space="preserve">TSO </w:t>
      </w:r>
      <w:r w:rsidR="000F339A" w:rsidRPr="00062169">
        <w:rPr>
          <w:rFonts w:ascii="Calibri" w:hAnsi="Calibri" w:cs="Calibri"/>
          <w:lang w:val="sq-AL"/>
        </w:rPr>
        <w:t>-</w:t>
      </w:r>
      <w:r w:rsidR="00AE3781" w:rsidRPr="00062169">
        <w:rPr>
          <w:rFonts w:ascii="Calibri" w:hAnsi="Calibri" w:cs="Calibri"/>
          <w:lang w:val="sq-AL"/>
        </w:rPr>
        <w:t>TSO</w:t>
      </w:r>
      <w:r w:rsidR="00055AC2" w:rsidRPr="00062169">
        <w:rPr>
          <w:rFonts w:ascii="Calibri" w:hAnsi="Calibri" w:cs="Calibri"/>
          <w:lang w:val="sq-AL"/>
        </w:rPr>
        <w:t>,</w:t>
      </w:r>
      <w:r w:rsidR="00E1506D" w:rsidRPr="00062169">
        <w:rPr>
          <w:rFonts w:ascii="Calibri" w:hAnsi="Calibri" w:cs="Calibri"/>
          <w:lang w:val="sq-AL"/>
        </w:rPr>
        <w:t xml:space="preserve"> </w:t>
      </w:r>
      <w:r w:rsidR="000F339A" w:rsidRPr="00062169">
        <w:rPr>
          <w:rFonts w:ascii="Calibri" w:hAnsi="Calibri" w:cs="Calibri"/>
          <w:lang w:val="sq-AL"/>
        </w:rPr>
        <w:t>si produkt i faktorit k t</w:t>
      </w:r>
      <w:r w:rsidR="001A6733" w:rsidRPr="00062169">
        <w:rPr>
          <w:rFonts w:ascii="Calibri" w:hAnsi="Calibri" w:cs="Calibri"/>
          <w:lang w:val="sq-AL"/>
        </w:rPr>
        <w:t>ë</w:t>
      </w:r>
      <w:r w:rsidR="000F339A" w:rsidRPr="00062169">
        <w:rPr>
          <w:rFonts w:ascii="Calibri" w:hAnsi="Calibri" w:cs="Calibri"/>
          <w:lang w:val="sq-AL"/>
        </w:rPr>
        <w:t xml:space="preserve"> njohur dhe devijimit mesatar t</w:t>
      </w:r>
      <w:r w:rsidR="001A6733" w:rsidRPr="00062169">
        <w:rPr>
          <w:rFonts w:ascii="Calibri" w:hAnsi="Calibri" w:cs="Calibri"/>
          <w:lang w:val="sq-AL"/>
        </w:rPr>
        <w:t>ë</w:t>
      </w:r>
      <w:r w:rsidR="00671E47" w:rsidRPr="00062169">
        <w:rPr>
          <w:rFonts w:ascii="Calibri" w:hAnsi="Calibri" w:cs="Calibri"/>
          <w:lang w:val="sq-AL"/>
        </w:rPr>
        <w:t xml:space="preserve"> frekuenc</w:t>
      </w:r>
      <w:r w:rsidR="001A6733" w:rsidRPr="00062169">
        <w:rPr>
          <w:rFonts w:ascii="Calibri" w:hAnsi="Calibri" w:cs="Calibri"/>
          <w:lang w:val="sq-AL"/>
        </w:rPr>
        <w:t>ë</w:t>
      </w:r>
      <w:r w:rsidR="00671E47" w:rsidRPr="00062169">
        <w:rPr>
          <w:rFonts w:ascii="Calibri" w:hAnsi="Calibri" w:cs="Calibri"/>
          <w:lang w:val="sq-AL"/>
        </w:rPr>
        <w:t>s p</w:t>
      </w:r>
      <w:r w:rsidR="001A6733" w:rsidRPr="00062169">
        <w:rPr>
          <w:rFonts w:ascii="Calibri" w:hAnsi="Calibri" w:cs="Calibri"/>
          <w:lang w:val="sq-AL"/>
        </w:rPr>
        <w:t>ë</w:t>
      </w:r>
      <w:r w:rsidR="00671E47" w:rsidRPr="00062169">
        <w:rPr>
          <w:rFonts w:ascii="Calibri" w:hAnsi="Calibri" w:cs="Calibri"/>
          <w:lang w:val="sq-AL"/>
        </w:rPr>
        <w:t>r at</w:t>
      </w:r>
      <w:r w:rsidR="001A6733" w:rsidRPr="00062169">
        <w:rPr>
          <w:rFonts w:ascii="Calibri" w:hAnsi="Calibri" w:cs="Calibri"/>
          <w:lang w:val="sq-AL"/>
        </w:rPr>
        <w:t>ë</w:t>
      </w:r>
      <w:r w:rsidR="00671E47" w:rsidRPr="00062169">
        <w:rPr>
          <w:rFonts w:ascii="Calibri" w:hAnsi="Calibri" w:cs="Calibri"/>
          <w:lang w:val="sq-AL"/>
        </w:rPr>
        <w:t xml:space="preserve"> </w:t>
      </w:r>
      <w:r w:rsidR="00BF318F" w:rsidRPr="00062169">
        <w:rPr>
          <w:rFonts w:ascii="Calibri" w:hAnsi="Calibri" w:cs="Calibri"/>
          <w:lang w:val="sq-AL"/>
        </w:rPr>
        <w:t>periodë të barazimit përfundimtar</w:t>
      </w:r>
      <w:r w:rsidR="00671E47" w:rsidRPr="00062169">
        <w:rPr>
          <w:rFonts w:ascii="Calibri" w:hAnsi="Calibri" w:cs="Calibri"/>
          <w:lang w:val="sq-AL"/>
        </w:rPr>
        <w:t xml:space="preserve"> </w:t>
      </w:r>
      <w:r w:rsidR="00AE3781" w:rsidRPr="00062169">
        <w:rPr>
          <w:rFonts w:ascii="Calibri" w:hAnsi="Calibri" w:cs="Calibri"/>
          <w:lang w:val="sq-AL"/>
        </w:rPr>
        <w:t xml:space="preserve">TSO </w:t>
      </w:r>
      <w:r w:rsidR="00671E47" w:rsidRPr="00062169">
        <w:rPr>
          <w:rFonts w:ascii="Calibri" w:hAnsi="Calibri" w:cs="Calibri"/>
          <w:lang w:val="sq-AL"/>
        </w:rPr>
        <w:t>-</w:t>
      </w:r>
      <w:r w:rsidR="00AE3781" w:rsidRPr="00062169">
        <w:rPr>
          <w:rFonts w:ascii="Calibri" w:hAnsi="Calibri" w:cs="Calibri"/>
          <w:lang w:val="sq-AL"/>
        </w:rPr>
        <w:t>TSO</w:t>
      </w:r>
      <w:r w:rsidR="00671E47" w:rsidRPr="00062169">
        <w:rPr>
          <w:rFonts w:ascii="Calibri" w:hAnsi="Calibri" w:cs="Calibri"/>
          <w:lang w:val="sq-AL"/>
        </w:rPr>
        <w:t>, n</w:t>
      </w:r>
      <w:r w:rsidR="001A6733" w:rsidRPr="00062169">
        <w:rPr>
          <w:rFonts w:ascii="Calibri" w:hAnsi="Calibri" w:cs="Calibri"/>
          <w:lang w:val="sq-AL"/>
        </w:rPr>
        <w:t>ë</w:t>
      </w:r>
      <w:r w:rsidR="00671E47" w:rsidRPr="00062169">
        <w:rPr>
          <w:rFonts w:ascii="Calibri" w:hAnsi="Calibri" w:cs="Calibri"/>
          <w:lang w:val="sq-AL"/>
        </w:rPr>
        <w:t xml:space="preserve"> p</w:t>
      </w:r>
      <w:r w:rsidR="001A6733" w:rsidRPr="00062169">
        <w:rPr>
          <w:rFonts w:ascii="Calibri" w:hAnsi="Calibri" w:cs="Calibri"/>
          <w:lang w:val="sq-AL"/>
        </w:rPr>
        <w:t>ë</w:t>
      </w:r>
      <w:r w:rsidR="00671E47" w:rsidRPr="00062169">
        <w:rPr>
          <w:rFonts w:ascii="Calibri" w:hAnsi="Calibri" w:cs="Calibri"/>
          <w:lang w:val="sq-AL"/>
        </w:rPr>
        <w:t>rputhje me Nenin 3 t</w:t>
      </w:r>
      <w:r w:rsidR="001A6733" w:rsidRPr="00062169">
        <w:rPr>
          <w:rFonts w:ascii="Calibri" w:hAnsi="Calibri" w:cs="Calibri"/>
          <w:lang w:val="sq-AL"/>
        </w:rPr>
        <w:t>ë</w:t>
      </w:r>
      <w:r w:rsidR="00671E47" w:rsidRPr="00062169">
        <w:rPr>
          <w:rFonts w:ascii="Calibri" w:hAnsi="Calibri" w:cs="Calibri"/>
          <w:lang w:val="sq-AL"/>
        </w:rPr>
        <w:t xml:space="preserve"> </w:t>
      </w:r>
      <w:r w:rsidR="009B3D95" w:rsidRPr="00062169">
        <w:rPr>
          <w:rFonts w:ascii="Calibri" w:hAnsi="Calibri" w:cs="Calibri"/>
          <w:lang w:val="sq-AL"/>
        </w:rPr>
        <w:t xml:space="preserve">këtij </w:t>
      </w:r>
      <w:r w:rsidR="00CA22CF" w:rsidRPr="00062169">
        <w:rPr>
          <w:rFonts w:ascii="Calibri" w:hAnsi="Calibri" w:cs="Calibri"/>
          <w:lang w:val="sq-AL"/>
        </w:rPr>
        <w:t>CCFR.</w:t>
      </w:r>
    </w:p>
    <w:p w:rsidR="00C155D2" w:rsidRPr="00062169" w:rsidRDefault="00BF318F" w:rsidP="00900B3B">
      <w:pPr>
        <w:pStyle w:val="textregular"/>
        <w:numPr>
          <w:ilvl w:val="0"/>
          <w:numId w:val="27"/>
        </w:numPr>
        <w:spacing w:after="0" w:line="276" w:lineRule="auto"/>
        <w:jc w:val="both"/>
        <w:rPr>
          <w:rFonts w:ascii="Calibri" w:hAnsi="Calibri" w:cs="Calibri"/>
          <w:lang w:val="sq-AL"/>
        </w:rPr>
      </w:pPr>
      <w:bookmarkStart w:id="40" w:name="_Hlk7472139"/>
      <w:r w:rsidRPr="00062169">
        <w:rPr>
          <w:rFonts w:ascii="Calibri" w:hAnsi="Calibri" w:cs="Calibri"/>
          <w:lang w:val="sq-AL"/>
        </w:rPr>
        <w:t xml:space="preserve">Sasitë </w:t>
      </w:r>
      <w:r w:rsidR="00671E47" w:rsidRPr="00062169">
        <w:rPr>
          <w:rFonts w:ascii="Calibri" w:hAnsi="Calibri" w:cs="Calibri"/>
          <w:lang w:val="sq-AL"/>
        </w:rPr>
        <w:t>e shk</w:t>
      </w:r>
      <w:r w:rsidR="001A6733" w:rsidRPr="00062169">
        <w:rPr>
          <w:rFonts w:ascii="Calibri" w:hAnsi="Calibri" w:cs="Calibri"/>
          <w:lang w:val="sq-AL"/>
        </w:rPr>
        <w:t>ë</w:t>
      </w:r>
      <w:r w:rsidR="00671E47" w:rsidRPr="00062169">
        <w:rPr>
          <w:rFonts w:ascii="Calibri" w:hAnsi="Calibri" w:cs="Calibri"/>
          <w:lang w:val="sq-AL"/>
        </w:rPr>
        <w:t>mbimeve t</w:t>
      </w:r>
      <w:r w:rsidR="001A6733" w:rsidRPr="00062169">
        <w:rPr>
          <w:rFonts w:ascii="Calibri" w:hAnsi="Calibri" w:cs="Calibri"/>
          <w:lang w:val="sq-AL"/>
        </w:rPr>
        <w:t>ë</w:t>
      </w:r>
      <w:r w:rsidR="00671E47" w:rsidRPr="00062169">
        <w:rPr>
          <w:rFonts w:ascii="Calibri" w:hAnsi="Calibri" w:cs="Calibri"/>
          <w:lang w:val="sq-AL"/>
        </w:rPr>
        <w:t xml:space="preserve"> q</w:t>
      </w:r>
      <w:r w:rsidR="001A6733" w:rsidRPr="00062169">
        <w:rPr>
          <w:rFonts w:ascii="Calibri" w:hAnsi="Calibri" w:cs="Calibri"/>
          <w:lang w:val="sq-AL"/>
        </w:rPr>
        <w:t>ë</w:t>
      </w:r>
      <w:r w:rsidR="00671E47" w:rsidRPr="00062169">
        <w:rPr>
          <w:rFonts w:ascii="Calibri" w:hAnsi="Calibri" w:cs="Calibri"/>
          <w:lang w:val="sq-AL"/>
        </w:rPr>
        <w:t>llimshme t</w:t>
      </w:r>
      <w:r w:rsidR="001A6733" w:rsidRPr="00062169">
        <w:rPr>
          <w:rFonts w:ascii="Calibri" w:hAnsi="Calibri" w:cs="Calibri"/>
          <w:lang w:val="sq-AL"/>
        </w:rPr>
        <w:t>ë</w:t>
      </w:r>
      <w:r w:rsidR="00671E47" w:rsidRPr="00062169">
        <w:rPr>
          <w:rFonts w:ascii="Calibri" w:hAnsi="Calibri" w:cs="Calibri"/>
          <w:lang w:val="sq-AL"/>
        </w:rPr>
        <w:t xml:space="preserve"> energjis</w:t>
      </w:r>
      <w:r w:rsidR="001A6733" w:rsidRPr="00062169">
        <w:rPr>
          <w:rFonts w:ascii="Calibri" w:hAnsi="Calibri" w:cs="Calibri"/>
          <w:lang w:val="sq-AL"/>
        </w:rPr>
        <w:t>ë</w:t>
      </w:r>
      <w:r w:rsidR="00671E47" w:rsidRPr="00062169">
        <w:rPr>
          <w:rFonts w:ascii="Calibri" w:hAnsi="Calibri" w:cs="Calibri"/>
          <w:lang w:val="sq-AL"/>
        </w:rPr>
        <w:t xml:space="preserve"> si rezultat i </w:t>
      </w:r>
      <w:r w:rsidR="009114D7" w:rsidRPr="00062169">
        <w:rPr>
          <w:rFonts w:ascii="Calibri" w:hAnsi="Calibri" w:cs="Calibri"/>
          <w:lang w:val="sq-AL"/>
        </w:rPr>
        <w:t xml:space="preserve">periodës </w:t>
      </w:r>
      <w:r w:rsidR="00671E47" w:rsidRPr="00062169">
        <w:rPr>
          <w:rFonts w:ascii="Calibri" w:hAnsi="Calibri" w:cs="Calibri"/>
          <w:lang w:val="sq-AL"/>
        </w:rPr>
        <w:t>s</w:t>
      </w:r>
      <w:r w:rsidR="001A6733" w:rsidRPr="00062169">
        <w:rPr>
          <w:rFonts w:ascii="Calibri" w:hAnsi="Calibri" w:cs="Calibri"/>
          <w:lang w:val="sq-AL"/>
        </w:rPr>
        <w:t>ë</w:t>
      </w:r>
      <w:r w:rsidR="00671E47" w:rsidRPr="00062169">
        <w:rPr>
          <w:rFonts w:ascii="Calibri" w:hAnsi="Calibri" w:cs="Calibri"/>
          <w:lang w:val="sq-AL"/>
        </w:rPr>
        <w:t xml:space="preserve"> </w:t>
      </w:r>
      <w:r w:rsidR="00A30633" w:rsidRPr="00062169">
        <w:rPr>
          <w:rFonts w:ascii="Calibri" w:hAnsi="Calibri" w:cs="Calibri"/>
          <w:lang w:val="sq-AL"/>
        </w:rPr>
        <w:t xml:space="preserve">ndryshimit (rritje / ulje) </w:t>
      </w:r>
      <w:r w:rsidR="00671E47" w:rsidRPr="00062169">
        <w:rPr>
          <w:rFonts w:ascii="Calibri" w:hAnsi="Calibri" w:cs="Calibri"/>
          <w:lang w:val="sq-AL"/>
        </w:rPr>
        <w:t xml:space="preserve">sipas Nenit </w:t>
      </w:r>
      <w:r w:rsidR="00C155D2" w:rsidRPr="00062169">
        <w:rPr>
          <w:rFonts w:ascii="Calibri" w:hAnsi="Calibri" w:cs="Calibri"/>
          <w:lang w:val="sq-AL"/>
        </w:rPr>
        <w:t>50</w:t>
      </w:r>
      <w:r w:rsidR="005B18D0" w:rsidRPr="00062169">
        <w:rPr>
          <w:rFonts w:ascii="Calibri" w:hAnsi="Calibri" w:cs="Calibri"/>
          <w:lang w:val="sq-AL"/>
        </w:rPr>
        <w:t>(3)</w:t>
      </w:r>
      <w:r w:rsidR="00C155D2" w:rsidRPr="00062169">
        <w:rPr>
          <w:rFonts w:ascii="Calibri" w:hAnsi="Calibri" w:cs="Calibri"/>
          <w:lang w:val="sq-AL"/>
        </w:rPr>
        <w:t>(b)</w:t>
      </w:r>
      <w:r w:rsidR="00E1506D" w:rsidRPr="00062169">
        <w:rPr>
          <w:rFonts w:ascii="Calibri" w:hAnsi="Calibri" w:cs="Calibri"/>
          <w:lang w:val="sq-AL"/>
        </w:rPr>
        <w:t xml:space="preserve"> t</w:t>
      </w:r>
      <w:r w:rsidR="001A6733" w:rsidRPr="00062169">
        <w:rPr>
          <w:rFonts w:ascii="Calibri" w:hAnsi="Calibri" w:cs="Calibri"/>
          <w:lang w:val="sq-AL"/>
        </w:rPr>
        <w:t>ë</w:t>
      </w:r>
      <w:r w:rsidR="00E1506D" w:rsidRPr="00062169">
        <w:rPr>
          <w:rFonts w:ascii="Calibri" w:hAnsi="Calibri" w:cs="Calibri"/>
          <w:lang w:val="sq-AL"/>
        </w:rPr>
        <w:t xml:space="preserve"> </w:t>
      </w:r>
      <w:r w:rsidR="00D24505" w:rsidRPr="00062169">
        <w:rPr>
          <w:rFonts w:ascii="Calibri" w:hAnsi="Calibri" w:cs="Calibri"/>
          <w:lang w:val="sq-AL"/>
        </w:rPr>
        <w:t>EBGL</w:t>
      </w:r>
      <w:r w:rsidR="00E1506D" w:rsidRPr="00062169">
        <w:rPr>
          <w:rFonts w:ascii="Calibri" w:hAnsi="Calibri" w:cs="Calibri"/>
          <w:lang w:val="sq-AL"/>
        </w:rPr>
        <w:t xml:space="preserve"> </w:t>
      </w:r>
      <w:r w:rsidR="00671E47" w:rsidRPr="00062169">
        <w:rPr>
          <w:rFonts w:ascii="Calibri" w:hAnsi="Calibri" w:cs="Calibri"/>
          <w:lang w:val="sq-AL"/>
        </w:rPr>
        <w:t xml:space="preserve">dhe Nenit </w:t>
      </w:r>
      <w:r w:rsidR="008D271C" w:rsidRPr="00062169">
        <w:rPr>
          <w:rFonts w:ascii="Calibri" w:hAnsi="Calibri" w:cs="Calibri"/>
          <w:lang w:val="sq-AL"/>
        </w:rPr>
        <w:t>136</w:t>
      </w:r>
      <w:r w:rsidR="00E1506D" w:rsidRPr="00062169">
        <w:rPr>
          <w:rFonts w:ascii="Calibri" w:hAnsi="Calibri" w:cs="Calibri"/>
          <w:lang w:val="sq-AL"/>
        </w:rPr>
        <w:t xml:space="preserve"> </w:t>
      </w:r>
      <w:r w:rsidR="00671E47"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1E4522" w:rsidRPr="00062169">
        <w:rPr>
          <w:rFonts w:ascii="Calibri" w:hAnsi="Calibri" w:cs="Calibri"/>
          <w:lang w:val="sq-AL"/>
        </w:rPr>
        <w:t xml:space="preserve">SOGL </w:t>
      </w:r>
      <w:r w:rsidR="00671E47" w:rsidRPr="00062169">
        <w:rPr>
          <w:rFonts w:ascii="Calibri" w:hAnsi="Calibri" w:cs="Calibri"/>
          <w:lang w:val="sq-AL"/>
        </w:rPr>
        <w:t>llogariten me an</w:t>
      </w:r>
      <w:r w:rsidR="001A6733" w:rsidRPr="00062169">
        <w:rPr>
          <w:rFonts w:ascii="Calibri" w:hAnsi="Calibri" w:cs="Calibri"/>
          <w:lang w:val="sq-AL"/>
        </w:rPr>
        <w:t>ë</w:t>
      </w:r>
      <w:r w:rsidR="00671E47" w:rsidRPr="00062169">
        <w:rPr>
          <w:rFonts w:ascii="Calibri" w:hAnsi="Calibri" w:cs="Calibri"/>
          <w:lang w:val="sq-AL"/>
        </w:rPr>
        <w:t xml:space="preserve"> t</w:t>
      </w:r>
      <w:r w:rsidR="001A6733" w:rsidRPr="00062169">
        <w:rPr>
          <w:rFonts w:ascii="Calibri" w:hAnsi="Calibri" w:cs="Calibri"/>
          <w:lang w:val="sq-AL"/>
        </w:rPr>
        <w:t>ë</w:t>
      </w:r>
      <w:r w:rsidR="00671E47" w:rsidRPr="00062169">
        <w:rPr>
          <w:rFonts w:ascii="Calibri" w:hAnsi="Calibri" w:cs="Calibri"/>
          <w:lang w:val="sq-AL"/>
        </w:rPr>
        <w:t xml:space="preserve"> funksionit </w:t>
      </w:r>
      <w:r w:rsidR="00375FEC" w:rsidRPr="00062169">
        <w:rPr>
          <w:rFonts w:ascii="Calibri" w:hAnsi="Calibri" w:cs="Calibri"/>
          <w:lang w:val="sq-AL"/>
        </w:rPr>
        <w:t xml:space="preserve">të </w:t>
      </w:r>
      <w:r w:rsidR="009E298F" w:rsidRPr="00062169">
        <w:rPr>
          <w:rFonts w:ascii="Calibri" w:hAnsi="Calibri" w:cs="Calibri"/>
          <w:lang w:val="sq-AL"/>
        </w:rPr>
        <w:t>llogaritjes</w:t>
      </w:r>
      <w:r w:rsidR="00375FEC" w:rsidRPr="00062169">
        <w:rPr>
          <w:rFonts w:ascii="Calibri" w:hAnsi="Calibri" w:cs="Calibri"/>
          <w:lang w:val="sq-AL"/>
        </w:rPr>
        <w:t xml:space="preserve"> </w:t>
      </w:r>
      <w:r w:rsidRPr="00062169">
        <w:rPr>
          <w:rFonts w:ascii="Calibri" w:hAnsi="Calibri" w:cs="Calibri"/>
          <w:lang w:val="sq-AL"/>
        </w:rPr>
        <w:t xml:space="preserve">i </w:t>
      </w:r>
      <w:r w:rsidR="00671E47" w:rsidRPr="00062169">
        <w:rPr>
          <w:rFonts w:ascii="Calibri" w:hAnsi="Calibri" w:cs="Calibri"/>
          <w:lang w:val="sq-AL"/>
        </w:rPr>
        <w:t>CCFR p</w:t>
      </w:r>
      <w:r w:rsidR="001A6733" w:rsidRPr="00062169">
        <w:rPr>
          <w:rFonts w:ascii="Calibri" w:hAnsi="Calibri" w:cs="Calibri"/>
          <w:lang w:val="sq-AL"/>
        </w:rPr>
        <w:t>ë</w:t>
      </w:r>
      <w:r w:rsidR="00671E47" w:rsidRPr="00062169">
        <w:rPr>
          <w:rFonts w:ascii="Calibri" w:hAnsi="Calibri" w:cs="Calibri"/>
          <w:lang w:val="sq-AL"/>
        </w:rPr>
        <w:t xml:space="preserve">r çdo bllok </w:t>
      </w:r>
      <w:r w:rsidR="00C155D2" w:rsidRPr="00062169">
        <w:rPr>
          <w:rFonts w:ascii="Calibri" w:hAnsi="Calibri" w:cs="Calibri"/>
          <w:lang w:val="sq-AL"/>
        </w:rPr>
        <w:t xml:space="preserve">LFC </w:t>
      </w:r>
      <w:r w:rsidR="00671E47" w:rsidRPr="00062169">
        <w:rPr>
          <w:rFonts w:ascii="Calibri" w:hAnsi="Calibri" w:cs="Calibri"/>
          <w:lang w:val="sq-AL"/>
        </w:rPr>
        <w:t>ose zon</w:t>
      </w:r>
      <w:r w:rsidR="001A6733" w:rsidRPr="00062169">
        <w:rPr>
          <w:rFonts w:ascii="Calibri" w:hAnsi="Calibri" w:cs="Calibri"/>
          <w:lang w:val="sq-AL"/>
        </w:rPr>
        <w:t>ë</w:t>
      </w:r>
      <w:r w:rsidR="00E1506D" w:rsidRPr="00062169">
        <w:rPr>
          <w:rFonts w:ascii="Calibri" w:hAnsi="Calibri" w:cs="Calibri"/>
          <w:lang w:val="sq-AL"/>
        </w:rPr>
        <w:t xml:space="preserve"> </w:t>
      </w:r>
      <w:r w:rsidR="00C155D2" w:rsidRPr="00062169">
        <w:rPr>
          <w:rFonts w:ascii="Calibri" w:hAnsi="Calibri" w:cs="Calibri"/>
          <w:lang w:val="sq-AL"/>
        </w:rPr>
        <w:t xml:space="preserve">LFC </w:t>
      </w:r>
      <w:r w:rsidR="00671E47" w:rsidRPr="00062169">
        <w:rPr>
          <w:rFonts w:ascii="Calibri" w:hAnsi="Calibri" w:cs="Calibri"/>
          <w:lang w:val="sq-AL"/>
        </w:rPr>
        <w:t>dhe p</w:t>
      </w:r>
      <w:r w:rsidR="001A6733" w:rsidRPr="00062169">
        <w:rPr>
          <w:rFonts w:ascii="Calibri" w:hAnsi="Calibri" w:cs="Calibri"/>
          <w:lang w:val="sq-AL"/>
        </w:rPr>
        <w:t>ë</w:t>
      </w:r>
      <w:r w:rsidR="00671E47" w:rsidRPr="00062169">
        <w:rPr>
          <w:rFonts w:ascii="Calibri" w:hAnsi="Calibri" w:cs="Calibri"/>
          <w:lang w:val="sq-AL"/>
        </w:rPr>
        <w:t xml:space="preserve">r </w:t>
      </w:r>
      <w:r w:rsidR="009114D7" w:rsidRPr="00062169">
        <w:rPr>
          <w:rFonts w:ascii="Calibri" w:hAnsi="Calibri" w:cs="Calibri"/>
          <w:lang w:val="sq-AL"/>
        </w:rPr>
        <w:t>periodën</w:t>
      </w:r>
      <w:r w:rsidRPr="00062169">
        <w:rPr>
          <w:rFonts w:ascii="Calibri" w:hAnsi="Calibri" w:cs="Calibri"/>
          <w:lang w:val="sq-AL"/>
        </w:rPr>
        <w:t xml:space="preserve"> e barazimit përfundimtar</w:t>
      </w:r>
      <w:r w:rsidR="00671E47" w:rsidRPr="00062169">
        <w:rPr>
          <w:rFonts w:ascii="Calibri" w:hAnsi="Calibri" w:cs="Calibri"/>
          <w:lang w:val="sq-AL"/>
        </w:rPr>
        <w:t xml:space="preserve"> </w:t>
      </w:r>
      <w:r w:rsidR="00AE3781" w:rsidRPr="00062169">
        <w:rPr>
          <w:rFonts w:ascii="Calibri" w:hAnsi="Calibri" w:cs="Calibri"/>
          <w:lang w:val="sq-AL"/>
        </w:rPr>
        <w:t xml:space="preserve">TSO </w:t>
      </w:r>
      <w:r w:rsidR="00671E47" w:rsidRPr="00062169">
        <w:rPr>
          <w:rFonts w:ascii="Calibri" w:hAnsi="Calibri" w:cs="Calibri"/>
          <w:lang w:val="sq-AL"/>
        </w:rPr>
        <w:t>-</w:t>
      </w:r>
      <w:r w:rsidR="00A30633" w:rsidRPr="00062169">
        <w:rPr>
          <w:rFonts w:ascii="Calibri" w:hAnsi="Calibri" w:cs="Calibri"/>
          <w:lang w:val="sq-AL"/>
        </w:rPr>
        <w:t>TSO</w:t>
      </w:r>
      <w:r w:rsidR="00847645" w:rsidRPr="00062169">
        <w:rPr>
          <w:rFonts w:ascii="Calibri" w:hAnsi="Calibri" w:cs="Calibri"/>
          <w:lang w:val="sq-AL"/>
        </w:rPr>
        <w:t xml:space="preserve">, </w:t>
      </w:r>
      <w:r w:rsidR="00671E47" w:rsidRPr="00062169">
        <w:rPr>
          <w:rFonts w:ascii="Calibri" w:hAnsi="Calibri" w:cs="Calibri"/>
          <w:lang w:val="sq-AL"/>
        </w:rPr>
        <w:t>n</w:t>
      </w:r>
      <w:r w:rsidR="001A6733" w:rsidRPr="00062169">
        <w:rPr>
          <w:rFonts w:ascii="Calibri" w:hAnsi="Calibri" w:cs="Calibri"/>
          <w:lang w:val="sq-AL"/>
        </w:rPr>
        <w:t>ë</w:t>
      </w:r>
      <w:r w:rsidR="00671E47" w:rsidRPr="00062169">
        <w:rPr>
          <w:rFonts w:ascii="Calibri" w:hAnsi="Calibri" w:cs="Calibri"/>
          <w:lang w:val="sq-AL"/>
        </w:rPr>
        <w:t xml:space="preserve"> p</w:t>
      </w:r>
      <w:r w:rsidR="001A6733" w:rsidRPr="00062169">
        <w:rPr>
          <w:rFonts w:ascii="Calibri" w:hAnsi="Calibri" w:cs="Calibri"/>
          <w:lang w:val="sq-AL"/>
        </w:rPr>
        <w:t>ë</w:t>
      </w:r>
      <w:r w:rsidR="00671E47" w:rsidRPr="00062169">
        <w:rPr>
          <w:rFonts w:ascii="Calibri" w:hAnsi="Calibri" w:cs="Calibri"/>
          <w:lang w:val="sq-AL"/>
        </w:rPr>
        <w:t xml:space="preserve">rputhje me Nenin </w:t>
      </w:r>
      <w:r w:rsidR="00847645" w:rsidRPr="00062169">
        <w:rPr>
          <w:rFonts w:ascii="Calibri" w:hAnsi="Calibri" w:cs="Calibri"/>
          <w:lang w:val="sq-AL"/>
        </w:rPr>
        <w:t xml:space="preserve">136 </w:t>
      </w:r>
      <w:r w:rsidR="00671E47"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847645" w:rsidRPr="00062169">
        <w:rPr>
          <w:rFonts w:ascii="Calibri" w:hAnsi="Calibri" w:cs="Calibri"/>
          <w:lang w:val="sq-AL"/>
        </w:rPr>
        <w:t>SOGL</w:t>
      </w:r>
      <w:r w:rsidR="00CA22CF" w:rsidRPr="00062169">
        <w:rPr>
          <w:rFonts w:ascii="Calibri" w:hAnsi="Calibri" w:cs="Calibri"/>
          <w:lang w:val="sq-AL"/>
        </w:rPr>
        <w:t>.</w:t>
      </w:r>
    </w:p>
    <w:bookmarkEnd w:id="40"/>
    <w:p w:rsidR="004865DC" w:rsidRPr="00062169" w:rsidRDefault="00BF318F" w:rsidP="00900B3B">
      <w:pPr>
        <w:pStyle w:val="textregular"/>
        <w:numPr>
          <w:ilvl w:val="0"/>
          <w:numId w:val="27"/>
        </w:numPr>
        <w:spacing w:after="0" w:line="276" w:lineRule="auto"/>
        <w:jc w:val="both"/>
        <w:rPr>
          <w:rFonts w:ascii="Calibri" w:hAnsi="Calibri" w:cs="Calibri"/>
          <w:lang w:val="sq-AL"/>
        </w:rPr>
      </w:pPr>
      <w:r w:rsidRPr="00062169">
        <w:rPr>
          <w:rFonts w:ascii="Calibri" w:hAnsi="Calibri" w:cs="Calibri"/>
          <w:lang w:val="sq-AL"/>
        </w:rPr>
        <w:t xml:space="preserve">Sasitë </w:t>
      </w:r>
      <w:r w:rsidR="00671E47" w:rsidRPr="00062169">
        <w:rPr>
          <w:rFonts w:ascii="Calibri" w:hAnsi="Calibri" w:cs="Calibri"/>
          <w:lang w:val="sq-AL"/>
        </w:rPr>
        <w:t>e shk</w:t>
      </w:r>
      <w:r w:rsidR="001A6733" w:rsidRPr="00062169">
        <w:rPr>
          <w:rFonts w:ascii="Calibri" w:hAnsi="Calibri" w:cs="Calibri"/>
          <w:lang w:val="sq-AL"/>
        </w:rPr>
        <w:t>ë</w:t>
      </w:r>
      <w:r w:rsidR="00671E47" w:rsidRPr="00062169">
        <w:rPr>
          <w:rFonts w:ascii="Calibri" w:hAnsi="Calibri" w:cs="Calibri"/>
          <w:lang w:val="sq-AL"/>
        </w:rPr>
        <w:t>mbimeve t</w:t>
      </w:r>
      <w:r w:rsidR="001A6733" w:rsidRPr="00062169">
        <w:rPr>
          <w:rFonts w:ascii="Calibri" w:hAnsi="Calibri" w:cs="Calibri"/>
          <w:lang w:val="sq-AL"/>
        </w:rPr>
        <w:t>ë</w:t>
      </w:r>
      <w:r w:rsidR="00671E47" w:rsidRPr="00062169">
        <w:rPr>
          <w:rFonts w:ascii="Calibri" w:hAnsi="Calibri" w:cs="Calibri"/>
          <w:lang w:val="sq-AL"/>
        </w:rPr>
        <w:t xml:space="preserve"> paq</w:t>
      </w:r>
      <w:r w:rsidR="001A6733" w:rsidRPr="00062169">
        <w:rPr>
          <w:rFonts w:ascii="Calibri" w:hAnsi="Calibri" w:cs="Calibri"/>
          <w:lang w:val="sq-AL"/>
        </w:rPr>
        <w:t>ë</w:t>
      </w:r>
      <w:r w:rsidR="00671E47" w:rsidRPr="00062169">
        <w:rPr>
          <w:rFonts w:ascii="Calibri" w:hAnsi="Calibri" w:cs="Calibri"/>
          <w:lang w:val="sq-AL"/>
        </w:rPr>
        <w:t xml:space="preserve">llimshme sipas Nenit </w:t>
      </w:r>
      <w:r w:rsidR="004865DC" w:rsidRPr="00062169">
        <w:rPr>
          <w:rFonts w:ascii="Calibri" w:hAnsi="Calibri" w:cs="Calibri"/>
          <w:lang w:val="sq-AL"/>
        </w:rPr>
        <w:t xml:space="preserve">51(1) </w:t>
      </w:r>
      <w:r w:rsidR="00671E47"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4865DC" w:rsidRPr="00062169">
        <w:rPr>
          <w:rFonts w:ascii="Calibri" w:hAnsi="Calibri" w:cs="Calibri"/>
          <w:lang w:val="sq-AL"/>
        </w:rPr>
        <w:t xml:space="preserve">EBGL </w:t>
      </w:r>
      <w:r w:rsidR="00671E47" w:rsidRPr="00062169">
        <w:rPr>
          <w:rFonts w:ascii="Calibri" w:hAnsi="Calibri" w:cs="Calibri"/>
          <w:lang w:val="sq-AL"/>
        </w:rPr>
        <w:t>llogaritet me an</w:t>
      </w:r>
      <w:r w:rsidR="001A6733" w:rsidRPr="00062169">
        <w:rPr>
          <w:rFonts w:ascii="Calibri" w:hAnsi="Calibri" w:cs="Calibri"/>
          <w:lang w:val="sq-AL"/>
        </w:rPr>
        <w:t>ë</w:t>
      </w:r>
      <w:r w:rsidR="00671E47" w:rsidRPr="00062169">
        <w:rPr>
          <w:rFonts w:ascii="Calibri" w:hAnsi="Calibri" w:cs="Calibri"/>
          <w:lang w:val="sq-AL"/>
        </w:rPr>
        <w:t xml:space="preserve"> t</w:t>
      </w:r>
      <w:r w:rsidR="001A6733" w:rsidRPr="00062169">
        <w:rPr>
          <w:rFonts w:ascii="Calibri" w:hAnsi="Calibri" w:cs="Calibri"/>
          <w:lang w:val="sq-AL"/>
        </w:rPr>
        <w:t>ë</w:t>
      </w:r>
      <w:r w:rsidR="00671E47" w:rsidRPr="00062169">
        <w:rPr>
          <w:rFonts w:ascii="Calibri" w:hAnsi="Calibri" w:cs="Calibri"/>
          <w:lang w:val="sq-AL"/>
        </w:rPr>
        <w:t xml:space="preserve"> funksionit </w:t>
      </w:r>
      <w:r w:rsidR="00375FEC" w:rsidRPr="00062169">
        <w:rPr>
          <w:rFonts w:ascii="Calibri" w:hAnsi="Calibri" w:cs="Calibri"/>
          <w:lang w:val="sq-AL"/>
        </w:rPr>
        <w:t xml:space="preserve">të </w:t>
      </w:r>
      <w:r w:rsidR="009E298F" w:rsidRPr="00062169">
        <w:rPr>
          <w:rFonts w:ascii="Calibri" w:hAnsi="Calibri" w:cs="Calibri"/>
          <w:lang w:val="sq-AL"/>
        </w:rPr>
        <w:t>llogaritjes</w:t>
      </w:r>
      <w:r w:rsidR="00375FEC" w:rsidRPr="00062169">
        <w:rPr>
          <w:rFonts w:ascii="Calibri" w:hAnsi="Calibri" w:cs="Calibri"/>
          <w:lang w:val="sq-AL"/>
        </w:rPr>
        <w:t xml:space="preserve"> </w:t>
      </w:r>
      <w:r w:rsidRPr="00062169">
        <w:rPr>
          <w:rFonts w:ascii="Calibri" w:hAnsi="Calibri" w:cs="Calibri"/>
          <w:lang w:val="sq-AL"/>
        </w:rPr>
        <w:t xml:space="preserve">i </w:t>
      </w:r>
      <w:r w:rsidR="004865DC" w:rsidRPr="00062169">
        <w:rPr>
          <w:rFonts w:ascii="Calibri" w:hAnsi="Calibri" w:cs="Calibri"/>
          <w:lang w:val="sq-AL"/>
        </w:rPr>
        <w:t>CCU</w:t>
      </w:r>
      <w:r w:rsidR="00DE3033" w:rsidRPr="00062169">
        <w:rPr>
          <w:rFonts w:ascii="Calibri" w:hAnsi="Calibri" w:cs="Calibri"/>
          <w:lang w:val="sq-AL"/>
        </w:rPr>
        <w:t>,</w:t>
      </w:r>
      <w:r w:rsidR="00E1506D" w:rsidRPr="00062169">
        <w:rPr>
          <w:rFonts w:ascii="Calibri" w:hAnsi="Calibri" w:cs="Calibri"/>
          <w:lang w:val="sq-AL"/>
        </w:rPr>
        <w:t xml:space="preserve"> </w:t>
      </w:r>
      <w:r w:rsidR="00671E47" w:rsidRPr="00062169">
        <w:rPr>
          <w:rFonts w:ascii="Calibri" w:hAnsi="Calibri" w:cs="Calibri"/>
          <w:lang w:val="sq-AL"/>
        </w:rPr>
        <w:t>p</w:t>
      </w:r>
      <w:r w:rsidR="001A6733" w:rsidRPr="00062169">
        <w:rPr>
          <w:rFonts w:ascii="Calibri" w:hAnsi="Calibri" w:cs="Calibri"/>
          <w:lang w:val="sq-AL"/>
        </w:rPr>
        <w:t>ë</w:t>
      </w:r>
      <w:r w:rsidR="00671E47" w:rsidRPr="00062169">
        <w:rPr>
          <w:rFonts w:ascii="Calibri" w:hAnsi="Calibri" w:cs="Calibri"/>
          <w:lang w:val="sq-AL"/>
        </w:rPr>
        <w:t>r çdo bllok LFC ose zon</w:t>
      </w:r>
      <w:r w:rsidR="001A6733" w:rsidRPr="00062169">
        <w:rPr>
          <w:rFonts w:ascii="Calibri" w:hAnsi="Calibri" w:cs="Calibri"/>
          <w:lang w:val="sq-AL"/>
        </w:rPr>
        <w:t>ë</w:t>
      </w:r>
      <w:r w:rsidR="00671E47" w:rsidRPr="00062169">
        <w:rPr>
          <w:rFonts w:ascii="Calibri" w:hAnsi="Calibri" w:cs="Calibri"/>
          <w:lang w:val="sq-AL"/>
        </w:rPr>
        <w:t xml:space="preserve"> LFC dhe p</w:t>
      </w:r>
      <w:r w:rsidR="001A6733" w:rsidRPr="00062169">
        <w:rPr>
          <w:rFonts w:ascii="Calibri" w:hAnsi="Calibri" w:cs="Calibri"/>
          <w:lang w:val="sq-AL"/>
        </w:rPr>
        <w:t>ë</w:t>
      </w:r>
      <w:r w:rsidR="00671E47" w:rsidRPr="00062169">
        <w:rPr>
          <w:rFonts w:ascii="Calibri" w:hAnsi="Calibri" w:cs="Calibri"/>
          <w:lang w:val="sq-AL"/>
        </w:rPr>
        <w:t xml:space="preserve">r </w:t>
      </w:r>
      <w:r w:rsidRPr="00062169">
        <w:rPr>
          <w:rFonts w:ascii="Calibri" w:hAnsi="Calibri" w:cs="Calibri"/>
          <w:lang w:val="sq-AL"/>
        </w:rPr>
        <w:t>periodën e barazimit përfundimtar</w:t>
      </w:r>
      <w:r w:rsidR="00671E47" w:rsidRPr="00062169">
        <w:rPr>
          <w:rFonts w:ascii="Calibri" w:hAnsi="Calibri" w:cs="Calibri"/>
          <w:lang w:val="sq-AL"/>
        </w:rPr>
        <w:t xml:space="preserve"> </w:t>
      </w:r>
      <w:r w:rsidR="00AE3781" w:rsidRPr="00062169">
        <w:rPr>
          <w:rFonts w:ascii="Calibri" w:hAnsi="Calibri" w:cs="Calibri"/>
          <w:lang w:val="sq-AL"/>
        </w:rPr>
        <w:t xml:space="preserve">TSO </w:t>
      </w:r>
      <w:r w:rsidR="00671E47" w:rsidRPr="00062169">
        <w:rPr>
          <w:rFonts w:ascii="Calibri" w:hAnsi="Calibri" w:cs="Calibri"/>
          <w:lang w:val="sq-AL"/>
        </w:rPr>
        <w:t>-</w:t>
      </w:r>
      <w:r w:rsidR="00A30633" w:rsidRPr="00062169">
        <w:rPr>
          <w:rFonts w:ascii="Calibri" w:hAnsi="Calibri" w:cs="Calibri"/>
          <w:lang w:val="sq-AL"/>
        </w:rPr>
        <w:t>TSO,</w:t>
      </w:r>
      <w:r w:rsidR="00671E47" w:rsidRPr="00062169">
        <w:rPr>
          <w:rFonts w:ascii="Calibri" w:hAnsi="Calibri" w:cs="Calibri"/>
          <w:lang w:val="sq-AL"/>
        </w:rPr>
        <w:t xml:space="preserve"> n</w:t>
      </w:r>
      <w:r w:rsidR="001A6733" w:rsidRPr="00062169">
        <w:rPr>
          <w:rFonts w:ascii="Calibri" w:hAnsi="Calibri" w:cs="Calibri"/>
          <w:lang w:val="sq-AL"/>
        </w:rPr>
        <w:t>ë</w:t>
      </w:r>
      <w:r w:rsidR="00671E47" w:rsidRPr="00062169">
        <w:rPr>
          <w:rFonts w:ascii="Calibri" w:hAnsi="Calibri" w:cs="Calibri"/>
          <w:lang w:val="sq-AL"/>
        </w:rPr>
        <w:t xml:space="preserve"> p</w:t>
      </w:r>
      <w:r w:rsidR="001A6733" w:rsidRPr="00062169">
        <w:rPr>
          <w:rFonts w:ascii="Calibri" w:hAnsi="Calibri" w:cs="Calibri"/>
          <w:lang w:val="sq-AL"/>
        </w:rPr>
        <w:t>ë</w:t>
      </w:r>
      <w:r w:rsidR="00671E47" w:rsidRPr="00062169">
        <w:rPr>
          <w:rFonts w:ascii="Calibri" w:hAnsi="Calibri" w:cs="Calibri"/>
          <w:lang w:val="sq-AL"/>
        </w:rPr>
        <w:t>rputhje me</w:t>
      </w:r>
      <w:r w:rsidR="00A61B2C" w:rsidRPr="00062169">
        <w:rPr>
          <w:rFonts w:ascii="Calibri" w:hAnsi="Calibri" w:cs="Calibri"/>
          <w:lang w:val="sq-AL"/>
        </w:rPr>
        <w:t xml:space="preserve"> CCU</w:t>
      </w:r>
      <w:r w:rsidR="003D4C4F" w:rsidRPr="00062169">
        <w:rPr>
          <w:rFonts w:ascii="Calibri" w:hAnsi="Calibri" w:cs="Calibri"/>
          <w:lang w:val="sq-AL"/>
        </w:rPr>
        <w:t>.</w:t>
      </w:r>
    </w:p>
    <w:p w:rsidR="00320E70" w:rsidRPr="00062169" w:rsidRDefault="00320E70" w:rsidP="00900B3B">
      <w:pPr>
        <w:spacing w:line="276" w:lineRule="auto"/>
        <w:rPr>
          <w:rFonts w:ascii="Calibri" w:hAnsi="Calibri" w:cs="Calibri"/>
          <w:b/>
          <w:color w:val="000000" w:themeColor="text1"/>
          <w:lang w:val="sq-AL"/>
        </w:rPr>
      </w:pPr>
      <w:bookmarkStart w:id="41" w:name="_Toc432586786"/>
      <w:bookmarkStart w:id="42" w:name="_Toc432586806"/>
      <w:bookmarkStart w:id="43" w:name="_Toc413748339"/>
      <w:bookmarkEnd w:id="18"/>
      <w:bookmarkEnd w:id="19"/>
    </w:p>
    <w:p w:rsidR="00671E47" w:rsidRPr="00062169" w:rsidRDefault="00671E47" w:rsidP="00900B3B">
      <w:pPr>
        <w:pStyle w:val="headline2"/>
        <w:spacing w:after="0" w:line="276" w:lineRule="auto"/>
        <w:rPr>
          <w:rFonts w:ascii="Calibri" w:hAnsi="Calibri" w:cs="Calibri"/>
          <w:color w:val="000000" w:themeColor="text1"/>
          <w:sz w:val="22"/>
          <w:szCs w:val="22"/>
          <w:lang w:val="sq-AL"/>
        </w:rPr>
      </w:pPr>
      <w:bookmarkStart w:id="44" w:name="_Toc65219936"/>
      <w:r w:rsidRPr="00062169">
        <w:rPr>
          <w:rFonts w:ascii="Calibri" w:hAnsi="Calibri" w:cs="Calibri"/>
          <w:color w:val="000000" w:themeColor="text1"/>
          <w:sz w:val="22"/>
          <w:szCs w:val="22"/>
          <w:lang w:val="sq-AL"/>
        </w:rPr>
        <w:t>Neni 8</w:t>
      </w:r>
      <w:r w:rsidRPr="00062169">
        <w:rPr>
          <w:rFonts w:ascii="Calibri" w:hAnsi="Calibri" w:cs="Calibri"/>
          <w:color w:val="000000" w:themeColor="text1"/>
          <w:sz w:val="22"/>
          <w:szCs w:val="22"/>
          <w:lang w:val="sq-AL"/>
        </w:rPr>
        <w:br/>
        <w:t xml:space="preserve">Rregullat </w:t>
      </w:r>
      <w:r w:rsidR="00BF318F" w:rsidRPr="00062169">
        <w:rPr>
          <w:rFonts w:ascii="Calibri" w:hAnsi="Calibri" w:cs="Calibri"/>
          <w:color w:val="000000" w:themeColor="text1"/>
          <w:sz w:val="22"/>
          <w:szCs w:val="22"/>
          <w:lang w:val="sq-AL"/>
        </w:rPr>
        <w:t>mbi çmimet</w:t>
      </w:r>
      <w:r w:rsidRPr="00062169">
        <w:rPr>
          <w:rFonts w:ascii="Calibri" w:hAnsi="Calibri" w:cs="Calibri"/>
          <w:color w:val="000000" w:themeColor="text1"/>
          <w:sz w:val="22"/>
          <w:szCs w:val="22"/>
          <w:lang w:val="sq-AL"/>
        </w:rPr>
        <w:t xml:space="preserve"> për shkëmbimet</w:t>
      </w:r>
      <w:r w:rsidR="00BF318F" w:rsidRPr="00062169">
        <w:rPr>
          <w:rFonts w:ascii="Calibri" w:hAnsi="Calibri" w:cs="Calibri"/>
          <w:color w:val="000000" w:themeColor="text1"/>
          <w:sz w:val="22"/>
          <w:szCs w:val="22"/>
          <w:lang w:val="sq-AL"/>
        </w:rPr>
        <w:t xml:space="preserve"> </w:t>
      </w:r>
      <w:r w:rsidR="00AE3781" w:rsidRPr="00062169">
        <w:rPr>
          <w:rFonts w:ascii="Calibri" w:hAnsi="Calibri" w:cs="Calibri"/>
          <w:color w:val="000000" w:themeColor="text1"/>
          <w:sz w:val="22"/>
          <w:szCs w:val="22"/>
          <w:lang w:val="sq-AL"/>
        </w:rPr>
        <w:t xml:space="preserve">TSO </w:t>
      </w:r>
      <w:r w:rsidRPr="00062169">
        <w:rPr>
          <w:rFonts w:ascii="Calibri" w:hAnsi="Calibri" w:cs="Calibri"/>
          <w:color w:val="000000" w:themeColor="text1"/>
          <w:sz w:val="22"/>
          <w:szCs w:val="22"/>
          <w:lang w:val="sq-AL"/>
        </w:rPr>
        <w:t xml:space="preserve"> – </w:t>
      </w:r>
      <w:r w:rsidR="00AE3781" w:rsidRPr="00062169">
        <w:rPr>
          <w:rFonts w:ascii="Calibri" w:hAnsi="Calibri" w:cs="Calibri"/>
          <w:color w:val="000000" w:themeColor="text1"/>
          <w:sz w:val="22"/>
          <w:szCs w:val="22"/>
          <w:lang w:val="sq-AL"/>
        </w:rPr>
        <w:t xml:space="preserve">TSO </w:t>
      </w:r>
      <w:r w:rsidRPr="00062169">
        <w:rPr>
          <w:rFonts w:ascii="Calibri" w:hAnsi="Calibri" w:cs="Calibri"/>
          <w:color w:val="000000" w:themeColor="text1"/>
          <w:sz w:val="22"/>
          <w:szCs w:val="22"/>
          <w:lang w:val="sq-AL"/>
        </w:rPr>
        <w:t xml:space="preserve"> brenda SA CE</w:t>
      </w:r>
      <w:bookmarkEnd w:id="44"/>
    </w:p>
    <w:p w:rsidR="00671E47" w:rsidRPr="00062169" w:rsidRDefault="00671E47" w:rsidP="00900B3B">
      <w:pPr>
        <w:pStyle w:val="headline2"/>
        <w:spacing w:after="0" w:line="276" w:lineRule="auto"/>
        <w:rPr>
          <w:rFonts w:ascii="Calibri" w:hAnsi="Calibri" w:cs="Calibri"/>
          <w:sz w:val="22"/>
          <w:szCs w:val="22"/>
          <w:lang w:val="sq-AL"/>
        </w:rPr>
      </w:pPr>
    </w:p>
    <w:p w:rsidR="007C124B" w:rsidRPr="00062169" w:rsidRDefault="00671E47" w:rsidP="00900B3B">
      <w:pPr>
        <w:pStyle w:val="textregular"/>
        <w:numPr>
          <w:ilvl w:val="0"/>
          <w:numId w:val="30"/>
        </w:numPr>
        <w:spacing w:after="0" w:line="276" w:lineRule="auto"/>
        <w:jc w:val="both"/>
        <w:rPr>
          <w:rFonts w:ascii="Calibri" w:hAnsi="Calibri" w:cs="Calibri"/>
          <w:lang w:val="sq-AL"/>
        </w:rPr>
      </w:pPr>
      <w:r w:rsidRPr="00062169">
        <w:rPr>
          <w:rFonts w:ascii="Calibri" w:hAnsi="Calibri" w:cs="Calibri"/>
          <w:lang w:val="sq-AL"/>
        </w:rPr>
        <w:t>Çmimi p</w:t>
      </w:r>
      <w:r w:rsidR="001A6733" w:rsidRPr="00062169">
        <w:rPr>
          <w:rFonts w:ascii="Calibri" w:hAnsi="Calibri" w:cs="Calibri"/>
          <w:lang w:val="sq-AL"/>
        </w:rPr>
        <w:t>ë</w:t>
      </w:r>
      <w:r w:rsidRPr="00062169">
        <w:rPr>
          <w:rFonts w:ascii="Calibri" w:hAnsi="Calibri" w:cs="Calibri"/>
          <w:lang w:val="sq-AL"/>
        </w:rPr>
        <w:t>r shk</w:t>
      </w:r>
      <w:r w:rsidR="001A6733" w:rsidRPr="00062169">
        <w:rPr>
          <w:rFonts w:ascii="Calibri" w:hAnsi="Calibri" w:cs="Calibri"/>
          <w:lang w:val="sq-AL"/>
        </w:rPr>
        <w:t>ë</w:t>
      </w:r>
      <w:r w:rsidRPr="00062169">
        <w:rPr>
          <w:rFonts w:ascii="Calibri" w:hAnsi="Calibri" w:cs="Calibri"/>
          <w:lang w:val="sq-AL"/>
        </w:rPr>
        <w:t xml:space="preserve">mbimet </w:t>
      </w:r>
      <w:r w:rsidR="00374B05" w:rsidRPr="00062169">
        <w:rPr>
          <w:rFonts w:ascii="Calibri" w:hAnsi="Calibri" w:cs="Calibri"/>
          <w:lang w:val="sq-AL"/>
        </w:rPr>
        <w:t>e q</w:t>
      </w:r>
      <w:r w:rsidR="001A6733" w:rsidRPr="00062169">
        <w:rPr>
          <w:rFonts w:ascii="Calibri" w:hAnsi="Calibri" w:cs="Calibri"/>
          <w:lang w:val="sq-AL"/>
        </w:rPr>
        <w:t>ë</w:t>
      </w:r>
      <w:r w:rsidR="00374B05" w:rsidRPr="00062169">
        <w:rPr>
          <w:rFonts w:ascii="Calibri" w:hAnsi="Calibri" w:cs="Calibri"/>
          <w:lang w:val="sq-AL"/>
        </w:rPr>
        <w:t>llimshme t</w:t>
      </w:r>
      <w:r w:rsidR="001A6733" w:rsidRPr="00062169">
        <w:rPr>
          <w:rFonts w:ascii="Calibri" w:hAnsi="Calibri" w:cs="Calibri"/>
          <w:lang w:val="sq-AL"/>
        </w:rPr>
        <w:t>ë</w:t>
      </w:r>
      <w:r w:rsidR="00374B05" w:rsidRPr="00062169">
        <w:rPr>
          <w:rFonts w:ascii="Calibri" w:hAnsi="Calibri" w:cs="Calibri"/>
          <w:lang w:val="sq-AL"/>
        </w:rPr>
        <w:t xml:space="preserve"> energjis</w:t>
      </w:r>
      <w:r w:rsidR="001A6733" w:rsidRPr="00062169">
        <w:rPr>
          <w:rFonts w:ascii="Calibri" w:hAnsi="Calibri" w:cs="Calibri"/>
          <w:lang w:val="sq-AL"/>
        </w:rPr>
        <w:t>ë</w:t>
      </w:r>
      <w:r w:rsidR="00374B05" w:rsidRPr="00062169">
        <w:rPr>
          <w:rFonts w:ascii="Calibri" w:hAnsi="Calibri" w:cs="Calibri"/>
          <w:lang w:val="sq-AL"/>
        </w:rPr>
        <w:t xml:space="preserve"> si rezultat i </w:t>
      </w:r>
      <w:r w:rsidR="009114D7" w:rsidRPr="00062169">
        <w:rPr>
          <w:rFonts w:ascii="Calibri" w:hAnsi="Calibri" w:cs="Calibri"/>
          <w:lang w:val="sq-AL"/>
        </w:rPr>
        <w:t xml:space="preserve">periodës </w:t>
      </w:r>
      <w:r w:rsidR="00374B05" w:rsidRPr="00062169">
        <w:rPr>
          <w:rFonts w:ascii="Calibri" w:hAnsi="Calibri" w:cs="Calibri"/>
          <w:lang w:val="sq-AL"/>
        </w:rPr>
        <w:t>s</w:t>
      </w:r>
      <w:r w:rsidR="001A6733" w:rsidRPr="00062169">
        <w:rPr>
          <w:rFonts w:ascii="Calibri" w:hAnsi="Calibri" w:cs="Calibri"/>
          <w:lang w:val="sq-AL"/>
        </w:rPr>
        <w:t>ë</w:t>
      </w:r>
      <w:r w:rsidR="00374B05" w:rsidRPr="00062169">
        <w:rPr>
          <w:rFonts w:ascii="Calibri" w:hAnsi="Calibri" w:cs="Calibri"/>
          <w:lang w:val="sq-AL"/>
        </w:rPr>
        <w:t xml:space="preserve"> </w:t>
      </w:r>
      <w:r w:rsidR="00A30633" w:rsidRPr="00062169">
        <w:rPr>
          <w:rFonts w:ascii="Calibri" w:hAnsi="Calibri" w:cs="Calibri"/>
          <w:lang w:val="sq-AL"/>
        </w:rPr>
        <w:t xml:space="preserve">ndryshimit (rritje / ulje) </w:t>
      </w:r>
      <w:r w:rsidR="00374B05" w:rsidRPr="00062169">
        <w:rPr>
          <w:rFonts w:ascii="Calibri" w:hAnsi="Calibri" w:cs="Calibri"/>
          <w:lang w:val="sq-AL"/>
        </w:rPr>
        <w:t xml:space="preserve">sipas nenit </w:t>
      </w:r>
      <w:r w:rsidR="005B18D0" w:rsidRPr="00062169">
        <w:rPr>
          <w:rFonts w:ascii="Calibri" w:hAnsi="Calibri" w:cs="Calibri"/>
          <w:lang w:val="sq-AL"/>
        </w:rPr>
        <w:t>50(3)</w:t>
      </w:r>
      <w:r w:rsidR="000A31F3" w:rsidRPr="00062169">
        <w:rPr>
          <w:rFonts w:ascii="Calibri" w:hAnsi="Calibri" w:cs="Calibri"/>
          <w:lang w:val="sq-AL"/>
        </w:rPr>
        <w:t>(b)</w:t>
      </w:r>
      <w:r w:rsidR="00E1506D" w:rsidRPr="00062169">
        <w:rPr>
          <w:rFonts w:ascii="Calibri" w:hAnsi="Calibri" w:cs="Calibri"/>
          <w:lang w:val="sq-AL"/>
        </w:rPr>
        <w:t xml:space="preserve"> </w:t>
      </w:r>
      <w:r w:rsidR="00374B05" w:rsidRPr="00062169">
        <w:rPr>
          <w:rFonts w:ascii="Calibri" w:hAnsi="Calibri" w:cs="Calibri"/>
          <w:lang w:val="sq-AL"/>
        </w:rPr>
        <w:t>t</w:t>
      </w:r>
      <w:r w:rsidR="001A6733" w:rsidRPr="00062169">
        <w:rPr>
          <w:rFonts w:ascii="Calibri" w:hAnsi="Calibri" w:cs="Calibri"/>
          <w:lang w:val="sq-AL"/>
        </w:rPr>
        <w:t>ë</w:t>
      </w:r>
      <w:r w:rsidR="00E1506D" w:rsidRPr="00062169">
        <w:rPr>
          <w:rFonts w:ascii="Calibri" w:hAnsi="Calibri" w:cs="Calibri"/>
          <w:lang w:val="sq-AL"/>
        </w:rPr>
        <w:t xml:space="preserve"> </w:t>
      </w:r>
      <w:r w:rsidR="00D24505" w:rsidRPr="00062169">
        <w:rPr>
          <w:rFonts w:ascii="Calibri" w:hAnsi="Calibri" w:cs="Calibri"/>
          <w:lang w:val="sq-AL"/>
        </w:rPr>
        <w:t>EBGL</w:t>
      </w:r>
      <w:r w:rsidR="00E1506D" w:rsidRPr="00062169">
        <w:rPr>
          <w:rFonts w:ascii="Calibri" w:hAnsi="Calibri" w:cs="Calibri"/>
          <w:lang w:val="sq-AL"/>
        </w:rPr>
        <w:t xml:space="preserve"> </w:t>
      </w:r>
      <w:r w:rsidR="001A6733" w:rsidRPr="00062169">
        <w:rPr>
          <w:rFonts w:ascii="Calibri" w:hAnsi="Calibri" w:cs="Calibri"/>
          <w:lang w:val="sq-AL"/>
        </w:rPr>
        <w:t>ë</w:t>
      </w:r>
      <w:r w:rsidR="00374B05" w:rsidRPr="00062169">
        <w:rPr>
          <w:rFonts w:ascii="Calibri" w:hAnsi="Calibri" w:cs="Calibri"/>
          <w:lang w:val="sq-AL"/>
        </w:rPr>
        <w:t>sht</w:t>
      </w:r>
      <w:r w:rsidR="001A6733" w:rsidRPr="00062169">
        <w:rPr>
          <w:rFonts w:ascii="Calibri" w:hAnsi="Calibri" w:cs="Calibri"/>
          <w:lang w:val="sq-AL"/>
        </w:rPr>
        <w:t>ë</w:t>
      </w:r>
      <w:r w:rsidR="00E1506D" w:rsidRPr="00062169">
        <w:rPr>
          <w:rFonts w:ascii="Calibri" w:hAnsi="Calibri" w:cs="Calibri"/>
          <w:lang w:val="sq-AL"/>
        </w:rPr>
        <w:t xml:space="preserve"> </w:t>
      </w:r>
      <w:r w:rsidR="00021C7C" w:rsidRPr="00062169">
        <w:rPr>
          <w:rFonts w:ascii="Calibri" w:hAnsi="Calibri" w:cs="Calibri"/>
          <w:lang w:val="sq-AL"/>
        </w:rPr>
        <w:t>zero (0)</w:t>
      </w:r>
      <w:r w:rsidR="0098557A" w:rsidRPr="00062169">
        <w:rPr>
          <w:rFonts w:ascii="Calibri" w:hAnsi="Calibri" w:cs="Calibri"/>
          <w:lang w:val="sq-AL"/>
        </w:rPr>
        <w:t xml:space="preserve"> </w:t>
      </w:r>
      <w:r w:rsidR="001E4522" w:rsidRPr="00062169">
        <w:rPr>
          <w:rFonts w:ascii="Calibri" w:hAnsi="Calibri" w:cs="Calibri"/>
          <w:lang w:val="sq-AL"/>
        </w:rPr>
        <w:t>EUR</w:t>
      </w:r>
      <w:r w:rsidR="005608D4" w:rsidRPr="00062169">
        <w:rPr>
          <w:rFonts w:ascii="Calibri" w:hAnsi="Calibri" w:cs="Calibri"/>
          <w:lang w:val="sq-AL"/>
        </w:rPr>
        <w:t>/M</w:t>
      </w:r>
      <w:r w:rsidR="00D21F08" w:rsidRPr="00062169">
        <w:rPr>
          <w:rFonts w:ascii="Calibri" w:hAnsi="Calibri" w:cs="Calibri"/>
          <w:lang w:val="sq-AL"/>
        </w:rPr>
        <w:t>W</w:t>
      </w:r>
      <w:r w:rsidR="005608D4" w:rsidRPr="00062169">
        <w:rPr>
          <w:rFonts w:ascii="Calibri" w:hAnsi="Calibri" w:cs="Calibri"/>
          <w:lang w:val="sq-AL"/>
        </w:rPr>
        <w:t>h.</w:t>
      </w:r>
    </w:p>
    <w:p w:rsidR="007C124B" w:rsidRPr="00062169" w:rsidRDefault="00374B05" w:rsidP="00900B3B">
      <w:pPr>
        <w:pStyle w:val="textregular"/>
        <w:numPr>
          <w:ilvl w:val="0"/>
          <w:numId w:val="30"/>
        </w:numPr>
        <w:spacing w:after="0" w:line="276" w:lineRule="auto"/>
        <w:jc w:val="both"/>
        <w:rPr>
          <w:rFonts w:ascii="Calibri" w:hAnsi="Calibri" w:cs="Calibri"/>
          <w:lang w:val="sq-AL"/>
        </w:rPr>
      </w:pPr>
      <w:r w:rsidRPr="00062169">
        <w:rPr>
          <w:rFonts w:ascii="Calibri" w:hAnsi="Calibri" w:cs="Calibri"/>
          <w:lang w:val="sq-AL"/>
        </w:rPr>
        <w:t>Çmimi p</w:t>
      </w:r>
      <w:r w:rsidR="001A6733" w:rsidRPr="00062169">
        <w:rPr>
          <w:rFonts w:ascii="Calibri" w:hAnsi="Calibri" w:cs="Calibri"/>
          <w:lang w:val="sq-AL"/>
        </w:rPr>
        <w:t>ë</w:t>
      </w:r>
      <w:r w:rsidRPr="00062169">
        <w:rPr>
          <w:rFonts w:ascii="Calibri" w:hAnsi="Calibri" w:cs="Calibri"/>
          <w:lang w:val="sq-AL"/>
        </w:rPr>
        <w:t>r shk</w:t>
      </w:r>
      <w:r w:rsidR="001A6733" w:rsidRPr="00062169">
        <w:rPr>
          <w:rFonts w:ascii="Calibri" w:hAnsi="Calibri" w:cs="Calibri"/>
          <w:lang w:val="sq-AL"/>
        </w:rPr>
        <w:t>ë</w:t>
      </w:r>
      <w:r w:rsidRPr="00062169">
        <w:rPr>
          <w:rFonts w:ascii="Calibri" w:hAnsi="Calibri" w:cs="Calibri"/>
          <w:lang w:val="sq-AL"/>
        </w:rPr>
        <w:t>mbimet e q</w:t>
      </w:r>
      <w:r w:rsidR="001A6733" w:rsidRPr="00062169">
        <w:rPr>
          <w:rFonts w:ascii="Calibri" w:hAnsi="Calibri" w:cs="Calibri"/>
          <w:lang w:val="sq-AL"/>
        </w:rPr>
        <w:t>ë</w:t>
      </w:r>
      <w:r w:rsidRPr="00062169">
        <w:rPr>
          <w:rFonts w:ascii="Calibri" w:hAnsi="Calibri" w:cs="Calibri"/>
          <w:lang w:val="sq-AL"/>
        </w:rPr>
        <w:t>llimshme t</w:t>
      </w:r>
      <w:r w:rsidR="001A6733" w:rsidRPr="00062169">
        <w:rPr>
          <w:rFonts w:ascii="Calibri" w:hAnsi="Calibri" w:cs="Calibri"/>
          <w:lang w:val="sq-AL"/>
        </w:rPr>
        <w:t>ë</w:t>
      </w:r>
      <w:r w:rsidRPr="00062169">
        <w:rPr>
          <w:rFonts w:ascii="Calibri" w:hAnsi="Calibri" w:cs="Calibri"/>
          <w:lang w:val="sq-AL"/>
        </w:rPr>
        <w:t xml:space="preserve"> energjis</w:t>
      </w:r>
      <w:r w:rsidR="001A6733" w:rsidRPr="00062169">
        <w:rPr>
          <w:rFonts w:ascii="Calibri" w:hAnsi="Calibri" w:cs="Calibri"/>
          <w:lang w:val="sq-AL"/>
        </w:rPr>
        <w:t>ë</w:t>
      </w:r>
      <w:r w:rsidRPr="00062169">
        <w:rPr>
          <w:rFonts w:ascii="Calibri" w:hAnsi="Calibri" w:cs="Calibri"/>
          <w:lang w:val="sq-AL"/>
        </w:rPr>
        <w:t xml:space="preserve"> n</w:t>
      </w:r>
      <w:r w:rsidR="001A6733" w:rsidRPr="00062169">
        <w:rPr>
          <w:rFonts w:ascii="Calibri" w:hAnsi="Calibri" w:cs="Calibri"/>
          <w:lang w:val="sq-AL"/>
        </w:rPr>
        <w:t>ë</w:t>
      </w:r>
      <w:r w:rsidRPr="00062169">
        <w:rPr>
          <w:rFonts w:ascii="Calibri" w:hAnsi="Calibri" w:cs="Calibri"/>
          <w:lang w:val="sq-AL"/>
        </w:rPr>
        <w:t xml:space="preserve"> p</w:t>
      </w:r>
      <w:r w:rsidR="001A6733" w:rsidRPr="00062169">
        <w:rPr>
          <w:rFonts w:ascii="Calibri" w:hAnsi="Calibri" w:cs="Calibri"/>
          <w:lang w:val="sq-AL"/>
        </w:rPr>
        <w:t>ë</w:t>
      </w:r>
      <w:r w:rsidRPr="00062169">
        <w:rPr>
          <w:rFonts w:ascii="Calibri" w:hAnsi="Calibri" w:cs="Calibri"/>
          <w:lang w:val="sq-AL"/>
        </w:rPr>
        <w:t xml:space="preserve">rputhje me Nenin </w:t>
      </w:r>
      <w:r w:rsidR="00B44711" w:rsidRPr="00062169">
        <w:rPr>
          <w:rFonts w:ascii="Calibri" w:hAnsi="Calibri" w:cs="Calibri"/>
          <w:lang w:val="sq-AL"/>
        </w:rPr>
        <w:t>50</w:t>
      </w:r>
      <w:r w:rsidR="006C447F" w:rsidRPr="00062169">
        <w:rPr>
          <w:rFonts w:ascii="Calibri" w:hAnsi="Calibri" w:cs="Calibri"/>
          <w:lang w:val="sq-AL"/>
        </w:rPr>
        <w:t>(</w:t>
      </w:r>
      <w:r w:rsidR="00B44711" w:rsidRPr="00062169">
        <w:rPr>
          <w:rFonts w:ascii="Calibri" w:hAnsi="Calibri" w:cs="Calibri"/>
          <w:lang w:val="sq-AL"/>
        </w:rPr>
        <w:t>3</w:t>
      </w:r>
      <w:r w:rsidR="005B18D0" w:rsidRPr="00062169">
        <w:rPr>
          <w:rFonts w:ascii="Calibri" w:hAnsi="Calibri" w:cs="Calibri"/>
          <w:lang w:val="sq-AL"/>
        </w:rPr>
        <w:t>)</w:t>
      </w:r>
      <w:r w:rsidR="009F0E10" w:rsidRPr="00062169">
        <w:rPr>
          <w:rFonts w:ascii="Calibri" w:hAnsi="Calibri" w:cs="Calibri"/>
          <w:lang w:val="sq-AL"/>
        </w:rPr>
        <w:t>(a)</w:t>
      </w:r>
      <w:r w:rsidRPr="00062169">
        <w:rPr>
          <w:rFonts w:ascii="Calibri" w:hAnsi="Calibri" w:cs="Calibri"/>
          <w:lang w:val="sq-AL"/>
        </w:rPr>
        <w:t xml:space="preserve"> t</w:t>
      </w:r>
      <w:r w:rsidR="001A6733" w:rsidRPr="00062169">
        <w:rPr>
          <w:rFonts w:ascii="Calibri" w:hAnsi="Calibri" w:cs="Calibri"/>
          <w:lang w:val="sq-AL"/>
        </w:rPr>
        <w:t>ë</w:t>
      </w:r>
      <w:r w:rsidR="00E1506D" w:rsidRPr="00062169">
        <w:rPr>
          <w:rFonts w:ascii="Calibri" w:hAnsi="Calibri" w:cs="Calibri"/>
          <w:lang w:val="sq-AL"/>
        </w:rPr>
        <w:t xml:space="preserve"> </w:t>
      </w:r>
      <w:r w:rsidR="00D24505" w:rsidRPr="00062169">
        <w:rPr>
          <w:rFonts w:ascii="Calibri" w:hAnsi="Calibri" w:cs="Calibri"/>
          <w:lang w:val="sq-AL"/>
        </w:rPr>
        <w:t xml:space="preserve">EBGL </w:t>
      </w:r>
      <w:r w:rsidRPr="00062169">
        <w:rPr>
          <w:rFonts w:ascii="Calibri" w:hAnsi="Calibri" w:cs="Calibri"/>
          <w:lang w:val="sq-AL"/>
        </w:rPr>
        <w:t>do t</w:t>
      </w:r>
      <w:r w:rsidR="001A6733" w:rsidRPr="00062169">
        <w:rPr>
          <w:rFonts w:ascii="Calibri" w:hAnsi="Calibri" w:cs="Calibri"/>
          <w:lang w:val="sq-AL"/>
        </w:rPr>
        <w:t>ë</w:t>
      </w:r>
      <w:r w:rsidRPr="00062169">
        <w:rPr>
          <w:rFonts w:ascii="Calibri" w:hAnsi="Calibri" w:cs="Calibri"/>
          <w:lang w:val="sq-AL"/>
        </w:rPr>
        <w:t xml:space="preserve"> llogaritet nga </w:t>
      </w:r>
      <w:r w:rsidR="00641280" w:rsidRPr="00062169">
        <w:rPr>
          <w:rFonts w:ascii="Calibri" w:hAnsi="Calibri" w:cs="Calibri"/>
          <w:lang w:val="sq-AL"/>
        </w:rPr>
        <w:t>entiteti</w:t>
      </w:r>
      <w:r w:rsidR="000E43C5" w:rsidRPr="00062169">
        <w:rPr>
          <w:rFonts w:ascii="Calibri" w:hAnsi="Calibri" w:cs="Calibri"/>
          <w:lang w:val="sq-AL"/>
        </w:rPr>
        <w:t xml:space="preserve"> </w:t>
      </w:r>
      <w:r w:rsidRPr="00062169">
        <w:rPr>
          <w:rFonts w:ascii="Calibri" w:hAnsi="Calibri" w:cs="Calibri"/>
          <w:lang w:val="sq-AL"/>
        </w:rPr>
        <w:t>t</w:t>
      </w:r>
      <w:r w:rsidR="001A6733" w:rsidRPr="00062169">
        <w:rPr>
          <w:rFonts w:ascii="Calibri" w:hAnsi="Calibri" w:cs="Calibri"/>
          <w:lang w:val="sq-AL"/>
        </w:rPr>
        <w:t>ë</w:t>
      </w:r>
      <w:r w:rsidRPr="00062169">
        <w:rPr>
          <w:rFonts w:ascii="Calibri" w:hAnsi="Calibri" w:cs="Calibri"/>
          <w:lang w:val="sq-AL"/>
        </w:rPr>
        <w:t xml:space="preserve"> cil</w:t>
      </w:r>
      <w:r w:rsidR="001A6733" w:rsidRPr="00062169">
        <w:rPr>
          <w:rFonts w:ascii="Calibri" w:hAnsi="Calibri" w:cs="Calibri"/>
          <w:lang w:val="sq-AL"/>
        </w:rPr>
        <w:t>ë</w:t>
      </w:r>
      <w:r w:rsidRPr="00062169">
        <w:rPr>
          <w:rFonts w:ascii="Calibri" w:hAnsi="Calibri" w:cs="Calibri"/>
          <w:lang w:val="sq-AL"/>
        </w:rPr>
        <w:t xml:space="preserve">s i </w:t>
      </w:r>
      <w:r w:rsidR="001A6733" w:rsidRPr="00062169">
        <w:rPr>
          <w:rFonts w:ascii="Calibri" w:hAnsi="Calibri" w:cs="Calibri"/>
          <w:lang w:val="sq-AL"/>
        </w:rPr>
        <w:t>ë</w:t>
      </w:r>
      <w:r w:rsidRPr="00062169">
        <w:rPr>
          <w:rFonts w:ascii="Calibri" w:hAnsi="Calibri" w:cs="Calibri"/>
          <w:lang w:val="sq-AL"/>
        </w:rPr>
        <w:t>sht</w:t>
      </w:r>
      <w:r w:rsidR="001A6733" w:rsidRPr="00062169">
        <w:rPr>
          <w:rFonts w:ascii="Calibri" w:hAnsi="Calibri" w:cs="Calibri"/>
          <w:lang w:val="sq-AL"/>
        </w:rPr>
        <w:t>ë</w:t>
      </w:r>
      <w:r w:rsidRPr="00062169">
        <w:rPr>
          <w:rFonts w:ascii="Calibri" w:hAnsi="Calibri" w:cs="Calibri"/>
          <w:lang w:val="sq-AL"/>
        </w:rPr>
        <w:t xml:space="preserve"> besuar funksioni i </w:t>
      </w:r>
      <w:r w:rsidR="0098557A" w:rsidRPr="00062169">
        <w:rPr>
          <w:rFonts w:ascii="Calibri" w:hAnsi="Calibri" w:cs="Calibri"/>
          <w:lang w:val="sq-AL"/>
        </w:rPr>
        <w:t xml:space="preserve">barazimit përfundimtar </w:t>
      </w:r>
      <w:r w:rsidR="00942CE5" w:rsidRPr="00062169">
        <w:rPr>
          <w:rFonts w:ascii="Calibri" w:hAnsi="Calibri" w:cs="Calibri"/>
          <w:lang w:val="sq-AL"/>
        </w:rPr>
        <w:t>CCFR</w:t>
      </w:r>
      <w:r w:rsidR="00E1506D" w:rsidRPr="00062169">
        <w:rPr>
          <w:rFonts w:ascii="Calibri" w:hAnsi="Calibri" w:cs="Calibri"/>
          <w:lang w:val="sq-AL"/>
        </w:rPr>
        <w:t xml:space="preserve"> </w:t>
      </w:r>
      <w:r w:rsidRPr="00062169">
        <w:rPr>
          <w:rFonts w:ascii="Calibri" w:hAnsi="Calibri" w:cs="Calibri"/>
          <w:lang w:val="sq-AL"/>
        </w:rPr>
        <w:t>si shum</w:t>
      </w:r>
      <w:r w:rsidR="001A6733" w:rsidRPr="00062169">
        <w:rPr>
          <w:rFonts w:ascii="Calibri" w:hAnsi="Calibri" w:cs="Calibri"/>
          <w:lang w:val="sq-AL"/>
        </w:rPr>
        <w:t>ë</w:t>
      </w:r>
      <w:r w:rsidRPr="00062169">
        <w:rPr>
          <w:rFonts w:ascii="Calibri" w:hAnsi="Calibri" w:cs="Calibri"/>
          <w:lang w:val="sq-AL"/>
        </w:rPr>
        <w:t xml:space="preserve"> e </w:t>
      </w:r>
      <w:r w:rsidR="0098557A" w:rsidRPr="00062169">
        <w:rPr>
          <w:rFonts w:ascii="Calibri" w:hAnsi="Calibri" w:cs="Calibri"/>
          <w:lang w:val="sq-AL"/>
        </w:rPr>
        <w:t>komponent</w:t>
      </w:r>
      <w:r w:rsidR="00EA3E7A" w:rsidRPr="00062169">
        <w:rPr>
          <w:rFonts w:ascii="Calibri" w:hAnsi="Calibri" w:cs="Calibri"/>
          <w:lang w:val="sq-AL"/>
        </w:rPr>
        <w:t>e</w:t>
      </w:r>
      <w:r w:rsidR="0098557A" w:rsidRPr="00062169">
        <w:rPr>
          <w:rFonts w:ascii="Calibri" w:hAnsi="Calibri" w:cs="Calibri"/>
          <w:lang w:val="sq-AL"/>
        </w:rPr>
        <w:t xml:space="preserve">ve </w:t>
      </w:r>
      <w:r w:rsidRPr="00062169">
        <w:rPr>
          <w:rFonts w:ascii="Calibri" w:hAnsi="Calibri" w:cs="Calibri"/>
          <w:lang w:val="sq-AL"/>
        </w:rPr>
        <w:t>vijues</w:t>
      </w:r>
      <w:r w:rsidR="00EA3E7A" w:rsidRPr="00062169">
        <w:rPr>
          <w:rFonts w:ascii="Calibri" w:hAnsi="Calibri" w:cs="Calibri"/>
          <w:lang w:val="sq-AL"/>
        </w:rPr>
        <w:t>e</w:t>
      </w:r>
      <w:r w:rsidRPr="00062169">
        <w:rPr>
          <w:rFonts w:ascii="Calibri" w:hAnsi="Calibri" w:cs="Calibri"/>
          <w:lang w:val="sq-AL"/>
        </w:rPr>
        <w:t xml:space="preserve"> n</w:t>
      </w:r>
      <w:r w:rsidR="001A6733" w:rsidRPr="00062169">
        <w:rPr>
          <w:rFonts w:ascii="Calibri" w:hAnsi="Calibri" w:cs="Calibri"/>
          <w:lang w:val="sq-AL"/>
        </w:rPr>
        <w:t>ë</w:t>
      </w:r>
      <w:r w:rsidR="00E1506D" w:rsidRPr="00062169">
        <w:rPr>
          <w:rFonts w:ascii="Calibri" w:hAnsi="Calibri" w:cs="Calibri"/>
          <w:lang w:val="sq-AL"/>
        </w:rPr>
        <w:t xml:space="preserve"> </w:t>
      </w:r>
      <w:r w:rsidR="007C124B" w:rsidRPr="00062169">
        <w:rPr>
          <w:rFonts w:ascii="Calibri" w:hAnsi="Calibri" w:cs="Calibri"/>
          <w:lang w:val="sq-AL"/>
        </w:rPr>
        <w:t>EUR/M</w:t>
      </w:r>
      <w:r w:rsidR="00D21F08" w:rsidRPr="00062169">
        <w:rPr>
          <w:rFonts w:ascii="Calibri" w:hAnsi="Calibri" w:cs="Calibri"/>
          <w:lang w:val="sq-AL"/>
        </w:rPr>
        <w:t>W</w:t>
      </w:r>
      <w:r w:rsidR="007C124B" w:rsidRPr="00062169">
        <w:rPr>
          <w:rFonts w:ascii="Calibri" w:hAnsi="Calibri" w:cs="Calibri"/>
          <w:lang w:val="sq-AL"/>
        </w:rPr>
        <w:t>h</w:t>
      </w:r>
      <w:r w:rsidR="008B3B0A" w:rsidRPr="00062169">
        <w:rPr>
          <w:rFonts w:ascii="Calibri" w:hAnsi="Calibri" w:cs="Calibri"/>
          <w:lang w:val="sq-AL"/>
        </w:rPr>
        <w:t>,</w:t>
      </w:r>
      <w:r w:rsidR="00E1506D" w:rsidRPr="00062169">
        <w:rPr>
          <w:rFonts w:ascii="Calibri" w:hAnsi="Calibri" w:cs="Calibri"/>
          <w:lang w:val="sq-AL"/>
        </w:rPr>
        <w:t xml:space="preserve"> </w:t>
      </w:r>
      <w:r w:rsidRPr="00062169">
        <w:rPr>
          <w:rFonts w:ascii="Calibri" w:hAnsi="Calibri" w:cs="Calibri"/>
          <w:lang w:val="sq-AL"/>
        </w:rPr>
        <w:t>p</w:t>
      </w:r>
      <w:r w:rsidR="001A6733" w:rsidRPr="00062169">
        <w:rPr>
          <w:rFonts w:ascii="Calibri" w:hAnsi="Calibri" w:cs="Calibri"/>
          <w:lang w:val="sq-AL"/>
        </w:rPr>
        <w:t>ë</w:t>
      </w:r>
      <w:r w:rsidRPr="00062169">
        <w:rPr>
          <w:rFonts w:ascii="Calibri" w:hAnsi="Calibri" w:cs="Calibri"/>
          <w:lang w:val="sq-AL"/>
        </w:rPr>
        <w:t xml:space="preserve">r </w:t>
      </w:r>
      <w:r w:rsidR="0098557A" w:rsidRPr="00062169">
        <w:rPr>
          <w:rFonts w:ascii="Calibri" w:hAnsi="Calibri" w:cs="Calibri"/>
          <w:lang w:val="sq-AL"/>
        </w:rPr>
        <w:t>perioda të barazimit përfundimtar</w:t>
      </w:r>
      <w:r w:rsidRPr="00062169">
        <w:rPr>
          <w:rFonts w:ascii="Calibri" w:hAnsi="Calibri" w:cs="Calibri"/>
          <w:lang w:val="sq-AL"/>
        </w:rPr>
        <w:t xml:space="preserve"> </w:t>
      </w:r>
      <w:r w:rsidR="00AE3781" w:rsidRPr="00062169">
        <w:rPr>
          <w:rFonts w:ascii="Calibri" w:hAnsi="Calibri" w:cs="Calibri"/>
          <w:lang w:val="sq-AL"/>
        </w:rPr>
        <w:t xml:space="preserve">TSO </w:t>
      </w:r>
      <w:r w:rsidRPr="00062169">
        <w:rPr>
          <w:rFonts w:ascii="Calibri" w:hAnsi="Calibri" w:cs="Calibri"/>
          <w:lang w:val="sq-AL"/>
        </w:rPr>
        <w:t>-</w:t>
      </w:r>
      <w:r w:rsidR="00AE3781" w:rsidRPr="00062169">
        <w:rPr>
          <w:rFonts w:ascii="Calibri" w:hAnsi="Calibri" w:cs="Calibri"/>
          <w:lang w:val="sq-AL"/>
        </w:rPr>
        <w:t>TSO</w:t>
      </w:r>
      <w:r w:rsidR="007C124B" w:rsidRPr="00062169">
        <w:rPr>
          <w:rFonts w:ascii="Calibri" w:hAnsi="Calibri" w:cs="Calibri"/>
          <w:lang w:val="sq-AL"/>
        </w:rPr>
        <w:t>:</w:t>
      </w:r>
    </w:p>
    <w:p w:rsidR="007C124B" w:rsidRPr="00062169" w:rsidRDefault="0098557A">
      <w:pPr>
        <w:pStyle w:val="textregular"/>
        <w:numPr>
          <w:ilvl w:val="1"/>
          <w:numId w:val="34"/>
        </w:numPr>
        <w:spacing w:after="0" w:line="276" w:lineRule="auto"/>
        <w:jc w:val="both"/>
        <w:rPr>
          <w:rFonts w:ascii="Calibri" w:hAnsi="Calibri" w:cs="Calibri"/>
          <w:lang w:val="sq-AL"/>
        </w:rPr>
      </w:pPr>
      <w:r w:rsidRPr="00062169">
        <w:rPr>
          <w:rFonts w:ascii="Calibri" w:hAnsi="Calibri" w:cs="Calibri"/>
          <w:lang w:val="sq-AL"/>
        </w:rPr>
        <w:t>Komponenta</w:t>
      </w:r>
      <w:r w:rsidR="00374B05" w:rsidRPr="00062169">
        <w:rPr>
          <w:rFonts w:ascii="Calibri" w:hAnsi="Calibri" w:cs="Calibri"/>
          <w:lang w:val="sq-AL"/>
        </w:rPr>
        <w:t xml:space="preserve"> </w:t>
      </w:r>
      <w:r w:rsidR="00EA3E7A" w:rsidRPr="00062169">
        <w:rPr>
          <w:rFonts w:ascii="Calibri" w:hAnsi="Calibri" w:cs="Calibri"/>
          <w:lang w:val="sq-AL"/>
        </w:rPr>
        <w:t>e</w:t>
      </w:r>
      <w:r w:rsidR="00374B05" w:rsidRPr="00062169">
        <w:rPr>
          <w:rFonts w:ascii="Calibri" w:hAnsi="Calibri" w:cs="Calibri"/>
          <w:lang w:val="sq-AL"/>
        </w:rPr>
        <w:t xml:space="preserve"> çmimit </w:t>
      </w:r>
      <w:r w:rsidRPr="00062169">
        <w:rPr>
          <w:rFonts w:ascii="Calibri" w:hAnsi="Calibri" w:cs="Calibri"/>
          <w:lang w:val="sq-AL"/>
        </w:rPr>
        <w:t xml:space="preserve">referent </w:t>
      </w:r>
      <w:r w:rsidR="00EA3E7A" w:rsidRPr="00062169">
        <w:rPr>
          <w:rFonts w:ascii="Calibri" w:hAnsi="Calibri" w:cs="Calibri"/>
          <w:lang w:val="sq-AL"/>
        </w:rPr>
        <w:t>e</w:t>
      </w:r>
      <w:r w:rsidR="00374B05" w:rsidRPr="00062169">
        <w:rPr>
          <w:rFonts w:ascii="Calibri" w:hAnsi="Calibri" w:cs="Calibri"/>
          <w:lang w:val="sq-AL"/>
        </w:rPr>
        <w:t xml:space="preserve"> llogaritur për çdo </w:t>
      </w:r>
      <w:r w:rsidRPr="00062169">
        <w:rPr>
          <w:rFonts w:ascii="Calibri" w:hAnsi="Calibri" w:cs="Calibri"/>
          <w:lang w:val="sq-AL"/>
        </w:rPr>
        <w:t xml:space="preserve">periodë </w:t>
      </w:r>
      <w:r w:rsidR="00374B05" w:rsidRPr="00062169">
        <w:rPr>
          <w:rFonts w:ascii="Calibri" w:hAnsi="Calibri" w:cs="Calibri"/>
          <w:lang w:val="sq-AL"/>
        </w:rPr>
        <w:t xml:space="preserve">të caktuar të </w:t>
      </w:r>
      <w:r w:rsidRPr="00062169">
        <w:rPr>
          <w:rFonts w:ascii="Calibri" w:hAnsi="Calibri" w:cs="Calibri"/>
          <w:lang w:val="sq-AL"/>
        </w:rPr>
        <w:t xml:space="preserve">barazimit përfundimtar </w:t>
      </w:r>
      <w:r w:rsidR="00AE3781" w:rsidRPr="00062169">
        <w:rPr>
          <w:rFonts w:ascii="Calibri" w:hAnsi="Calibri" w:cs="Calibri"/>
          <w:lang w:val="sq-AL"/>
        </w:rPr>
        <w:t xml:space="preserve">TSO </w:t>
      </w:r>
      <w:r w:rsidR="00374B05" w:rsidRPr="00062169">
        <w:rPr>
          <w:rFonts w:ascii="Calibri" w:hAnsi="Calibri" w:cs="Calibri"/>
          <w:lang w:val="sq-AL"/>
        </w:rPr>
        <w:t>-</w:t>
      </w:r>
      <w:r w:rsidR="00A30633" w:rsidRPr="00062169">
        <w:rPr>
          <w:rFonts w:ascii="Calibri" w:hAnsi="Calibri" w:cs="Calibri"/>
          <w:lang w:val="sq-AL"/>
        </w:rPr>
        <w:t>TSO</w:t>
      </w:r>
      <w:r w:rsidR="00374B05" w:rsidRPr="00062169">
        <w:rPr>
          <w:rFonts w:ascii="Calibri" w:hAnsi="Calibri" w:cs="Calibri"/>
          <w:lang w:val="sq-AL"/>
        </w:rPr>
        <w:t xml:space="preserve"> si çmim mesatar i ponderuar i tregut </w:t>
      </w:r>
      <w:r w:rsidRPr="00062169">
        <w:rPr>
          <w:rFonts w:ascii="Calibri" w:hAnsi="Calibri" w:cs="Calibri"/>
          <w:lang w:val="sq-AL"/>
        </w:rPr>
        <w:t>një ditë para</w:t>
      </w:r>
      <w:r w:rsidR="00374B05" w:rsidRPr="00062169">
        <w:rPr>
          <w:rFonts w:ascii="Calibri" w:hAnsi="Calibri" w:cs="Calibri"/>
          <w:lang w:val="sq-AL"/>
        </w:rPr>
        <w:t xml:space="preserve"> të të gjitha blloq</w:t>
      </w:r>
      <w:r w:rsidRPr="00062169">
        <w:rPr>
          <w:rFonts w:ascii="Calibri" w:hAnsi="Calibri" w:cs="Calibri"/>
          <w:lang w:val="sq-AL"/>
        </w:rPr>
        <w:t>et</w:t>
      </w:r>
      <w:r w:rsidR="00374B05" w:rsidRPr="00062169">
        <w:rPr>
          <w:rFonts w:ascii="Calibri" w:hAnsi="Calibri" w:cs="Calibri"/>
          <w:lang w:val="sq-AL"/>
        </w:rPr>
        <w:t xml:space="preserve"> LFC brenda SA CE për atë </w:t>
      </w:r>
      <w:r w:rsidR="009114D7" w:rsidRPr="00062169">
        <w:rPr>
          <w:rFonts w:ascii="Calibri" w:hAnsi="Calibri" w:cs="Calibri"/>
          <w:lang w:val="sq-AL"/>
        </w:rPr>
        <w:t>periodë të barazimit përfundimtar</w:t>
      </w:r>
      <w:r w:rsidR="00374B05" w:rsidRPr="00062169">
        <w:rPr>
          <w:rFonts w:ascii="Calibri" w:hAnsi="Calibri" w:cs="Calibri"/>
          <w:lang w:val="sq-AL"/>
        </w:rPr>
        <w:t xml:space="preserve"> </w:t>
      </w:r>
      <w:r w:rsidR="00AE3781" w:rsidRPr="00062169">
        <w:rPr>
          <w:rFonts w:ascii="Calibri" w:hAnsi="Calibri" w:cs="Calibri"/>
          <w:lang w:val="sq-AL"/>
        </w:rPr>
        <w:t xml:space="preserve">TSO </w:t>
      </w:r>
      <w:r w:rsidR="00374B05" w:rsidRPr="00062169">
        <w:rPr>
          <w:rFonts w:ascii="Calibri" w:hAnsi="Calibri" w:cs="Calibri"/>
          <w:lang w:val="sq-AL"/>
        </w:rPr>
        <w:t>-</w:t>
      </w:r>
      <w:r w:rsidR="00A30633" w:rsidRPr="00062169">
        <w:rPr>
          <w:rFonts w:ascii="Calibri" w:hAnsi="Calibri" w:cs="Calibri"/>
          <w:lang w:val="sq-AL"/>
        </w:rPr>
        <w:t>TSO</w:t>
      </w:r>
      <w:r w:rsidR="00374B05" w:rsidRPr="00062169">
        <w:rPr>
          <w:rFonts w:ascii="Calibri" w:hAnsi="Calibri" w:cs="Calibri"/>
          <w:lang w:val="sq-AL"/>
        </w:rPr>
        <w:t>,</w:t>
      </w:r>
      <w:r w:rsidRPr="00062169">
        <w:rPr>
          <w:rFonts w:ascii="Calibri" w:hAnsi="Calibri" w:cs="Calibri"/>
          <w:lang w:val="sq-AL"/>
        </w:rPr>
        <w:t xml:space="preserve"> e ponderuar me </w:t>
      </w:r>
      <w:r w:rsidR="00374B05" w:rsidRPr="00062169">
        <w:rPr>
          <w:rFonts w:ascii="Calibri" w:hAnsi="Calibri" w:cs="Calibri"/>
          <w:lang w:val="sq-AL"/>
        </w:rPr>
        <w:t>vlerën absolute të shumës së shkëmbimeve të qëllimshme të energjisë në përputhje me Nenin 50 (3) (a) të EBGL dhe shkëmbimeve të paqëllimshme të energjisë sipas Nenit 51 (1) të EBGL, të secilit bllok LFC. Do të zbatohen rregullat e mëposhtme</w:t>
      </w:r>
      <w:r w:rsidR="007C124B" w:rsidRPr="00062169">
        <w:rPr>
          <w:rFonts w:ascii="Calibri" w:hAnsi="Calibri" w:cs="Calibri"/>
          <w:lang w:val="sq-AL"/>
        </w:rPr>
        <w:t>:</w:t>
      </w:r>
    </w:p>
    <w:p w:rsidR="007C124B" w:rsidRPr="00062169" w:rsidRDefault="00374B05" w:rsidP="00900B3B">
      <w:pPr>
        <w:pStyle w:val="ListParagraph"/>
        <w:numPr>
          <w:ilvl w:val="2"/>
          <w:numId w:val="29"/>
        </w:numPr>
        <w:spacing w:after="0" w:line="276" w:lineRule="auto"/>
        <w:rPr>
          <w:rFonts w:ascii="Calibri" w:hAnsi="Calibri" w:cs="Calibri"/>
          <w:lang w:val="sq-AL"/>
        </w:rPr>
      </w:pPr>
      <w:r w:rsidRPr="00062169">
        <w:rPr>
          <w:rFonts w:ascii="Calibri" w:hAnsi="Calibri" w:cs="Calibri"/>
          <w:lang w:val="sq-AL"/>
        </w:rPr>
        <w:lastRenderedPageBreak/>
        <w:t xml:space="preserve">Në rast se ka më shumë se një çmim të tregut </w:t>
      </w:r>
      <w:r w:rsidR="0098557A" w:rsidRPr="00062169">
        <w:rPr>
          <w:rFonts w:ascii="Calibri" w:hAnsi="Calibri" w:cs="Calibri"/>
          <w:lang w:val="sq-AL"/>
        </w:rPr>
        <w:t>një ditë para</w:t>
      </w:r>
      <w:r w:rsidRPr="00062169">
        <w:rPr>
          <w:rFonts w:ascii="Calibri" w:hAnsi="Calibri" w:cs="Calibri"/>
          <w:lang w:val="sq-AL"/>
        </w:rPr>
        <w:t xml:space="preserve"> për bllokun LFC për atë </w:t>
      </w:r>
      <w:r w:rsidR="0098557A" w:rsidRPr="00062169">
        <w:rPr>
          <w:rFonts w:ascii="Calibri" w:hAnsi="Calibri" w:cs="Calibri"/>
          <w:lang w:val="sq-AL"/>
        </w:rPr>
        <w:t>periodë të barazimit përfundimtar</w:t>
      </w:r>
      <w:r w:rsidRPr="00062169">
        <w:rPr>
          <w:rFonts w:ascii="Calibri" w:hAnsi="Calibri" w:cs="Calibri"/>
          <w:lang w:val="sq-AL"/>
        </w:rPr>
        <w:t xml:space="preserve"> </w:t>
      </w:r>
      <w:r w:rsidR="00AE3781" w:rsidRPr="00062169">
        <w:rPr>
          <w:rFonts w:ascii="Calibri" w:hAnsi="Calibri" w:cs="Calibri"/>
          <w:lang w:val="sq-AL"/>
        </w:rPr>
        <w:t xml:space="preserve">TSO </w:t>
      </w:r>
      <w:r w:rsidRPr="00062169">
        <w:rPr>
          <w:rFonts w:ascii="Calibri" w:hAnsi="Calibri" w:cs="Calibri"/>
          <w:lang w:val="sq-AL"/>
        </w:rPr>
        <w:t>-</w:t>
      </w:r>
      <w:r w:rsidR="00A30633" w:rsidRPr="00062169">
        <w:rPr>
          <w:rFonts w:ascii="Calibri" w:hAnsi="Calibri" w:cs="Calibri"/>
          <w:lang w:val="sq-AL"/>
        </w:rPr>
        <w:t>TSO</w:t>
      </w:r>
      <w:r w:rsidRPr="00062169">
        <w:rPr>
          <w:rFonts w:ascii="Calibri" w:hAnsi="Calibri" w:cs="Calibri"/>
          <w:lang w:val="sq-AL"/>
        </w:rPr>
        <w:t>, çmim</w:t>
      </w:r>
      <w:r w:rsidR="00A30633" w:rsidRPr="00062169">
        <w:rPr>
          <w:rFonts w:ascii="Calibri" w:hAnsi="Calibri" w:cs="Calibri"/>
          <w:lang w:val="sq-AL"/>
        </w:rPr>
        <w:t>i</w:t>
      </w:r>
      <w:r w:rsidRPr="00062169">
        <w:rPr>
          <w:rFonts w:ascii="Calibri" w:hAnsi="Calibri" w:cs="Calibri"/>
          <w:lang w:val="sq-AL"/>
        </w:rPr>
        <w:t xml:space="preserve"> mesatar i ponderuar llogaritet nga </w:t>
      </w:r>
      <w:r w:rsidR="00641280" w:rsidRPr="00062169">
        <w:rPr>
          <w:rFonts w:ascii="Calibri" w:hAnsi="Calibri" w:cs="Calibri"/>
          <w:lang w:val="sq-AL"/>
        </w:rPr>
        <w:t>entiteti</w:t>
      </w:r>
      <w:r w:rsidR="000E43C5" w:rsidRPr="00062169">
        <w:rPr>
          <w:rFonts w:ascii="Calibri" w:hAnsi="Calibri" w:cs="Calibri"/>
          <w:lang w:val="sq-AL"/>
        </w:rPr>
        <w:t xml:space="preserve"> </w:t>
      </w:r>
      <w:r w:rsidRPr="00062169">
        <w:rPr>
          <w:rFonts w:ascii="Calibri" w:hAnsi="Calibri" w:cs="Calibri"/>
          <w:lang w:val="sq-AL"/>
        </w:rPr>
        <w:t xml:space="preserve">së cilës i është besuar funksioni i </w:t>
      </w:r>
      <w:r w:rsidR="0098557A" w:rsidRPr="00062169">
        <w:rPr>
          <w:rFonts w:ascii="Calibri" w:hAnsi="Calibri" w:cs="Calibri"/>
          <w:lang w:val="sq-AL"/>
        </w:rPr>
        <w:t xml:space="preserve">barazimit përfundimtar </w:t>
      </w:r>
      <w:r w:rsidRPr="00062169">
        <w:rPr>
          <w:rFonts w:ascii="Calibri" w:hAnsi="Calibri" w:cs="Calibri"/>
          <w:lang w:val="sq-AL"/>
        </w:rPr>
        <w:t xml:space="preserve">dhe përdoret në </w:t>
      </w:r>
      <w:r w:rsidR="007C124B" w:rsidRPr="00062169">
        <w:rPr>
          <w:rFonts w:ascii="Calibri" w:hAnsi="Calibri" w:cs="Calibri"/>
          <w:lang w:val="sq-AL"/>
        </w:rPr>
        <w:t>8(</w:t>
      </w:r>
      <w:r w:rsidR="000F5F4F" w:rsidRPr="00062169">
        <w:rPr>
          <w:rFonts w:ascii="Calibri" w:hAnsi="Calibri" w:cs="Calibri"/>
          <w:lang w:val="sq-AL"/>
        </w:rPr>
        <w:t>2</w:t>
      </w:r>
      <w:r w:rsidR="007C124B" w:rsidRPr="00062169">
        <w:rPr>
          <w:rFonts w:ascii="Calibri" w:hAnsi="Calibri" w:cs="Calibri"/>
          <w:lang w:val="sq-AL"/>
        </w:rPr>
        <w:t>)(a)</w:t>
      </w:r>
      <w:r w:rsidRPr="00062169">
        <w:rPr>
          <w:rFonts w:ascii="Calibri" w:hAnsi="Calibri" w:cs="Calibri"/>
          <w:lang w:val="sq-AL"/>
        </w:rPr>
        <w:t xml:space="preserve"> për bllokun përkatës LFC</w:t>
      </w:r>
      <w:r w:rsidR="007C124B" w:rsidRPr="00062169">
        <w:rPr>
          <w:rFonts w:ascii="Calibri" w:hAnsi="Calibri" w:cs="Calibri"/>
          <w:lang w:val="sq-AL"/>
        </w:rPr>
        <w:t xml:space="preserve">. </w:t>
      </w:r>
      <w:r w:rsidRPr="00062169">
        <w:rPr>
          <w:rFonts w:ascii="Calibri" w:hAnsi="Calibri" w:cs="Calibri"/>
          <w:lang w:val="sq-AL"/>
        </w:rPr>
        <w:t xml:space="preserve">Çmimi mesatar i ponderuar i një blloku LFC llogaritet duke ponderuar çmimet e tregut </w:t>
      </w:r>
      <w:r w:rsidR="00A02F04" w:rsidRPr="00062169">
        <w:rPr>
          <w:rFonts w:ascii="Calibri" w:hAnsi="Calibri" w:cs="Calibri"/>
          <w:lang w:val="sq-AL"/>
        </w:rPr>
        <w:t>një ditë para</w:t>
      </w:r>
      <w:r w:rsidRPr="00062169">
        <w:rPr>
          <w:rFonts w:ascii="Calibri" w:hAnsi="Calibri" w:cs="Calibri"/>
          <w:lang w:val="sq-AL"/>
        </w:rPr>
        <w:t xml:space="preserve"> të zonave LFC në atë bllok LFC me faktorin përkatës k të secilës zonë LFC</w:t>
      </w:r>
      <w:r w:rsidR="007C124B" w:rsidRPr="00062169">
        <w:rPr>
          <w:rFonts w:ascii="Calibri" w:hAnsi="Calibri" w:cs="Calibri"/>
          <w:lang w:val="sq-AL"/>
        </w:rPr>
        <w:t xml:space="preserve">. </w:t>
      </w:r>
      <w:r w:rsidRPr="00062169">
        <w:rPr>
          <w:rFonts w:ascii="Calibri" w:hAnsi="Calibri" w:cs="Calibri"/>
          <w:lang w:val="sq-AL"/>
        </w:rPr>
        <w:t xml:space="preserve">Nëse nuk ka çmim të tregut </w:t>
      </w:r>
      <w:r w:rsidR="00A02F04" w:rsidRPr="00062169">
        <w:rPr>
          <w:rFonts w:ascii="Calibri" w:hAnsi="Calibri" w:cs="Calibri"/>
          <w:lang w:val="sq-AL"/>
        </w:rPr>
        <w:t>një ditë para</w:t>
      </w:r>
      <w:r w:rsidRPr="00062169">
        <w:rPr>
          <w:rFonts w:ascii="Calibri" w:hAnsi="Calibri" w:cs="Calibri"/>
          <w:lang w:val="sq-AL"/>
        </w:rPr>
        <w:t xml:space="preserve"> në një zonë LFC brenda bllokut LFC, kjo zonë LFC nuk </w:t>
      </w:r>
      <w:r w:rsidR="00A02F04" w:rsidRPr="00062169">
        <w:rPr>
          <w:rFonts w:ascii="Calibri" w:hAnsi="Calibri" w:cs="Calibri"/>
          <w:lang w:val="sq-AL"/>
        </w:rPr>
        <w:t xml:space="preserve">merret parasysh </w:t>
      </w:r>
      <w:r w:rsidRPr="00062169">
        <w:rPr>
          <w:rFonts w:ascii="Calibri" w:hAnsi="Calibri" w:cs="Calibri"/>
          <w:lang w:val="sq-AL"/>
        </w:rPr>
        <w:t>për llogaritjen e çmimit mesatar të ponderuar të bllokut LFC</w:t>
      </w:r>
      <w:r w:rsidR="007C124B" w:rsidRPr="00062169">
        <w:rPr>
          <w:rFonts w:ascii="Calibri" w:hAnsi="Calibri" w:cs="Calibri"/>
          <w:lang w:val="sq-AL"/>
        </w:rPr>
        <w:t>.</w:t>
      </w:r>
    </w:p>
    <w:p w:rsidR="007C124B" w:rsidRPr="00062169" w:rsidRDefault="00374B05" w:rsidP="00900B3B">
      <w:pPr>
        <w:pStyle w:val="ListParagraph"/>
        <w:numPr>
          <w:ilvl w:val="2"/>
          <w:numId w:val="29"/>
        </w:numPr>
        <w:spacing w:after="0" w:line="276" w:lineRule="auto"/>
        <w:rPr>
          <w:rFonts w:ascii="Calibri" w:hAnsi="Calibri" w:cs="Calibri"/>
          <w:lang w:val="sq-AL"/>
        </w:rPr>
      </w:pPr>
      <w:r w:rsidRPr="00062169">
        <w:rPr>
          <w:rFonts w:ascii="Calibri" w:hAnsi="Calibri" w:cs="Calibri"/>
          <w:lang w:val="sq-AL"/>
        </w:rPr>
        <w:t xml:space="preserve">Në rast se ka më shumë se një çmim të tregut </w:t>
      </w:r>
      <w:r w:rsidR="00A02F04" w:rsidRPr="00062169">
        <w:rPr>
          <w:rFonts w:ascii="Calibri" w:hAnsi="Calibri" w:cs="Calibri"/>
          <w:lang w:val="sq-AL"/>
        </w:rPr>
        <w:t>një ditë para</w:t>
      </w:r>
      <w:r w:rsidRPr="00062169">
        <w:rPr>
          <w:rFonts w:ascii="Calibri" w:hAnsi="Calibri" w:cs="Calibri"/>
          <w:lang w:val="sq-AL"/>
        </w:rPr>
        <w:t xml:space="preserve"> në një zonë LFC për atë </w:t>
      </w:r>
      <w:r w:rsidR="00A02F04" w:rsidRPr="00062169">
        <w:rPr>
          <w:rFonts w:ascii="Calibri" w:hAnsi="Calibri" w:cs="Calibri"/>
          <w:lang w:val="sq-AL"/>
        </w:rPr>
        <w:t>periodë të barazimit përfundimtar</w:t>
      </w:r>
      <w:r w:rsidRPr="00062169">
        <w:rPr>
          <w:rFonts w:ascii="Calibri" w:hAnsi="Calibri" w:cs="Calibri"/>
          <w:lang w:val="sq-AL"/>
        </w:rPr>
        <w:t xml:space="preserve"> </w:t>
      </w:r>
      <w:r w:rsidR="00AE3781" w:rsidRPr="00062169">
        <w:rPr>
          <w:rFonts w:ascii="Calibri" w:hAnsi="Calibri" w:cs="Calibri"/>
          <w:lang w:val="sq-AL"/>
        </w:rPr>
        <w:t xml:space="preserve">TSO </w:t>
      </w:r>
      <w:r w:rsidRPr="00062169">
        <w:rPr>
          <w:rFonts w:ascii="Calibri" w:hAnsi="Calibri" w:cs="Calibri"/>
          <w:lang w:val="sq-AL"/>
        </w:rPr>
        <w:t>-</w:t>
      </w:r>
      <w:r w:rsidR="00AE3781" w:rsidRPr="00062169">
        <w:rPr>
          <w:rFonts w:ascii="Calibri" w:hAnsi="Calibri" w:cs="Calibri"/>
          <w:lang w:val="sq-AL"/>
        </w:rPr>
        <w:t>TSO</w:t>
      </w:r>
      <w:r w:rsidRPr="00062169">
        <w:rPr>
          <w:rFonts w:ascii="Calibri" w:hAnsi="Calibri" w:cs="Calibri"/>
          <w:lang w:val="sq-AL"/>
        </w:rPr>
        <w:t xml:space="preserve">, </w:t>
      </w:r>
      <w:r w:rsidR="00AE3781" w:rsidRPr="00062169">
        <w:rPr>
          <w:rFonts w:ascii="Calibri" w:hAnsi="Calibri" w:cs="Calibri"/>
          <w:lang w:val="sq-AL"/>
        </w:rPr>
        <w:t xml:space="preserve">TSO </w:t>
      </w:r>
      <w:r w:rsidRPr="00062169">
        <w:rPr>
          <w:rFonts w:ascii="Calibri" w:hAnsi="Calibri" w:cs="Calibri"/>
          <w:lang w:val="sq-AL"/>
        </w:rPr>
        <w:t xml:space="preserve">që vepron në zonën LFC mund të vendosë se cilin çmim ose çmime do të përdorë për përcaktimin e çmimit të tregut </w:t>
      </w:r>
      <w:r w:rsidR="00A02F04" w:rsidRPr="00062169">
        <w:rPr>
          <w:rFonts w:ascii="Calibri" w:hAnsi="Calibri" w:cs="Calibri"/>
          <w:lang w:val="sq-AL"/>
        </w:rPr>
        <w:t>një ditë para</w:t>
      </w:r>
      <w:r w:rsidRPr="00062169">
        <w:rPr>
          <w:rFonts w:ascii="Calibri" w:hAnsi="Calibri" w:cs="Calibri"/>
          <w:lang w:val="sq-AL"/>
        </w:rPr>
        <w:t xml:space="preserve"> të zonës LFC</w:t>
      </w:r>
      <w:r w:rsidR="007C124B" w:rsidRPr="00062169">
        <w:rPr>
          <w:rFonts w:ascii="Calibri" w:hAnsi="Calibri" w:cs="Calibri"/>
          <w:lang w:val="sq-AL"/>
        </w:rPr>
        <w:t>.</w:t>
      </w:r>
    </w:p>
    <w:p w:rsidR="007C124B" w:rsidRPr="00062169" w:rsidRDefault="00374B05" w:rsidP="00900B3B">
      <w:pPr>
        <w:pStyle w:val="ListParagraph"/>
        <w:numPr>
          <w:ilvl w:val="2"/>
          <w:numId w:val="29"/>
        </w:numPr>
        <w:spacing w:after="0" w:line="276" w:lineRule="auto"/>
        <w:rPr>
          <w:rFonts w:ascii="Calibri" w:hAnsi="Calibri" w:cs="Calibri"/>
          <w:lang w:val="sq-AL"/>
        </w:rPr>
      </w:pPr>
      <w:r w:rsidRPr="00062169">
        <w:rPr>
          <w:rFonts w:ascii="Calibri" w:hAnsi="Calibri" w:cs="Calibri"/>
          <w:lang w:val="sq-AL"/>
        </w:rPr>
        <w:t xml:space="preserve">Në rast se nuk ka një çmim të tregu të ditës së mëparshme në një bllok LFC për atë </w:t>
      </w:r>
      <w:r w:rsidR="009114D7" w:rsidRPr="00062169">
        <w:rPr>
          <w:rFonts w:ascii="Calibri" w:hAnsi="Calibri" w:cs="Calibri"/>
          <w:lang w:val="sq-AL"/>
        </w:rPr>
        <w:t>periodë të barazimit përfundimtar</w:t>
      </w:r>
      <w:r w:rsidRPr="00062169">
        <w:rPr>
          <w:rFonts w:ascii="Calibri" w:hAnsi="Calibri" w:cs="Calibri"/>
          <w:lang w:val="sq-AL"/>
        </w:rPr>
        <w:t xml:space="preserve"> </w:t>
      </w:r>
      <w:r w:rsidR="00AE3781" w:rsidRPr="00062169">
        <w:rPr>
          <w:rFonts w:ascii="Calibri" w:hAnsi="Calibri" w:cs="Calibri"/>
          <w:lang w:val="sq-AL"/>
        </w:rPr>
        <w:t xml:space="preserve">TSO </w:t>
      </w:r>
      <w:r w:rsidRPr="00062169">
        <w:rPr>
          <w:rFonts w:ascii="Calibri" w:hAnsi="Calibri" w:cs="Calibri"/>
          <w:lang w:val="sq-AL"/>
        </w:rPr>
        <w:t xml:space="preserve">- </w:t>
      </w:r>
      <w:r w:rsidR="00AE3781" w:rsidRPr="00062169">
        <w:rPr>
          <w:rFonts w:ascii="Calibri" w:hAnsi="Calibri" w:cs="Calibri"/>
          <w:lang w:val="sq-AL"/>
        </w:rPr>
        <w:t>TSO</w:t>
      </w:r>
      <w:r w:rsidRPr="00062169">
        <w:rPr>
          <w:rFonts w:ascii="Calibri" w:hAnsi="Calibri" w:cs="Calibri"/>
          <w:lang w:val="sq-AL"/>
        </w:rPr>
        <w:t xml:space="preserve">, çmimi i </w:t>
      </w:r>
      <w:r w:rsidR="00A02F04" w:rsidRPr="00062169">
        <w:rPr>
          <w:rFonts w:ascii="Calibri" w:hAnsi="Calibri" w:cs="Calibri"/>
          <w:lang w:val="sq-AL"/>
        </w:rPr>
        <w:t>jobalancit</w:t>
      </w:r>
      <w:r w:rsidRPr="00062169">
        <w:rPr>
          <w:rFonts w:ascii="Calibri" w:hAnsi="Calibri" w:cs="Calibri"/>
          <w:lang w:val="sq-AL"/>
        </w:rPr>
        <w:t xml:space="preserve"> për atë bllok LFC për atë </w:t>
      </w:r>
      <w:r w:rsidR="00A02F04" w:rsidRPr="00062169">
        <w:rPr>
          <w:rFonts w:ascii="Calibri" w:hAnsi="Calibri" w:cs="Calibri"/>
          <w:lang w:val="sq-AL"/>
        </w:rPr>
        <w:t>periodë të barazimit përfundimtar</w:t>
      </w:r>
      <w:r w:rsidRPr="00062169">
        <w:rPr>
          <w:rFonts w:ascii="Calibri" w:hAnsi="Calibri" w:cs="Calibri"/>
          <w:lang w:val="sq-AL"/>
        </w:rPr>
        <w:t xml:space="preserve"> </w:t>
      </w:r>
      <w:r w:rsidR="00AE3781" w:rsidRPr="00062169">
        <w:rPr>
          <w:rFonts w:ascii="Calibri" w:hAnsi="Calibri" w:cs="Calibri"/>
          <w:lang w:val="sq-AL"/>
        </w:rPr>
        <w:t xml:space="preserve">TSO </w:t>
      </w:r>
      <w:r w:rsidRPr="00062169">
        <w:rPr>
          <w:rFonts w:ascii="Calibri" w:hAnsi="Calibri" w:cs="Calibri"/>
          <w:lang w:val="sq-AL"/>
        </w:rPr>
        <w:t>-</w:t>
      </w:r>
      <w:r w:rsidR="00AE3781" w:rsidRPr="00062169">
        <w:rPr>
          <w:rFonts w:ascii="Calibri" w:hAnsi="Calibri" w:cs="Calibri"/>
          <w:lang w:val="sq-AL"/>
        </w:rPr>
        <w:t xml:space="preserve">TSO </w:t>
      </w:r>
      <w:r w:rsidRPr="00062169">
        <w:rPr>
          <w:rFonts w:ascii="Calibri" w:hAnsi="Calibri" w:cs="Calibri"/>
          <w:lang w:val="sq-AL"/>
        </w:rPr>
        <w:t>përdoret në Nenin</w:t>
      </w:r>
      <w:r w:rsidR="00A02F04" w:rsidRPr="00062169">
        <w:rPr>
          <w:rFonts w:ascii="Calibri" w:hAnsi="Calibri" w:cs="Calibri"/>
          <w:lang w:val="sq-AL"/>
        </w:rPr>
        <w:t xml:space="preserve"> </w:t>
      </w:r>
      <w:r w:rsidR="007C124B" w:rsidRPr="00062169">
        <w:rPr>
          <w:rFonts w:ascii="Calibri" w:hAnsi="Calibri" w:cs="Calibri"/>
          <w:lang w:val="sq-AL"/>
        </w:rPr>
        <w:t>8(</w:t>
      </w:r>
      <w:r w:rsidR="000F5F4F" w:rsidRPr="00062169">
        <w:rPr>
          <w:rFonts w:ascii="Calibri" w:hAnsi="Calibri" w:cs="Calibri"/>
          <w:lang w:val="sq-AL"/>
        </w:rPr>
        <w:t>2</w:t>
      </w:r>
      <w:r w:rsidR="007C124B" w:rsidRPr="00062169">
        <w:rPr>
          <w:rFonts w:ascii="Calibri" w:hAnsi="Calibri" w:cs="Calibri"/>
          <w:lang w:val="sq-AL"/>
        </w:rPr>
        <w:t xml:space="preserve">)(a) </w:t>
      </w:r>
      <w:r w:rsidRPr="00062169">
        <w:rPr>
          <w:rFonts w:ascii="Calibri" w:hAnsi="Calibri" w:cs="Calibri"/>
          <w:lang w:val="sq-AL"/>
        </w:rPr>
        <w:t>në vend të çmimi</w:t>
      </w:r>
      <w:r w:rsidR="00A02F04" w:rsidRPr="00062169">
        <w:rPr>
          <w:rFonts w:ascii="Calibri" w:hAnsi="Calibri" w:cs="Calibri"/>
          <w:lang w:val="sq-AL"/>
        </w:rPr>
        <w:t>t</w:t>
      </w:r>
      <w:r w:rsidRPr="00062169">
        <w:rPr>
          <w:rFonts w:ascii="Calibri" w:hAnsi="Calibri" w:cs="Calibri"/>
          <w:lang w:val="sq-AL"/>
        </w:rPr>
        <w:t xml:space="preserve"> të tregut </w:t>
      </w:r>
      <w:r w:rsidR="00A02F04" w:rsidRPr="00062169">
        <w:rPr>
          <w:rFonts w:ascii="Calibri" w:hAnsi="Calibri" w:cs="Calibri"/>
          <w:lang w:val="sq-AL"/>
        </w:rPr>
        <w:t>një ditë para</w:t>
      </w:r>
      <w:r w:rsidRPr="00062169">
        <w:rPr>
          <w:rFonts w:ascii="Calibri" w:hAnsi="Calibri" w:cs="Calibri"/>
          <w:lang w:val="sq-AL"/>
        </w:rPr>
        <w:t xml:space="preserve">. Në rastin </w:t>
      </w:r>
      <w:r w:rsidR="00A02F04" w:rsidRPr="00062169">
        <w:rPr>
          <w:rFonts w:ascii="Calibri" w:hAnsi="Calibri" w:cs="Calibri"/>
          <w:lang w:val="sq-AL"/>
        </w:rPr>
        <w:t>kur përdoren dy çmime të jobalanceve</w:t>
      </w:r>
      <w:r w:rsidRPr="00062169">
        <w:rPr>
          <w:rFonts w:ascii="Calibri" w:hAnsi="Calibri" w:cs="Calibri"/>
          <w:lang w:val="sq-AL"/>
        </w:rPr>
        <w:t>, llogaritet çmim</w:t>
      </w:r>
      <w:r w:rsidR="00A02F04" w:rsidRPr="00062169">
        <w:rPr>
          <w:rFonts w:ascii="Calibri" w:hAnsi="Calibri" w:cs="Calibri"/>
          <w:lang w:val="sq-AL"/>
        </w:rPr>
        <w:t>i</w:t>
      </w:r>
      <w:r w:rsidRPr="00062169">
        <w:rPr>
          <w:rFonts w:ascii="Calibri" w:hAnsi="Calibri" w:cs="Calibri"/>
          <w:lang w:val="sq-AL"/>
        </w:rPr>
        <w:t xml:space="preserve"> mesatar</w:t>
      </w:r>
      <w:r w:rsidR="007C124B" w:rsidRPr="00062169">
        <w:rPr>
          <w:rFonts w:ascii="Calibri" w:hAnsi="Calibri" w:cs="Calibri"/>
          <w:lang w:val="sq-AL"/>
        </w:rPr>
        <w:t xml:space="preserve">. </w:t>
      </w:r>
    </w:p>
    <w:p w:rsidR="00DB5CC7" w:rsidRPr="00062169" w:rsidRDefault="00A02F04" w:rsidP="00900B3B">
      <w:pPr>
        <w:pStyle w:val="textregular"/>
        <w:keepNext/>
        <w:keepLines/>
        <w:numPr>
          <w:ilvl w:val="1"/>
          <w:numId w:val="29"/>
        </w:numPr>
        <w:spacing w:after="0" w:line="276" w:lineRule="auto"/>
        <w:ind w:left="1077" w:hanging="357"/>
        <w:jc w:val="both"/>
        <w:rPr>
          <w:rFonts w:ascii="Calibri" w:hAnsi="Calibri" w:cs="Calibri"/>
          <w:lang w:val="sq-AL"/>
        </w:rPr>
      </w:pPr>
      <w:r w:rsidRPr="00062169">
        <w:rPr>
          <w:rFonts w:ascii="Calibri" w:hAnsi="Calibri" w:cs="Calibri"/>
          <w:lang w:val="sq-AL"/>
        </w:rPr>
        <w:t xml:space="preserve">Komponenta e çmimit e </w:t>
      </w:r>
      <w:r w:rsidR="00A73E0A" w:rsidRPr="00062169">
        <w:rPr>
          <w:rFonts w:ascii="Calibri" w:hAnsi="Calibri" w:cs="Calibri"/>
          <w:lang w:val="sq-AL"/>
        </w:rPr>
        <w:t xml:space="preserve">varur nga frekuenca, </w:t>
      </w:r>
      <w:r w:rsidR="00EA3E7A" w:rsidRPr="00062169">
        <w:rPr>
          <w:rFonts w:ascii="Calibri" w:hAnsi="Calibri" w:cs="Calibri"/>
          <w:lang w:val="sq-AL"/>
        </w:rPr>
        <w:t>e</w:t>
      </w:r>
      <w:r w:rsidR="00A73E0A" w:rsidRPr="00062169">
        <w:rPr>
          <w:rFonts w:ascii="Calibri" w:hAnsi="Calibri" w:cs="Calibri"/>
          <w:lang w:val="sq-AL"/>
        </w:rPr>
        <w:t xml:space="preserve"> zbatueshm</w:t>
      </w:r>
      <w:r w:rsidR="00EA3E7A" w:rsidRPr="00062169">
        <w:rPr>
          <w:rFonts w:ascii="Calibri" w:hAnsi="Calibri" w:cs="Calibri"/>
          <w:lang w:val="sq-AL"/>
        </w:rPr>
        <w:t>e</w:t>
      </w:r>
      <w:r w:rsidR="00A73E0A" w:rsidRPr="00062169">
        <w:rPr>
          <w:rFonts w:ascii="Calibri" w:hAnsi="Calibri" w:cs="Calibri"/>
          <w:lang w:val="sq-AL"/>
        </w:rPr>
        <w:t xml:space="preserve"> vetëm nëse vlera absolute e devijimit mesatar të frekuencës </w:t>
      </w:r>
      <w:r w:rsidRPr="00062169">
        <w:rPr>
          <w:rFonts w:ascii="Calibri" w:hAnsi="Calibri" w:cs="Calibri"/>
          <w:lang w:val="sq-AL"/>
        </w:rPr>
        <w:t>për periodën e barazimit përfundimtar</w:t>
      </w:r>
      <w:r w:rsidR="00A73E0A" w:rsidRPr="00062169">
        <w:rPr>
          <w:rFonts w:ascii="Calibri" w:hAnsi="Calibri" w:cs="Calibri"/>
          <w:lang w:val="sq-AL"/>
        </w:rPr>
        <w:t xml:space="preserve"> </w:t>
      </w:r>
      <w:r w:rsidR="00AE3781" w:rsidRPr="00062169">
        <w:rPr>
          <w:rFonts w:ascii="Calibri" w:hAnsi="Calibri" w:cs="Calibri"/>
          <w:lang w:val="sq-AL"/>
        </w:rPr>
        <w:t xml:space="preserve">TSO </w:t>
      </w:r>
      <w:r w:rsidR="00A73E0A" w:rsidRPr="00062169">
        <w:rPr>
          <w:rFonts w:ascii="Calibri" w:hAnsi="Calibri" w:cs="Calibri"/>
          <w:lang w:val="sq-AL"/>
        </w:rPr>
        <w:t>-</w:t>
      </w:r>
      <w:r w:rsidR="00AE3781" w:rsidRPr="00062169">
        <w:rPr>
          <w:rFonts w:ascii="Calibri" w:hAnsi="Calibri" w:cs="Calibri"/>
          <w:lang w:val="sq-AL"/>
        </w:rPr>
        <w:t xml:space="preserve">TSO </w:t>
      </w:r>
      <w:r w:rsidR="00A73E0A" w:rsidRPr="00062169">
        <w:rPr>
          <w:rFonts w:ascii="Calibri" w:hAnsi="Calibri" w:cs="Calibri"/>
          <w:lang w:val="sq-AL"/>
        </w:rPr>
        <w:t>tejkalon vlerën absolute të vlerës minimale të pragut (20 mHz). Komponent</w:t>
      </w:r>
      <w:r w:rsidRPr="00062169">
        <w:rPr>
          <w:rFonts w:ascii="Calibri" w:hAnsi="Calibri" w:cs="Calibri"/>
          <w:lang w:val="sq-AL"/>
        </w:rPr>
        <w:t>a</w:t>
      </w:r>
      <w:r w:rsidR="00A73E0A" w:rsidRPr="00062169">
        <w:rPr>
          <w:rFonts w:ascii="Calibri" w:hAnsi="Calibri" w:cs="Calibri"/>
          <w:lang w:val="sq-AL"/>
        </w:rPr>
        <w:t xml:space="preserve"> </w:t>
      </w:r>
      <w:r w:rsidRPr="00062169">
        <w:rPr>
          <w:rFonts w:ascii="Calibri" w:hAnsi="Calibri" w:cs="Calibri"/>
          <w:lang w:val="sq-AL"/>
        </w:rPr>
        <w:t>e</w:t>
      </w:r>
      <w:r w:rsidR="00A73E0A" w:rsidRPr="00062169">
        <w:rPr>
          <w:rFonts w:ascii="Calibri" w:hAnsi="Calibri" w:cs="Calibri"/>
          <w:lang w:val="sq-AL"/>
        </w:rPr>
        <w:t xml:space="preserve"> varur nga frekuenca llogaritet si funksion i devijimit mesatar të frekuencës për secilën </w:t>
      </w:r>
      <w:r w:rsidRPr="00062169">
        <w:rPr>
          <w:rFonts w:ascii="Calibri" w:hAnsi="Calibri" w:cs="Calibri"/>
          <w:lang w:val="sq-AL"/>
        </w:rPr>
        <w:t xml:space="preserve">periodë </w:t>
      </w:r>
      <w:r w:rsidR="00A73E0A" w:rsidRPr="00062169">
        <w:rPr>
          <w:rFonts w:ascii="Calibri" w:hAnsi="Calibri" w:cs="Calibri"/>
          <w:lang w:val="sq-AL"/>
        </w:rPr>
        <w:t xml:space="preserve">të </w:t>
      </w:r>
      <w:r w:rsidRPr="00062169">
        <w:rPr>
          <w:rFonts w:ascii="Calibri" w:hAnsi="Calibri" w:cs="Calibri"/>
          <w:lang w:val="sq-AL"/>
        </w:rPr>
        <w:t xml:space="preserve">barazimit përfundimtar </w:t>
      </w:r>
      <w:r w:rsidR="00AE3781" w:rsidRPr="00062169">
        <w:rPr>
          <w:rFonts w:ascii="Calibri" w:hAnsi="Calibri" w:cs="Calibri"/>
          <w:lang w:val="sq-AL"/>
        </w:rPr>
        <w:t xml:space="preserve">TSO </w:t>
      </w:r>
      <w:r w:rsidR="00A73E0A" w:rsidRPr="00062169">
        <w:rPr>
          <w:rFonts w:ascii="Calibri" w:hAnsi="Calibri" w:cs="Calibri"/>
          <w:lang w:val="sq-AL"/>
        </w:rPr>
        <w:t>-</w:t>
      </w:r>
      <w:r w:rsidR="00A30633" w:rsidRPr="00062169">
        <w:rPr>
          <w:rFonts w:ascii="Calibri" w:hAnsi="Calibri" w:cs="Calibri"/>
          <w:lang w:val="sq-AL"/>
        </w:rPr>
        <w:t>TSO</w:t>
      </w:r>
      <w:r w:rsidR="00A73E0A" w:rsidRPr="00062169">
        <w:rPr>
          <w:rFonts w:ascii="Calibri" w:hAnsi="Calibri" w:cs="Calibri"/>
          <w:lang w:val="sq-AL"/>
        </w:rPr>
        <w:t xml:space="preserve">, duke përdorur një </w:t>
      </w:r>
      <w:r w:rsidR="00A30633" w:rsidRPr="00062169">
        <w:rPr>
          <w:rFonts w:ascii="Calibri" w:hAnsi="Calibri" w:cs="Calibri"/>
          <w:lang w:val="sq-AL"/>
        </w:rPr>
        <w:t>gradient</w:t>
      </w:r>
      <w:r w:rsidR="00A73E0A" w:rsidRPr="00062169">
        <w:rPr>
          <w:rFonts w:ascii="Calibri" w:hAnsi="Calibri" w:cs="Calibri"/>
          <w:lang w:val="sq-AL"/>
        </w:rPr>
        <w:t xml:space="preserve"> ndërmjet kufirit minimal dhe </w:t>
      </w:r>
      <w:r w:rsidR="000624D0" w:rsidRPr="00062169">
        <w:rPr>
          <w:rFonts w:ascii="Calibri" w:hAnsi="Calibri" w:cs="Calibri"/>
          <w:lang w:val="sq-AL"/>
        </w:rPr>
        <w:t xml:space="preserve">kufirit </w:t>
      </w:r>
      <w:r w:rsidR="00A73E0A" w:rsidRPr="00062169">
        <w:rPr>
          <w:rFonts w:ascii="Calibri" w:hAnsi="Calibri" w:cs="Calibri"/>
          <w:lang w:val="sq-AL"/>
        </w:rPr>
        <w:t>maksimal (dy (2) EUR/M</w:t>
      </w:r>
      <w:r w:rsidR="00D21F08" w:rsidRPr="00062169">
        <w:rPr>
          <w:rFonts w:ascii="Calibri" w:hAnsi="Calibri" w:cs="Calibri"/>
          <w:lang w:val="sq-AL"/>
        </w:rPr>
        <w:t>W</w:t>
      </w:r>
      <w:r w:rsidR="00A73E0A" w:rsidRPr="00062169">
        <w:rPr>
          <w:rFonts w:ascii="Calibri" w:hAnsi="Calibri" w:cs="Calibri"/>
          <w:lang w:val="sq-AL"/>
        </w:rPr>
        <w:t>h/mHz). Do të zbatohen rregullat e mëposhtme</w:t>
      </w:r>
      <w:r w:rsidR="00DB5CC7" w:rsidRPr="00062169">
        <w:rPr>
          <w:rFonts w:ascii="Calibri" w:hAnsi="Calibri" w:cs="Calibri"/>
          <w:lang w:val="sq-AL"/>
        </w:rPr>
        <w:t>:</w:t>
      </w:r>
    </w:p>
    <w:p w:rsidR="00A73E0A" w:rsidRPr="00062169" w:rsidRDefault="00A73E0A" w:rsidP="00900B3B">
      <w:pPr>
        <w:pStyle w:val="textregular"/>
        <w:numPr>
          <w:ilvl w:val="2"/>
          <w:numId w:val="29"/>
        </w:numPr>
        <w:spacing w:after="0" w:line="276" w:lineRule="auto"/>
        <w:jc w:val="both"/>
        <w:rPr>
          <w:rFonts w:ascii="Calibri" w:hAnsi="Calibri" w:cs="Calibri"/>
          <w:lang w:val="sq-AL"/>
        </w:rPr>
      </w:pPr>
      <w:r w:rsidRPr="00062169">
        <w:rPr>
          <w:rFonts w:ascii="Calibri" w:hAnsi="Calibri" w:cs="Calibri"/>
          <w:lang w:val="sq-AL"/>
        </w:rPr>
        <w:t>Vlera absolute e vlerës minimale të pragut është 20 mHz.</w:t>
      </w:r>
    </w:p>
    <w:p w:rsidR="00A73E0A" w:rsidRPr="00062169" w:rsidRDefault="00A73E0A" w:rsidP="00900B3B">
      <w:pPr>
        <w:pStyle w:val="textregular"/>
        <w:numPr>
          <w:ilvl w:val="2"/>
          <w:numId w:val="29"/>
        </w:numPr>
        <w:spacing w:after="0" w:line="276" w:lineRule="auto"/>
        <w:jc w:val="both"/>
        <w:rPr>
          <w:rFonts w:ascii="Calibri" w:hAnsi="Calibri" w:cs="Calibri"/>
          <w:lang w:val="sq-AL"/>
        </w:rPr>
      </w:pPr>
      <w:r w:rsidRPr="00062169">
        <w:rPr>
          <w:rFonts w:ascii="Calibri" w:hAnsi="Calibri" w:cs="Calibri"/>
          <w:lang w:val="sq-AL"/>
        </w:rPr>
        <w:t>Vlera absolute e vlerës maksimale të pragut është 100 mHz.</w:t>
      </w:r>
    </w:p>
    <w:p w:rsidR="00A73E0A" w:rsidRPr="00062169" w:rsidRDefault="00A30633" w:rsidP="00900B3B">
      <w:pPr>
        <w:pStyle w:val="textregular"/>
        <w:numPr>
          <w:ilvl w:val="2"/>
          <w:numId w:val="29"/>
        </w:numPr>
        <w:spacing w:after="0" w:line="276" w:lineRule="auto"/>
        <w:jc w:val="both"/>
        <w:rPr>
          <w:rFonts w:ascii="Calibri" w:hAnsi="Calibri" w:cs="Calibri"/>
          <w:lang w:val="sq-AL"/>
        </w:rPr>
      </w:pPr>
      <w:r w:rsidRPr="00062169">
        <w:rPr>
          <w:rFonts w:ascii="Calibri" w:hAnsi="Calibri" w:cs="Calibri"/>
          <w:lang w:val="sq-AL"/>
        </w:rPr>
        <w:t>Gradienti</w:t>
      </w:r>
      <w:r w:rsidR="00A73E0A" w:rsidRPr="00062169">
        <w:rPr>
          <w:rFonts w:ascii="Calibri" w:hAnsi="Calibri" w:cs="Calibri"/>
          <w:lang w:val="sq-AL"/>
        </w:rPr>
        <w:t xml:space="preserve"> është dy (2) EUR/ M</w:t>
      </w:r>
      <w:r w:rsidR="00D21F08" w:rsidRPr="00062169">
        <w:rPr>
          <w:rFonts w:ascii="Calibri" w:hAnsi="Calibri" w:cs="Calibri"/>
          <w:lang w:val="sq-AL"/>
        </w:rPr>
        <w:t>W</w:t>
      </w:r>
      <w:r w:rsidR="00A73E0A" w:rsidRPr="00062169">
        <w:rPr>
          <w:rFonts w:ascii="Calibri" w:hAnsi="Calibri" w:cs="Calibri"/>
          <w:lang w:val="sq-AL"/>
        </w:rPr>
        <w:t>h /mHz</w:t>
      </w:r>
    </w:p>
    <w:p w:rsidR="00A73E0A" w:rsidRPr="00062169" w:rsidRDefault="00A73E0A" w:rsidP="00900B3B">
      <w:pPr>
        <w:pStyle w:val="textregular"/>
        <w:numPr>
          <w:ilvl w:val="2"/>
          <w:numId w:val="29"/>
        </w:numPr>
        <w:spacing w:after="0" w:line="276" w:lineRule="auto"/>
        <w:jc w:val="both"/>
        <w:rPr>
          <w:rFonts w:ascii="Calibri" w:hAnsi="Calibri" w:cs="Calibri"/>
          <w:lang w:val="sq-AL"/>
        </w:rPr>
      </w:pPr>
      <w:r w:rsidRPr="00062169">
        <w:rPr>
          <w:rFonts w:ascii="Calibri" w:hAnsi="Calibri" w:cs="Calibri"/>
          <w:lang w:val="sq-AL"/>
        </w:rPr>
        <w:t>Në rast të një devijimi mesatar pozitiv të frekuencës që tejkalon vlerën minimale të pragut në drejtim pozitiv (+20 mHz), por që nuk tejkalon vlerën maksimale të pragut në drejtim pozitiv (+100 mHz), ky funksion zbatohet për devijimin mesatar të frekuencës të zvogëluar me vlerën absolute të vlerës minimale të pragut (20 mHz).</w:t>
      </w:r>
    </w:p>
    <w:p w:rsidR="00A73E0A" w:rsidRPr="00062169" w:rsidRDefault="00A73E0A" w:rsidP="00900B3B">
      <w:pPr>
        <w:pStyle w:val="textregular"/>
        <w:numPr>
          <w:ilvl w:val="2"/>
          <w:numId w:val="29"/>
        </w:numPr>
        <w:spacing w:after="0" w:line="276" w:lineRule="auto"/>
        <w:jc w:val="both"/>
        <w:rPr>
          <w:rFonts w:ascii="Calibri" w:hAnsi="Calibri" w:cs="Calibri"/>
          <w:lang w:val="sq-AL"/>
        </w:rPr>
      </w:pPr>
      <w:r w:rsidRPr="00062169">
        <w:rPr>
          <w:rFonts w:ascii="Calibri" w:hAnsi="Calibri" w:cs="Calibri"/>
          <w:lang w:val="sq-AL"/>
        </w:rPr>
        <w:t>Në rast të një devijimi mesatar negativ të frekuencës që tejkalon vlerën minimale të pragut në drejtim negativ (-20 mHz), por që nuk tejkalon vlerën maksimale të pragut në drejtim negativ (- 100 mHz), ky funksion aplikohet në devijimin e frekuencës të rritur me vlerën absolute të vlerës minimale të pragut (20 mHz).</w:t>
      </w:r>
    </w:p>
    <w:p w:rsidR="00A73E0A" w:rsidRPr="00062169" w:rsidRDefault="00A73E0A" w:rsidP="00900B3B">
      <w:pPr>
        <w:pStyle w:val="textregular"/>
        <w:numPr>
          <w:ilvl w:val="2"/>
          <w:numId w:val="29"/>
        </w:numPr>
        <w:spacing w:after="0" w:line="276" w:lineRule="auto"/>
        <w:jc w:val="both"/>
        <w:rPr>
          <w:rFonts w:ascii="Calibri" w:hAnsi="Calibri" w:cs="Calibri"/>
          <w:lang w:val="sq-AL"/>
        </w:rPr>
      </w:pPr>
      <w:r w:rsidRPr="00062169">
        <w:rPr>
          <w:rFonts w:ascii="Calibri" w:hAnsi="Calibri" w:cs="Calibri"/>
          <w:lang w:val="sq-AL"/>
        </w:rPr>
        <w:t xml:space="preserve">Në rastin e një devijimi mesatar pozitiv të frekuencës që tejkalon pragun maksimal në drejtim pozitiv (+ 100 mHz), </w:t>
      </w:r>
      <w:r w:rsidR="00416242" w:rsidRPr="00062169">
        <w:rPr>
          <w:rFonts w:ascii="Calibri" w:hAnsi="Calibri" w:cs="Calibri"/>
          <w:lang w:val="sq-AL"/>
        </w:rPr>
        <w:t>komponenta e</w:t>
      </w:r>
      <w:r w:rsidRPr="00062169">
        <w:rPr>
          <w:rFonts w:ascii="Calibri" w:hAnsi="Calibri" w:cs="Calibri"/>
          <w:lang w:val="sq-AL"/>
        </w:rPr>
        <w:t xml:space="preserve"> varur nga frekuenca vendoset si </w:t>
      </w:r>
      <w:r w:rsidR="00FE04F0" w:rsidRPr="00062169">
        <w:rPr>
          <w:rFonts w:ascii="Calibri" w:hAnsi="Calibri" w:cs="Calibri"/>
          <w:lang w:val="sq-AL"/>
        </w:rPr>
        <w:lastRenderedPageBreak/>
        <w:t xml:space="preserve">komponentë </w:t>
      </w:r>
      <w:r w:rsidR="00EA3E7A" w:rsidRPr="00062169">
        <w:rPr>
          <w:rFonts w:ascii="Calibri" w:hAnsi="Calibri" w:cs="Calibri"/>
          <w:lang w:val="sq-AL"/>
        </w:rPr>
        <w:t xml:space="preserve">e </w:t>
      </w:r>
      <w:r w:rsidRPr="00062169">
        <w:rPr>
          <w:rFonts w:ascii="Calibri" w:hAnsi="Calibri" w:cs="Calibri"/>
          <w:lang w:val="sq-AL"/>
        </w:rPr>
        <w:t>varur nga frekuenca e llogaritur në një devijim të frekuencës së vlerës maksimale të pragut në drejtim pozitiv (+ 100 mHz).</w:t>
      </w:r>
    </w:p>
    <w:p w:rsidR="00A73E0A" w:rsidRPr="00062169" w:rsidRDefault="00A73E0A" w:rsidP="00900B3B">
      <w:pPr>
        <w:pStyle w:val="textregular"/>
        <w:numPr>
          <w:ilvl w:val="2"/>
          <w:numId w:val="29"/>
        </w:numPr>
        <w:spacing w:after="0" w:line="276" w:lineRule="auto"/>
        <w:jc w:val="both"/>
        <w:rPr>
          <w:rFonts w:ascii="Calibri" w:hAnsi="Calibri" w:cs="Calibri"/>
          <w:lang w:val="sq-AL"/>
        </w:rPr>
      </w:pPr>
      <w:r w:rsidRPr="00062169">
        <w:rPr>
          <w:rFonts w:ascii="Calibri" w:hAnsi="Calibri" w:cs="Calibri"/>
          <w:lang w:val="sq-AL"/>
        </w:rPr>
        <w:t xml:space="preserve">Në rastin e një devijimi negativ të frekuencës që tejkalon pragun maksimal në drejtim negativ (-100 mHz), </w:t>
      </w:r>
      <w:r w:rsidR="00FE04F0" w:rsidRPr="00062169">
        <w:rPr>
          <w:rFonts w:ascii="Calibri" w:hAnsi="Calibri" w:cs="Calibri"/>
          <w:lang w:val="sq-AL"/>
        </w:rPr>
        <w:t>komponenta e</w:t>
      </w:r>
      <w:r w:rsidRPr="00062169">
        <w:rPr>
          <w:rFonts w:ascii="Calibri" w:hAnsi="Calibri" w:cs="Calibri"/>
          <w:lang w:val="sq-AL"/>
        </w:rPr>
        <w:t xml:space="preserve"> varur nga frekuenca përcaktohet si </w:t>
      </w:r>
      <w:r w:rsidR="00FE04F0" w:rsidRPr="00062169">
        <w:rPr>
          <w:rFonts w:ascii="Calibri" w:hAnsi="Calibri" w:cs="Calibri"/>
          <w:lang w:val="sq-AL"/>
        </w:rPr>
        <w:t>komponenta e</w:t>
      </w:r>
      <w:r w:rsidRPr="00062169">
        <w:rPr>
          <w:rFonts w:ascii="Calibri" w:hAnsi="Calibri" w:cs="Calibri"/>
          <w:lang w:val="sq-AL"/>
        </w:rPr>
        <w:t xml:space="preserve"> varur nga frekuenca e llogaritur në një devijim të frekuencës së vlerës së pragut maksimal në drejtim negativ (-100 mHz).</w:t>
      </w:r>
    </w:p>
    <w:p w:rsidR="00A73E0A" w:rsidRPr="00062169" w:rsidRDefault="00A73E0A" w:rsidP="00900B3B">
      <w:pPr>
        <w:pStyle w:val="textregular"/>
        <w:numPr>
          <w:ilvl w:val="2"/>
          <w:numId w:val="29"/>
        </w:numPr>
        <w:spacing w:after="0" w:line="276" w:lineRule="auto"/>
        <w:jc w:val="both"/>
        <w:rPr>
          <w:rFonts w:ascii="Calibri" w:hAnsi="Calibri" w:cs="Calibri"/>
          <w:lang w:val="sq-AL"/>
        </w:rPr>
      </w:pPr>
      <w:r w:rsidRPr="00062169">
        <w:rPr>
          <w:rFonts w:ascii="Calibri" w:hAnsi="Calibri" w:cs="Calibri"/>
          <w:lang w:val="sq-AL"/>
        </w:rPr>
        <w:t xml:space="preserve">Në rastin e një sistemi HVDC që lidh dy </w:t>
      </w:r>
      <w:r w:rsidR="00AE3781" w:rsidRPr="00062169">
        <w:rPr>
          <w:rFonts w:ascii="Calibri" w:hAnsi="Calibri" w:cs="Calibri"/>
          <w:lang w:val="sq-AL"/>
        </w:rPr>
        <w:t xml:space="preserve">TSO </w:t>
      </w:r>
      <w:r w:rsidRPr="00062169">
        <w:rPr>
          <w:rFonts w:ascii="Calibri" w:hAnsi="Calibri" w:cs="Calibri"/>
          <w:lang w:val="sq-AL"/>
        </w:rPr>
        <w:t xml:space="preserve"> SA CE, </w:t>
      </w:r>
      <w:r w:rsidR="00FE04F0" w:rsidRPr="00062169">
        <w:rPr>
          <w:rFonts w:ascii="Calibri" w:hAnsi="Calibri" w:cs="Calibri"/>
          <w:lang w:val="sq-AL"/>
        </w:rPr>
        <w:t>komponenta e</w:t>
      </w:r>
      <w:r w:rsidRPr="00062169">
        <w:rPr>
          <w:rFonts w:ascii="Calibri" w:hAnsi="Calibri" w:cs="Calibri"/>
          <w:lang w:val="sq-AL"/>
        </w:rPr>
        <w:t xml:space="preserve"> varur nga frekuenca mund të mos jetë </w:t>
      </w:r>
      <w:r w:rsidR="00EA3E7A" w:rsidRPr="00062169">
        <w:rPr>
          <w:rFonts w:ascii="Calibri" w:hAnsi="Calibri" w:cs="Calibri"/>
          <w:lang w:val="sq-AL"/>
        </w:rPr>
        <w:t>e</w:t>
      </w:r>
      <w:r w:rsidRPr="00062169">
        <w:rPr>
          <w:rFonts w:ascii="Calibri" w:hAnsi="Calibri" w:cs="Calibri"/>
          <w:lang w:val="sq-AL"/>
        </w:rPr>
        <w:t xml:space="preserve"> zbatueshm</w:t>
      </w:r>
      <w:r w:rsidR="00EA3E7A" w:rsidRPr="00062169">
        <w:rPr>
          <w:rFonts w:ascii="Calibri" w:hAnsi="Calibri" w:cs="Calibri"/>
          <w:lang w:val="sq-AL"/>
        </w:rPr>
        <w:t>e</w:t>
      </w:r>
      <w:r w:rsidRPr="00062169">
        <w:rPr>
          <w:rFonts w:ascii="Calibri" w:hAnsi="Calibri" w:cs="Calibri"/>
          <w:lang w:val="sq-AL"/>
        </w:rPr>
        <w:t>.</w:t>
      </w:r>
    </w:p>
    <w:p w:rsidR="006C447F" w:rsidRPr="00062169" w:rsidRDefault="00A73E0A" w:rsidP="00900B3B">
      <w:pPr>
        <w:pStyle w:val="textregular"/>
        <w:numPr>
          <w:ilvl w:val="0"/>
          <w:numId w:val="30"/>
        </w:numPr>
        <w:spacing w:after="0" w:line="276" w:lineRule="auto"/>
        <w:jc w:val="both"/>
        <w:rPr>
          <w:rFonts w:ascii="Calibri" w:hAnsi="Calibri" w:cs="Calibri"/>
          <w:lang w:val="sq-AL"/>
        </w:rPr>
      </w:pPr>
      <w:r w:rsidRPr="00062169">
        <w:rPr>
          <w:rFonts w:ascii="Calibri" w:hAnsi="Calibri" w:cs="Calibri"/>
          <w:lang w:val="sq-AL"/>
        </w:rPr>
        <w:t>N</w:t>
      </w:r>
      <w:r w:rsidR="001A6733" w:rsidRPr="00062169">
        <w:rPr>
          <w:rFonts w:ascii="Calibri" w:hAnsi="Calibri" w:cs="Calibri"/>
          <w:lang w:val="sq-AL"/>
        </w:rPr>
        <w:t>ë</w:t>
      </w:r>
      <w:r w:rsidRPr="00062169">
        <w:rPr>
          <w:rFonts w:ascii="Calibri" w:hAnsi="Calibri" w:cs="Calibri"/>
          <w:lang w:val="sq-AL"/>
        </w:rPr>
        <w:t xml:space="preserve"> rast se nj</w:t>
      </w:r>
      <w:r w:rsidR="001A6733" w:rsidRPr="00062169">
        <w:rPr>
          <w:rFonts w:ascii="Calibri" w:hAnsi="Calibri" w:cs="Calibri"/>
          <w:lang w:val="sq-AL"/>
        </w:rPr>
        <w:t>ë</w:t>
      </w:r>
      <w:r w:rsidRPr="00062169">
        <w:rPr>
          <w:rFonts w:ascii="Calibri" w:hAnsi="Calibri" w:cs="Calibri"/>
          <w:lang w:val="sq-AL"/>
        </w:rPr>
        <w:t xml:space="preserve"> ndarje t</w:t>
      </w:r>
      <w:r w:rsidR="001A6733" w:rsidRPr="00062169">
        <w:rPr>
          <w:rFonts w:ascii="Calibri" w:hAnsi="Calibri" w:cs="Calibri"/>
          <w:lang w:val="sq-AL"/>
        </w:rPr>
        <w:t>ë</w:t>
      </w:r>
      <w:r w:rsidRPr="00062169">
        <w:rPr>
          <w:rFonts w:ascii="Calibri" w:hAnsi="Calibri" w:cs="Calibri"/>
          <w:lang w:val="sq-AL"/>
        </w:rPr>
        <w:t xml:space="preserve"> rrjetit me m</w:t>
      </w:r>
      <w:r w:rsidR="001A6733" w:rsidRPr="00062169">
        <w:rPr>
          <w:rFonts w:ascii="Calibri" w:hAnsi="Calibri" w:cs="Calibri"/>
          <w:lang w:val="sq-AL"/>
        </w:rPr>
        <w:t>ë</w:t>
      </w:r>
      <w:r w:rsidRPr="00062169">
        <w:rPr>
          <w:rFonts w:ascii="Calibri" w:hAnsi="Calibri" w:cs="Calibri"/>
          <w:lang w:val="sq-AL"/>
        </w:rPr>
        <w:t xml:space="preserve"> shum</w:t>
      </w:r>
      <w:r w:rsidR="001A6733" w:rsidRPr="00062169">
        <w:rPr>
          <w:rFonts w:ascii="Calibri" w:hAnsi="Calibri" w:cs="Calibri"/>
          <w:lang w:val="sq-AL"/>
        </w:rPr>
        <w:t>ë</w:t>
      </w:r>
      <w:r w:rsidRPr="00062169">
        <w:rPr>
          <w:rFonts w:ascii="Calibri" w:hAnsi="Calibri" w:cs="Calibri"/>
          <w:lang w:val="sq-AL"/>
        </w:rPr>
        <w:t xml:space="preserve"> se nj</w:t>
      </w:r>
      <w:r w:rsidR="001A6733" w:rsidRPr="00062169">
        <w:rPr>
          <w:rFonts w:ascii="Calibri" w:hAnsi="Calibri" w:cs="Calibri"/>
          <w:lang w:val="sq-AL"/>
        </w:rPr>
        <w:t>ë</w:t>
      </w:r>
      <w:r w:rsidRPr="00062169">
        <w:rPr>
          <w:rFonts w:ascii="Calibri" w:hAnsi="Calibri" w:cs="Calibri"/>
          <w:lang w:val="sq-AL"/>
        </w:rPr>
        <w:t xml:space="preserve"> bllok LFC shk</w:t>
      </w:r>
      <w:r w:rsidR="001A6733" w:rsidRPr="00062169">
        <w:rPr>
          <w:rFonts w:ascii="Calibri" w:hAnsi="Calibri" w:cs="Calibri"/>
          <w:lang w:val="sq-AL"/>
        </w:rPr>
        <w:t>ë</w:t>
      </w:r>
      <w:r w:rsidRPr="00062169">
        <w:rPr>
          <w:rFonts w:ascii="Calibri" w:hAnsi="Calibri" w:cs="Calibri"/>
          <w:lang w:val="sq-AL"/>
        </w:rPr>
        <w:t xml:space="preserve">putet, </w:t>
      </w:r>
      <w:r w:rsidR="00FE04F0" w:rsidRPr="00062169">
        <w:rPr>
          <w:rFonts w:ascii="Calibri" w:hAnsi="Calibri" w:cs="Calibri"/>
          <w:lang w:val="sq-AL"/>
        </w:rPr>
        <w:t xml:space="preserve">komponenta </w:t>
      </w:r>
      <w:r w:rsidR="00EA3E7A" w:rsidRPr="00062169">
        <w:rPr>
          <w:rFonts w:ascii="Calibri" w:hAnsi="Calibri" w:cs="Calibri"/>
          <w:lang w:val="sq-AL"/>
        </w:rPr>
        <w:t>e</w:t>
      </w:r>
      <w:r w:rsidRPr="00062169">
        <w:rPr>
          <w:rFonts w:ascii="Calibri" w:hAnsi="Calibri" w:cs="Calibri"/>
          <w:lang w:val="sq-AL"/>
        </w:rPr>
        <w:t xml:space="preserve"> varur nga frekuenca p</w:t>
      </w:r>
      <w:r w:rsidR="001A6733" w:rsidRPr="00062169">
        <w:rPr>
          <w:rFonts w:ascii="Calibri" w:hAnsi="Calibri" w:cs="Calibri"/>
          <w:lang w:val="sq-AL"/>
        </w:rPr>
        <w:t>ë</w:t>
      </w:r>
      <w:r w:rsidRPr="00062169">
        <w:rPr>
          <w:rFonts w:ascii="Calibri" w:hAnsi="Calibri" w:cs="Calibri"/>
          <w:lang w:val="sq-AL"/>
        </w:rPr>
        <w:t>rcaktohet p</w:t>
      </w:r>
      <w:r w:rsidR="001A6733" w:rsidRPr="00062169">
        <w:rPr>
          <w:rFonts w:ascii="Calibri" w:hAnsi="Calibri" w:cs="Calibri"/>
          <w:lang w:val="sq-AL"/>
        </w:rPr>
        <w:t>ë</w:t>
      </w:r>
      <w:r w:rsidRPr="00062169">
        <w:rPr>
          <w:rFonts w:ascii="Calibri" w:hAnsi="Calibri" w:cs="Calibri"/>
          <w:lang w:val="sq-AL"/>
        </w:rPr>
        <w:t xml:space="preserve">r çdo </w:t>
      </w:r>
      <w:r w:rsidR="00B8185E" w:rsidRPr="00062169">
        <w:rPr>
          <w:rFonts w:ascii="Calibri" w:hAnsi="Calibri" w:cs="Calibri"/>
          <w:lang w:val="sq-AL"/>
        </w:rPr>
        <w:t>periodë të barazimit përfundimtar</w:t>
      </w:r>
      <w:r w:rsidRPr="00062169">
        <w:rPr>
          <w:rFonts w:ascii="Calibri" w:hAnsi="Calibri" w:cs="Calibri"/>
          <w:lang w:val="sq-AL"/>
        </w:rPr>
        <w:t xml:space="preserve"> </w:t>
      </w:r>
      <w:r w:rsidR="00AE3781" w:rsidRPr="00062169">
        <w:rPr>
          <w:rFonts w:ascii="Calibri" w:hAnsi="Calibri" w:cs="Calibri"/>
          <w:lang w:val="sq-AL"/>
        </w:rPr>
        <w:t xml:space="preserve">TSO </w:t>
      </w:r>
      <w:r w:rsidRPr="00062169">
        <w:rPr>
          <w:rFonts w:ascii="Calibri" w:hAnsi="Calibri" w:cs="Calibri"/>
          <w:lang w:val="sq-AL"/>
        </w:rPr>
        <w:t>-</w:t>
      </w:r>
      <w:r w:rsidR="00AE3781" w:rsidRPr="00062169">
        <w:rPr>
          <w:rFonts w:ascii="Calibri" w:hAnsi="Calibri" w:cs="Calibri"/>
          <w:lang w:val="sq-AL"/>
        </w:rPr>
        <w:t>TSO</w:t>
      </w:r>
      <w:r w:rsidRPr="00062169">
        <w:rPr>
          <w:rFonts w:ascii="Calibri" w:hAnsi="Calibri" w:cs="Calibri"/>
          <w:lang w:val="sq-AL"/>
        </w:rPr>
        <w:t xml:space="preserve"> gjat</w:t>
      </w:r>
      <w:r w:rsidR="001A6733" w:rsidRPr="00062169">
        <w:rPr>
          <w:rFonts w:ascii="Calibri" w:hAnsi="Calibri" w:cs="Calibri"/>
          <w:lang w:val="sq-AL"/>
        </w:rPr>
        <w:t>ë</w:t>
      </w:r>
      <w:r w:rsidRPr="00062169">
        <w:rPr>
          <w:rFonts w:ascii="Calibri" w:hAnsi="Calibri" w:cs="Calibri"/>
          <w:lang w:val="sq-AL"/>
        </w:rPr>
        <w:t xml:space="preserve"> asaj ndarje n</w:t>
      </w:r>
      <w:r w:rsidR="001A6733" w:rsidRPr="00062169">
        <w:rPr>
          <w:rFonts w:ascii="Calibri" w:hAnsi="Calibri" w:cs="Calibri"/>
          <w:lang w:val="sq-AL"/>
        </w:rPr>
        <w:t>ë</w:t>
      </w:r>
      <w:r w:rsidR="00A30633" w:rsidRPr="00062169">
        <w:rPr>
          <w:rFonts w:ascii="Calibri" w:hAnsi="Calibri" w:cs="Calibri"/>
          <w:lang w:val="sq-AL"/>
        </w:rPr>
        <w:t xml:space="preserve"> </w:t>
      </w:r>
      <w:r w:rsidR="007C124B" w:rsidRPr="00062169">
        <w:rPr>
          <w:rFonts w:ascii="Calibri" w:hAnsi="Calibri" w:cs="Calibri"/>
          <w:lang w:val="sq-AL"/>
        </w:rPr>
        <w:t xml:space="preserve">zero </w:t>
      </w:r>
      <w:r w:rsidR="00D02AF5" w:rsidRPr="00062169">
        <w:rPr>
          <w:rFonts w:ascii="Calibri" w:hAnsi="Calibri" w:cs="Calibri"/>
          <w:lang w:val="sq-AL"/>
        </w:rPr>
        <w:t xml:space="preserve">(0) </w:t>
      </w:r>
      <w:r w:rsidR="007C124B" w:rsidRPr="00062169">
        <w:rPr>
          <w:rFonts w:ascii="Calibri" w:hAnsi="Calibri" w:cs="Calibri"/>
          <w:lang w:val="sq-AL"/>
        </w:rPr>
        <w:t>EUR/M</w:t>
      </w:r>
      <w:r w:rsidR="00D21F08" w:rsidRPr="00062169">
        <w:rPr>
          <w:rFonts w:ascii="Calibri" w:hAnsi="Calibri" w:cs="Calibri"/>
          <w:lang w:val="sq-AL"/>
        </w:rPr>
        <w:t>W</w:t>
      </w:r>
      <w:r w:rsidR="007C124B" w:rsidRPr="00062169">
        <w:rPr>
          <w:rFonts w:ascii="Calibri" w:hAnsi="Calibri" w:cs="Calibri"/>
          <w:lang w:val="sq-AL"/>
        </w:rPr>
        <w:t>h/mHz p</w:t>
      </w:r>
      <w:r w:rsidR="001A6733" w:rsidRPr="00062169">
        <w:rPr>
          <w:rFonts w:ascii="Calibri" w:hAnsi="Calibri" w:cs="Calibri"/>
          <w:lang w:val="sq-AL"/>
        </w:rPr>
        <w:t>ë</w:t>
      </w:r>
      <w:r w:rsidR="007C124B" w:rsidRPr="00062169">
        <w:rPr>
          <w:rFonts w:ascii="Calibri" w:hAnsi="Calibri" w:cs="Calibri"/>
          <w:lang w:val="sq-AL"/>
        </w:rPr>
        <w:t xml:space="preserve">r </w:t>
      </w:r>
      <w:r w:rsidR="009114D7" w:rsidRPr="00062169">
        <w:rPr>
          <w:rFonts w:ascii="Calibri" w:hAnsi="Calibri" w:cs="Calibri"/>
          <w:lang w:val="sq-AL"/>
        </w:rPr>
        <w:t>periodë të barazimit përfundimtar</w:t>
      </w:r>
      <w:r w:rsidRPr="00062169">
        <w:rPr>
          <w:rFonts w:ascii="Calibri" w:hAnsi="Calibri" w:cs="Calibri"/>
          <w:lang w:val="sq-AL"/>
        </w:rPr>
        <w:t xml:space="preserve"> </w:t>
      </w:r>
      <w:r w:rsidR="007C124B" w:rsidRPr="00062169">
        <w:rPr>
          <w:rFonts w:ascii="Calibri" w:hAnsi="Calibri" w:cs="Calibri"/>
          <w:lang w:val="sq-AL"/>
        </w:rPr>
        <w:t>TSO-TSO.</w:t>
      </w:r>
    </w:p>
    <w:p w:rsidR="00A73E0A" w:rsidRPr="00062169" w:rsidRDefault="00A73E0A" w:rsidP="00900B3B">
      <w:pPr>
        <w:pStyle w:val="textregular"/>
        <w:spacing w:after="0" w:line="276" w:lineRule="auto"/>
        <w:ind w:left="360"/>
        <w:jc w:val="both"/>
        <w:rPr>
          <w:rFonts w:ascii="Calibri" w:hAnsi="Calibri" w:cs="Calibri"/>
          <w:color w:val="000000" w:themeColor="text1"/>
          <w:lang w:val="sq-AL"/>
        </w:rPr>
      </w:pPr>
    </w:p>
    <w:p w:rsidR="00D24505" w:rsidRPr="00062169" w:rsidRDefault="00A73E0A" w:rsidP="00900B3B">
      <w:pPr>
        <w:pStyle w:val="headline2"/>
        <w:keepNext/>
        <w:spacing w:after="0" w:line="276" w:lineRule="auto"/>
        <w:rPr>
          <w:rFonts w:ascii="Calibri" w:hAnsi="Calibri" w:cs="Calibri"/>
          <w:color w:val="000000" w:themeColor="text1"/>
          <w:sz w:val="22"/>
          <w:szCs w:val="22"/>
          <w:lang w:val="sq-AL"/>
        </w:rPr>
      </w:pPr>
      <w:bookmarkStart w:id="45" w:name="_Toc509993366"/>
      <w:bookmarkStart w:id="46" w:name="_Toc510006488"/>
      <w:bookmarkStart w:id="47" w:name="_Toc510507379"/>
      <w:bookmarkStart w:id="48" w:name="_Toc510522106"/>
      <w:bookmarkStart w:id="49" w:name="_Toc7419797"/>
      <w:bookmarkStart w:id="50" w:name="_Toc65219937"/>
      <w:r w:rsidRPr="00062169">
        <w:rPr>
          <w:rFonts w:ascii="Calibri" w:hAnsi="Calibri" w:cs="Calibri"/>
          <w:color w:val="000000" w:themeColor="text1"/>
          <w:sz w:val="22"/>
          <w:szCs w:val="22"/>
          <w:lang w:val="sq-AL"/>
        </w:rPr>
        <w:t>Neni 9</w:t>
      </w:r>
      <w:r w:rsidRPr="00062169">
        <w:rPr>
          <w:rFonts w:ascii="Calibri" w:hAnsi="Calibri" w:cs="Calibri"/>
          <w:color w:val="000000" w:themeColor="text1"/>
          <w:sz w:val="22"/>
          <w:szCs w:val="22"/>
          <w:lang w:val="sq-AL"/>
        </w:rPr>
        <w:br/>
      </w:r>
      <w:bookmarkEnd w:id="45"/>
      <w:bookmarkEnd w:id="46"/>
      <w:bookmarkEnd w:id="47"/>
      <w:bookmarkEnd w:id="48"/>
      <w:bookmarkEnd w:id="49"/>
      <w:r w:rsidR="00B8185E" w:rsidRPr="00062169">
        <w:rPr>
          <w:rFonts w:ascii="Calibri" w:hAnsi="Calibri" w:cs="Calibri"/>
          <w:color w:val="000000" w:themeColor="text1"/>
          <w:sz w:val="22"/>
          <w:szCs w:val="22"/>
          <w:lang w:val="sq-AL"/>
        </w:rPr>
        <w:t xml:space="preserve">Publikimi </w:t>
      </w:r>
      <w:r w:rsidRPr="00062169">
        <w:rPr>
          <w:rFonts w:ascii="Calibri" w:hAnsi="Calibri" w:cs="Calibri"/>
          <w:color w:val="000000" w:themeColor="text1"/>
          <w:sz w:val="22"/>
          <w:szCs w:val="22"/>
          <w:lang w:val="sq-AL"/>
        </w:rPr>
        <w:t xml:space="preserve">dhe </w:t>
      </w:r>
      <w:r w:rsidR="00B8185E" w:rsidRPr="00062169">
        <w:rPr>
          <w:rFonts w:ascii="Calibri" w:hAnsi="Calibri" w:cs="Calibri"/>
          <w:color w:val="000000" w:themeColor="text1"/>
          <w:sz w:val="22"/>
          <w:szCs w:val="22"/>
          <w:lang w:val="sq-AL"/>
        </w:rPr>
        <w:t xml:space="preserve">implementimi </w:t>
      </w:r>
      <w:r w:rsidRPr="00062169">
        <w:rPr>
          <w:rFonts w:ascii="Calibri" w:hAnsi="Calibri" w:cs="Calibri"/>
          <w:color w:val="000000" w:themeColor="text1"/>
          <w:sz w:val="22"/>
          <w:szCs w:val="22"/>
          <w:lang w:val="sq-AL"/>
        </w:rPr>
        <w:t xml:space="preserve">i </w:t>
      </w:r>
      <w:r w:rsidR="00D24505" w:rsidRPr="00062169">
        <w:rPr>
          <w:rFonts w:ascii="Calibri" w:hAnsi="Calibri" w:cs="Calibri"/>
          <w:color w:val="000000" w:themeColor="text1"/>
          <w:sz w:val="22"/>
          <w:szCs w:val="22"/>
          <w:lang w:val="sq-AL"/>
        </w:rPr>
        <w:t>CC</w:t>
      </w:r>
      <w:r w:rsidR="00680C4B" w:rsidRPr="00062169">
        <w:rPr>
          <w:rFonts w:ascii="Calibri" w:hAnsi="Calibri" w:cs="Calibri"/>
          <w:color w:val="000000" w:themeColor="text1"/>
          <w:sz w:val="22"/>
          <w:szCs w:val="22"/>
          <w:lang w:val="sq-AL"/>
        </w:rPr>
        <w:t>FR</w:t>
      </w:r>
      <w:bookmarkEnd w:id="50"/>
    </w:p>
    <w:p w:rsidR="00900B3B" w:rsidRPr="00062169" w:rsidRDefault="00900B3B" w:rsidP="00900B3B">
      <w:pPr>
        <w:pStyle w:val="headline2"/>
        <w:keepNext/>
        <w:spacing w:after="0" w:line="276" w:lineRule="auto"/>
        <w:rPr>
          <w:rFonts w:ascii="Calibri" w:hAnsi="Calibri" w:cs="Calibri"/>
          <w:b w:val="0"/>
          <w:sz w:val="22"/>
          <w:szCs w:val="22"/>
          <w:lang w:val="sq-AL"/>
        </w:rPr>
      </w:pPr>
    </w:p>
    <w:p w:rsidR="00D24505" w:rsidRPr="00062169" w:rsidRDefault="00A73E0A" w:rsidP="00900B3B">
      <w:pPr>
        <w:pStyle w:val="textenumeration"/>
        <w:spacing w:after="0" w:line="276" w:lineRule="auto"/>
        <w:contextualSpacing w:val="0"/>
        <w:jc w:val="both"/>
        <w:rPr>
          <w:rFonts w:ascii="Calibri" w:hAnsi="Calibri" w:cs="Calibri"/>
          <w:lang w:val="sq-AL"/>
        </w:rPr>
      </w:pPr>
      <w:r w:rsidRPr="00062169">
        <w:rPr>
          <w:rFonts w:ascii="Calibri" w:hAnsi="Calibri" w:cs="Calibri"/>
          <w:lang w:val="sq-AL"/>
        </w:rPr>
        <w:t xml:space="preserve">Të gjithë </w:t>
      </w:r>
      <w:r w:rsidR="00A30633" w:rsidRPr="00062169">
        <w:rPr>
          <w:rFonts w:ascii="Calibri" w:hAnsi="Calibri" w:cs="Calibri"/>
          <w:lang w:val="sq-AL"/>
        </w:rPr>
        <w:t>TSO</w:t>
      </w:r>
      <w:r w:rsidRPr="00062169">
        <w:rPr>
          <w:rFonts w:ascii="Calibri" w:hAnsi="Calibri" w:cs="Calibri"/>
          <w:lang w:val="sq-AL"/>
        </w:rPr>
        <w:t xml:space="preserve">-të e SA CE do të publikojnë </w:t>
      </w:r>
      <w:r w:rsidR="00791F7A" w:rsidRPr="00062169">
        <w:rPr>
          <w:rFonts w:ascii="Calibri" w:hAnsi="Calibri" w:cs="Calibri"/>
          <w:lang w:val="sq-AL"/>
        </w:rPr>
        <w:t>CCFR</w:t>
      </w:r>
      <w:r w:rsidR="00E1506D" w:rsidRPr="00062169">
        <w:rPr>
          <w:rFonts w:ascii="Calibri" w:hAnsi="Calibri" w:cs="Calibri"/>
          <w:lang w:val="sq-AL"/>
        </w:rPr>
        <w:t xml:space="preserve"> </w:t>
      </w:r>
      <w:r w:rsidRPr="00062169">
        <w:rPr>
          <w:rFonts w:ascii="Calibri" w:hAnsi="Calibri" w:cs="Calibri"/>
          <w:lang w:val="sq-AL"/>
        </w:rPr>
        <w:t xml:space="preserve">pa vonesa të panevojshme pasi të gjitha autoritetet </w:t>
      </w:r>
      <w:r w:rsidR="00B8185E" w:rsidRPr="00062169">
        <w:rPr>
          <w:rFonts w:ascii="Calibri" w:hAnsi="Calibri" w:cs="Calibri"/>
          <w:lang w:val="sq-AL"/>
        </w:rPr>
        <w:t xml:space="preserve">rregullative </w:t>
      </w:r>
      <w:r w:rsidRPr="00062169">
        <w:rPr>
          <w:rFonts w:ascii="Calibri" w:hAnsi="Calibri" w:cs="Calibri"/>
          <w:lang w:val="sq-AL"/>
        </w:rPr>
        <w:t xml:space="preserve">relevante të SA CE të kenë miratuar </w:t>
      </w:r>
      <w:r w:rsidR="00791F7A" w:rsidRPr="00062169">
        <w:rPr>
          <w:rFonts w:ascii="Calibri" w:hAnsi="Calibri" w:cs="Calibri"/>
          <w:lang w:val="sq-AL"/>
        </w:rPr>
        <w:t>CCFR</w:t>
      </w:r>
      <w:r w:rsidR="00A30633" w:rsidRPr="00062169">
        <w:rPr>
          <w:rFonts w:ascii="Calibri" w:hAnsi="Calibri" w:cs="Calibri"/>
          <w:lang w:val="sq-AL"/>
        </w:rPr>
        <w:t xml:space="preserve"> </w:t>
      </w:r>
      <w:r w:rsidRPr="00062169">
        <w:rPr>
          <w:rFonts w:ascii="Calibri" w:hAnsi="Calibri" w:cs="Calibri"/>
          <w:lang w:val="sq-AL"/>
        </w:rPr>
        <w:t>e propozuar ose është marrë një vendim nga ACER në përputhje me Nenet 5 (7), 6 (1) dhe 6 (2) të EBGL</w:t>
      </w:r>
      <w:r w:rsidR="00D24505" w:rsidRPr="00062169">
        <w:rPr>
          <w:rFonts w:ascii="Calibri" w:hAnsi="Calibri" w:cs="Calibri"/>
          <w:lang w:val="sq-AL"/>
        </w:rPr>
        <w:t xml:space="preserve">. </w:t>
      </w:r>
    </w:p>
    <w:p w:rsidR="00D24505" w:rsidRPr="00062169" w:rsidRDefault="00A73E0A" w:rsidP="00900B3B">
      <w:pPr>
        <w:pStyle w:val="textenumeration"/>
        <w:spacing w:after="0" w:line="276" w:lineRule="auto"/>
        <w:contextualSpacing w:val="0"/>
        <w:jc w:val="both"/>
        <w:rPr>
          <w:rFonts w:ascii="Calibri" w:hAnsi="Calibri" w:cs="Calibri"/>
          <w:lang w:val="sq-AL"/>
        </w:rPr>
      </w:pPr>
      <w:r w:rsidRPr="00062169">
        <w:rPr>
          <w:rFonts w:ascii="Calibri" w:hAnsi="Calibri" w:cs="Calibri"/>
          <w:lang w:val="sq-AL"/>
        </w:rPr>
        <w:t xml:space="preserve">Të gjitha </w:t>
      </w:r>
      <w:r w:rsidR="00A30633" w:rsidRPr="00062169">
        <w:rPr>
          <w:rFonts w:ascii="Calibri" w:hAnsi="Calibri" w:cs="Calibri"/>
          <w:lang w:val="sq-AL"/>
        </w:rPr>
        <w:t>TSO</w:t>
      </w:r>
      <w:r w:rsidRPr="00062169">
        <w:rPr>
          <w:rFonts w:ascii="Calibri" w:hAnsi="Calibri" w:cs="Calibri"/>
          <w:lang w:val="sq-AL"/>
        </w:rPr>
        <w:t xml:space="preserve">-të e SA CE duhet të zbatojnë </w:t>
      </w:r>
      <w:r w:rsidR="00D24505" w:rsidRPr="00062169">
        <w:rPr>
          <w:rFonts w:ascii="Calibri" w:hAnsi="Calibri" w:cs="Calibri"/>
          <w:lang w:val="sq-AL"/>
        </w:rPr>
        <w:t xml:space="preserve">CCFR </w:t>
      </w:r>
      <w:r w:rsidRPr="00062169">
        <w:rPr>
          <w:rFonts w:ascii="Calibri" w:hAnsi="Calibri" w:cs="Calibri"/>
          <w:lang w:val="sq-AL"/>
        </w:rPr>
        <w:t xml:space="preserve">në përputhje me Nenin 4 të </w:t>
      </w:r>
      <w:r w:rsidR="009B3D95" w:rsidRPr="00062169">
        <w:rPr>
          <w:rFonts w:ascii="Calibri" w:hAnsi="Calibri" w:cs="Calibri"/>
          <w:lang w:val="sq-AL"/>
        </w:rPr>
        <w:t xml:space="preserve">këtij </w:t>
      </w:r>
      <w:r w:rsidR="00D24505" w:rsidRPr="00062169">
        <w:rPr>
          <w:rFonts w:ascii="Calibri" w:hAnsi="Calibri" w:cs="Calibri"/>
          <w:lang w:val="sq-AL"/>
        </w:rPr>
        <w:t>CCFR.</w:t>
      </w:r>
    </w:p>
    <w:p w:rsidR="00A73E0A" w:rsidRPr="00062169" w:rsidRDefault="00A73E0A" w:rsidP="00900B3B">
      <w:pPr>
        <w:pStyle w:val="headline2"/>
        <w:spacing w:after="0" w:line="276" w:lineRule="auto"/>
        <w:rPr>
          <w:rFonts w:ascii="Calibri" w:hAnsi="Calibri" w:cs="Calibri"/>
          <w:color w:val="000000" w:themeColor="text1"/>
          <w:sz w:val="22"/>
          <w:szCs w:val="22"/>
          <w:lang w:val="sq-AL"/>
        </w:rPr>
      </w:pPr>
      <w:bookmarkStart w:id="51" w:name="_Toc65219938"/>
      <w:r w:rsidRPr="00062169">
        <w:rPr>
          <w:rFonts w:ascii="Calibri" w:hAnsi="Calibri" w:cs="Calibri"/>
          <w:color w:val="000000" w:themeColor="text1"/>
          <w:sz w:val="22"/>
          <w:szCs w:val="22"/>
          <w:lang w:val="sq-AL"/>
        </w:rPr>
        <w:t>Neni 10</w:t>
      </w:r>
      <w:r w:rsidRPr="00062169">
        <w:rPr>
          <w:rFonts w:ascii="Calibri" w:hAnsi="Calibri" w:cs="Calibri"/>
          <w:color w:val="000000" w:themeColor="text1"/>
          <w:sz w:val="22"/>
          <w:szCs w:val="22"/>
          <w:lang w:val="sq-AL"/>
        </w:rPr>
        <w:br/>
        <w:t>Gjuha</w:t>
      </w:r>
      <w:bookmarkEnd w:id="51"/>
    </w:p>
    <w:bookmarkEnd w:id="1"/>
    <w:bookmarkEnd w:id="41"/>
    <w:bookmarkEnd w:id="42"/>
    <w:bookmarkEnd w:id="43"/>
    <w:p w:rsidR="00A73E0A" w:rsidRPr="00062169" w:rsidRDefault="00A73E0A" w:rsidP="00900B3B">
      <w:pPr>
        <w:spacing w:line="276" w:lineRule="auto"/>
        <w:jc w:val="both"/>
        <w:rPr>
          <w:rFonts w:ascii="Calibri" w:hAnsi="Calibri" w:cs="Calibri"/>
          <w:color w:val="000000"/>
          <w:lang w:val="sq-AL"/>
        </w:rPr>
      </w:pPr>
    </w:p>
    <w:p w:rsidR="00A73E0A" w:rsidRPr="00062169" w:rsidRDefault="00A73E0A" w:rsidP="00900B3B">
      <w:pPr>
        <w:spacing w:line="276" w:lineRule="auto"/>
        <w:jc w:val="both"/>
        <w:rPr>
          <w:rFonts w:ascii="Calibri" w:hAnsi="Calibri" w:cs="Calibri"/>
          <w:lang w:val="sq-AL"/>
        </w:rPr>
      </w:pPr>
      <w:r w:rsidRPr="00062169">
        <w:rPr>
          <w:rFonts w:ascii="Calibri" w:hAnsi="Calibri" w:cs="Calibri"/>
          <w:lang w:val="sq-AL"/>
        </w:rPr>
        <w:t xml:space="preserve">Gjuha e referencës për këtë propozim do të jetë gjuha angleze. Për shmangien e dyshimit, kur </w:t>
      </w:r>
      <w:r w:rsidR="00A30633" w:rsidRPr="00062169">
        <w:rPr>
          <w:rFonts w:ascii="Calibri" w:hAnsi="Calibri" w:cs="Calibri"/>
          <w:lang w:val="sq-AL"/>
        </w:rPr>
        <w:t>TSO</w:t>
      </w:r>
      <w:r w:rsidRPr="00062169">
        <w:rPr>
          <w:rFonts w:ascii="Calibri" w:hAnsi="Calibri" w:cs="Calibri"/>
          <w:lang w:val="sq-AL"/>
        </w:rPr>
        <w:t xml:space="preserve">-të duhet të përkthejnë këtë propozim në gjuhën e tyre kombëtare, në rast të mospërputhjeve midis versionit anglisht të botuar nga </w:t>
      </w:r>
      <w:r w:rsidR="00A30633" w:rsidRPr="00062169">
        <w:rPr>
          <w:rFonts w:ascii="Calibri" w:hAnsi="Calibri" w:cs="Calibri"/>
          <w:lang w:val="sq-AL"/>
        </w:rPr>
        <w:t>TSO</w:t>
      </w:r>
      <w:r w:rsidRPr="00062169">
        <w:rPr>
          <w:rFonts w:ascii="Calibri" w:hAnsi="Calibri" w:cs="Calibri"/>
          <w:lang w:val="sq-AL"/>
        </w:rPr>
        <w:t xml:space="preserve">-të në përputhje me Nenin 7 të EBGL dhe çdo versioni në një gjuhë tjetër, </w:t>
      </w:r>
      <w:r w:rsidR="00AE3781" w:rsidRPr="00062169">
        <w:rPr>
          <w:rFonts w:ascii="Calibri" w:hAnsi="Calibri" w:cs="Calibri"/>
          <w:lang w:val="sq-AL"/>
        </w:rPr>
        <w:t>TSO</w:t>
      </w:r>
      <w:r w:rsidRPr="00062169">
        <w:rPr>
          <w:rFonts w:ascii="Calibri" w:hAnsi="Calibri" w:cs="Calibri"/>
          <w:lang w:val="sq-AL"/>
        </w:rPr>
        <w:t>-të, në përputhje me legjislacionin kombëtar, do t'u sigurojnë autoriteteve përkatëse kombëtare rregullatore një përkthim të përditësuar të propozimit.</w:t>
      </w:r>
    </w:p>
    <w:p w:rsidR="0076124D" w:rsidRPr="00062169" w:rsidRDefault="0076124D" w:rsidP="00D21F08">
      <w:pPr>
        <w:spacing w:line="276" w:lineRule="auto"/>
        <w:jc w:val="both"/>
        <w:rPr>
          <w:rFonts w:ascii="Calibri" w:hAnsi="Calibri" w:cs="Calibri"/>
          <w:lang w:val="sq-AL"/>
        </w:rPr>
      </w:pPr>
    </w:p>
    <w:sectPr w:rsidR="0076124D" w:rsidRPr="00062169" w:rsidSect="001A55A2">
      <w:headerReference w:type="default" r:id="rId11"/>
      <w:footerReference w:type="default" r:id="rId12"/>
      <w:headerReference w:type="first" r:id="rId13"/>
      <w:footerReference w:type="first" r:id="rId14"/>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183" w:rsidRDefault="001D2183" w:rsidP="00B04144">
      <w:r>
        <w:separator/>
      </w:r>
    </w:p>
  </w:endnote>
  <w:endnote w:type="continuationSeparator" w:id="0">
    <w:p w:rsidR="001D2183" w:rsidRDefault="001D2183" w:rsidP="00B04144">
      <w:r>
        <w:continuationSeparator/>
      </w:r>
    </w:p>
  </w:endnote>
  <w:endnote w:type="continuationNotice" w:id="1">
    <w:p w:rsidR="001D2183" w:rsidRDefault="001D2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0E43C5" w:rsidRPr="005B6D74" w:rsidTr="003D0965">
      <w:trPr>
        <w:trHeight w:hRule="exact" w:val="284"/>
      </w:trPr>
      <w:tc>
        <w:tcPr>
          <w:tcW w:w="9923" w:type="dxa"/>
          <w:vAlign w:val="center"/>
        </w:tcPr>
        <w:p w:rsidR="000E43C5" w:rsidRPr="003D0965" w:rsidRDefault="000E43C5" w:rsidP="00CD009F">
          <w:pPr>
            <w:pStyle w:val="Footer"/>
            <w:rPr>
              <w:rFonts w:asciiTheme="majorHAnsi" w:hAnsiTheme="majorHAnsi" w:cstheme="majorHAnsi"/>
              <w:sz w:val="14"/>
              <w:szCs w:val="14"/>
              <w:lang w:val="de-DE"/>
            </w:rPr>
          </w:pPr>
        </w:p>
      </w:tc>
    </w:tr>
  </w:tbl>
  <w:tbl>
    <w:tblPr>
      <w:tblStyle w:val="TableGrid"/>
      <w:tblpPr w:leftFromText="142" w:rightFromText="142" w:vertAnchor="page" w:horzAnchor="margin" w:tblpXSpec="center"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0E43C5" w:rsidTr="00E534AE">
      <w:trPr>
        <w:trHeight w:hRule="exact" w:val="284"/>
      </w:trPr>
      <w:tc>
        <w:tcPr>
          <w:tcW w:w="624" w:type="dxa"/>
        </w:tcPr>
        <w:p w:rsidR="000E43C5" w:rsidRDefault="000E43C5" w:rsidP="00E534AE">
          <w:pPr>
            <w:pStyle w:val="Footer"/>
          </w:pPr>
        </w:p>
      </w:tc>
    </w:tr>
  </w:tbl>
  <w:p w:rsidR="000E43C5" w:rsidRPr="003D0965" w:rsidRDefault="000E43C5" w:rsidP="003D0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0E43C5" w:rsidRPr="005B6D74" w:rsidTr="003D0965">
      <w:trPr>
        <w:trHeight w:hRule="exact" w:val="284"/>
      </w:trPr>
      <w:tc>
        <w:tcPr>
          <w:tcW w:w="9923" w:type="dxa"/>
          <w:vAlign w:val="center"/>
        </w:tcPr>
        <w:p w:rsidR="000E43C5" w:rsidRPr="00A10F07" w:rsidRDefault="000E43C5" w:rsidP="003D0965">
          <w:pPr>
            <w:pStyle w:val="Footer"/>
            <w:rPr>
              <w:rFonts w:asciiTheme="majorHAnsi" w:hAnsiTheme="majorHAnsi" w:cstheme="majorHAnsi"/>
              <w:sz w:val="14"/>
              <w:szCs w:val="14"/>
              <w:lang w:val="fr-FR"/>
            </w:rPr>
          </w:pPr>
        </w:p>
      </w:tc>
    </w:tr>
  </w:tbl>
  <w:p w:rsidR="000E43C5" w:rsidRDefault="000E43C5">
    <w:pPr>
      <w:pStyle w:val="Footer"/>
    </w:pPr>
    <w:r>
      <w:rPr>
        <w:noProof/>
        <w:lang w:val="de-DE" w:eastAsia="de-DE"/>
      </w:rPr>
      <mc:AlternateContent>
        <mc:Choice Requires="wps">
          <w:drawing>
            <wp:anchor distT="0" distB="0" distL="114300" distR="114300" simplePos="0" relativeHeight="251658243" behindDoc="1" locked="1" layoutInCell="1" allowOverlap="1">
              <wp:simplePos x="0" y="0"/>
              <wp:positionH relativeFrom="page">
                <wp:align>left</wp:align>
              </wp:positionH>
              <wp:positionV relativeFrom="page">
                <wp:posOffset>9124950</wp:posOffset>
              </wp:positionV>
              <wp:extent cx="7578090" cy="1351280"/>
              <wp:effectExtent l="0" t="0" r="3810" b="12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135128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E0D" w:rsidRDefault="006D3E0D" w:rsidP="006D3E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718.5pt;width:596.7pt;height:106.4pt;z-index:-251658237;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" stroked="f">
              <v:fill opacity=".25" color2="#dcdcdc" rotate="t" focus="100%" type="gradient"/>
              <v:textbox>
                <w:txbxContent>
                  <w:p w:rsidR="006D3E0D" w:rsidRDefault="006D3E0D" w:rsidP="006D3E0D">
                    <w:pPr>
                      <w:jc w:val="center"/>
                    </w:pP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183" w:rsidRDefault="001D2183" w:rsidP="00B04144">
      <w:r>
        <w:separator/>
      </w:r>
    </w:p>
  </w:footnote>
  <w:footnote w:type="continuationSeparator" w:id="0">
    <w:p w:rsidR="001D2183" w:rsidRDefault="001D2183" w:rsidP="00B04144">
      <w:r>
        <w:continuationSeparator/>
      </w:r>
    </w:p>
  </w:footnote>
  <w:footnote w:type="continuationNotice" w:id="1">
    <w:p w:rsidR="001D2183" w:rsidRDefault="001D2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DC3" w:rsidRDefault="0010135A">
    <w:pPr>
      <w:pStyle w:val="Header"/>
    </w:pPr>
    <w:r>
      <w:t xml:space="preserve"> </w:t>
    </w:r>
  </w:p>
  <w:tbl>
    <w:tblPr>
      <w:tblW w:w="0" w:type="auto"/>
      <w:tblInd w:w="-278"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ook w:val="01E0" w:firstRow="1" w:lastRow="1" w:firstColumn="1" w:lastColumn="1" w:noHBand="0" w:noVBand="0"/>
    </w:tblPr>
    <w:tblGrid>
      <w:gridCol w:w="2112"/>
      <w:gridCol w:w="2487"/>
      <w:gridCol w:w="2332"/>
      <w:gridCol w:w="1999"/>
    </w:tblGrid>
    <w:tr w:rsidR="00184DC3" w:rsidRPr="00572802" w:rsidTr="00D63C2B">
      <w:trPr>
        <w:trHeight w:val="738"/>
      </w:trPr>
      <w:tc>
        <w:tcPr>
          <w:tcW w:w="2112" w:type="dxa"/>
          <w:vMerge w:val="restart"/>
        </w:tcPr>
        <w:p w:rsidR="00184DC3" w:rsidRPr="00572802" w:rsidRDefault="00184DC3" w:rsidP="00184DC3">
          <w:pPr>
            <w:tabs>
              <w:tab w:val="center" w:pos="4536"/>
              <w:tab w:val="right" w:pos="9072"/>
            </w:tabs>
            <w:rPr>
              <w:b/>
              <w:bCs/>
              <w:iCs/>
              <w:lang w:val="sq-AL"/>
            </w:rPr>
          </w:pPr>
          <w:r w:rsidRPr="00572802">
            <w:rPr>
              <w:rFonts w:ascii="Calibri" w:hAnsi="Calibri" w:cs="Arial"/>
              <w:b/>
              <w:bCs/>
              <w:iCs/>
              <w:noProof/>
              <w:color w:val="595959"/>
              <w:sz w:val="28"/>
              <w:szCs w:val="28"/>
              <w:lang w:val="sq-AL"/>
            </w:rPr>
            <w:drawing>
              <wp:anchor distT="0" distB="0" distL="114300" distR="114300" simplePos="0" relativeHeight="251662339" behindDoc="0" locked="0" layoutInCell="1" allowOverlap="1" wp14:anchorId="34A39FC9" wp14:editId="0435A83B">
                <wp:simplePos x="0" y="0"/>
                <wp:positionH relativeFrom="column">
                  <wp:posOffset>12065</wp:posOffset>
                </wp:positionH>
                <wp:positionV relativeFrom="paragraph">
                  <wp:posOffset>73660</wp:posOffset>
                </wp:positionV>
                <wp:extent cx="984250" cy="596900"/>
                <wp:effectExtent l="0" t="0" r="6350" b="0"/>
                <wp:wrapTight wrapText="bothSides">
                  <wp:wrapPolygon edited="0">
                    <wp:start x="0" y="0"/>
                    <wp:lineTo x="0" y="20681"/>
                    <wp:lineTo x="21321" y="20681"/>
                    <wp:lineTo x="21321" y="0"/>
                    <wp:lineTo x="0" y="0"/>
                  </wp:wrapPolygon>
                </wp:wrapTight>
                <wp:docPr id="2" name="Picture 2" descr="kostt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stt 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596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gridSpan w:val="2"/>
        </w:tcPr>
        <w:p w:rsidR="00184DC3" w:rsidRPr="00E1152F" w:rsidRDefault="001603FA" w:rsidP="00184DC3">
          <w:pPr>
            <w:tabs>
              <w:tab w:val="center" w:pos="4536"/>
              <w:tab w:val="right" w:pos="9072"/>
            </w:tabs>
            <w:rPr>
              <w:rFonts w:ascii="Calibri" w:hAnsi="Calibri" w:cs="Calibri"/>
              <w:b/>
              <w:bCs/>
              <w:iCs/>
              <w:sz w:val="16"/>
              <w:szCs w:val="16"/>
              <w:lang w:val="en-US"/>
            </w:rPr>
          </w:pPr>
          <w:r w:rsidRPr="001603FA">
            <w:rPr>
              <w:rFonts w:ascii="Calibri" w:hAnsi="Calibri" w:cs="Calibri"/>
              <w:b/>
              <w:bCs/>
              <w:iCs/>
              <w:sz w:val="16"/>
              <w:szCs w:val="16"/>
              <w:lang w:val="en-US"/>
            </w:rPr>
            <w:t xml:space="preserve">Propozimi i të gjitha TSO-ve kontinentale evropiane për rregullat e përbashkëta të barazimit përfundimtar për shkëmbimet e qëllimshme të energjisë si rezultat i procesit të rregullimit stabilizues të frekuencës dhe periodës së ndryshimit (rritje / ulje) në përputhje me Nenin 50 (3) të Rregullores së Komisionit (BE) 2017/2195 të 23 Nëntorit </w:t>
          </w:r>
          <w:proofErr w:type="gramStart"/>
          <w:r w:rsidRPr="001603FA">
            <w:rPr>
              <w:rFonts w:ascii="Calibri" w:hAnsi="Calibri" w:cs="Calibri"/>
              <w:b/>
              <w:bCs/>
              <w:iCs/>
              <w:sz w:val="16"/>
              <w:szCs w:val="16"/>
              <w:lang w:val="en-US"/>
            </w:rPr>
            <w:t>2017  që</w:t>
          </w:r>
          <w:proofErr w:type="gramEnd"/>
          <w:r w:rsidRPr="001603FA">
            <w:rPr>
              <w:rFonts w:ascii="Calibri" w:hAnsi="Calibri" w:cs="Calibri"/>
              <w:b/>
              <w:bCs/>
              <w:iCs/>
              <w:sz w:val="16"/>
              <w:szCs w:val="16"/>
              <w:lang w:val="en-US"/>
            </w:rPr>
            <w:t xml:space="preserve"> është rregullore udhëzuese mbi balancimin e energjisë elektrike</w:t>
          </w:r>
        </w:p>
      </w:tc>
      <w:tc>
        <w:tcPr>
          <w:tcW w:w="1998" w:type="dxa"/>
        </w:tcPr>
        <w:p w:rsidR="00184DC3" w:rsidRPr="00511D76" w:rsidRDefault="00184DC3" w:rsidP="00A50FA6">
          <w:pPr>
            <w:tabs>
              <w:tab w:val="center" w:pos="4536"/>
              <w:tab w:val="right" w:pos="9072"/>
            </w:tabs>
            <w:jc w:val="center"/>
            <w:rPr>
              <w:rFonts w:ascii="Calibri" w:hAnsi="Calibri" w:cs="Calibri"/>
              <w:b/>
              <w:bCs/>
              <w:iCs/>
              <w:sz w:val="28"/>
              <w:szCs w:val="28"/>
              <w:lang w:val="sq-AL"/>
            </w:rPr>
          </w:pPr>
          <w:r w:rsidRPr="00511D76">
            <w:rPr>
              <w:rFonts w:ascii="Calibri" w:hAnsi="Calibri" w:cs="Calibri"/>
              <w:b/>
              <w:bCs/>
              <w:iCs/>
              <w:sz w:val="28"/>
              <w:szCs w:val="28"/>
              <w:lang w:val="sq-AL"/>
            </w:rPr>
            <w:t>PR-MO-</w:t>
          </w:r>
          <w:r w:rsidR="000C0846">
            <w:rPr>
              <w:rFonts w:ascii="Calibri" w:hAnsi="Calibri" w:cs="Calibri"/>
              <w:b/>
              <w:bCs/>
              <w:iCs/>
              <w:sz w:val="28"/>
              <w:szCs w:val="28"/>
              <w:lang w:val="sq-AL"/>
            </w:rPr>
            <w:t>12</w:t>
          </w:r>
        </w:p>
      </w:tc>
    </w:tr>
    <w:tr w:rsidR="00184DC3" w:rsidRPr="00572802" w:rsidTr="00C96144">
      <w:trPr>
        <w:trHeight w:val="331"/>
      </w:trPr>
      <w:tc>
        <w:tcPr>
          <w:tcW w:w="2112" w:type="dxa"/>
          <w:vMerge/>
          <w:tcBorders>
            <w:bottom w:val="single" w:sz="6" w:space="0" w:color="404040"/>
          </w:tcBorders>
        </w:tcPr>
        <w:p w:rsidR="00184DC3" w:rsidRPr="00572802" w:rsidRDefault="00184DC3" w:rsidP="00184DC3">
          <w:pPr>
            <w:tabs>
              <w:tab w:val="center" w:pos="4536"/>
              <w:tab w:val="right" w:pos="9072"/>
            </w:tabs>
            <w:rPr>
              <w:bCs/>
              <w:i/>
              <w:lang w:val="sq-AL"/>
            </w:rPr>
          </w:pPr>
        </w:p>
      </w:tc>
      <w:tc>
        <w:tcPr>
          <w:tcW w:w="4819" w:type="dxa"/>
          <w:gridSpan w:val="2"/>
          <w:tcBorders>
            <w:bottom w:val="single" w:sz="6" w:space="0" w:color="404040"/>
          </w:tcBorders>
        </w:tcPr>
        <w:p w:rsidR="00184DC3" w:rsidRPr="00511D76" w:rsidRDefault="00184DC3" w:rsidP="00184DC3">
          <w:pPr>
            <w:tabs>
              <w:tab w:val="center" w:pos="4536"/>
              <w:tab w:val="right" w:pos="9072"/>
            </w:tabs>
            <w:rPr>
              <w:rFonts w:ascii="Calibri" w:hAnsi="Calibri" w:cs="Calibri"/>
              <w:i/>
              <w:sz w:val="20"/>
              <w:szCs w:val="20"/>
              <w:lang w:val="sq-AL"/>
            </w:rPr>
          </w:pPr>
          <w:r w:rsidRPr="00511D76">
            <w:rPr>
              <w:rFonts w:ascii="Calibri" w:hAnsi="Calibri" w:cs="Calibri"/>
              <w:i/>
              <w:sz w:val="20"/>
              <w:szCs w:val="20"/>
              <w:lang w:val="sq-AL"/>
            </w:rPr>
            <w:t xml:space="preserve">                                         ver. 1.0</w:t>
          </w:r>
        </w:p>
      </w:tc>
      <w:tc>
        <w:tcPr>
          <w:tcW w:w="1998" w:type="dxa"/>
          <w:tcBorders>
            <w:bottom w:val="single" w:sz="6" w:space="0" w:color="404040"/>
          </w:tcBorders>
        </w:tcPr>
        <w:p w:rsidR="00184DC3" w:rsidRPr="00511D76" w:rsidRDefault="00184DC3" w:rsidP="00184DC3">
          <w:pPr>
            <w:tabs>
              <w:tab w:val="center" w:pos="4536"/>
              <w:tab w:val="right" w:pos="9072"/>
            </w:tabs>
            <w:rPr>
              <w:rFonts w:ascii="Calibri" w:hAnsi="Calibri" w:cs="Calibri"/>
              <w:i/>
              <w:sz w:val="20"/>
              <w:szCs w:val="20"/>
              <w:lang w:val="sq-AL"/>
            </w:rPr>
          </w:pPr>
          <w:r w:rsidRPr="00511D76">
            <w:rPr>
              <w:rFonts w:ascii="Calibri" w:hAnsi="Calibri" w:cs="Calibri"/>
              <w:i/>
              <w:sz w:val="20"/>
              <w:szCs w:val="20"/>
              <w:lang w:val="sq-AL"/>
            </w:rPr>
            <w:t xml:space="preserve">Faqe </w:t>
          </w:r>
          <w:r w:rsidRPr="00511D76">
            <w:rPr>
              <w:rFonts w:ascii="Calibri" w:hAnsi="Calibri" w:cs="Calibri"/>
              <w:i/>
              <w:sz w:val="20"/>
              <w:szCs w:val="20"/>
              <w:lang w:val="sq-AL"/>
            </w:rPr>
            <w:fldChar w:fldCharType="begin"/>
          </w:r>
          <w:r w:rsidRPr="00511D76">
            <w:rPr>
              <w:rFonts w:ascii="Calibri" w:hAnsi="Calibri" w:cs="Calibri"/>
              <w:i/>
              <w:sz w:val="20"/>
              <w:szCs w:val="20"/>
              <w:lang w:val="sq-AL"/>
            </w:rPr>
            <w:instrText xml:space="preserve"> PAGE </w:instrText>
          </w:r>
          <w:r w:rsidRPr="00511D76">
            <w:rPr>
              <w:rFonts w:ascii="Calibri" w:hAnsi="Calibri" w:cs="Calibri"/>
              <w:i/>
              <w:sz w:val="20"/>
              <w:szCs w:val="20"/>
              <w:lang w:val="sq-AL"/>
            </w:rPr>
            <w:fldChar w:fldCharType="separate"/>
          </w:r>
          <w:r w:rsidRPr="00511D76">
            <w:rPr>
              <w:rFonts w:ascii="Calibri" w:hAnsi="Calibri" w:cs="Calibri"/>
              <w:i/>
              <w:sz w:val="20"/>
              <w:szCs w:val="20"/>
              <w:lang w:val="sq-AL"/>
            </w:rPr>
            <w:t>1</w:t>
          </w:r>
          <w:r w:rsidRPr="00511D76">
            <w:rPr>
              <w:rFonts w:ascii="Calibri" w:hAnsi="Calibri" w:cs="Calibri"/>
              <w:sz w:val="20"/>
              <w:szCs w:val="20"/>
            </w:rPr>
            <w:fldChar w:fldCharType="end"/>
          </w:r>
          <w:r w:rsidRPr="00511D76">
            <w:rPr>
              <w:rFonts w:ascii="Calibri" w:hAnsi="Calibri" w:cs="Calibri"/>
              <w:i/>
              <w:sz w:val="20"/>
              <w:szCs w:val="20"/>
              <w:lang w:val="sq-AL"/>
            </w:rPr>
            <w:t xml:space="preserve"> nga 1</w:t>
          </w:r>
          <w:r w:rsidR="00553BF1">
            <w:rPr>
              <w:rFonts w:ascii="Calibri" w:hAnsi="Calibri" w:cs="Calibri"/>
              <w:i/>
              <w:sz w:val="20"/>
              <w:szCs w:val="20"/>
              <w:lang w:val="sq-AL"/>
            </w:rPr>
            <w:t>3</w:t>
          </w:r>
        </w:p>
      </w:tc>
    </w:tr>
    <w:tr w:rsidR="00184DC3" w:rsidRPr="00572802" w:rsidTr="00C96144">
      <w:trPr>
        <w:trHeight w:val="197"/>
      </w:trPr>
      <w:tc>
        <w:tcPr>
          <w:tcW w:w="4599" w:type="dxa"/>
          <w:gridSpan w:val="2"/>
          <w:tcBorders>
            <w:bottom w:val="single" w:sz="4" w:space="0" w:color="auto"/>
          </w:tcBorders>
        </w:tcPr>
        <w:p w:rsidR="00184DC3" w:rsidRPr="008B5550" w:rsidRDefault="00184DC3" w:rsidP="00184DC3">
          <w:pPr>
            <w:tabs>
              <w:tab w:val="center" w:pos="4536"/>
              <w:tab w:val="right" w:pos="9072"/>
            </w:tabs>
            <w:rPr>
              <w:rFonts w:ascii="Calibri" w:hAnsi="Calibri" w:cs="Calibri"/>
              <w:i/>
              <w:sz w:val="20"/>
              <w:szCs w:val="20"/>
              <w:lang w:val="sq-AL"/>
            </w:rPr>
          </w:pPr>
          <w:r w:rsidRPr="008B5550">
            <w:rPr>
              <w:rFonts w:ascii="Calibri" w:hAnsi="Calibri" w:cs="Calibri"/>
              <w:i/>
              <w:sz w:val="20"/>
              <w:szCs w:val="20"/>
              <w:lang w:val="sq-AL"/>
            </w:rPr>
            <w:t>Departamenti: Operimi i Tregut</w:t>
          </w:r>
        </w:p>
      </w:tc>
      <w:tc>
        <w:tcPr>
          <w:tcW w:w="4331" w:type="dxa"/>
          <w:gridSpan w:val="2"/>
          <w:tcBorders>
            <w:bottom w:val="single" w:sz="4" w:space="0" w:color="auto"/>
          </w:tcBorders>
        </w:tcPr>
        <w:p w:rsidR="00184DC3" w:rsidRPr="008B5550" w:rsidRDefault="00184DC3" w:rsidP="00184DC3">
          <w:pPr>
            <w:tabs>
              <w:tab w:val="center" w:pos="4536"/>
              <w:tab w:val="right" w:pos="9072"/>
            </w:tabs>
            <w:rPr>
              <w:rFonts w:ascii="Calibri" w:hAnsi="Calibri" w:cs="Calibri"/>
              <w:i/>
              <w:sz w:val="20"/>
              <w:szCs w:val="20"/>
              <w:lang w:val="sq-AL"/>
            </w:rPr>
          </w:pPr>
          <w:r w:rsidRPr="008B5550">
            <w:rPr>
              <w:rFonts w:ascii="Calibri" w:hAnsi="Calibri" w:cs="Calibri"/>
              <w:i/>
              <w:sz w:val="20"/>
              <w:szCs w:val="20"/>
              <w:lang w:val="sq-AL"/>
            </w:rPr>
            <w:t xml:space="preserve">Sektori:Barazimi Përfundimtar </w:t>
          </w:r>
        </w:p>
      </w:tc>
    </w:tr>
    <w:tr w:rsidR="00184DC3" w:rsidRPr="00572802" w:rsidTr="00C96144">
      <w:trPr>
        <w:trHeight w:val="84"/>
      </w:trPr>
      <w:tc>
        <w:tcPr>
          <w:tcW w:w="4599" w:type="dxa"/>
          <w:gridSpan w:val="2"/>
          <w:tcBorders>
            <w:top w:val="single" w:sz="4" w:space="0" w:color="auto"/>
            <w:left w:val="nil"/>
            <w:bottom w:val="nil"/>
            <w:right w:val="nil"/>
          </w:tcBorders>
        </w:tcPr>
        <w:p w:rsidR="00184DC3" w:rsidRPr="00572802" w:rsidRDefault="00184DC3" w:rsidP="00184DC3">
          <w:pPr>
            <w:tabs>
              <w:tab w:val="center" w:pos="4536"/>
              <w:tab w:val="right" w:pos="9072"/>
            </w:tabs>
            <w:rPr>
              <w:i/>
              <w:lang w:val="sq-AL"/>
            </w:rPr>
          </w:pPr>
        </w:p>
      </w:tc>
      <w:tc>
        <w:tcPr>
          <w:tcW w:w="4331" w:type="dxa"/>
          <w:gridSpan w:val="2"/>
          <w:tcBorders>
            <w:top w:val="single" w:sz="4" w:space="0" w:color="auto"/>
            <w:left w:val="nil"/>
            <w:bottom w:val="nil"/>
            <w:right w:val="nil"/>
          </w:tcBorders>
        </w:tcPr>
        <w:p w:rsidR="00184DC3" w:rsidRPr="00572802" w:rsidRDefault="00184DC3" w:rsidP="00184DC3">
          <w:pPr>
            <w:tabs>
              <w:tab w:val="center" w:pos="4536"/>
              <w:tab w:val="right" w:pos="9072"/>
            </w:tabs>
            <w:rPr>
              <w:i/>
              <w:lang w:val="sq-AL"/>
            </w:rPr>
          </w:pPr>
        </w:p>
      </w:tc>
    </w:tr>
  </w:tbl>
  <w:p w:rsidR="00184DC3" w:rsidRPr="00F84BA9" w:rsidRDefault="00184DC3" w:rsidP="00184DC3">
    <w:pPr>
      <w:pStyle w:val="Header"/>
    </w:pPr>
  </w:p>
  <w:p w:rsidR="00742AF1" w:rsidRDefault="0010135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78"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ook w:val="01E0" w:firstRow="1" w:lastRow="1" w:firstColumn="1" w:lastColumn="1" w:noHBand="0" w:noVBand="0"/>
    </w:tblPr>
    <w:tblGrid>
      <w:gridCol w:w="2255"/>
      <w:gridCol w:w="2657"/>
      <w:gridCol w:w="2490"/>
      <w:gridCol w:w="2136"/>
    </w:tblGrid>
    <w:tr w:rsidR="00184DC3" w:rsidRPr="00572802" w:rsidTr="00C96144">
      <w:trPr>
        <w:trHeight w:val="490"/>
      </w:trPr>
      <w:tc>
        <w:tcPr>
          <w:tcW w:w="2255" w:type="dxa"/>
          <w:vMerge w:val="restart"/>
          <w:tcBorders>
            <w:bottom w:val="single" w:sz="6" w:space="0" w:color="404040"/>
          </w:tcBorders>
        </w:tcPr>
        <w:p w:rsidR="00184DC3" w:rsidRPr="00572802" w:rsidRDefault="00184DC3" w:rsidP="00184DC3">
          <w:pPr>
            <w:tabs>
              <w:tab w:val="center" w:pos="4536"/>
              <w:tab w:val="right" w:pos="9072"/>
            </w:tabs>
            <w:rPr>
              <w:b/>
              <w:bCs/>
              <w:iCs/>
              <w:lang w:val="sq-AL"/>
            </w:rPr>
          </w:pPr>
          <w:r w:rsidRPr="00572802">
            <w:rPr>
              <w:rFonts w:ascii="Calibri" w:hAnsi="Calibri" w:cs="Arial"/>
              <w:b/>
              <w:bCs/>
              <w:iCs/>
              <w:noProof/>
              <w:color w:val="595959"/>
              <w:sz w:val="28"/>
              <w:szCs w:val="28"/>
              <w:lang w:val="sq-AL"/>
            </w:rPr>
            <w:drawing>
              <wp:anchor distT="0" distB="0" distL="114300" distR="114300" simplePos="0" relativeHeight="251660291" behindDoc="0" locked="0" layoutInCell="1" allowOverlap="1" wp14:anchorId="34A39FC9" wp14:editId="0435A83B">
                <wp:simplePos x="0" y="0"/>
                <wp:positionH relativeFrom="column">
                  <wp:posOffset>-635</wp:posOffset>
                </wp:positionH>
                <wp:positionV relativeFrom="paragraph">
                  <wp:posOffset>156210</wp:posOffset>
                </wp:positionV>
                <wp:extent cx="984250" cy="596900"/>
                <wp:effectExtent l="0" t="0" r="6350" b="0"/>
                <wp:wrapTight wrapText="bothSides">
                  <wp:wrapPolygon edited="0">
                    <wp:start x="0" y="0"/>
                    <wp:lineTo x="0" y="20681"/>
                    <wp:lineTo x="21321" y="20681"/>
                    <wp:lineTo x="21321" y="0"/>
                    <wp:lineTo x="0" y="0"/>
                  </wp:wrapPolygon>
                </wp:wrapTight>
                <wp:docPr id="6" name="Picture 6" descr="kostt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stt 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596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7" w:type="dxa"/>
          <w:gridSpan w:val="2"/>
          <w:tcBorders>
            <w:bottom w:val="single" w:sz="6" w:space="0" w:color="404040"/>
          </w:tcBorders>
        </w:tcPr>
        <w:p w:rsidR="00184DC3" w:rsidRPr="00E1152F" w:rsidRDefault="001603FA" w:rsidP="00184DC3">
          <w:pPr>
            <w:tabs>
              <w:tab w:val="center" w:pos="4536"/>
              <w:tab w:val="right" w:pos="9072"/>
            </w:tabs>
            <w:rPr>
              <w:rFonts w:ascii="Calibri" w:hAnsi="Calibri" w:cs="Calibri"/>
              <w:b/>
              <w:bCs/>
              <w:iCs/>
              <w:sz w:val="16"/>
              <w:szCs w:val="16"/>
              <w:lang w:val="en-US"/>
            </w:rPr>
          </w:pPr>
          <w:r w:rsidRPr="001603FA">
            <w:rPr>
              <w:rFonts w:ascii="Calibri" w:hAnsi="Calibri" w:cs="Calibri"/>
              <w:b/>
              <w:bCs/>
              <w:iCs/>
              <w:sz w:val="16"/>
              <w:szCs w:val="16"/>
              <w:lang w:val="en-US"/>
            </w:rPr>
            <w:t xml:space="preserve">Propozimi i të gjitha TSO-ve kontinentale evropiane për rregullat e përbashkëta të barazimit përfundimtar për shkëmbimet e qëllimshme të energjisë si rezultat i procesit të rregullimit stabilizues të frekuencës dhe periodës së ndryshimit (rritje / ulje) në përputhje me Nenin 50 (3) të Rregullores së Komisionit (BE) 2017/2195 të 23 Nëntorit </w:t>
          </w:r>
          <w:proofErr w:type="gramStart"/>
          <w:r w:rsidRPr="001603FA">
            <w:rPr>
              <w:rFonts w:ascii="Calibri" w:hAnsi="Calibri" w:cs="Calibri"/>
              <w:b/>
              <w:bCs/>
              <w:iCs/>
              <w:sz w:val="16"/>
              <w:szCs w:val="16"/>
              <w:lang w:val="en-US"/>
            </w:rPr>
            <w:t>2017  që</w:t>
          </w:r>
          <w:proofErr w:type="gramEnd"/>
          <w:r w:rsidRPr="001603FA">
            <w:rPr>
              <w:rFonts w:ascii="Calibri" w:hAnsi="Calibri" w:cs="Calibri"/>
              <w:b/>
              <w:bCs/>
              <w:iCs/>
              <w:sz w:val="16"/>
              <w:szCs w:val="16"/>
              <w:lang w:val="en-US"/>
            </w:rPr>
            <w:t xml:space="preserve"> është rregullore udhëzuese mbi balancimin e energjisë elektrike</w:t>
          </w:r>
        </w:p>
      </w:tc>
      <w:tc>
        <w:tcPr>
          <w:tcW w:w="2135" w:type="dxa"/>
        </w:tcPr>
        <w:p w:rsidR="00184DC3" w:rsidRPr="00511D76" w:rsidRDefault="00184DC3" w:rsidP="00CE37BF">
          <w:pPr>
            <w:tabs>
              <w:tab w:val="center" w:pos="4536"/>
              <w:tab w:val="right" w:pos="9072"/>
            </w:tabs>
            <w:jc w:val="center"/>
            <w:rPr>
              <w:rFonts w:ascii="Calibri" w:hAnsi="Calibri" w:cs="Calibri"/>
              <w:b/>
              <w:bCs/>
              <w:iCs/>
              <w:sz w:val="28"/>
              <w:szCs w:val="28"/>
              <w:lang w:val="sq-AL"/>
            </w:rPr>
          </w:pPr>
          <w:r w:rsidRPr="00511D76">
            <w:rPr>
              <w:rFonts w:ascii="Calibri" w:hAnsi="Calibri" w:cs="Calibri"/>
              <w:b/>
              <w:bCs/>
              <w:iCs/>
              <w:sz w:val="28"/>
              <w:szCs w:val="28"/>
              <w:lang w:val="sq-AL"/>
            </w:rPr>
            <w:t>PR-MO-</w:t>
          </w:r>
          <w:r w:rsidR="000C0846">
            <w:rPr>
              <w:rFonts w:ascii="Calibri" w:hAnsi="Calibri" w:cs="Calibri"/>
              <w:b/>
              <w:bCs/>
              <w:iCs/>
              <w:sz w:val="28"/>
              <w:szCs w:val="28"/>
              <w:lang w:val="sq-AL"/>
            </w:rPr>
            <w:t>12</w:t>
          </w:r>
        </w:p>
      </w:tc>
    </w:tr>
    <w:tr w:rsidR="00184DC3" w:rsidRPr="00572802" w:rsidTr="001603FA">
      <w:trPr>
        <w:trHeight w:val="100"/>
      </w:trPr>
      <w:tc>
        <w:tcPr>
          <w:tcW w:w="2255" w:type="dxa"/>
          <w:vMerge/>
        </w:tcPr>
        <w:p w:rsidR="00184DC3" w:rsidRPr="00572802" w:rsidRDefault="00184DC3" w:rsidP="00184DC3">
          <w:pPr>
            <w:tabs>
              <w:tab w:val="center" w:pos="4536"/>
              <w:tab w:val="right" w:pos="9072"/>
            </w:tabs>
            <w:rPr>
              <w:bCs/>
              <w:i/>
              <w:lang w:val="sq-AL"/>
            </w:rPr>
          </w:pPr>
        </w:p>
      </w:tc>
      <w:tc>
        <w:tcPr>
          <w:tcW w:w="5147" w:type="dxa"/>
          <w:gridSpan w:val="2"/>
        </w:tcPr>
        <w:p w:rsidR="00184DC3" w:rsidRPr="001603FA" w:rsidRDefault="00184DC3" w:rsidP="00CE37BF">
          <w:pPr>
            <w:tabs>
              <w:tab w:val="center" w:pos="4536"/>
              <w:tab w:val="right" w:pos="9072"/>
            </w:tabs>
            <w:jc w:val="center"/>
            <w:rPr>
              <w:rFonts w:ascii="Calibri" w:hAnsi="Calibri" w:cs="Calibri"/>
              <w:i/>
              <w:sz w:val="20"/>
              <w:szCs w:val="20"/>
              <w:lang w:val="sq-AL"/>
            </w:rPr>
          </w:pPr>
          <w:r w:rsidRPr="001603FA">
            <w:rPr>
              <w:rFonts w:ascii="Calibri" w:hAnsi="Calibri" w:cs="Calibri"/>
              <w:i/>
              <w:sz w:val="20"/>
              <w:szCs w:val="20"/>
              <w:lang w:val="sq-AL"/>
            </w:rPr>
            <w:t>ver. 1.0</w:t>
          </w:r>
        </w:p>
      </w:tc>
      <w:tc>
        <w:tcPr>
          <w:tcW w:w="2135" w:type="dxa"/>
        </w:tcPr>
        <w:p w:rsidR="00184DC3" w:rsidRPr="001603FA" w:rsidRDefault="00184DC3" w:rsidP="00CE37BF">
          <w:pPr>
            <w:tabs>
              <w:tab w:val="center" w:pos="4536"/>
              <w:tab w:val="right" w:pos="9072"/>
            </w:tabs>
            <w:jc w:val="center"/>
            <w:rPr>
              <w:rFonts w:ascii="Calibri" w:hAnsi="Calibri" w:cs="Calibri"/>
              <w:i/>
              <w:sz w:val="20"/>
              <w:szCs w:val="20"/>
              <w:lang w:val="sq-AL"/>
            </w:rPr>
          </w:pPr>
          <w:r w:rsidRPr="001603FA">
            <w:rPr>
              <w:rFonts w:ascii="Calibri" w:hAnsi="Calibri" w:cs="Calibri"/>
              <w:i/>
              <w:sz w:val="20"/>
              <w:szCs w:val="20"/>
              <w:lang w:val="sq-AL"/>
            </w:rPr>
            <w:t xml:space="preserve">Faqe </w:t>
          </w:r>
          <w:r w:rsidRPr="001603FA">
            <w:rPr>
              <w:rFonts w:ascii="Calibri" w:hAnsi="Calibri" w:cs="Calibri"/>
              <w:i/>
              <w:sz w:val="20"/>
              <w:szCs w:val="20"/>
              <w:lang w:val="sq-AL"/>
            </w:rPr>
            <w:fldChar w:fldCharType="begin"/>
          </w:r>
          <w:r w:rsidRPr="001603FA">
            <w:rPr>
              <w:rFonts w:ascii="Calibri" w:hAnsi="Calibri" w:cs="Calibri"/>
              <w:i/>
              <w:sz w:val="20"/>
              <w:szCs w:val="20"/>
              <w:lang w:val="sq-AL"/>
            </w:rPr>
            <w:instrText xml:space="preserve"> PAGE </w:instrText>
          </w:r>
          <w:r w:rsidRPr="001603FA">
            <w:rPr>
              <w:rFonts w:ascii="Calibri" w:hAnsi="Calibri" w:cs="Calibri"/>
              <w:i/>
              <w:sz w:val="20"/>
              <w:szCs w:val="20"/>
              <w:lang w:val="sq-AL"/>
            </w:rPr>
            <w:fldChar w:fldCharType="separate"/>
          </w:r>
          <w:r w:rsidRPr="001603FA">
            <w:rPr>
              <w:rFonts w:ascii="Calibri" w:hAnsi="Calibri" w:cs="Calibri"/>
              <w:i/>
              <w:sz w:val="20"/>
              <w:szCs w:val="20"/>
              <w:lang w:val="sq-AL"/>
            </w:rPr>
            <w:t>1</w:t>
          </w:r>
          <w:r w:rsidRPr="001603FA">
            <w:rPr>
              <w:rFonts w:ascii="Calibri" w:hAnsi="Calibri" w:cs="Calibri"/>
              <w:sz w:val="20"/>
              <w:szCs w:val="20"/>
            </w:rPr>
            <w:fldChar w:fldCharType="end"/>
          </w:r>
          <w:r w:rsidRPr="001603FA">
            <w:rPr>
              <w:rFonts w:ascii="Calibri" w:hAnsi="Calibri" w:cs="Calibri"/>
              <w:i/>
              <w:sz w:val="20"/>
              <w:szCs w:val="20"/>
              <w:lang w:val="sq-AL"/>
            </w:rPr>
            <w:t xml:space="preserve"> nga 1</w:t>
          </w:r>
          <w:r w:rsidR="00553BF1">
            <w:rPr>
              <w:rFonts w:ascii="Calibri" w:hAnsi="Calibri" w:cs="Calibri"/>
              <w:i/>
              <w:sz w:val="20"/>
              <w:szCs w:val="20"/>
              <w:lang w:val="sq-AL"/>
            </w:rPr>
            <w:t>3</w:t>
          </w:r>
        </w:p>
      </w:tc>
    </w:tr>
    <w:tr w:rsidR="00184DC3" w:rsidRPr="00572802" w:rsidTr="00C96144">
      <w:trPr>
        <w:trHeight w:val="59"/>
      </w:trPr>
      <w:tc>
        <w:tcPr>
          <w:tcW w:w="4912" w:type="dxa"/>
          <w:gridSpan w:val="2"/>
          <w:tcBorders>
            <w:bottom w:val="single" w:sz="4" w:space="0" w:color="auto"/>
          </w:tcBorders>
        </w:tcPr>
        <w:p w:rsidR="00184DC3" w:rsidRPr="004B4A32" w:rsidRDefault="00184DC3" w:rsidP="00184DC3">
          <w:pPr>
            <w:tabs>
              <w:tab w:val="center" w:pos="4536"/>
              <w:tab w:val="right" w:pos="9072"/>
            </w:tabs>
            <w:rPr>
              <w:rFonts w:ascii="Calibri" w:hAnsi="Calibri" w:cs="Calibri"/>
              <w:i/>
              <w:sz w:val="20"/>
              <w:szCs w:val="20"/>
              <w:lang w:val="sq-AL"/>
            </w:rPr>
          </w:pPr>
          <w:r w:rsidRPr="004B4A32">
            <w:rPr>
              <w:rFonts w:ascii="Calibri" w:hAnsi="Calibri" w:cs="Calibri"/>
              <w:i/>
              <w:sz w:val="20"/>
              <w:szCs w:val="20"/>
              <w:lang w:val="sq-AL"/>
            </w:rPr>
            <w:t>Departamenti: Operimi i Tregut</w:t>
          </w:r>
        </w:p>
      </w:tc>
      <w:tc>
        <w:tcPr>
          <w:tcW w:w="4626" w:type="dxa"/>
          <w:gridSpan w:val="2"/>
          <w:tcBorders>
            <w:bottom w:val="single" w:sz="4" w:space="0" w:color="auto"/>
          </w:tcBorders>
        </w:tcPr>
        <w:p w:rsidR="00184DC3" w:rsidRPr="004B4A32" w:rsidRDefault="00184DC3" w:rsidP="00184DC3">
          <w:pPr>
            <w:tabs>
              <w:tab w:val="center" w:pos="4536"/>
              <w:tab w:val="right" w:pos="9072"/>
            </w:tabs>
            <w:rPr>
              <w:rFonts w:ascii="Calibri" w:hAnsi="Calibri" w:cs="Calibri"/>
              <w:i/>
              <w:sz w:val="20"/>
              <w:szCs w:val="20"/>
              <w:lang w:val="sq-AL"/>
            </w:rPr>
          </w:pPr>
          <w:r w:rsidRPr="004B4A32">
            <w:rPr>
              <w:rFonts w:ascii="Calibri" w:hAnsi="Calibri" w:cs="Calibri"/>
              <w:i/>
              <w:sz w:val="20"/>
              <w:szCs w:val="20"/>
              <w:lang w:val="sq-AL"/>
            </w:rPr>
            <w:t xml:space="preserve">Sektori:Barazimi Përfundimtar </w:t>
          </w:r>
        </w:p>
      </w:tc>
    </w:tr>
    <w:tr w:rsidR="00184DC3" w:rsidRPr="00572802" w:rsidTr="00C96144">
      <w:trPr>
        <w:trHeight w:val="59"/>
      </w:trPr>
      <w:tc>
        <w:tcPr>
          <w:tcW w:w="4912" w:type="dxa"/>
          <w:gridSpan w:val="2"/>
          <w:tcBorders>
            <w:top w:val="single" w:sz="4" w:space="0" w:color="auto"/>
            <w:left w:val="nil"/>
            <w:bottom w:val="nil"/>
            <w:right w:val="nil"/>
          </w:tcBorders>
        </w:tcPr>
        <w:p w:rsidR="00184DC3" w:rsidRPr="00572802" w:rsidRDefault="00184DC3" w:rsidP="00184DC3">
          <w:pPr>
            <w:tabs>
              <w:tab w:val="center" w:pos="4536"/>
              <w:tab w:val="right" w:pos="9072"/>
            </w:tabs>
            <w:rPr>
              <w:i/>
              <w:lang w:val="sq-AL"/>
            </w:rPr>
          </w:pPr>
        </w:p>
      </w:tc>
      <w:tc>
        <w:tcPr>
          <w:tcW w:w="4626" w:type="dxa"/>
          <w:gridSpan w:val="2"/>
          <w:tcBorders>
            <w:top w:val="single" w:sz="4" w:space="0" w:color="auto"/>
            <w:left w:val="nil"/>
            <w:bottom w:val="nil"/>
            <w:right w:val="nil"/>
          </w:tcBorders>
        </w:tcPr>
        <w:p w:rsidR="00184DC3" w:rsidRPr="00572802" w:rsidRDefault="00184DC3" w:rsidP="00184DC3">
          <w:pPr>
            <w:tabs>
              <w:tab w:val="center" w:pos="4536"/>
              <w:tab w:val="right" w:pos="9072"/>
            </w:tabs>
            <w:rPr>
              <w:i/>
              <w:lang w:val="sq-AL"/>
            </w:rPr>
          </w:pPr>
        </w:p>
      </w:tc>
    </w:tr>
  </w:tbl>
  <w:p w:rsidR="00184DC3" w:rsidRPr="00F84BA9" w:rsidRDefault="00184DC3" w:rsidP="00184DC3">
    <w:pPr>
      <w:pStyle w:val="Header"/>
    </w:pPr>
  </w:p>
  <w:p w:rsidR="00EF5500" w:rsidRDefault="00EF5500" w:rsidP="00EF5500">
    <w:pPr>
      <w:pStyle w:val="Header"/>
    </w:pPr>
  </w:p>
  <w:p w:rsidR="00EF5500" w:rsidRPr="00EF5500" w:rsidRDefault="00EF5500" w:rsidP="00EF550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EC34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97537"/>
    <w:multiLevelType w:val="hybridMultilevel"/>
    <w:tmpl w:val="0AF6D92E"/>
    <w:lvl w:ilvl="0" w:tplc="47F02D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E147B"/>
    <w:multiLevelType w:val="hybridMultilevel"/>
    <w:tmpl w:val="535ED19A"/>
    <w:lvl w:ilvl="0" w:tplc="04090017">
      <w:start w:val="1"/>
      <w:numFmt w:val="lowerLetter"/>
      <w:lvlText w:val="%1)"/>
      <w:lvlJc w:val="left"/>
      <w:pPr>
        <w:ind w:left="720" w:hanging="360"/>
      </w:pPr>
    </w:lvl>
    <w:lvl w:ilvl="1" w:tplc="6C0A2FA8">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07C711D4"/>
    <w:multiLevelType w:val="hybridMultilevel"/>
    <w:tmpl w:val="B45E28CE"/>
    <w:lvl w:ilvl="0" w:tplc="DA86D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6333F"/>
    <w:multiLevelType w:val="hybridMultilevel"/>
    <w:tmpl w:val="567C2FE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02A6098"/>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762DC"/>
    <w:multiLevelType w:val="hybridMultilevel"/>
    <w:tmpl w:val="13983448"/>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2B5587D"/>
    <w:multiLevelType w:val="hybridMultilevel"/>
    <w:tmpl w:val="44C24C4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711767"/>
    <w:multiLevelType w:val="hybridMultilevel"/>
    <w:tmpl w:val="194E3DEC"/>
    <w:lvl w:ilvl="0" w:tplc="04070015">
      <w:start w:val="1"/>
      <w:numFmt w:val="decimal"/>
      <w:lvlText w:val="(%1)"/>
      <w:lvlJc w:val="left"/>
      <w:pPr>
        <w:ind w:left="720" w:hanging="360"/>
      </w:pPr>
      <w:rPr>
        <w:rFonts w:hint="default"/>
      </w:rPr>
    </w:lvl>
    <w:lvl w:ilvl="1" w:tplc="FF700BB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F7AD0"/>
    <w:multiLevelType w:val="hybridMultilevel"/>
    <w:tmpl w:val="535ED19A"/>
    <w:lvl w:ilvl="0" w:tplc="04090017">
      <w:start w:val="1"/>
      <w:numFmt w:val="lowerLetter"/>
      <w:lvlText w:val="%1)"/>
      <w:lvlJc w:val="left"/>
      <w:pPr>
        <w:ind w:left="720" w:hanging="360"/>
      </w:pPr>
    </w:lvl>
    <w:lvl w:ilvl="1" w:tplc="6C0A2FA8">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17A602B0"/>
    <w:multiLevelType w:val="hybridMultilevel"/>
    <w:tmpl w:val="67C43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97671E"/>
    <w:multiLevelType w:val="hybridMultilevel"/>
    <w:tmpl w:val="837EED4E"/>
    <w:lvl w:ilvl="0" w:tplc="04070015">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24621C2"/>
    <w:multiLevelType w:val="hybridMultilevel"/>
    <w:tmpl w:val="44E21BC8"/>
    <w:lvl w:ilvl="0" w:tplc="6B96CA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929A4"/>
    <w:multiLevelType w:val="hybridMultilevel"/>
    <w:tmpl w:val="238064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5" w15:restartNumberingAfterBreak="0">
    <w:nsid w:val="283125F2"/>
    <w:multiLevelType w:val="hybridMultilevel"/>
    <w:tmpl w:val="14F2CDC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9AE2B87"/>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51227"/>
    <w:multiLevelType w:val="hybridMultilevel"/>
    <w:tmpl w:val="A7B8BD60"/>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97202E9C">
      <w:start w:val="1"/>
      <w:numFmt w:val="lowerRoman"/>
      <w:lvlText w:val="%3."/>
      <w:lvlJc w:val="right"/>
      <w:pPr>
        <w:ind w:left="1800" w:hanging="180"/>
      </w:pPr>
      <w:rPr>
        <w:b w:val="0"/>
        <w:color w:val="auto"/>
        <w:sz w:val="22"/>
        <w:szCs w:val="22"/>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51A6947"/>
    <w:multiLevelType w:val="hybridMultilevel"/>
    <w:tmpl w:val="560EE4D4"/>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586013D"/>
    <w:multiLevelType w:val="hybridMultilevel"/>
    <w:tmpl w:val="AA62E878"/>
    <w:lvl w:ilvl="0" w:tplc="38CA0EF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8129A"/>
    <w:multiLevelType w:val="hybridMultilevel"/>
    <w:tmpl w:val="E2B024A2"/>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EB74626"/>
    <w:multiLevelType w:val="hybridMultilevel"/>
    <w:tmpl w:val="03D20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0A06D9"/>
    <w:multiLevelType w:val="hybridMultilevel"/>
    <w:tmpl w:val="535ED19A"/>
    <w:lvl w:ilvl="0" w:tplc="04090017">
      <w:start w:val="1"/>
      <w:numFmt w:val="lowerLetter"/>
      <w:lvlText w:val="%1)"/>
      <w:lvlJc w:val="left"/>
      <w:pPr>
        <w:ind w:left="708" w:hanging="360"/>
      </w:pPr>
    </w:lvl>
    <w:lvl w:ilvl="1" w:tplc="6C0A2FA8">
      <w:start w:val="1"/>
      <w:numFmt w:val="lowerLetter"/>
      <w:lvlText w:val="%2)"/>
      <w:lvlJc w:val="left"/>
      <w:pPr>
        <w:ind w:left="1428" w:hanging="360"/>
      </w:pPr>
    </w:lvl>
    <w:lvl w:ilvl="2" w:tplc="040B001B">
      <w:start w:val="1"/>
      <w:numFmt w:val="lowerRoman"/>
      <w:lvlText w:val="%3."/>
      <w:lvlJc w:val="right"/>
      <w:pPr>
        <w:ind w:left="2148" w:hanging="180"/>
      </w:pPr>
    </w:lvl>
    <w:lvl w:ilvl="3" w:tplc="040B000F">
      <w:start w:val="1"/>
      <w:numFmt w:val="decimal"/>
      <w:lvlText w:val="%4."/>
      <w:lvlJc w:val="left"/>
      <w:pPr>
        <w:ind w:left="2868" w:hanging="360"/>
      </w:pPr>
    </w:lvl>
    <w:lvl w:ilvl="4" w:tplc="040B0019">
      <w:start w:val="1"/>
      <w:numFmt w:val="lowerLetter"/>
      <w:lvlText w:val="%5."/>
      <w:lvlJc w:val="left"/>
      <w:pPr>
        <w:ind w:left="3588" w:hanging="360"/>
      </w:pPr>
    </w:lvl>
    <w:lvl w:ilvl="5" w:tplc="040B001B">
      <w:start w:val="1"/>
      <w:numFmt w:val="lowerRoman"/>
      <w:lvlText w:val="%6."/>
      <w:lvlJc w:val="right"/>
      <w:pPr>
        <w:ind w:left="4308" w:hanging="180"/>
      </w:pPr>
    </w:lvl>
    <w:lvl w:ilvl="6" w:tplc="040B000F">
      <w:start w:val="1"/>
      <w:numFmt w:val="decimal"/>
      <w:lvlText w:val="%7."/>
      <w:lvlJc w:val="left"/>
      <w:pPr>
        <w:ind w:left="5028" w:hanging="360"/>
      </w:pPr>
    </w:lvl>
    <w:lvl w:ilvl="7" w:tplc="040B0019">
      <w:start w:val="1"/>
      <w:numFmt w:val="lowerLetter"/>
      <w:lvlText w:val="%8."/>
      <w:lvlJc w:val="left"/>
      <w:pPr>
        <w:ind w:left="5748" w:hanging="360"/>
      </w:pPr>
    </w:lvl>
    <w:lvl w:ilvl="8" w:tplc="040B001B">
      <w:start w:val="1"/>
      <w:numFmt w:val="lowerRoman"/>
      <w:lvlText w:val="%9."/>
      <w:lvlJc w:val="right"/>
      <w:pPr>
        <w:ind w:left="6468" w:hanging="180"/>
      </w:pPr>
    </w:lvl>
  </w:abstractNum>
  <w:abstractNum w:abstractNumId="23" w15:restartNumberingAfterBreak="0">
    <w:nsid w:val="434B4DEC"/>
    <w:multiLevelType w:val="hybridMultilevel"/>
    <w:tmpl w:val="CDCA5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E212D3"/>
    <w:multiLevelType w:val="hybridMultilevel"/>
    <w:tmpl w:val="F4D070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8A1E59"/>
    <w:multiLevelType w:val="hybridMultilevel"/>
    <w:tmpl w:val="15A6F1A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D5C78EE"/>
    <w:multiLevelType w:val="multilevel"/>
    <w:tmpl w:val="3A94A444"/>
    <w:styleLink w:val="XXXNummerierung"/>
    <w:lvl w:ilvl="0">
      <w:start w:val="1"/>
      <w:numFmt w:val="decimal"/>
      <w:pStyle w:val="textenumeration"/>
      <w:lvlText w:val="(%1)"/>
      <w:lvlJc w:val="left"/>
      <w:pPr>
        <w:ind w:left="357" w:hanging="357"/>
      </w:pPr>
      <w:rPr>
        <w:rFonts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BC28DE"/>
    <w:multiLevelType w:val="hybridMultilevel"/>
    <w:tmpl w:val="9C38B0AC"/>
    <w:lvl w:ilvl="0" w:tplc="A8C047EC">
      <w:numFmt w:val="bullet"/>
      <w:lvlText w:val="-"/>
      <w:lvlJc w:val="left"/>
      <w:pPr>
        <w:ind w:left="720" w:hanging="360"/>
      </w:pPr>
      <w:rPr>
        <w:rFonts w:ascii="Times New Roman" w:eastAsiaTheme="minorHAns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121A6"/>
    <w:multiLevelType w:val="hybridMultilevel"/>
    <w:tmpl w:val="645EDABA"/>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30" w15:restartNumberingAfterBreak="0">
    <w:nsid w:val="58D405F4"/>
    <w:multiLevelType w:val="hybridMultilevel"/>
    <w:tmpl w:val="4DE6DF3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32"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42B1B46"/>
    <w:multiLevelType w:val="hybridMultilevel"/>
    <w:tmpl w:val="E2B024A2"/>
    <w:lvl w:ilvl="0" w:tplc="04070015">
      <w:start w:val="1"/>
      <w:numFmt w:val="decimal"/>
      <w:lvlText w:val="(%1)"/>
      <w:lvlJc w:val="left"/>
      <w:pPr>
        <w:ind w:left="360" w:hanging="360"/>
      </w:pPr>
      <w:rPr>
        <w:rFonts w:hint="default"/>
      </w:rPr>
    </w:lvl>
    <w:lvl w:ilvl="1" w:tplc="FF700BB4">
      <w:start w:val="1"/>
      <w:numFmt w:val="lowerLetter"/>
      <w:lvlText w:val="(%2)"/>
      <w:lvlJc w:val="left"/>
      <w:pPr>
        <w:ind w:left="1080" w:hanging="360"/>
      </w:pPr>
      <w:rPr>
        <w:rFonts w:hint="default"/>
        <w:b w:val="0"/>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754518E"/>
    <w:multiLevelType w:val="hybridMultilevel"/>
    <w:tmpl w:val="1D0E29D0"/>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0F36178"/>
    <w:multiLevelType w:val="hybridMultilevel"/>
    <w:tmpl w:val="76786EA8"/>
    <w:lvl w:ilvl="0" w:tplc="FF700BB4">
      <w:start w:val="1"/>
      <w:numFmt w:val="lowerLetter"/>
      <w:lvlText w:val="(%1)"/>
      <w:lvlJc w:val="left"/>
      <w:pPr>
        <w:ind w:left="1068" w:hanging="360"/>
      </w:pPr>
      <w:rPr>
        <w:rFonts w:hint="default"/>
        <w:b w:val="0"/>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15:restartNumberingAfterBreak="0">
    <w:nsid w:val="73427D1E"/>
    <w:multiLevelType w:val="hybridMultilevel"/>
    <w:tmpl w:val="A3DA693C"/>
    <w:lvl w:ilvl="0" w:tplc="CB481F1E">
      <w:start w:val="1"/>
      <w:numFmt w:val="decimal"/>
      <w:lvlText w:val="(%1)"/>
      <w:lvlJc w:val="left"/>
      <w:pPr>
        <w:ind w:left="360" w:hanging="360"/>
      </w:pPr>
      <w:rPr>
        <w:rFonts w:hint="default"/>
        <w:b w:val="0"/>
      </w:rPr>
    </w:lvl>
    <w:lvl w:ilvl="1" w:tplc="FF700BB4">
      <w:start w:val="1"/>
      <w:numFmt w:val="lowerLetter"/>
      <w:lvlText w:val="(%2)"/>
      <w:lvlJc w:val="left"/>
      <w:pPr>
        <w:ind w:left="1080" w:hanging="360"/>
      </w:pPr>
      <w:rPr>
        <w:rFonts w:hint="default"/>
        <w:b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1"/>
  </w:num>
  <w:num w:numId="2">
    <w:abstractNumId w:val="32"/>
  </w:num>
  <w:num w:numId="3">
    <w:abstractNumId w:val="26"/>
  </w:num>
  <w:num w:numId="4">
    <w:abstractNumId w:val="14"/>
  </w:num>
  <w:num w:numId="5">
    <w:abstractNumId w:val="5"/>
  </w:num>
  <w:num w:numId="6">
    <w:abstractNumId w:val="8"/>
  </w:num>
  <w:num w:numId="7">
    <w:abstractNumId w:val="29"/>
  </w:num>
  <w:num w:numId="8">
    <w:abstractNumId w:val="18"/>
  </w:num>
  <w:num w:numId="9">
    <w:abstractNumId w:val="4"/>
  </w:num>
  <w:num w:numId="10">
    <w:abstractNumId w:val="16"/>
  </w:num>
  <w:num w:numId="11">
    <w:abstractNumId w:val="19"/>
  </w:num>
  <w:num w:numId="12">
    <w:abstractNumId w:val="7"/>
  </w:num>
  <w:num w:numId="13">
    <w:abstractNumId w:val="23"/>
  </w:num>
  <w:num w:numId="14">
    <w:abstractNumId w:val="33"/>
  </w:num>
  <w:num w:numId="15">
    <w:abstractNumId w:val="9"/>
  </w:num>
  <w:num w:numId="16">
    <w:abstractNumId w:val="22"/>
  </w:num>
  <w:num w:numId="17">
    <w:abstractNumId w:val="2"/>
  </w:num>
  <w:num w:numId="18">
    <w:abstractNumId w:val="25"/>
  </w:num>
  <w:num w:numId="19">
    <w:abstractNumId w:val="10"/>
  </w:num>
  <w:num w:numId="20">
    <w:abstractNumId w:val="13"/>
  </w:num>
  <w:num w:numId="21">
    <w:abstractNumId w:val="21"/>
  </w:num>
  <w:num w:numId="22">
    <w:abstractNumId w:val="24"/>
  </w:num>
  <w:num w:numId="23">
    <w:abstractNumId w:val="3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4"/>
  </w:num>
  <w:num w:numId="28">
    <w:abstractNumId w:val="17"/>
  </w:num>
  <w:num w:numId="29">
    <w:abstractNumId w:val="6"/>
  </w:num>
  <w:num w:numId="30">
    <w:abstractNumId w:val="15"/>
  </w:num>
  <w:num w:numId="31">
    <w:abstractNumId w:val="11"/>
  </w:num>
  <w:num w:numId="32">
    <w:abstractNumId w:val="27"/>
  </w:num>
  <w:num w:numId="33">
    <w:abstractNumId w:val="35"/>
  </w:num>
  <w:num w:numId="34">
    <w:abstractNumId w:val="36"/>
  </w:num>
  <w:num w:numId="35">
    <w:abstractNumId w:val="3"/>
  </w:num>
  <w:num w:numId="36">
    <w:abstractNumId w:val="12"/>
  </w:num>
  <w:num w:numId="37">
    <w:abstractNumId w:val="1"/>
  </w:num>
  <w:num w:numId="38">
    <w:abstractNumId w:val="20"/>
  </w:num>
  <w:num w:numId="3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grammar="clean"/>
  <w:attachedTemplate r:id="rId1"/>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07"/>
    <w:rsid w:val="00000249"/>
    <w:rsid w:val="000005BD"/>
    <w:rsid w:val="0000065C"/>
    <w:rsid w:val="000010C2"/>
    <w:rsid w:val="000013D4"/>
    <w:rsid w:val="00005A86"/>
    <w:rsid w:val="00006873"/>
    <w:rsid w:val="00010178"/>
    <w:rsid w:val="000118B0"/>
    <w:rsid w:val="00014233"/>
    <w:rsid w:val="00015488"/>
    <w:rsid w:val="0001595A"/>
    <w:rsid w:val="00016649"/>
    <w:rsid w:val="000173D6"/>
    <w:rsid w:val="00021C7C"/>
    <w:rsid w:val="000235E9"/>
    <w:rsid w:val="00023C94"/>
    <w:rsid w:val="00025D52"/>
    <w:rsid w:val="00027B57"/>
    <w:rsid w:val="00030180"/>
    <w:rsid w:val="000313A1"/>
    <w:rsid w:val="0003392C"/>
    <w:rsid w:val="000357A0"/>
    <w:rsid w:val="00035A65"/>
    <w:rsid w:val="00035E73"/>
    <w:rsid w:val="00036F87"/>
    <w:rsid w:val="00037F66"/>
    <w:rsid w:val="00042115"/>
    <w:rsid w:val="00042D86"/>
    <w:rsid w:val="000456FB"/>
    <w:rsid w:val="00046D0D"/>
    <w:rsid w:val="00046FC1"/>
    <w:rsid w:val="000508B7"/>
    <w:rsid w:val="000509C8"/>
    <w:rsid w:val="00053F35"/>
    <w:rsid w:val="00054050"/>
    <w:rsid w:val="00054094"/>
    <w:rsid w:val="000553FF"/>
    <w:rsid w:val="00055AC2"/>
    <w:rsid w:val="00061209"/>
    <w:rsid w:val="00061E0D"/>
    <w:rsid w:val="00062169"/>
    <w:rsid w:val="000624D0"/>
    <w:rsid w:val="00062E48"/>
    <w:rsid w:val="000640E2"/>
    <w:rsid w:val="0006467A"/>
    <w:rsid w:val="000666D0"/>
    <w:rsid w:val="00071054"/>
    <w:rsid w:val="00071EB4"/>
    <w:rsid w:val="0007274E"/>
    <w:rsid w:val="000735DF"/>
    <w:rsid w:val="000763F9"/>
    <w:rsid w:val="00081BE6"/>
    <w:rsid w:val="00083F22"/>
    <w:rsid w:val="00085222"/>
    <w:rsid w:val="00087731"/>
    <w:rsid w:val="000877E3"/>
    <w:rsid w:val="00092C31"/>
    <w:rsid w:val="0009375D"/>
    <w:rsid w:val="0009502C"/>
    <w:rsid w:val="00095B96"/>
    <w:rsid w:val="000961F8"/>
    <w:rsid w:val="000A0308"/>
    <w:rsid w:val="000A11C8"/>
    <w:rsid w:val="000A1E83"/>
    <w:rsid w:val="000A31F3"/>
    <w:rsid w:val="000A3FB8"/>
    <w:rsid w:val="000A45F7"/>
    <w:rsid w:val="000A6D80"/>
    <w:rsid w:val="000A7F43"/>
    <w:rsid w:val="000B0CE4"/>
    <w:rsid w:val="000B23F1"/>
    <w:rsid w:val="000B2D2E"/>
    <w:rsid w:val="000B3FE2"/>
    <w:rsid w:val="000B5F21"/>
    <w:rsid w:val="000C007D"/>
    <w:rsid w:val="000C02AA"/>
    <w:rsid w:val="000C081E"/>
    <w:rsid w:val="000C0846"/>
    <w:rsid w:val="000C0D5E"/>
    <w:rsid w:val="000C4633"/>
    <w:rsid w:val="000C50C7"/>
    <w:rsid w:val="000C5F91"/>
    <w:rsid w:val="000C777B"/>
    <w:rsid w:val="000D1A83"/>
    <w:rsid w:val="000D2604"/>
    <w:rsid w:val="000D360E"/>
    <w:rsid w:val="000D4487"/>
    <w:rsid w:val="000D4815"/>
    <w:rsid w:val="000D4E84"/>
    <w:rsid w:val="000D6CF2"/>
    <w:rsid w:val="000D6DDD"/>
    <w:rsid w:val="000D7AA3"/>
    <w:rsid w:val="000E0873"/>
    <w:rsid w:val="000E1BB6"/>
    <w:rsid w:val="000E1F0F"/>
    <w:rsid w:val="000E268A"/>
    <w:rsid w:val="000E32FA"/>
    <w:rsid w:val="000E41B2"/>
    <w:rsid w:val="000E43C5"/>
    <w:rsid w:val="000E498C"/>
    <w:rsid w:val="000E4CD5"/>
    <w:rsid w:val="000E5E19"/>
    <w:rsid w:val="000E7214"/>
    <w:rsid w:val="000E7622"/>
    <w:rsid w:val="000E7916"/>
    <w:rsid w:val="000F0261"/>
    <w:rsid w:val="000F0523"/>
    <w:rsid w:val="000F0E82"/>
    <w:rsid w:val="000F105D"/>
    <w:rsid w:val="000F1606"/>
    <w:rsid w:val="000F1D46"/>
    <w:rsid w:val="000F1F21"/>
    <w:rsid w:val="000F2416"/>
    <w:rsid w:val="000F2805"/>
    <w:rsid w:val="000F2853"/>
    <w:rsid w:val="000F2AF4"/>
    <w:rsid w:val="000F339A"/>
    <w:rsid w:val="000F415F"/>
    <w:rsid w:val="000F45F8"/>
    <w:rsid w:val="000F51E7"/>
    <w:rsid w:val="000F5893"/>
    <w:rsid w:val="000F5F4F"/>
    <w:rsid w:val="000F693C"/>
    <w:rsid w:val="0010092F"/>
    <w:rsid w:val="0010135A"/>
    <w:rsid w:val="00101814"/>
    <w:rsid w:val="00102A02"/>
    <w:rsid w:val="00102C27"/>
    <w:rsid w:val="0010511E"/>
    <w:rsid w:val="00107537"/>
    <w:rsid w:val="00107A15"/>
    <w:rsid w:val="001116B4"/>
    <w:rsid w:val="00112014"/>
    <w:rsid w:val="00112580"/>
    <w:rsid w:val="00113784"/>
    <w:rsid w:val="0011480C"/>
    <w:rsid w:val="0011639F"/>
    <w:rsid w:val="001170AF"/>
    <w:rsid w:val="001203A5"/>
    <w:rsid w:val="00120464"/>
    <w:rsid w:val="00121263"/>
    <w:rsid w:val="001220EC"/>
    <w:rsid w:val="00122289"/>
    <w:rsid w:val="00122521"/>
    <w:rsid w:val="00122A27"/>
    <w:rsid w:val="00122F33"/>
    <w:rsid w:val="001237F7"/>
    <w:rsid w:val="001246DB"/>
    <w:rsid w:val="00125519"/>
    <w:rsid w:val="00126B8B"/>
    <w:rsid w:val="001307C3"/>
    <w:rsid w:val="001326C1"/>
    <w:rsid w:val="00135071"/>
    <w:rsid w:val="00137D58"/>
    <w:rsid w:val="00140D86"/>
    <w:rsid w:val="00140FA8"/>
    <w:rsid w:val="00146231"/>
    <w:rsid w:val="00150858"/>
    <w:rsid w:val="00151B4A"/>
    <w:rsid w:val="00151D7B"/>
    <w:rsid w:val="00152CAE"/>
    <w:rsid w:val="00153331"/>
    <w:rsid w:val="0015374A"/>
    <w:rsid w:val="001540CD"/>
    <w:rsid w:val="001603FA"/>
    <w:rsid w:val="001608DF"/>
    <w:rsid w:val="00161CD5"/>
    <w:rsid w:val="001620CE"/>
    <w:rsid w:val="00162B68"/>
    <w:rsid w:val="001636B3"/>
    <w:rsid w:val="00165FDE"/>
    <w:rsid w:val="001675C6"/>
    <w:rsid w:val="00170027"/>
    <w:rsid w:val="0017012E"/>
    <w:rsid w:val="00170530"/>
    <w:rsid w:val="00170F1D"/>
    <w:rsid w:val="00175575"/>
    <w:rsid w:val="001779B1"/>
    <w:rsid w:val="001827D8"/>
    <w:rsid w:val="00182A4D"/>
    <w:rsid w:val="0018322B"/>
    <w:rsid w:val="00184DC3"/>
    <w:rsid w:val="001853A1"/>
    <w:rsid w:val="0018540A"/>
    <w:rsid w:val="00185446"/>
    <w:rsid w:val="00186689"/>
    <w:rsid w:val="00186BD1"/>
    <w:rsid w:val="00186C7D"/>
    <w:rsid w:val="0018757E"/>
    <w:rsid w:val="001876A6"/>
    <w:rsid w:val="00187BB9"/>
    <w:rsid w:val="0019031B"/>
    <w:rsid w:val="0019148C"/>
    <w:rsid w:val="001915B1"/>
    <w:rsid w:val="00191E59"/>
    <w:rsid w:val="00191EF2"/>
    <w:rsid w:val="0019364C"/>
    <w:rsid w:val="00194D05"/>
    <w:rsid w:val="001954A8"/>
    <w:rsid w:val="00196528"/>
    <w:rsid w:val="00197F68"/>
    <w:rsid w:val="001A01F7"/>
    <w:rsid w:val="001A1787"/>
    <w:rsid w:val="001A1BB5"/>
    <w:rsid w:val="001A22D7"/>
    <w:rsid w:val="001A2A2A"/>
    <w:rsid w:val="001A31E0"/>
    <w:rsid w:val="001A45BB"/>
    <w:rsid w:val="001A51C2"/>
    <w:rsid w:val="001A55A2"/>
    <w:rsid w:val="001A6733"/>
    <w:rsid w:val="001A7043"/>
    <w:rsid w:val="001B1D50"/>
    <w:rsid w:val="001B2EB0"/>
    <w:rsid w:val="001B35ED"/>
    <w:rsid w:val="001B3A9B"/>
    <w:rsid w:val="001B4C4A"/>
    <w:rsid w:val="001B57E7"/>
    <w:rsid w:val="001B5E44"/>
    <w:rsid w:val="001B68DB"/>
    <w:rsid w:val="001B79E6"/>
    <w:rsid w:val="001B7C05"/>
    <w:rsid w:val="001C02BD"/>
    <w:rsid w:val="001C064F"/>
    <w:rsid w:val="001C238F"/>
    <w:rsid w:val="001C268D"/>
    <w:rsid w:val="001C2ED2"/>
    <w:rsid w:val="001C72A5"/>
    <w:rsid w:val="001D03F1"/>
    <w:rsid w:val="001D0606"/>
    <w:rsid w:val="001D0AAC"/>
    <w:rsid w:val="001D178A"/>
    <w:rsid w:val="001D2183"/>
    <w:rsid w:val="001D42AD"/>
    <w:rsid w:val="001D46C2"/>
    <w:rsid w:val="001D56D4"/>
    <w:rsid w:val="001D61D3"/>
    <w:rsid w:val="001D713B"/>
    <w:rsid w:val="001D79F4"/>
    <w:rsid w:val="001E07F1"/>
    <w:rsid w:val="001E0D37"/>
    <w:rsid w:val="001E2BE0"/>
    <w:rsid w:val="001E4522"/>
    <w:rsid w:val="001E55C0"/>
    <w:rsid w:val="001E5F7C"/>
    <w:rsid w:val="001E6652"/>
    <w:rsid w:val="001E6868"/>
    <w:rsid w:val="001F098D"/>
    <w:rsid w:val="001F09FA"/>
    <w:rsid w:val="001F0B1A"/>
    <w:rsid w:val="001F0B88"/>
    <w:rsid w:val="001F15BE"/>
    <w:rsid w:val="001F28B9"/>
    <w:rsid w:val="001F5DBD"/>
    <w:rsid w:val="001F6D8C"/>
    <w:rsid w:val="001F79E4"/>
    <w:rsid w:val="002002F8"/>
    <w:rsid w:val="002006EC"/>
    <w:rsid w:val="00200CE7"/>
    <w:rsid w:val="002020A4"/>
    <w:rsid w:val="002021B1"/>
    <w:rsid w:val="00211914"/>
    <w:rsid w:val="00211F92"/>
    <w:rsid w:val="002140A5"/>
    <w:rsid w:val="00214558"/>
    <w:rsid w:val="002157B5"/>
    <w:rsid w:val="00216130"/>
    <w:rsid w:val="00216EE9"/>
    <w:rsid w:val="00220937"/>
    <w:rsid w:val="00220B96"/>
    <w:rsid w:val="002215F2"/>
    <w:rsid w:val="00221FC8"/>
    <w:rsid w:val="00222201"/>
    <w:rsid w:val="00222569"/>
    <w:rsid w:val="00223F13"/>
    <w:rsid w:val="00226F12"/>
    <w:rsid w:val="002275CF"/>
    <w:rsid w:val="00227FAA"/>
    <w:rsid w:val="00231F6C"/>
    <w:rsid w:val="002332FB"/>
    <w:rsid w:val="00237F76"/>
    <w:rsid w:val="0024169C"/>
    <w:rsid w:val="002436FB"/>
    <w:rsid w:val="00244559"/>
    <w:rsid w:val="002466EF"/>
    <w:rsid w:val="00247449"/>
    <w:rsid w:val="00250379"/>
    <w:rsid w:val="00250F76"/>
    <w:rsid w:val="00251EBB"/>
    <w:rsid w:val="002522CF"/>
    <w:rsid w:val="00252CF4"/>
    <w:rsid w:val="00255697"/>
    <w:rsid w:val="002561C9"/>
    <w:rsid w:val="00256BAE"/>
    <w:rsid w:val="002574D8"/>
    <w:rsid w:val="002613A3"/>
    <w:rsid w:val="002624B9"/>
    <w:rsid w:val="002628DE"/>
    <w:rsid w:val="00265542"/>
    <w:rsid w:val="00266360"/>
    <w:rsid w:val="00267EAD"/>
    <w:rsid w:val="00267FB2"/>
    <w:rsid w:val="002704D4"/>
    <w:rsid w:val="0027088B"/>
    <w:rsid w:val="00272010"/>
    <w:rsid w:val="0027466F"/>
    <w:rsid w:val="002748F5"/>
    <w:rsid w:val="0027521B"/>
    <w:rsid w:val="002752A9"/>
    <w:rsid w:val="002766B2"/>
    <w:rsid w:val="00277F1E"/>
    <w:rsid w:val="00280367"/>
    <w:rsid w:val="002811AE"/>
    <w:rsid w:val="00284397"/>
    <w:rsid w:val="00284AB5"/>
    <w:rsid w:val="00284FF8"/>
    <w:rsid w:val="00285B00"/>
    <w:rsid w:val="00286BE7"/>
    <w:rsid w:val="00290620"/>
    <w:rsid w:val="002934D5"/>
    <w:rsid w:val="00294F1F"/>
    <w:rsid w:val="00295AA0"/>
    <w:rsid w:val="002964F8"/>
    <w:rsid w:val="00296D01"/>
    <w:rsid w:val="002A030C"/>
    <w:rsid w:val="002A182B"/>
    <w:rsid w:val="002A28E6"/>
    <w:rsid w:val="002A3E99"/>
    <w:rsid w:val="002A4598"/>
    <w:rsid w:val="002A4862"/>
    <w:rsid w:val="002A50A8"/>
    <w:rsid w:val="002A533C"/>
    <w:rsid w:val="002A5603"/>
    <w:rsid w:val="002A6DA2"/>
    <w:rsid w:val="002A7432"/>
    <w:rsid w:val="002A7EA8"/>
    <w:rsid w:val="002B14B8"/>
    <w:rsid w:val="002B2A81"/>
    <w:rsid w:val="002B4BF6"/>
    <w:rsid w:val="002B5BFD"/>
    <w:rsid w:val="002C00E4"/>
    <w:rsid w:val="002C01CE"/>
    <w:rsid w:val="002C07E3"/>
    <w:rsid w:val="002C4DC9"/>
    <w:rsid w:val="002C54AF"/>
    <w:rsid w:val="002C58A2"/>
    <w:rsid w:val="002C5F0B"/>
    <w:rsid w:val="002C64DA"/>
    <w:rsid w:val="002C7808"/>
    <w:rsid w:val="002D0372"/>
    <w:rsid w:val="002D25C6"/>
    <w:rsid w:val="002D2A1B"/>
    <w:rsid w:val="002D322B"/>
    <w:rsid w:val="002D47C5"/>
    <w:rsid w:val="002D6AE2"/>
    <w:rsid w:val="002D7546"/>
    <w:rsid w:val="002E0AC0"/>
    <w:rsid w:val="002E1684"/>
    <w:rsid w:val="002E189E"/>
    <w:rsid w:val="002E2B7A"/>
    <w:rsid w:val="002E470A"/>
    <w:rsid w:val="002E4F8E"/>
    <w:rsid w:val="002E537D"/>
    <w:rsid w:val="002E5CE0"/>
    <w:rsid w:val="002E6029"/>
    <w:rsid w:val="002F0C92"/>
    <w:rsid w:val="002F1180"/>
    <w:rsid w:val="002F3569"/>
    <w:rsid w:val="002F3CEC"/>
    <w:rsid w:val="002F5EFD"/>
    <w:rsid w:val="002F5F3A"/>
    <w:rsid w:val="002F5F91"/>
    <w:rsid w:val="002F664C"/>
    <w:rsid w:val="002F6B92"/>
    <w:rsid w:val="002F6F02"/>
    <w:rsid w:val="002F7CD8"/>
    <w:rsid w:val="003000B2"/>
    <w:rsid w:val="00301D2D"/>
    <w:rsid w:val="0030366B"/>
    <w:rsid w:val="003037F3"/>
    <w:rsid w:val="003046BE"/>
    <w:rsid w:val="00306BB5"/>
    <w:rsid w:val="00312018"/>
    <w:rsid w:val="003128FE"/>
    <w:rsid w:val="00312961"/>
    <w:rsid w:val="00312ABB"/>
    <w:rsid w:val="003130C8"/>
    <w:rsid w:val="003164E8"/>
    <w:rsid w:val="0031773D"/>
    <w:rsid w:val="00320CE0"/>
    <w:rsid w:val="00320E70"/>
    <w:rsid w:val="0032132C"/>
    <w:rsid w:val="00321683"/>
    <w:rsid w:val="0032180B"/>
    <w:rsid w:val="00323886"/>
    <w:rsid w:val="00323DF2"/>
    <w:rsid w:val="00325452"/>
    <w:rsid w:val="0032618D"/>
    <w:rsid w:val="003264E2"/>
    <w:rsid w:val="0032652F"/>
    <w:rsid w:val="003274A2"/>
    <w:rsid w:val="00330B78"/>
    <w:rsid w:val="00331190"/>
    <w:rsid w:val="003314D0"/>
    <w:rsid w:val="0033393B"/>
    <w:rsid w:val="00335667"/>
    <w:rsid w:val="00337FDE"/>
    <w:rsid w:val="003417AB"/>
    <w:rsid w:val="00343087"/>
    <w:rsid w:val="00344367"/>
    <w:rsid w:val="00344AD2"/>
    <w:rsid w:val="00345F7E"/>
    <w:rsid w:val="00350B1B"/>
    <w:rsid w:val="00350D4B"/>
    <w:rsid w:val="00350EBE"/>
    <w:rsid w:val="0035116A"/>
    <w:rsid w:val="0035489F"/>
    <w:rsid w:val="003552E1"/>
    <w:rsid w:val="003555E4"/>
    <w:rsid w:val="0035703A"/>
    <w:rsid w:val="0035776D"/>
    <w:rsid w:val="0036207A"/>
    <w:rsid w:val="003633CF"/>
    <w:rsid w:val="003636D0"/>
    <w:rsid w:val="00365C79"/>
    <w:rsid w:val="003662AB"/>
    <w:rsid w:val="00366384"/>
    <w:rsid w:val="00367938"/>
    <w:rsid w:val="00367A41"/>
    <w:rsid w:val="0037079F"/>
    <w:rsid w:val="0037308F"/>
    <w:rsid w:val="00374B05"/>
    <w:rsid w:val="00375FEC"/>
    <w:rsid w:val="003765C1"/>
    <w:rsid w:val="0037679A"/>
    <w:rsid w:val="00380111"/>
    <w:rsid w:val="00382253"/>
    <w:rsid w:val="00383F69"/>
    <w:rsid w:val="0038669D"/>
    <w:rsid w:val="00387E37"/>
    <w:rsid w:val="003907F5"/>
    <w:rsid w:val="003907F7"/>
    <w:rsid w:val="00390DE4"/>
    <w:rsid w:val="003911EE"/>
    <w:rsid w:val="00392E34"/>
    <w:rsid w:val="00394192"/>
    <w:rsid w:val="0039487A"/>
    <w:rsid w:val="00397A94"/>
    <w:rsid w:val="003A239B"/>
    <w:rsid w:val="003A260E"/>
    <w:rsid w:val="003A50DB"/>
    <w:rsid w:val="003B00DB"/>
    <w:rsid w:val="003B012B"/>
    <w:rsid w:val="003B18D1"/>
    <w:rsid w:val="003B3054"/>
    <w:rsid w:val="003B495F"/>
    <w:rsid w:val="003B529E"/>
    <w:rsid w:val="003C0C0A"/>
    <w:rsid w:val="003C245E"/>
    <w:rsid w:val="003C62F9"/>
    <w:rsid w:val="003C66B3"/>
    <w:rsid w:val="003C6E2F"/>
    <w:rsid w:val="003C712A"/>
    <w:rsid w:val="003D01DA"/>
    <w:rsid w:val="003D0366"/>
    <w:rsid w:val="003D0965"/>
    <w:rsid w:val="003D0B4D"/>
    <w:rsid w:val="003D0E89"/>
    <w:rsid w:val="003D10E1"/>
    <w:rsid w:val="003D16BD"/>
    <w:rsid w:val="003D172F"/>
    <w:rsid w:val="003D3585"/>
    <w:rsid w:val="003D4C4F"/>
    <w:rsid w:val="003D5000"/>
    <w:rsid w:val="003D74BA"/>
    <w:rsid w:val="003D7C54"/>
    <w:rsid w:val="003E01C0"/>
    <w:rsid w:val="003E0258"/>
    <w:rsid w:val="003E170C"/>
    <w:rsid w:val="003E4407"/>
    <w:rsid w:val="003E58CE"/>
    <w:rsid w:val="003E6C33"/>
    <w:rsid w:val="003E72D6"/>
    <w:rsid w:val="003E7350"/>
    <w:rsid w:val="003F1C9E"/>
    <w:rsid w:val="003F4045"/>
    <w:rsid w:val="003F55AB"/>
    <w:rsid w:val="003F7AC2"/>
    <w:rsid w:val="003F7B78"/>
    <w:rsid w:val="004038AE"/>
    <w:rsid w:val="00404F22"/>
    <w:rsid w:val="00406E7E"/>
    <w:rsid w:val="00407B9E"/>
    <w:rsid w:val="004104D9"/>
    <w:rsid w:val="00410A3C"/>
    <w:rsid w:val="00412B54"/>
    <w:rsid w:val="00415136"/>
    <w:rsid w:val="004153EC"/>
    <w:rsid w:val="00415A76"/>
    <w:rsid w:val="00415FFF"/>
    <w:rsid w:val="00416242"/>
    <w:rsid w:val="00420078"/>
    <w:rsid w:val="00423C51"/>
    <w:rsid w:val="004250D3"/>
    <w:rsid w:val="00426632"/>
    <w:rsid w:val="00426FF1"/>
    <w:rsid w:val="00427331"/>
    <w:rsid w:val="00430C89"/>
    <w:rsid w:val="00431562"/>
    <w:rsid w:val="00432721"/>
    <w:rsid w:val="004347A1"/>
    <w:rsid w:val="0043549B"/>
    <w:rsid w:val="00436525"/>
    <w:rsid w:val="00436631"/>
    <w:rsid w:val="00436908"/>
    <w:rsid w:val="00440730"/>
    <w:rsid w:val="00440FF6"/>
    <w:rsid w:val="00441080"/>
    <w:rsid w:val="00441E84"/>
    <w:rsid w:val="004420B7"/>
    <w:rsid w:val="00442967"/>
    <w:rsid w:val="00442D45"/>
    <w:rsid w:val="004456AC"/>
    <w:rsid w:val="00445F6A"/>
    <w:rsid w:val="00447ED3"/>
    <w:rsid w:val="004517B1"/>
    <w:rsid w:val="00451A37"/>
    <w:rsid w:val="0045209B"/>
    <w:rsid w:val="0045243C"/>
    <w:rsid w:val="00454186"/>
    <w:rsid w:val="004542C5"/>
    <w:rsid w:val="0045480A"/>
    <w:rsid w:val="00455182"/>
    <w:rsid w:val="00455A91"/>
    <w:rsid w:val="00456041"/>
    <w:rsid w:val="00457B90"/>
    <w:rsid w:val="00460784"/>
    <w:rsid w:val="0046340C"/>
    <w:rsid w:val="004635E3"/>
    <w:rsid w:val="00463D90"/>
    <w:rsid w:val="00465953"/>
    <w:rsid w:val="00467585"/>
    <w:rsid w:val="0047343B"/>
    <w:rsid w:val="00473949"/>
    <w:rsid w:val="00474E1F"/>
    <w:rsid w:val="00475A98"/>
    <w:rsid w:val="00476125"/>
    <w:rsid w:val="004772E9"/>
    <w:rsid w:val="00477CB8"/>
    <w:rsid w:val="00481ADA"/>
    <w:rsid w:val="00481F16"/>
    <w:rsid w:val="004836D0"/>
    <w:rsid w:val="0048389E"/>
    <w:rsid w:val="004857D1"/>
    <w:rsid w:val="004865DC"/>
    <w:rsid w:val="00490D92"/>
    <w:rsid w:val="00492089"/>
    <w:rsid w:val="00492466"/>
    <w:rsid w:val="004930A2"/>
    <w:rsid w:val="00494030"/>
    <w:rsid w:val="00496106"/>
    <w:rsid w:val="004964D3"/>
    <w:rsid w:val="0049784F"/>
    <w:rsid w:val="00497A89"/>
    <w:rsid w:val="004A095A"/>
    <w:rsid w:val="004A39B6"/>
    <w:rsid w:val="004A675F"/>
    <w:rsid w:val="004B26FE"/>
    <w:rsid w:val="004B42F2"/>
    <w:rsid w:val="004B4A32"/>
    <w:rsid w:val="004B66D1"/>
    <w:rsid w:val="004B6993"/>
    <w:rsid w:val="004B7B56"/>
    <w:rsid w:val="004C2BA4"/>
    <w:rsid w:val="004C378A"/>
    <w:rsid w:val="004C3B9C"/>
    <w:rsid w:val="004C471E"/>
    <w:rsid w:val="004C57FB"/>
    <w:rsid w:val="004D201F"/>
    <w:rsid w:val="004D22E4"/>
    <w:rsid w:val="004D38BE"/>
    <w:rsid w:val="004D3B71"/>
    <w:rsid w:val="004D4FCB"/>
    <w:rsid w:val="004D50A7"/>
    <w:rsid w:val="004D6603"/>
    <w:rsid w:val="004D6996"/>
    <w:rsid w:val="004D787A"/>
    <w:rsid w:val="004E11FA"/>
    <w:rsid w:val="004E310A"/>
    <w:rsid w:val="004E5498"/>
    <w:rsid w:val="004E7FAE"/>
    <w:rsid w:val="004F0DBB"/>
    <w:rsid w:val="004F1D1D"/>
    <w:rsid w:val="004F1D23"/>
    <w:rsid w:val="004F2818"/>
    <w:rsid w:val="004F2CE6"/>
    <w:rsid w:val="004F3AAA"/>
    <w:rsid w:val="004F3E60"/>
    <w:rsid w:val="004F3F6B"/>
    <w:rsid w:val="004F490B"/>
    <w:rsid w:val="004F4991"/>
    <w:rsid w:val="004F5A1B"/>
    <w:rsid w:val="00500215"/>
    <w:rsid w:val="00502668"/>
    <w:rsid w:val="00503180"/>
    <w:rsid w:val="005031F5"/>
    <w:rsid w:val="005043E5"/>
    <w:rsid w:val="00504A30"/>
    <w:rsid w:val="00505AA3"/>
    <w:rsid w:val="00507160"/>
    <w:rsid w:val="00510F1E"/>
    <w:rsid w:val="00511D76"/>
    <w:rsid w:val="00512C27"/>
    <w:rsid w:val="00512EAD"/>
    <w:rsid w:val="005134CA"/>
    <w:rsid w:val="00513B6C"/>
    <w:rsid w:val="00514820"/>
    <w:rsid w:val="00514C5F"/>
    <w:rsid w:val="00517632"/>
    <w:rsid w:val="005234C9"/>
    <w:rsid w:val="0052357A"/>
    <w:rsid w:val="00523A83"/>
    <w:rsid w:val="005256C4"/>
    <w:rsid w:val="00526C4A"/>
    <w:rsid w:val="0053102F"/>
    <w:rsid w:val="0053167F"/>
    <w:rsid w:val="00532172"/>
    <w:rsid w:val="0053286E"/>
    <w:rsid w:val="00533A9D"/>
    <w:rsid w:val="00534D81"/>
    <w:rsid w:val="00536822"/>
    <w:rsid w:val="005379A4"/>
    <w:rsid w:val="00540221"/>
    <w:rsid w:val="005407D8"/>
    <w:rsid w:val="00540C35"/>
    <w:rsid w:val="005419C6"/>
    <w:rsid w:val="00542A73"/>
    <w:rsid w:val="00544F07"/>
    <w:rsid w:val="00545EFF"/>
    <w:rsid w:val="00546950"/>
    <w:rsid w:val="00547043"/>
    <w:rsid w:val="005473E2"/>
    <w:rsid w:val="0054787D"/>
    <w:rsid w:val="00550DB0"/>
    <w:rsid w:val="00552C72"/>
    <w:rsid w:val="00552FD2"/>
    <w:rsid w:val="00553000"/>
    <w:rsid w:val="00553BF1"/>
    <w:rsid w:val="00553FC0"/>
    <w:rsid w:val="00554D8B"/>
    <w:rsid w:val="00556EF6"/>
    <w:rsid w:val="005578B4"/>
    <w:rsid w:val="00557D8E"/>
    <w:rsid w:val="00557FBF"/>
    <w:rsid w:val="005608D4"/>
    <w:rsid w:val="0056102D"/>
    <w:rsid w:val="0056114B"/>
    <w:rsid w:val="00562A4D"/>
    <w:rsid w:val="005634C2"/>
    <w:rsid w:val="0056461A"/>
    <w:rsid w:val="00565CF3"/>
    <w:rsid w:val="00570B83"/>
    <w:rsid w:val="00572069"/>
    <w:rsid w:val="005742E2"/>
    <w:rsid w:val="0057459E"/>
    <w:rsid w:val="00575101"/>
    <w:rsid w:val="00575177"/>
    <w:rsid w:val="00576E3D"/>
    <w:rsid w:val="005770F9"/>
    <w:rsid w:val="005803AB"/>
    <w:rsid w:val="005814F6"/>
    <w:rsid w:val="005815EC"/>
    <w:rsid w:val="00581D8A"/>
    <w:rsid w:val="005840A1"/>
    <w:rsid w:val="00585336"/>
    <w:rsid w:val="005860DD"/>
    <w:rsid w:val="00586628"/>
    <w:rsid w:val="0058674F"/>
    <w:rsid w:val="00586FE9"/>
    <w:rsid w:val="00587B9D"/>
    <w:rsid w:val="00590A19"/>
    <w:rsid w:val="00592DC2"/>
    <w:rsid w:val="00593607"/>
    <w:rsid w:val="005946C0"/>
    <w:rsid w:val="00594DD6"/>
    <w:rsid w:val="00595095"/>
    <w:rsid w:val="005974D7"/>
    <w:rsid w:val="005A0754"/>
    <w:rsid w:val="005A1709"/>
    <w:rsid w:val="005A1DE2"/>
    <w:rsid w:val="005A21DA"/>
    <w:rsid w:val="005A2795"/>
    <w:rsid w:val="005A2DDF"/>
    <w:rsid w:val="005A2E86"/>
    <w:rsid w:val="005A3188"/>
    <w:rsid w:val="005A3DB4"/>
    <w:rsid w:val="005A4AE9"/>
    <w:rsid w:val="005A5DC8"/>
    <w:rsid w:val="005A73D4"/>
    <w:rsid w:val="005A73F8"/>
    <w:rsid w:val="005B18D0"/>
    <w:rsid w:val="005B1A9C"/>
    <w:rsid w:val="005B33FC"/>
    <w:rsid w:val="005B37E0"/>
    <w:rsid w:val="005B4A48"/>
    <w:rsid w:val="005B4D99"/>
    <w:rsid w:val="005B6697"/>
    <w:rsid w:val="005B6D74"/>
    <w:rsid w:val="005B783F"/>
    <w:rsid w:val="005C0746"/>
    <w:rsid w:val="005C160B"/>
    <w:rsid w:val="005C2A9B"/>
    <w:rsid w:val="005C3A79"/>
    <w:rsid w:val="005C498A"/>
    <w:rsid w:val="005C4DF1"/>
    <w:rsid w:val="005C524B"/>
    <w:rsid w:val="005C5312"/>
    <w:rsid w:val="005C5C9E"/>
    <w:rsid w:val="005C5FB8"/>
    <w:rsid w:val="005C610E"/>
    <w:rsid w:val="005C6CD7"/>
    <w:rsid w:val="005D1200"/>
    <w:rsid w:val="005D1CEE"/>
    <w:rsid w:val="005D1ED1"/>
    <w:rsid w:val="005D2839"/>
    <w:rsid w:val="005D5061"/>
    <w:rsid w:val="005D64EC"/>
    <w:rsid w:val="005D6D0D"/>
    <w:rsid w:val="005D7D74"/>
    <w:rsid w:val="005E11E8"/>
    <w:rsid w:val="005E1BC2"/>
    <w:rsid w:val="005E3B53"/>
    <w:rsid w:val="005E4A18"/>
    <w:rsid w:val="005E4C6F"/>
    <w:rsid w:val="005E51A3"/>
    <w:rsid w:val="005E6847"/>
    <w:rsid w:val="005E75C0"/>
    <w:rsid w:val="005E7946"/>
    <w:rsid w:val="005E7D4B"/>
    <w:rsid w:val="005E7D70"/>
    <w:rsid w:val="005F117E"/>
    <w:rsid w:val="005F1317"/>
    <w:rsid w:val="005F3725"/>
    <w:rsid w:val="005F40DA"/>
    <w:rsid w:val="005F435C"/>
    <w:rsid w:val="005F5BC0"/>
    <w:rsid w:val="005F61B2"/>
    <w:rsid w:val="005F6A13"/>
    <w:rsid w:val="005F6D7D"/>
    <w:rsid w:val="00600DDF"/>
    <w:rsid w:val="00600E54"/>
    <w:rsid w:val="00602DB1"/>
    <w:rsid w:val="006045A5"/>
    <w:rsid w:val="00604BB9"/>
    <w:rsid w:val="00604D46"/>
    <w:rsid w:val="00604E0B"/>
    <w:rsid w:val="006056E3"/>
    <w:rsid w:val="00606038"/>
    <w:rsid w:val="00606345"/>
    <w:rsid w:val="006066DE"/>
    <w:rsid w:val="0060678E"/>
    <w:rsid w:val="00612090"/>
    <w:rsid w:val="006134BE"/>
    <w:rsid w:val="00613D66"/>
    <w:rsid w:val="006143D9"/>
    <w:rsid w:val="006157B9"/>
    <w:rsid w:val="00615D8C"/>
    <w:rsid w:val="00616D4E"/>
    <w:rsid w:val="00617395"/>
    <w:rsid w:val="006204E1"/>
    <w:rsid w:val="00620CAF"/>
    <w:rsid w:val="0062178A"/>
    <w:rsid w:val="006218DB"/>
    <w:rsid w:val="00621B34"/>
    <w:rsid w:val="006229D2"/>
    <w:rsid w:val="00623C5E"/>
    <w:rsid w:val="00624F73"/>
    <w:rsid w:val="0062631E"/>
    <w:rsid w:val="00626C0F"/>
    <w:rsid w:val="006279DB"/>
    <w:rsid w:val="00627B50"/>
    <w:rsid w:val="00627B9D"/>
    <w:rsid w:val="0063067E"/>
    <w:rsid w:val="0063152E"/>
    <w:rsid w:val="00631C1E"/>
    <w:rsid w:val="00632C8A"/>
    <w:rsid w:val="00635566"/>
    <w:rsid w:val="006357A2"/>
    <w:rsid w:val="006364C9"/>
    <w:rsid w:val="006371F6"/>
    <w:rsid w:val="00640DC1"/>
    <w:rsid w:val="00641280"/>
    <w:rsid w:val="006418DC"/>
    <w:rsid w:val="00644562"/>
    <w:rsid w:val="00646274"/>
    <w:rsid w:val="006472A5"/>
    <w:rsid w:val="00647373"/>
    <w:rsid w:val="00650608"/>
    <w:rsid w:val="00653B83"/>
    <w:rsid w:val="006547FC"/>
    <w:rsid w:val="00655BDD"/>
    <w:rsid w:val="00655E12"/>
    <w:rsid w:val="00657076"/>
    <w:rsid w:val="00663793"/>
    <w:rsid w:val="00663E54"/>
    <w:rsid w:val="00664314"/>
    <w:rsid w:val="00664445"/>
    <w:rsid w:val="00664787"/>
    <w:rsid w:val="0066523F"/>
    <w:rsid w:val="0066599F"/>
    <w:rsid w:val="00665CBD"/>
    <w:rsid w:val="00670ED8"/>
    <w:rsid w:val="00671D14"/>
    <w:rsid w:val="00671E47"/>
    <w:rsid w:val="006730B6"/>
    <w:rsid w:val="00673520"/>
    <w:rsid w:val="00674492"/>
    <w:rsid w:val="00675850"/>
    <w:rsid w:val="00676432"/>
    <w:rsid w:val="00677113"/>
    <w:rsid w:val="00680C4B"/>
    <w:rsid w:val="00682DE2"/>
    <w:rsid w:val="00682EF8"/>
    <w:rsid w:val="0068358D"/>
    <w:rsid w:val="0068447A"/>
    <w:rsid w:val="00687835"/>
    <w:rsid w:val="0069027A"/>
    <w:rsid w:val="006910BF"/>
    <w:rsid w:val="00692F6A"/>
    <w:rsid w:val="00694D50"/>
    <w:rsid w:val="00696EBB"/>
    <w:rsid w:val="00697488"/>
    <w:rsid w:val="00697820"/>
    <w:rsid w:val="006A1709"/>
    <w:rsid w:val="006A1C42"/>
    <w:rsid w:val="006A3AA6"/>
    <w:rsid w:val="006A40A3"/>
    <w:rsid w:val="006A52C3"/>
    <w:rsid w:val="006A609B"/>
    <w:rsid w:val="006A737C"/>
    <w:rsid w:val="006A77C4"/>
    <w:rsid w:val="006B1DC9"/>
    <w:rsid w:val="006B24C4"/>
    <w:rsid w:val="006B280B"/>
    <w:rsid w:val="006B3C8D"/>
    <w:rsid w:val="006B4668"/>
    <w:rsid w:val="006B5E0B"/>
    <w:rsid w:val="006C061F"/>
    <w:rsid w:val="006C29A2"/>
    <w:rsid w:val="006C3C9F"/>
    <w:rsid w:val="006C447F"/>
    <w:rsid w:val="006C4770"/>
    <w:rsid w:val="006C5004"/>
    <w:rsid w:val="006D05A1"/>
    <w:rsid w:val="006D3393"/>
    <w:rsid w:val="006D3E0D"/>
    <w:rsid w:val="006D4AA4"/>
    <w:rsid w:val="006D604B"/>
    <w:rsid w:val="006D65D3"/>
    <w:rsid w:val="006D700F"/>
    <w:rsid w:val="006D7EC1"/>
    <w:rsid w:val="006E01DA"/>
    <w:rsid w:val="006E1F48"/>
    <w:rsid w:val="006E282A"/>
    <w:rsid w:val="006E2C9B"/>
    <w:rsid w:val="006E4FEA"/>
    <w:rsid w:val="006E5B9E"/>
    <w:rsid w:val="006E5DF6"/>
    <w:rsid w:val="006E614B"/>
    <w:rsid w:val="006E6408"/>
    <w:rsid w:val="006E6CB8"/>
    <w:rsid w:val="006E7258"/>
    <w:rsid w:val="006E7718"/>
    <w:rsid w:val="006E7EA7"/>
    <w:rsid w:val="006F06A7"/>
    <w:rsid w:val="006F2530"/>
    <w:rsid w:val="006F6192"/>
    <w:rsid w:val="006F6245"/>
    <w:rsid w:val="006F7290"/>
    <w:rsid w:val="00700104"/>
    <w:rsid w:val="007014B4"/>
    <w:rsid w:val="00704866"/>
    <w:rsid w:val="00704A8B"/>
    <w:rsid w:val="0070626B"/>
    <w:rsid w:val="00706F46"/>
    <w:rsid w:val="00707876"/>
    <w:rsid w:val="00710114"/>
    <w:rsid w:val="0071021D"/>
    <w:rsid w:val="007102D5"/>
    <w:rsid w:val="007106BE"/>
    <w:rsid w:val="00712D4E"/>
    <w:rsid w:val="00713BFA"/>
    <w:rsid w:val="007144CC"/>
    <w:rsid w:val="00715E1A"/>
    <w:rsid w:val="00720FDC"/>
    <w:rsid w:val="00722C74"/>
    <w:rsid w:val="00722D73"/>
    <w:rsid w:val="00723AE9"/>
    <w:rsid w:val="00724920"/>
    <w:rsid w:val="00730421"/>
    <w:rsid w:val="00730434"/>
    <w:rsid w:val="007304AB"/>
    <w:rsid w:val="00730A57"/>
    <w:rsid w:val="00731173"/>
    <w:rsid w:val="007339AC"/>
    <w:rsid w:val="00735014"/>
    <w:rsid w:val="00736814"/>
    <w:rsid w:val="00737B91"/>
    <w:rsid w:val="007400E0"/>
    <w:rsid w:val="0074178D"/>
    <w:rsid w:val="00741A5F"/>
    <w:rsid w:val="00741CA8"/>
    <w:rsid w:val="00742AF1"/>
    <w:rsid w:val="00742D23"/>
    <w:rsid w:val="00744178"/>
    <w:rsid w:val="007442CD"/>
    <w:rsid w:val="00745222"/>
    <w:rsid w:val="0074542B"/>
    <w:rsid w:val="00745E9F"/>
    <w:rsid w:val="00746256"/>
    <w:rsid w:val="00746AFD"/>
    <w:rsid w:val="00750962"/>
    <w:rsid w:val="00750E9E"/>
    <w:rsid w:val="00751106"/>
    <w:rsid w:val="0075126F"/>
    <w:rsid w:val="007513C6"/>
    <w:rsid w:val="0075388F"/>
    <w:rsid w:val="0075433C"/>
    <w:rsid w:val="00756FE9"/>
    <w:rsid w:val="0076124D"/>
    <w:rsid w:val="007615D4"/>
    <w:rsid w:val="00762198"/>
    <w:rsid w:val="007632AF"/>
    <w:rsid w:val="00763863"/>
    <w:rsid w:val="007650DB"/>
    <w:rsid w:val="007652E8"/>
    <w:rsid w:val="00765A00"/>
    <w:rsid w:val="00767F4D"/>
    <w:rsid w:val="00771582"/>
    <w:rsid w:val="00772A9D"/>
    <w:rsid w:val="007737CA"/>
    <w:rsid w:val="00775DC9"/>
    <w:rsid w:val="0077615C"/>
    <w:rsid w:val="007775F5"/>
    <w:rsid w:val="007824AB"/>
    <w:rsid w:val="00784369"/>
    <w:rsid w:val="00784F57"/>
    <w:rsid w:val="00786BEA"/>
    <w:rsid w:val="007910CB"/>
    <w:rsid w:val="00791F7A"/>
    <w:rsid w:val="00792AA9"/>
    <w:rsid w:val="00792C7D"/>
    <w:rsid w:val="00793ED6"/>
    <w:rsid w:val="00793F75"/>
    <w:rsid w:val="00794298"/>
    <w:rsid w:val="00794EF6"/>
    <w:rsid w:val="007A031F"/>
    <w:rsid w:val="007A2035"/>
    <w:rsid w:val="007A2736"/>
    <w:rsid w:val="007A4AAA"/>
    <w:rsid w:val="007A4E48"/>
    <w:rsid w:val="007A63A6"/>
    <w:rsid w:val="007A686E"/>
    <w:rsid w:val="007A6E8A"/>
    <w:rsid w:val="007A791F"/>
    <w:rsid w:val="007B263F"/>
    <w:rsid w:val="007B3222"/>
    <w:rsid w:val="007B3455"/>
    <w:rsid w:val="007B3B6F"/>
    <w:rsid w:val="007B3D1D"/>
    <w:rsid w:val="007B5FAE"/>
    <w:rsid w:val="007B64A4"/>
    <w:rsid w:val="007B7977"/>
    <w:rsid w:val="007B7C1D"/>
    <w:rsid w:val="007C124B"/>
    <w:rsid w:val="007C17C7"/>
    <w:rsid w:val="007C222B"/>
    <w:rsid w:val="007C240E"/>
    <w:rsid w:val="007C3F31"/>
    <w:rsid w:val="007C3F89"/>
    <w:rsid w:val="007C40F1"/>
    <w:rsid w:val="007C4456"/>
    <w:rsid w:val="007C538C"/>
    <w:rsid w:val="007C5D39"/>
    <w:rsid w:val="007C670D"/>
    <w:rsid w:val="007C6B6C"/>
    <w:rsid w:val="007D0D50"/>
    <w:rsid w:val="007D4B49"/>
    <w:rsid w:val="007D4C7B"/>
    <w:rsid w:val="007D590C"/>
    <w:rsid w:val="007D6509"/>
    <w:rsid w:val="007E0653"/>
    <w:rsid w:val="007E1C6A"/>
    <w:rsid w:val="007E38EA"/>
    <w:rsid w:val="007E6984"/>
    <w:rsid w:val="007E6BA1"/>
    <w:rsid w:val="007E7351"/>
    <w:rsid w:val="007F22FE"/>
    <w:rsid w:val="007F25D0"/>
    <w:rsid w:val="007F3F2A"/>
    <w:rsid w:val="007F46B8"/>
    <w:rsid w:val="007F48AF"/>
    <w:rsid w:val="007F4F0D"/>
    <w:rsid w:val="007F64B6"/>
    <w:rsid w:val="007F7177"/>
    <w:rsid w:val="007F7350"/>
    <w:rsid w:val="00800A15"/>
    <w:rsid w:val="008011C5"/>
    <w:rsid w:val="008013AE"/>
    <w:rsid w:val="00801E9F"/>
    <w:rsid w:val="008029A5"/>
    <w:rsid w:val="00804611"/>
    <w:rsid w:val="00805E9C"/>
    <w:rsid w:val="008067AB"/>
    <w:rsid w:val="00807256"/>
    <w:rsid w:val="008078DC"/>
    <w:rsid w:val="008105A8"/>
    <w:rsid w:val="008108D3"/>
    <w:rsid w:val="00810A0F"/>
    <w:rsid w:val="00810EAA"/>
    <w:rsid w:val="0081150F"/>
    <w:rsid w:val="00811D05"/>
    <w:rsid w:val="00812852"/>
    <w:rsid w:val="00812B6E"/>
    <w:rsid w:val="00813ADF"/>
    <w:rsid w:val="00813C12"/>
    <w:rsid w:val="00821971"/>
    <w:rsid w:val="008223C0"/>
    <w:rsid w:val="00822C59"/>
    <w:rsid w:val="00823BD7"/>
    <w:rsid w:val="00825667"/>
    <w:rsid w:val="00826819"/>
    <w:rsid w:val="00827419"/>
    <w:rsid w:val="00831260"/>
    <w:rsid w:val="00833A4C"/>
    <w:rsid w:val="00834E94"/>
    <w:rsid w:val="0083592C"/>
    <w:rsid w:val="008365E6"/>
    <w:rsid w:val="00841C97"/>
    <w:rsid w:val="00843B0B"/>
    <w:rsid w:val="00843F71"/>
    <w:rsid w:val="0084596B"/>
    <w:rsid w:val="00846170"/>
    <w:rsid w:val="00847059"/>
    <w:rsid w:val="00847645"/>
    <w:rsid w:val="00850117"/>
    <w:rsid w:val="008521DF"/>
    <w:rsid w:val="0085355F"/>
    <w:rsid w:val="0085452C"/>
    <w:rsid w:val="00855CE8"/>
    <w:rsid w:val="008564B2"/>
    <w:rsid w:val="008576C7"/>
    <w:rsid w:val="008600BB"/>
    <w:rsid w:val="008603AC"/>
    <w:rsid w:val="00864DEB"/>
    <w:rsid w:val="00864E46"/>
    <w:rsid w:val="00864FC5"/>
    <w:rsid w:val="00865568"/>
    <w:rsid w:val="008669C4"/>
    <w:rsid w:val="00867291"/>
    <w:rsid w:val="008727E0"/>
    <w:rsid w:val="008744F7"/>
    <w:rsid w:val="00876D5E"/>
    <w:rsid w:val="00877DA5"/>
    <w:rsid w:val="008804D3"/>
    <w:rsid w:val="00882206"/>
    <w:rsid w:val="008822DC"/>
    <w:rsid w:val="008827CD"/>
    <w:rsid w:val="0088446E"/>
    <w:rsid w:val="00885898"/>
    <w:rsid w:val="008921D1"/>
    <w:rsid w:val="00893726"/>
    <w:rsid w:val="008947BD"/>
    <w:rsid w:val="008A0967"/>
    <w:rsid w:val="008A19A5"/>
    <w:rsid w:val="008A19F7"/>
    <w:rsid w:val="008A35C4"/>
    <w:rsid w:val="008A398D"/>
    <w:rsid w:val="008A459E"/>
    <w:rsid w:val="008A5392"/>
    <w:rsid w:val="008A63F3"/>
    <w:rsid w:val="008A75A0"/>
    <w:rsid w:val="008A7699"/>
    <w:rsid w:val="008A7953"/>
    <w:rsid w:val="008B0933"/>
    <w:rsid w:val="008B1532"/>
    <w:rsid w:val="008B1BF2"/>
    <w:rsid w:val="008B2C61"/>
    <w:rsid w:val="008B37C5"/>
    <w:rsid w:val="008B3ACC"/>
    <w:rsid w:val="008B3B0A"/>
    <w:rsid w:val="008B4C4B"/>
    <w:rsid w:val="008B4CB0"/>
    <w:rsid w:val="008B4D69"/>
    <w:rsid w:val="008B5550"/>
    <w:rsid w:val="008B5FB5"/>
    <w:rsid w:val="008C038C"/>
    <w:rsid w:val="008C0691"/>
    <w:rsid w:val="008C2BF8"/>
    <w:rsid w:val="008C427A"/>
    <w:rsid w:val="008C5A94"/>
    <w:rsid w:val="008C6C60"/>
    <w:rsid w:val="008D1567"/>
    <w:rsid w:val="008D271C"/>
    <w:rsid w:val="008D28EE"/>
    <w:rsid w:val="008D3818"/>
    <w:rsid w:val="008D71B7"/>
    <w:rsid w:val="008E247B"/>
    <w:rsid w:val="008E314C"/>
    <w:rsid w:val="008E34EA"/>
    <w:rsid w:val="008E3CF0"/>
    <w:rsid w:val="008E7E00"/>
    <w:rsid w:val="008F2516"/>
    <w:rsid w:val="008F42BF"/>
    <w:rsid w:val="008F449D"/>
    <w:rsid w:val="008F4DE7"/>
    <w:rsid w:val="008F4E48"/>
    <w:rsid w:val="008F5023"/>
    <w:rsid w:val="008F5797"/>
    <w:rsid w:val="008F6101"/>
    <w:rsid w:val="008F6168"/>
    <w:rsid w:val="008F744F"/>
    <w:rsid w:val="00900B3B"/>
    <w:rsid w:val="00902CD9"/>
    <w:rsid w:val="00903B95"/>
    <w:rsid w:val="00906067"/>
    <w:rsid w:val="00907666"/>
    <w:rsid w:val="009076AB"/>
    <w:rsid w:val="009114D7"/>
    <w:rsid w:val="00911CA6"/>
    <w:rsid w:val="009134C5"/>
    <w:rsid w:val="0091705F"/>
    <w:rsid w:val="00917D34"/>
    <w:rsid w:val="00917EC5"/>
    <w:rsid w:val="00920370"/>
    <w:rsid w:val="009205E4"/>
    <w:rsid w:val="009206B3"/>
    <w:rsid w:val="009215C0"/>
    <w:rsid w:val="00921BB7"/>
    <w:rsid w:val="00922A3D"/>
    <w:rsid w:val="00922C7B"/>
    <w:rsid w:val="00922D26"/>
    <w:rsid w:val="00924362"/>
    <w:rsid w:val="00924604"/>
    <w:rsid w:val="00926984"/>
    <w:rsid w:val="00926D40"/>
    <w:rsid w:val="009276FE"/>
    <w:rsid w:val="00927B49"/>
    <w:rsid w:val="00927F59"/>
    <w:rsid w:val="00931704"/>
    <w:rsid w:val="00932269"/>
    <w:rsid w:val="00932BCE"/>
    <w:rsid w:val="00932E41"/>
    <w:rsid w:val="009334E8"/>
    <w:rsid w:val="00935B78"/>
    <w:rsid w:val="00937D87"/>
    <w:rsid w:val="00937FF7"/>
    <w:rsid w:val="00940308"/>
    <w:rsid w:val="00940558"/>
    <w:rsid w:val="009428CB"/>
    <w:rsid w:val="00942AA1"/>
    <w:rsid w:val="00942CE5"/>
    <w:rsid w:val="00943731"/>
    <w:rsid w:val="009513B7"/>
    <w:rsid w:val="009524AA"/>
    <w:rsid w:val="00952531"/>
    <w:rsid w:val="00952AFA"/>
    <w:rsid w:val="00953664"/>
    <w:rsid w:val="009536AC"/>
    <w:rsid w:val="00953900"/>
    <w:rsid w:val="009551EF"/>
    <w:rsid w:val="009563F3"/>
    <w:rsid w:val="00957A3E"/>
    <w:rsid w:val="00957EC4"/>
    <w:rsid w:val="00960774"/>
    <w:rsid w:val="00961802"/>
    <w:rsid w:val="009653B1"/>
    <w:rsid w:val="00965A0B"/>
    <w:rsid w:val="0096650C"/>
    <w:rsid w:val="00967AE4"/>
    <w:rsid w:val="00967FB8"/>
    <w:rsid w:val="00971973"/>
    <w:rsid w:val="00973B00"/>
    <w:rsid w:val="00975412"/>
    <w:rsid w:val="00977123"/>
    <w:rsid w:val="0097791F"/>
    <w:rsid w:val="009817AE"/>
    <w:rsid w:val="00981CAA"/>
    <w:rsid w:val="009834DF"/>
    <w:rsid w:val="009838DA"/>
    <w:rsid w:val="00984074"/>
    <w:rsid w:val="009842AB"/>
    <w:rsid w:val="009848D5"/>
    <w:rsid w:val="00984E78"/>
    <w:rsid w:val="0098557A"/>
    <w:rsid w:val="00985E5E"/>
    <w:rsid w:val="009866EF"/>
    <w:rsid w:val="009902F4"/>
    <w:rsid w:val="00991E8A"/>
    <w:rsid w:val="00992536"/>
    <w:rsid w:val="00992927"/>
    <w:rsid w:val="00992ABA"/>
    <w:rsid w:val="00993024"/>
    <w:rsid w:val="0099313B"/>
    <w:rsid w:val="0099378F"/>
    <w:rsid w:val="00993AAF"/>
    <w:rsid w:val="00994614"/>
    <w:rsid w:val="009953F6"/>
    <w:rsid w:val="00996A53"/>
    <w:rsid w:val="0099785F"/>
    <w:rsid w:val="009A2C8A"/>
    <w:rsid w:val="009A3371"/>
    <w:rsid w:val="009A437D"/>
    <w:rsid w:val="009A479F"/>
    <w:rsid w:val="009A7FAA"/>
    <w:rsid w:val="009B1EB5"/>
    <w:rsid w:val="009B2046"/>
    <w:rsid w:val="009B2563"/>
    <w:rsid w:val="009B328F"/>
    <w:rsid w:val="009B3D95"/>
    <w:rsid w:val="009B427D"/>
    <w:rsid w:val="009B48E1"/>
    <w:rsid w:val="009B513D"/>
    <w:rsid w:val="009B526B"/>
    <w:rsid w:val="009B5576"/>
    <w:rsid w:val="009B6777"/>
    <w:rsid w:val="009B7477"/>
    <w:rsid w:val="009B765D"/>
    <w:rsid w:val="009B7F69"/>
    <w:rsid w:val="009C1049"/>
    <w:rsid w:val="009C133A"/>
    <w:rsid w:val="009C17D8"/>
    <w:rsid w:val="009C1917"/>
    <w:rsid w:val="009C1A9F"/>
    <w:rsid w:val="009C317B"/>
    <w:rsid w:val="009C3479"/>
    <w:rsid w:val="009C798D"/>
    <w:rsid w:val="009D05B4"/>
    <w:rsid w:val="009D1020"/>
    <w:rsid w:val="009D1FE3"/>
    <w:rsid w:val="009D3F43"/>
    <w:rsid w:val="009D5AC5"/>
    <w:rsid w:val="009D5BBF"/>
    <w:rsid w:val="009D64BC"/>
    <w:rsid w:val="009E0804"/>
    <w:rsid w:val="009E13C8"/>
    <w:rsid w:val="009E166B"/>
    <w:rsid w:val="009E1B43"/>
    <w:rsid w:val="009E298F"/>
    <w:rsid w:val="009E2FCA"/>
    <w:rsid w:val="009E4230"/>
    <w:rsid w:val="009E556E"/>
    <w:rsid w:val="009E5F3B"/>
    <w:rsid w:val="009E6012"/>
    <w:rsid w:val="009F0DDF"/>
    <w:rsid w:val="009F0E10"/>
    <w:rsid w:val="009F24EF"/>
    <w:rsid w:val="009F3806"/>
    <w:rsid w:val="009F380F"/>
    <w:rsid w:val="009F5445"/>
    <w:rsid w:val="009F5A83"/>
    <w:rsid w:val="009F6BDE"/>
    <w:rsid w:val="00A0012F"/>
    <w:rsid w:val="00A01A2E"/>
    <w:rsid w:val="00A02F04"/>
    <w:rsid w:val="00A0483F"/>
    <w:rsid w:val="00A06E34"/>
    <w:rsid w:val="00A07012"/>
    <w:rsid w:val="00A1036E"/>
    <w:rsid w:val="00A10CEE"/>
    <w:rsid w:val="00A10F07"/>
    <w:rsid w:val="00A11F7D"/>
    <w:rsid w:val="00A12422"/>
    <w:rsid w:val="00A1265E"/>
    <w:rsid w:val="00A127AE"/>
    <w:rsid w:val="00A13F0E"/>
    <w:rsid w:val="00A14474"/>
    <w:rsid w:val="00A15B67"/>
    <w:rsid w:val="00A200B0"/>
    <w:rsid w:val="00A2151C"/>
    <w:rsid w:val="00A21C13"/>
    <w:rsid w:val="00A21F94"/>
    <w:rsid w:val="00A237F1"/>
    <w:rsid w:val="00A23D29"/>
    <w:rsid w:val="00A23D9F"/>
    <w:rsid w:val="00A24148"/>
    <w:rsid w:val="00A248E0"/>
    <w:rsid w:val="00A24EBD"/>
    <w:rsid w:val="00A24FF9"/>
    <w:rsid w:val="00A25161"/>
    <w:rsid w:val="00A25813"/>
    <w:rsid w:val="00A26359"/>
    <w:rsid w:val="00A26502"/>
    <w:rsid w:val="00A26922"/>
    <w:rsid w:val="00A26B5E"/>
    <w:rsid w:val="00A26BCF"/>
    <w:rsid w:val="00A27931"/>
    <w:rsid w:val="00A30633"/>
    <w:rsid w:val="00A30848"/>
    <w:rsid w:val="00A31C94"/>
    <w:rsid w:val="00A31FFF"/>
    <w:rsid w:val="00A3259E"/>
    <w:rsid w:val="00A32E44"/>
    <w:rsid w:val="00A33F43"/>
    <w:rsid w:val="00A3496A"/>
    <w:rsid w:val="00A3548F"/>
    <w:rsid w:val="00A3703E"/>
    <w:rsid w:val="00A404EB"/>
    <w:rsid w:val="00A40771"/>
    <w:rsid w:val="00A412A7"/>
    <w:rsid w:val="00A41C71"/>
    <w:rsid w:val="00A44C3E"/>
    <w:rsid w:val="00A46166"/>
    <w:rsid w:val="00A470C1"/>
    <w:rsid w:val="00A47D69"/>
    <w:rsid w:val="00A50FA6"/>
    <w:rsid w:val="00A526F1"/>
    <w:rsid w:val="00A5657A"/>
    <w:rsid w:val="00A568C7"/>
    <w:rsid w:val="00A56F32"/>
    <w:rsid w:val="00A57632"/>
    <w:rsid w:val="00A57FCB"/>
    <w:rsid w:val="00A601B9"/>
    <w:rsid w:val="00A61B2C"/>
    <w:rsid w:val="00A62A70"/>
    <w:rsid w:val="00A6516E"/>
    <w:rsid w:val="00A65853"/>
    <w:rsid w:val="00A66D30"/>
    <w:rsid w:val="00A66D56"/>
    <w:rsid w:val="00A70CB3"/>
    <w:rsid w:val="00A71CAF"/>
    <w:rsid w:val="00A72294"/>
    <w:rsid w:val="00A73E0A"/>
    <w:rsid w:val="00A7422C"/>
    <w:rsid w:val="00A742BA"/>
    <w:rsid w:val="00A74514"/>
    <w:rsid w:val="00A756FA"/>
    <w:rsid w:val="00A76A59"/>
    <w:rsid w:val="00A80976"/>
    <w:rsid w:val="00A834E1"/>
    <w:rsid w:val="00A85C8D"/>
    <w:rsid w:val="00A872A2"/>
    <w:rsid w:val="00A92AD0"/>
    <w:rsid w:val="00A93461"/>
    <w:rsid w:val="00A934A6"/>
    <w:rsid w:val="00A93586"/>
    <w:rsid w:val="00A93853"/>
    <w:rsid w:val="00A95689"/>
    <w:rsid w:val="00A956D2"/>
    <w:rsid w:val="00A9577A"/>
    <w:rsid w:val="00A95B29"/>
    <w:rsid w:val="00A96873"/>
    <w:rsid w:val="00AA1330"/>
    <w:rsid w:val="00AA34E0"/>
    <w:rsid w:val="00AA4949"/>
    <w:rsid w:val="00AA4E86"/>
    <w:rsid w:val="00AA5D41"/>
    <w:rsid w:val="00AA5F7D"/>
    <w:rsid w:val="00AA623D"/>
    <w:rsid w:val="00AA659D"/>
    <w:rsid w:val="00AA76AF"/>
    <w:rsid w:val="00AA7AAB"/>
    <w:rsid w:val="00AA7B5D"/>
    <w:rsid w:val="00AB0471"/>
    <w:rsid w:val="00AB0F58"/>
    <w:rsid w:val="00AB1B30"/>
    <w:rsid w:val="00AB3F63"/>
    <w:rsid w:val="00AB6806"/>
    <w:rsid w:val="00AC023F"/>
    <w:rsid w:val="00AC17A8"/>
    <w:rsid w:val="00AC2863"/>
    <w:rsid w:val="00AC2B6B"/>
    <w:rsid w:val="00AC2CF1"/>
    <w:rsid w:val="00AC2DC3"/>
    <w:rsid w:val="00AC2EBD"/>
    <w:rsid w:val="00AC41F3"/>
    <w:rsid w:val="00AC5837"/>
    <w:rsid w:val="00AC6915"/>
    <w:rsid w:val="00AC794E"/>
    <w:rsid w:val="00AD3FF5"/>
    <w:rsid w:val="00AD4903"/>
    <w:rsid w:val="00AD6846"/>
    <w:rsid w:val="00AD7A8E"/>
    <w:rsid w:val="00AD7BAE"/>
    <w:rsid w:val="00AE088D"/>
    <w:rsid w:val="00AE2107"/>
    <w:rsid w:val="00AE22FB"/>
    <w:rsid w:val="00AE3781"/>
    <w:rsid w:val="00AE3ABB"/>
    <w:rsid w:val="00AE70C2"/>
    <w:rsid w:val="00AF06B7"/>
    <w:rsid w:val="00AF2968"/>
    <w:rsid w:val="00AF4B80"/>
    <w:rsid w:val="00AF5C4B"/>
    <w:rsid w:val="00AF77E5"/>
    <w:rsid w:val="00B0017F"/>
    <w:rsid w:val="00B02101"/>
    <w:rsid w:val="00B02535"/>
    <w:rsid w:val="00B03B08"/>
    <w:rsid w:val="00B03B12"/>
    <w:rsid w:val="00B04144"/>
    <w:rsid w:val="00B0464F"/>
    <w:rsid w:val="00B0547F"/>
    <w:rsid w:val="00B05A08"/>
    <w:rsid w:val="00B05DA0"/>
    <w:rsid w:val="00B07276"/>
    <w:rsid w:val="00B131B4"/>
    <w:rsid w:val="00B13929"/>
    <w:rsid w:val="00B15385"/>
    <w:rsid w:val="00B15703"/>
    <w:rsid w:val="00B1596E"/>
    <w:rsid w:val="00B16390"/>
    <w:rsid w:val="00B17269"/>
    <w:rsid w:val="00B208D9"/>
    <w:rsid w:val="00B21D59"/>
    <w:rsid w:val="00B22611"/>
    <w:rsid w:val="00B234BE"/>
    <w:rsid w:val="00B23609"/>
    <w:rsid w:val="00B23FB8"/>
    <w:rsid w:val="00B244CF"/>
    <w:rsid w:val="00B245B1"/>
    <w:rsid w:val="00B24AAD"/>
    <w:rsid w:val="00B25066"/>
    <w:rsid w:val="00B2542A"/>
    <w:rsid w:val="00B26E68"/>
    <w:rsid w:val="00B30836"/>
    <w:rsid w:val="00B308B2"/>
    <w:rsid w:val="00B30D59"/>
    <w:rsid w:val="00B31D4F"/>
    <w:rsid w:val="00B34F35"/>
    <w:rsid w:val="00B37243"/>
    <w:rsid w:val="00B40988"/>
    <w:rsid w:val="00B41722"/>
    <w:rsid w:val="00B41E39"/>
    <w:rsid w:val="00B41E6F"/>
    <w:rsid w:val="00B41EC6"/>
    <w:rsid w:val="00B43CBB"/>
    <w:rsid w:val="00B44612"/>
    <w:rsid w:val="00B44711"/>
    <w:rsid w:val="00B45906"/>
    <w:rsid w:val="00B469A3"/>
    <w:rsid w:val="00B46A8A"/>
    <w:rsid w:val="00B4759E"/>
    <w:rsid w:val="00B503DD"/>
    <w:rsid w:val="00B50543"/>
    <w:rsid w:val="00B51EF7"/>
    <w:rsid w:val="00B543B9"/>
    <w:rsid w:val="00B57B45"/>
    <w:rsid w:val="00B606B3"/>
    <w:rsid w:val="00B60B10"/>
    <w:rsid w:val="00B6298F"/>
    <w:rsid w:val="00B6339E"/>
    <w:rsid w:val="00B644AA"/>
    <w:rsid w:val="00B64680"/>
    <w:rsid w:val="00B64E0D"/>
    <w:rsid w:val="00B6523F"/>
    <w:rsid w:val="00B65243"/>
    <w:rsid w:val="00B65532"/>
    <w:rsid w:val="00B7033E"/>
    <w:rsid w:val="00B705B3"/>
    <w:rsid w:val="00B71D4B"/>
    <w:rsid w:val="00B72693"/>
    <w:rsid w:val="00B7747F"/>
    <w:rsid w:val="00B80FC2"/>
    <w:rsid w:val="00B8185E"/>
    <w:rsid w:val="00B81D6F"/>
    <w:rsid w:val="00B82827"/>
    <w:rsid w:val="00B82E29"/>
    <w:rsid w:val="00B86262"/>
    <w:rsid w:val="00B87604"/>
    <w:rsid w:val="00B90B0F"/>
    <w:rsid w:val="00B90D74"/>
    <w:rsid w:val="00B90FA6"/>
    <w:rsid w:val="00B931B4"/>
    <w:rsid w:val="00B93217"/>
    <w:rsid w:val="00B9430B"/>
    <w:rsid w:val="00B96301"/>
    <w:rsid w:val="00B96CEC"/>
    <w:rsid w:val="00B96D9E"/>
    <w:rsid w:val="00BA2599"/>
    <w:rsid w:val="00BA2699"/>
    <w:rsid w:val="00BA59A7"/>
    <w:rsid w:val="00BA5E75"/>
    <w:rsid w:val="00BA71A4"/>
    <w:rsid w:val="00BB0E3E"/>
    <w:rsid w:val="00BB1195"/>
    <w:rsid w:val="00BB1650"/>
    <w:rsid w:val="00BB25C3"/>
    <w:rsid w:val="00BB3CBD"/>
    <w:rsid w:val="00BB3FB2"/>
    <w:rsid w:val="00BB7D10"/>
    <w:rsid w:val="00BC0AE0"/>
    <w:rsid w:val="00BC0C49"/>
    <w:rsid w:val="00BC1679"/>
    <w:rsid w:val="00BC2AA6"/>
    <w:rsid w:val="00BC4086"/>
    <w:rsid w:val="00BC55EE"/>
    <w:rsid w:val="00BD14E7"/>
    <w:rsid w:val="00BD17F1"/>
    <w:rsid w:val="00BD1C64"/>
    <w:rsid w:val="00BD4657"/>
    <w:rsid w:val="00BD4F54"/>
    <w:rsid w:val="00BD5779"/>
    <w:rsid w:val="00BD66EE"/>
    <w:rsid w:val="00BD73E7"/>
    <w:rsid w:val="00BD7C3E"/>
    <w:rsid w:val="00BE2701"/>
    <w:rsid w:val="00BE2A26"/>
    <w:rsid w:val="00BE3A9A"/>
    <w:rsid w:val="00BE45E1"/>
    <w:rsid w:val="00BE5F16"/>
    <w:rsid w:val="00BE77DF"/>
    <w:rsid w:val="00BF18DC"/>
    <w:rsid w:val="00BF1B09"/>
    <w:rsid w:val="00BF2666"/>
    <w:rsid w:val="00BF318F"/>
    <w:rsid w:val="00BF39A7"/>
    <w:rsid w:val="00BF4792"/>
    <w:rsid w:val="00BF6165"/>
    <w:rsid w:val="00BF7F12"/>
    <w:rsid w:val="00C014AC"/>
    <w:rsid w:val="00C015B5"/>
    <w:rsid w:val="00C01F5F"/>
    <w:rsid w:val="00C02485"/>
    <w:rsid w:val="00C02F9C"/>
    <w:rsid w:val="00C059B1"/>
    <w:rsid w:val="00C05F98"/>
    <w:rsid w:val="00C06348"/>
    <w:rsid w:val="00C0639F"/>
    <w:rsid w:val="00C0644B"/>
    <w:rsid w:val="00C06B6E"/>
    <w:rsid w:val="00C07E7F"/>
    <w:rsid w:val="00C1009D"/>
    <w:rsid w:val="00C100B4"/>
    <w:rsid w:val="00C11678"/>
    <w:rsid w:val="00C145F6"/>
    <w:rsid w:val="00C14890"/>
    <w:rsid w:val="00C155D2"/>
    <w:rsid w:val="00C160D1"/>
    <w:rsid w:val="00C175B3"/>
    <w:rsid w:val="00C17E9C"/>
    <w:rsid w:val="00C21920"/>
    <w:rsid w:val="00C21E46"/>
    <w:rsid w:val="00C22098"/>
    <w:rsid w:val="00C23BA8"/>
    <w:rsid w:val="00C24017"/>
    <w:rsid w:val="00C26866"/>
    <w:rsid w:val="00C27BB9"/>
    <w:rsid w:val="00C31F48"/>
    <w:rsid w:val="00C31FCE"/>
    <w:rsid w:val="00C3279E"/>
    <w:rsid w:val="00C33374"/>
    <w:rsid w:val="00C35304"/>
    <w:rsid w:val="00C3643B"/>
    <w:rsid w:val="00C36F1C"/>
    <w:rsid w:val="00C40AC8"/>
    <w:rsid w:val="00C40CFD"/>
    <w:rsid w:val="00C42246"/>
    <w:rsid w:val="00C42CC9"/>
    <w:rsid w:val="00C43E09"/>
    <w:rsid w:val="00C43F8C"/>
    <w:rsid w:val="00C441D7"/>
    <w:rsid w:val="00C46FAF"/>
    <w:rsid w:val="00C500B2"/>
    <w:rsid w:val="00C50383"/>
    <w:rsid w:val="00C51177"/>
    <w:rsid w:val="00C515F6"/>
    <w:rsid w:val="00C53841"/>
    <w:rsid w:val="00C54619"/>
    <w:rsid w:val="00C555F9"/>
    <w:rsid w:val="00C57494"/>
    <w:rsid w:val="00C57A52"/>
    <w:rsid w:val="00C60163"/>
    <w:rsid w:val="00C618C6"/>
    <w:rsid w:val="00C61933"/>
    <w:rsid w:val="00C62018"/>
    <w:rsid w:val="00C62591"/>
    <w:rsid w:val="00C625EC"/>
    <w:rsid w:val="00C6436F"/>
    <w:rsid w:val="00C64C78"/>
    <w:rsid w:val="00C66FE3"/>
    <w:rsid w:val="00C67D97"/>
    <w:rsid w:val="00C67DF3"/>
    <w:rsid w:val="00C70B8E"/>
    <w:rsid w:val="00C71DA8"/>
    <w:rsid w:val="00C73F8C"/>
    <w:rsid w:val="00C74FC1"/>
    <w:rsid w:val="00C75D0A"/>
    <w:rsid w:val="00C75EC0"/>
    <w:rsid w:val="00C800D4"/>
    <w:rsid w:val="00C8170A"/>
    <w:rsid w:val="00C81F95"/>
    <w:rsid w:val="00C830C6"/>
    <w:rsid w:val="00C835B0"/>
    <w:rsid w:val="00C84BE5"/>
    <w:rsid w:val="00C85011"/>
    <w:rsid w:val="00C87DE1"/>
    <w:rsid w:val="00C900E5"/>
    <w:rsid w:val="00C931D9"/>
    <w:rsid w:val="00C96144"/>
    <w:rsid w:val="00C964AF"/>
    <w:rsid w:val="00C9650D"/>
    <w:rsid w:val="00C97443"/>
    <w:rsid w:val="00C97E60"/>
    <w:rsid w:val="00CA1FAF"/>
    <w:rsid w:val="00CA22CF"/>
    <w:rsid w:val="00CA308E"/>
    <w:rsid w:val="00CA36FA"/>
    <w:rsid w:val="00CA4418"/>
    <w:rsid w:val="00CA4437"/>
    <w:rsid w:val="00CA44FC"/>
    <w:rsid w:val="00CA4E20"/>
    <w:rsid w:val="00CA5851"/>
    <w:rsid w:val="00CB0837"/>
    <w:rsid w:val="00CB09E6"/>
    <w:rsid w:val="00CB0E77"/>
    <w:rsid w:val="00CB1C0B"/>
    <w:rsid w:val="00CB3C89"/>
    <w:rsid w:val="00CB4B9A"/>
    <w:rsid w:val="00CB4D4D"/>
    <w:rsid w:val="00CB62AA"/>
    <w:rsid w:val="00CB7F8C"/>
    <w:rsid w:val="00CC255C"/>
    <w:rsid w:val="00CC3683"/>
    <w:rsid w:val="00CC3E28"/>
    <w:rsid w:val="00CC5D63"/>
    <w:rsid w:val="00CC71DD"/>
    <w:rsid w:val="00CC7A30"/>
    <w:rsid w:val="00CD009F"/>
    <w:rsid w:val="00CD0306"/>
    <w:rsid w:val="00CD0344"/>
    <w:rsid w:val="00CD04F5"/>
    <w:rsid w:val="00CD1860"/>
    <w:rsid w:val="00CD2465"/>
    <w:rsid w:val="00CD3AC2"/>
    <w:rsid w:val="00CD57CE"/>
    <w:rsid w:val="00CD64CB"/>
    <w:rsid w:val="00CD65FB"/>
    <w:rsid w:val="00CE203F"/>
    <w:rsid w:val="00CE37BF"/>
    <w:rsid w:val="00CE3C63"/>
    <w:rsid w:val="00CE3CFB"/>
    <w:rsid w:val="00CE4787"/>
    <w:rsid w:val="00CE66F9"/>
    <w:rsid w:val="00CF2451"/>
    <w:rsid w:val="00CF2ACE"/>
    <w:rsid w:val="00CF3363"/>
    <w:rsid w:val="00CF3E31"/>
    <w:rsid w:val="00CF4876"/>
    <w:rsid w:val="00CF4B28"/>
    <w:rsid w:val="00CF6F51"/>
    <w:rsid w:val="00D018D1"/>
    <w:rsid w:val="00D02AF5"/>
    <w:rsid w:val="00D02E1D"/>
    <w:rsid w:val="00D034AD"/>
    <w:rsid w:val="00D03A7A"/>
    <w:rsid w:val="00D03BF6"/>
    <w:rsid w:val="00D042EA"/>
    <w:rsid w:val="00D04D9A"/>
    <w:rsid w:val="00D0537B"/>
    <w:rsid w:val="00D070C8"/>
    <w:rsid w:val="00D070DA"/>
    <w:rsid w:val="00D10DEB"/>
    <w:rsid w:val="00D15F1C"/>
    <w:rsid w:val="00D16BDD"/>
    <w:rsid w:val="00D16E1E"/>
    <w:rsid w:val="00D21F08"/>
    <w:rsid w:val="00D22668"/>
    <w:rsid w:val="00D22885"/>
    <w:rsid w:val="00D243EC"/>
    <w:rsid w:val="00D24505"/>
    <w:rsid w:val="00D24BA0"/>
    <w:rsid w:val="00D27152"/>
    <w:rsid w:val="00D27514"/>
    <w:rsid w:val="00D3065A"/>
    <w:rsid w:val="00D320BB"/>
    <w:rsid w:val="00D3258E"/>
    <w:rsid w:val="00D3345A"/>
    <w:rsid w:val="00D33785"/>
    <w:rsid w:val="00D3437C"/>
    <w:rsid w:val="00D34512"/>
    <w:rsid w:val="00D35957"/>
    <w:rsid w:val="00D35987"/>
    <w:rsid w:val="00D35A1C"/>
    <w:rsid w:val="00D36E7C"/>
    <w:rsid w:val="00D3712E"/>
    <w:rsid w:val="00D4155F"/>
    <w:rsid w:val="00D43048"/>
    <w:rsid w:val="00D43883"/>
    <w:rsid w:val="00D448C6"/>
    <w:rsid w:val="00D50AD6"/>
    <w:rsid w:val="00D51747"/>
    <w:rsid w:val="00D519AF"/>
    <w:rsid w:val="00D5348C"/>
    <w:rsid w:val="00D53CBE"/>
    <w:rsid w:val="00D5584E"/>
    <w:rsid w:val="00D5671C"/>
    <w:rsid w:val="00D571B6"/>
    <w:rsid w:val="00D62106"/>
    <w:rsid w:val="00D633B4"/>
    <w:rsid w:val="00D639D1"/>
    <w:rsid w:val="00D65013"/>
    <w:rsid w:val="00D65F80"/>
    <w:rsid w:val="00D6701A"/>
    <w:rsid w:val="00D6770D"/>
    <w:rsid w:val="00D67C6A"/>
    <w:rsid w:val="00D702B9"/>
    <w:rsid w:val="00D70906"/>
    <w:rsid w:val="00D71412"/>
    <w:rsid w:val="00D71EF5"/>
    <w:rsid w:val="00D72090"/>
    <w:rsid w:val="00D73889"/>
    <w:rsid w:val="00D73ECD"/>
    <w:rsid w:val="00D74C08"/>
    <w:rsid w:val="00D74EC4"/>
    <w:rsid w:val="00D760A8"/>
    <w:rsid w:val="00D763BD"/>
    <w:rsid w:val="00D771B5"/>
    <w:rsid w:val="00D80ABA"/>
    <w:rsid w:val="00D8188F"/>
    <w:rsid w:val="00D83540"/>
    <w:rsid w:val="00D83EF3"/>
    <w:rsid w:val="00D85622"/>
    <w:rsid w:val="00D868FD"/>
    <w:rsid w:val="00D92FE1"/>
    <w:rsid w:val="00D9341F"/>
    <w:rsid w:val="00D9486F"/>
    <w:rsid w:val="00D97C9B"/>
    <w:rsid w:val="00D97CD3"/>
    <w:rsid w:val="00D97E2C"/>
    <w:rsid w:val="00DA092C"/>
    <w:rsid w:val="00DA1608"/>
    <w:rsid w:val="00DA3E20"/>
    <w:rsid w:val="00DA4BBA"/>
    <w:rsid w:val="00DA4CE3"/>
    <w:rsid w:val="00DB0030"/>
    <w:rsid w:val="00DB0160"/>
    <w:rsid w:val="00DB10B7"/>
    <w:rsid w:val="00DB2E8F"/>
    <w:rsid w:val="00DB3345"/>
    <w:rsid w:val="00DB40F2"/>
    <w:rsid w:val="00DB4A34"/>
    <w:rsid w:val="00DB5CC7"/>
    <w:rsid w:val="00DB65C5"/>
    <w:rsid w:val="00DB745F"/>
    <w:rsid w:val="00DC0427"/>
    <w:rsid w:val="00DC1469"/>
    <w:rsid w:val="00DC1741"/>
    <w:rsid w:val="00DC1D82"/>
    <w:rsid w:val="00DC3A26"/>
    <w:rsid w:val="00DC40CC"/>
    <w:rsid w:val="00DC4F63"/>
    <w:rsid w:val="00DC54AB"/>
    <w:rsid w:val="00DC7A72"/>
    <w:rsid w:val="00DD09AA"/>
    <w:rsid w:val="00DD0E8A"/>
    <w:rsid w:val="00DD18C2"/>
    <w:rsid w:val="00DD21DF"/>
    <w:rsid w:val="00DD2CD9"/>
    <w:rsid w:val="00DD3A1E"/>
    <w:rsid w:val="00DD5A4E"/>
    <w:rsid w:val="00DD6564"/>
    <w:rsid w:val="00DD7548"/>
    <w:rsid w:val="00DE21D0"/>
    <w:rsid w:val="00DE3033"/>
    <w:rsid w:val="00DE37CC"/>
    <w:rsid w:val="00DE450E"/>
    <w:rsid w:val="00DE5E31"/>
    <w:rsid w:val="00DE7636"/>
    <w:rsid w:val="00DF06D9"/>
    <w:rsid w:val="00DF0C86"/>
    <w:rsid w:val="00DF10E5"/>
    <w:rsid w:val="00DF211D"/>
    <w:rsid w:val="00DF2D84"/>
    <w:rsid w:val="00DF3078"/>
    <w:rsid w:val="00DF3344"/>
    <w:rsid w:val="00DF4CE1"/>
    <w:rsid w:val="00DF7400"/>
    <w:rsid w:val="00DF7E8C"/>
    <w:rsid w:val="00E015E5"/>
    <w:rsid w:val="00E03398"/>
    <w:rsid w:val="00E04F6D"/>
    <w:rsid w:val="00E06E09"/>
    <w:rsid w:val="00E1152F"/>
    <w:rsid w:val="00E11BC2"/>
    <w:rsid w:val="00E12539"/>
    <w:rsid w:val="00E12DB8"/>
    <w:rsid w:val="00E13B68"/>
    <w:rsid w:val="00E1506D"/>
    <w:rsid w:val="00E1620F"/>
    <w:rsid w:val="00E2006C"/>
    <w:rsid w:val="00E20FCE"/>
    <w:rsid w:val="00E212B6"/>
    <w:rsid w:val="00E216A0"/>
    <w:rsid w:val="00E21931"/>
    <w:rsid w:val="00E22D31"/>
    <w:rsid w:val="00E22E15"/>
    <w:rsid w:val="00E2301F"/>
    <w:rsid w:val="00E23AEE"/>
    <w:rsid w:val="00E23FC4"/>
    <w:rsid w:val="00E248E1"/>
    <w:rsid w:val="00E26813"/>
    <w:rsid w:val="00E303E0"/>
    <w:rsid w:val="00E30638"/>
    <w:rsid w:val="00E30943"/>
    <w:rsid w:val="00E3141E"/>
    <w:rsid w:val="00E345AC"/>
    <w:rsid w:val="00E35370"/>
    <w:rsid w:val="00E3541D"/>
    <w:rsid w:val="00E35F42"/>
    <w:rsid w:val="00E377D1"/>
    <w:rsid w:val="00E37F03"/>
    <w:rsid w:val="00E40636"/>
    <w:rsid w:val="00E413E8"/>
    <w:rsid w:val="00E422D2"/>
    <w:rsid w:val="00E43659"/>
    <w:rsid w:val="00E4503E"/>
    <w:rsid w:val="00E45EA5"/>
    <w:rsid w:val="00E50482"/>
    <w:rsid w:val="00E50C14"/>
    <w:rsid w:val="00E534AE"/>
    <w:rsid w:val="00E54D0F"/>
    <w:rsid w:val="00E554E6"/>
    <w:rsid w:val="00E55CCE"/>
    <w:rsid w:val="00E56E05"/>
    <w:rsid w:val="00E606D4"/>
    <w:rsid w:val="00E60C97"/>
    <w:rsid w:val="00E63273"/>
    <w:rsid w:val="00E63582"/>
    <w:rsid w:val="00E6416B"/>
    <w:rsid w:val="00E6489A"/>
    <w:rsid w:val="00E65946"/>
    <w:rsid w:val="00E66180"/>
    <w:rsid w:val="00E66981"/>
    <w:rsid w:val="00E70842"/>
    <w:rsid w:val="00E727AF"/>
    <w:rsid w:val="00E7480B"/>
    <w:rsid w:val="00E74FC4"/>
    <w:rsid w:val="00E7552B"/>
    <w:rsid w:val="00E76BA1"/>
    <w:rsid w:val="00E8143D"/>
    <w:rsid w:val="00E818A5"/>
    <w:rsid w:val="00E81A69"/>
    <w:rsid w:val="00E841D5"/>
    <w:rsid w:val="00E8647B"/>
    <w:rsid w:val="00E877B1"/>
    <w:rsid w:val="00E87ED2"/>
    <w:rsid w:val="00E87EE8"/>
    <w:rsid w:val="00E90C6B"/>
    <w:rsid w:val="00E917EC"/>
    <w:rsid w:val="00E918A8"/>
    <w:rsid w:val="00E91EB7"/>
    <w:rsid w:val="00E9301B"/>
    <w:rsid w:val="00E93426"/>
    <w:rsid w:val="00E94FC4"/>
    <w:rsid w:val="00EA2406"/>
    <w:rsid w:val="00EA3CFC"/>
    <w:rsid w:val="00EA3E7A"/>
    <w:rsid w:val="00EA4A98"/>
    <w:rsid w:val="00EA5391"/>
    <w:rsid w:val="00EA5719"/>
    <w:rsid w:val="00EA671B"/>
    <w:rsid w:val="00EA7B40"/>
    <w:rsid w:val="00EB0887"/>
    <w:rsid w:val="00EB18A2"/>
    <w:rsid w:val="00EB2017"/>
    <w:rsid w:val="00EB21B9"/>
    <w:rsid w:val="00EB239E"/>
    <w:rsid w:val="00EB28F4"/>
    <w:rsid w:val="00EB3686"/>
    <w:rsid w:val="00EB59E7"/>
    <w:rsid w:val="00EB693C"/>
    <w:rsid w:val="00EC0D14"/>
    <w:rsid w:val="00EC151C"/>
    <w:rsid w:val="00EC16B9"/>
    <w:rsid w:val="00EC2C09"/>
    <w:rsid w:val="00EC2E49"/>
    <w:rsid w:val="00EC60F5"/>
    <w:rsid w:val="00ED04D6"/>
    <w:rsid w:val="00ED15E7"/>
    <w:rsid w:val="00ED1AC3"/>
    <w:rsid w:val="00ED2E52"/>
    <w:rsid w:val="00ED400D"/>
    <w:rsid w:val="00ED45F6"/>
    <w:rsid w:val="00ED4D74"/>
    <w:rsid w:val="00ED5000"/>
    <w:rsid w:val="00ED6574"/>
    <w:rsid w:val="00ED6B87"/>
    <w:rsid w:val="00EE5F89"/>
    <w:rsid w:val="00EF28A1"/>
    <w:rsid w:val="00EF31B3"/>
    <w:rsid w:val="00EF4B7D"/>
    <w:rsid w:val="00EF5500"/>
    <w:rsid w:val="00EF62D5"/>
    <w:rsid w:val="00EF790C"/>
    <w:rsid w:val="00F0057A"/>
    <w:rsid w:val="00F01598"/>
    <w:rsid w:val="00F026FF"/>
    <w:rsid w:val="00F02D9C"/>
    <w:rsid w:val="00F0494E"/>
    <w:rsid w:val="00F0547B"/>
    <w:rsid w:val="00F06052"/>
    <w:rsid w:val="00F0628C"/>
    <w:rsid w:val="00F062FB"/>
    <w:rsid w:val="00F0648A"/>
    <w:rsid w:val="00F06FD2"/>
    <w:rsid w:val="00F07D72"/>
    <w:rsid w:val="00F1142E"/>
    <w:rsid w:val="00F14475"/>
    <w:rsid w:val="00F2111A"/>
    <w:rsid w:val="00F21479"/>
    <w:rsid w:val="00F234D7"/>
    <w:rsid w:val="00F23798"/>
    <w:rsid w:val="00F242C9"/>
    <w:rsid w:val="00F248F1"/>
    <w:rsid w:val="00F25F29"/>
    <w:rsid w:val="00F26566"/>
    <w:rsid w:val="00F30FA2"/>
    <w:rsid w:val="00F31DAA"/>
    <w:rsid w:val="00F328BE"/>
    <w:rsid w:val="00F426E4"/>
    <w:rsid w:val="00F44F33"/>
    <w:rsid w:val="00F456C5"/>
    <w:rsid w:val="00F458D3"/>
    <w:rsid w:val="00F45CBB"/>
    <w:rsid w:val="00F46084"/>
    <w:rsid w:val="00F513D5"/>
    <w:rsid w:val="00F5191C"/>
    <w:rsid w:val="00F53A56"/>
    <w:rsid w:val="00F53C7C"/>
    <w:rsid w:val="00F54B05"/>
    <w:rsid w:val="00F54FBB"/>
    <w:rsid w:val="00F60201"/>
    <w:rsid w:val="00F61DBB"/>
    <w:rsid w:val="00F62432"/>
    <w:rsid w:val="00F64116"/>
    <w:rsid w:val="00F658E5"/>
    <w:rsid w:val="00F66999"/>
    <w:rsid w:val="00F6768C"/>
    <w:rsid w:val="00F67DC1"/>
    <w:rsid w:val="00F70AE5"/>
    <w:rsid w:val="00F70CF2"/>
    <w:rsid w:val="00F7224D"/>
    <w:rsid w:val="00F72317"/>
    <w:rsid w:val="00F728B7"/>
    <w:rsid w:val="00F73D75"/>
    <w:rsid w:val="00F74745"/>
    <w:rsid w:val="00F761B2"/>
    <w:rsid w:val="00F76B32"/>
    <w:rsid w:val="00F7729E"/>
    <w:rsid w:val="00F80655"/>
    <w:rsid w:val="00F82AE6"/>
    <w:rsid w:val="00F847BC"/>
    <w:rsid w:val="00F84B87"/>
    <w:rsid w:val="00F867F3"/>
    <w:rsid w:val="00F92321"/>
    <w:rsid w:val="00FA054E"/>
    <w:rsid w:val="00FA19F4"/>
    <w:rsid w:val="00FA1C08"/>
    <w:rsid w:val="00FA1E36"/>
    <w:rsid w:val="00FA20CE"/>
    <w:rsid w:val="00FA2C36"/>
    <w:rsid w:val="00FA522B"/>
    <w:rsid w:val="00FA7905"/>
    <w:rsid w:val="00FB15B0"/>
    <w:rsid w:val="00FB39B2"/>
    <w:rsid w:val="00FB3FA0"/>
    <w:rsid w:val="00FB53C3"/>
    <w:rsid w:val="00FB7B45"/>
    <w:rsid w:val="00FB7B66"/>
    <w:rsid w:val="00FB7DEE"/>
    <w:rsid w:val="00FC01B1"/>
    <w:rsid w:val="00FC0E63"/>
    <w:rsid w:val="00FC1A11"/>
    <w:rsid w:val="00FC1D87"/>
    <w:rsid w:val="00FC2D89"/>
    <w:rsid w:val="00FC3460"/>
    <w:rsid w:val="00FC3680"/>
    <w:rsid w:val="00FC62C9"/>
    <w:rsid w:val="00FC6DB4"/>
    <w:rsid w:val="00FC6F23"/>
    <w:rsid w:val="00FC7696"/>
    <w:rsid w:val="00FC7E90"/>
    <w:rsid w:val="00FD001B"/>
    <w:rsid w:val="00FD09FE"/>
    <w:rsid w:val="00FD14F8"/>
    <w:rsid w:val="00FD34C2"/>
    <w:rsid w:val="00FD44A5"/>
    <w:rsid w:val="00FE04F0"/>
    <w:rsid w:val="00FE23DA"/>
    <w:rsid w:val="00FE35E4"/>
    <w:rsid w:val="00FE36F2"/>
    <w:rsid w:val="00FE3AF2"/>
    <w:rsid w:val="00FE40B4"/>
    <w:rsid w:val="00FE46D6"/>
    <w:rsid w:val="00FE4B61"/>
    <w:rsid w:val="00FE4E2D"/>
    <w:rsid w:val="00FE64B2"/>
    <w:rsid w:val="00FE6632"/>
    <w:rsid w:val="00FF05C5"/>
    <w:rsid w:val="00FF163C"/>
    <w:rsid w:val="00FF189F"/>
    <w:rsid w:val="00FF3616"/>
    <w:rsid w:val="00FF379D"/>
    <w:rsid w:val="00FF5D21"/>
    <w:rsid w:val="00FF6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22B196E6"/>
  <w15:docId w15:val="{03F82DE0-2002-4247-85CE-D40C2F3B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D009F"/>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paragraph" w:styleId="Heading2">
    <w:name w:val="heading 2"/>
    <w:basedOn w:val="Normal"/>
    <w:next w:val="Normal"/>
    <w:link w:val="Heading2Char"/>
    <w:uiPriority w:val="9"/>
    <w:semiHidden/>
    <w:qFormat/>
    <w:rsid w:val="0001595A"/>
    <w:pPr>
      <w:keepNext/>
      <w:keepLines/>
      <w:spacing w:before="200"/>
      <w:outlineLvl w:val="1"/>
    </w:pPr>
    <w:rPr>
      <w:rFonts w:asciiTheme="majorHAnsi" w:eastAsiaTheme="majorEastAsia" w:hAnsiTheme="majorHAnsi" w:cstheme="majorBidi"/>
      <w:b/>
      <w:bCs/>
      <w:color w:val="585C9F" w:themeColor="accent1"/>
      <w:sz w:val="26"/>
      <w:szCs w:val="26"/>
    </w:rPr>
  </w:style>
  <w:style w:type="paragraph" w:styleId="Heading3">
    <w:name w:val="heading 3"/>
    <w:basedOn w:val="Normal"/>
    <w:next w:val="Normal"/>
    <w:link w:val="Heading3Char"/>
    <w:uiPriority w:val="99"/>
    <w:semiHidden/>
    <w:unhideWhenUsed/>
    <w:qFormat/>
    <w:rsid w:val="0001595A"/>
    <w:pPr>
      <w:keepNext/>
      <w:keepLines/>
      <w:spacing w:before="200"/>
      <w:outlineLvl w:val="2"/>
    </w:pPr>
    <w:rPr>
      <w:rFonts w:asciiTheme="majorHAnsi" w:eastAsiaTheme="majorEastAsia" w:hAnsiTheme="majorHAnsi" w:cstheme="majorBidi"/>
      <w:b/>
      <w:bCs/>
      <w:color w:val="585C9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Header">
    <w:name w:val="header"/>
    <w:aliases w:val="Encabezado1,Nagłówek strony"/>
    <w:basedOn w:val="Normal"/>
    <w:link w:val="HeaderChar"/>
    <w:unhideWhenUsed/>
    <w:rsid w:val="00B04144"/>
    <w:pPr>
      <w:tabs>
        <w:tab w:val="center" w:pos="4536"/>
        <w:tab w:val="right" w:pos="9072"/>
      </w:tabs>
    </w:pPr>
  </w:style>
  <w:style w:type="character" w:customStyle="1" w:styleId="HeaderChar">
    <w:name w:val="Header Char"/>
    <w:aliases w:val="Encabezado1 Char,Nagłówek strony Char"/>
    <w:basedOn w:val="DefaultParagraphFont"/>
    <w:link w:val="Header"/>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FF163C"/>
    <w:pPr>
      <w:spacing w:before="400" w:line="340" w:lineRule="exact"/>
      <w:jc w:val="center"/>
      <w:outlineLvl w:val="0"/>
    </w:pPr>
    <w:rPr>
      <w:rFonts w:ascii="Times New Roman" w:hAnsi="Times New Roman" w:cstheme="majorHAnsi"/>
      <w:b/>
      <w:color w:val="23236E" w:themeColor="text2"/>
      <w:sz w:val="24"/>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99378F"/>
    <w:pPr>
      <w:spacing w:after="100"/>
    </w:pPr>
    <w:rPr>
      <w:rFonts w:asciiTheme="majorHAnsi" w:hAnsiTheme="majorHAnsi"/>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character" w:styleId="CommentReference">
    <w:name w:val="annotation reference"/>
    <w:aliases w:val="Stinking Styles6,Marque de commentaire1,Merknadsreferanse"/>
    <w:basedOn w:val="DefaultParagraphFont"/>
    <w:uiPriority w:val="99"/>
    <w:unhideWhenUsed/>
    <w:rsid w:val="00E377D1"/>
    <w:rPr>
      <w:sz w:val="16"/>
      <w:szCs w:val="16"/>
    </w:rPr>
  </w:style>
  <w:style w:type="paragraph" w:styleId="CommentText">
    <w:name w:val="annotation text"/>
    <w:aliases w:val="Stinking Styles5,Merknadstekst,Texto comentario"/>
    <w:basedOn w:val="Normal"/>
    <w:link w:val="CommentTextChar"/>
    <w:uiPriority w:val="99"/>
    <w:unhideWhenUsed/>
    <w:rsid w:val="00E377D1"/>
    <w:rPr>
      <w:sz w:val="20"/>
      <w:szCs w:val="20"/>
    </w:rPr>
  </w:style>
  <w:style w:type="character" w:customStyle="1" w:styleId="CommentTextChar">
    <w:name w:val="Comment Text Char"/>
    <w:aliases w:val="Stinking Styles5 Char,Merknadstekst Char,Texto comentario Char"/>
    <w:basedOn w:val="DefaultParagraphFont"/>
    <w:link w:val="CommentText"/>
    <w:uiPriority w:val="99"/>
    <w:rsid w:val="00E377D1"/>
    <w:rPr>
      <w:sz w:val="20"/>
      <w:szCs w:val="20"/>
      <w:lang w:val="en-GB"/>
    </w:rPr>
  </w:style>
  <w:style w:type="paragraph" w:styleId="Title">
    <w:name w:val="Title"/>
    <w:basedOn w:val="Normal"/>
    <w:next w:val="Normal"/>
    <w:link w:val="TitleChar"/>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E377D1"/>
    <w:rPr>
      <w:rFonts w:asciiTheme="majorHAnsi" w:eastAsiaTheme="majorEastAsia" w:hAnsiTheme="majorHAnsi" w:cstheme="majorBidi"/>
      <w:spacing w:val="-10"/>
      <w:kern w:val="28"/>
      <w:sz w:val="56"/>
      <w:szCs w:val="56"/>
      <w:lang w:val="fi-FI"/>
    </w:rPr>
  </w:style>
  <w:style w:type="paragraph" w:styleId="FootnoteText">
    <w:name w:val="footnote text"/>
    <w:basedOn w:val="Normal"/>
    <w:link w:val="FootnoteTextChar"/>
    <w:uiPriority w:val="99"/>
    <w:unhideWhenUsed/>
    <w:rsid w:val="006A737C"/>
    <w:rPr>
      <w:sz w:val="20"/>
      <w:szCs w:val="20"/>
    </w:rPr>
  </w:style>
  <w:style w:type="character" w:customStyle="1" w:styleId="FootnoteTextChar">
    <w:name w:val="Footnote Text Char"/>
    <w:basedOn w:val="DefaultParagraphFont"/>
    <w:link w:val="FootnoteText"/>
    <w:uiPriority w:val="99"/>
    <w:rsid w:val="006A737C"/>
    <w:rPr>
      <w:sz w:val="20"/>
      <w:szCs w:val="20"/>
      <w:lang w:val="en-GB"/>
    </w:rPr>
  </w:style>
  <w:style w:type="character" w:styleId="FootnoteReference">
    <w:name w:val="footnote reference"/>
    <w:basedOn w:val="DefaultParagraphFont"/>
    <w:uiPriority w:val="99"/>
    <w:semiHidden/>
    <w:unhideWhenUsed/>
    <w:rsid w:val="006A737C"/>
    <w:rPr>
      <w:vertAlign w:val="superscript"/>
    </w:rPr>
  </w:style>
  <w:style w:type="paragraph" w:styleId="CommentSubject">
    <w:name w:val="annotation subject"/>
    <w:basedOn w:val="CommentText"/>
    <w:next w:val="CommentText"/>
    <w:link w:val="CommentSubjectChar"/>
    <w:uiPriority w:val="99"/>
    <w:semiHidden/>
    <w:unhideWhenUsed/>
    <w:rsid w:val="006A737C"/>
    <w:pPr>
      <w:spacing w:after="160"/>
    </w:pPr>
    <w:rPr>
      <w:b/>
      <w:bCs/>
      <w:lang w:val="fi-FI"/>
    </w:rPr>
  </w:style>
  <w:style w:type="character" w:customStyle="1" w:styleId="CommentSubjectChar">
    <w:name w:val="Comment Subject Char"/>
    <w:basedOn w:val="CommentTextChar"/>
    <w:link w:val="CommentSubject"/>
    <w:uiPriority w:val="99"/>
    <w:semiHidden/>
    <w:rsid w:val="006A737C"/>
    <w:rPr>
      <w:b/>
      <w:bCs/>
      <w:sz w:val="20"/>
      <w:szCs w:val="20"/>
      <w:lang w:val="fi-FI"/>
    </w:rPr>
  </w:style>
  <w:style w:type="character" w:customStyle="1" w:styleId="KommentintekstiChar">
    <w:name w:val="Kommentin teksti Char"/>
    <w:basedOn w:val="DefaultParagraphFont"/>
    <w:uiPriority w:val="99"/>
    <w:rsid w:val="006A737C"/>
    <w:rPr>
      <w:sz w:val="20"/>
      <w:szCs w:val="20"/>
    </w:rPr>
  </w:style>
  <w:style w:type="paragraph" w:styleId="ListParagraph">
    <w:name w:val="List Paragraph"/>
    <w:basedOn w:val="Normal"/>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6A737C"/>
    <w:rPr>
      <w:sz w:val="20"/>
      <w:szCs w:val="20"/>
    </w:rPr>
  </w:style>
  <w:style w:type="character" w:customStyle="1" w:styleId="descriptionid1siteid2571">
    <w:name w:val="descriptionid1siteid2571"/>
    <w:basedOn w:val="DefaultParagraphFont"/>
    <w:rsid w:val="006A737C"/>
    <w:rPr>
      <w:rFonts w:ascii="Arial" w:hAnsi="Arial" w:cs="Arial" w:hint="default"/>
      <w:color w:val="666666"/>
      <w:sz w:val="18"/>
      <w:szCs w:val="18"/>
    </w:rPr>
  </w:style>
  <w:style w:type="paragraph" w:customStyle="1" w:styleId="Normln1">
    <w:name w:val="Normální1"/>
    <w:aliases w:val="ČEPS Arial"/>
    <w:basedOn w:val="Normal"/>
    <w:rsid w:val="006A737C"/>
    <w:rPr>
      <w:rFonts w:ascii="Calibri" w:hAnsi="Calibri" w:cs="Times New Roman"/>
      <w:lang w:val="pl-PL"/>
    </w:rPr>
  </w:style>
  <w:style w:type="character" w:styleId="FollowedHyperlink">
    <w:name w:val="FollowedHyperlink"/>
    <w:basedOn w:val="DefaultParagraphFont"/>
    <w:uiPriority w:val="99"/>
    <w:semiHidden/>
    <w:unhideWhenUsed/>
    <w:rsid w:val="006A737C"/>
    <w:rPr>
      <w:color w:val="800080" w:themeColor="followedHyperlink"/>
      <w:u w:val="single"/>
    </w:rPr>
  </w:style>
  <w:style w:type="paragraph" w:styleId="Revision">
    <w:name w:val="Revision"/>
    <w:hidden/>
    <w:uiPriority w:val="99"/>
    <w:semiHidden/>
    <w:rsid w:val="006A737C"/>
    <w:rPr>
      <w:lang w:val="fi-FI"/>
    </w:rPr>
  </w:style>
  <w:style w:type="character" w:customStyle="1" w:styleId="textregularZchn">
    <w:name w:val="text regular Zchn"/>
    <w:basedOn w:val="DefaultParagraphFont"/>
    <w:link w:val="textregular"/>
    <w:locked/>
    <w:rsid w:val="00FA1C08"/>
    <w:rPr>
      <w:lang w:val="en-GB"/>
    </w:rPr>
  </w:style>
  <w:style w:type="character" w:customStyle="1" w:styleId="Heading3Char">
    <w:name w:val="Heading 3 Char"/>
    <w:basedOn w:val="DefaultParagraphFont"/>
    <w:link w:val="Heading3"/>
    <w:uiPriority w:val="9"/>
    <w:semiHidden/>
    <w:rsid w:val="0001595A"/>
    <w:rPr>
      <w:rFonts w:asciiTheme="majorHAnsi" w:eastAsiaTheme="majorEastAsia" w:hAnsiTheme="majorHAnsi" w:cstheme="majorBidi"/>
      <w:b/>
      <w:bCs/>
      <w:color w:val="585C9F" w:themeColor="accent1"/>
      <w:lang w:val="en-GB"/>
    </w:rPr>
  </w:style>
  <w:style w:type="character" w:customStyle="1" w:styleId="Heading2Char">
    <w:name w:val="Heading 2 Char"/>
    <w:basedOn w:val="DefaultParagraphFont"/>
    <w:link w:val="Heading2"/>
    <w:uiPriority w:val="99"/>
    <w:semiHidden/>
    <w:rsid w:val="0001595A"/>
    <w:rPr>
      <w:rFonts w:asciiTheme="majorHAnsi" w:eastAsiaTheme="majorEastAsia" w:hAnsiTheme="majorHAnsi" w:cstheme="majorBidi"/>
      <w:b/>
      <w:bCs/>
      <w:color w:val="585C9F" w:themeColor="accent1"/>
      <w:sz w:val="26"/>
      <w:szCs w:val="26"/>
      <w:lang w:val="en-GB"/>
    </w:rPr>
  </w:style>
  <w:style w:type="table" w:customStyle="1" w:styleId="Tabelraster1">
    <w:name w:val="Tabelraster1"/>
    <w:basedOn w:val="TableNormal"/>
    <w:uiPriority w:val="59"/>
    <w:rsid w:val="00E87EE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22289"/>
    <w:pPr>
      <w:spacing w:after="200"/>
    </w:pPr>
    <w:rPr>
      <w:b/>
      <w:bCs/>
      <w:color w:val="585C9F" w:themeColor="accent1"/>
      <w:sz w:val="18"/>
      <w:szCs w:val="18"/>
    </w:rPr>
  </w:style>
  <w:style w:type="character" w:styleId="Strong">
    <w:name w:val="Strong"/>
    <w:basedOn w:val="DefaultParagraphFont"/>
    <w:uiPriority w:val="22"/>
    <w:qFormat/>
    <w:rsid w:val="00D35A1C"/>
    <w:rPr>
      <w:b/>
      <w:bCs/>
    </w:rPr>
  </w:style>
  <w:style w:type="paragraph" w:styleId="ListBullet">
    <w:name w:val="List Bullet"/>
    <w:basedOn w:val="Normal"/>
    <w:uiPriority w:val="99"/>
    <w:unhideWhenUsed/>
    <w:rsid w:val="00A0483F"/>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3724">
      <w:bodyDiv w:val="1"/>
      <w:marLeft w:val="0"/>
      <w:marRight w:val="0"/>
      <w:marTop w:val="0"/>
      <w:marBottom w:val="0"/>
      <w:divBdr>
        <w:top w:val="none" w:sz="0" w:space="0" w:color="auto"/>
        <w:left w:val="none" w:sz="0" w:space="0" w:color="auto"/>
        <w:bottom w:val="none" w:sz="0" w:space="0" w:color="auto"/>
        <w:right w:val="none" w:sz="0" w:space="0" w:color="auto"/>
      </w:divBdr>
      <w:divsChild>
        <w:div w:id="1796098313">
          <w:marLeft w:val="0"/>
          <w:marRight w:val="0"/>
          <w:marTop w:val="0"/>
          <w:marBottom w:val="0"/>
          <w:divBdr>
            <w:top w:val="none" w:sz="0" w:space="0" w:color="auto"/>
            <w:left w:val="none" w:sz="0" w:space="0" w:color="auto"/>
            <w:bottom w:val="none" w:sz="0" w:space="0" w:color="auto"/>
            <w:right w:val="none" w:sz="0" w:space="0" w:color="auto"/>
          </w:divBdr>
          <w:divsChild>
            <w:div w:id="1059785475">
              <w:marLeft w:val="0"/>
              <w:marRight w:val="0"/>
              <w:marTop w:val="0"/>
              <w:marBottom w:val="0"/>
              <w:divBdr>
                <w:top w:val="none" w:sz="0" w:space="0" w:color="auto"/>
                <w:left w:val="none" w:sz="0" w:space="0" w:color="auto"/>
                <w:bottom w:val="none" w:sz="0" w:space="0" w:color="auto"/>
                <w:right w:val="none" w:sz="0" w:space="0" w:color="auto"/>
              </w:divBdr>
              <w:divsChild>
                <w:div w:id="103382700">
                  <w:marLeft w:val="0"/>
                  <w:marRight w:val="0"/>
                  <w:marTop w:val="0"/>
                  <w:marBottom w:val="0"/>
                  <w:divBdr>
                    <w:top w:val="none" w:sz="0" w:space="0" w:color="auto"/>
                    <w:left w:val="none" w:sz="0" w:space="0" w:color="auto"/>
                    <w:bottom w:val="none" w:sz="0" w:space="0" w:color="auto"/>
                    <w:right w:val="none" w:sz="0" w:space="0" w:color="auto"/>
                  </w:divBdr>
                  <w:divsChild>
                    <w:div w:id="625815515">
                      <w:marLeft w:val="0"/>
                      <w:marRight w:val="0"/>
                      <w:marTop w:val="0"/>
                      <w:marBottom w:val="0"/>
                      <w:divBdr>
                        <w:top w:val="none" w:sz="0" w:space="0" w:color="auto"/>
                        <w:left w:val="none" w:sz="0" w:space="0" w:color="auto"/>
                        <w:bottom w:val="none" w:sz="0" w:space="0" w:color="auto"/>
                        <w:right w:val="none" w:sz="0" w:space="0" w:color="auto"/>
                      </w:divBdr>
                      <w:divsChild>
                        <w:div w:id="1836846218">
                          <w:marLeft w:val="0"/>
                          <w:marRight w:val="0"/>
                          <w:marTop w:val="0"/>
                          <w:marBottom w:val="0"/>
                          <w:divBdr>
                            <w:top w:val="none" w:sz="0" w:space="0" w:color="auto"/>
                            <w:left w:val="none" w:sz="0" w:space="0" w:color="auto"/>
                            <w:bottom w:val="none" w:sz="0" w:space="0" w:color="auto"/>
                            <w:right w:val="none" w:sz="0" w:space="0" w:color="auto"/>
                          </w:divBdr>
                          <w:divsChild>
                            <w:div w:id="533466960">
                              <w:marLeft w:val="0"/>
                              <w:marRight w:val="0"/>
                              <w:marTop w:val="0"/>
                              <w:marBottom w:val="0"/>
                              <w:divBdr>
                                <w:top w:val="none" w:sz="0" w:space="0" w:color="auto"/>
                                <w:left w:val="none" w:sz="0" w:space="0" w:color="auto"/>
                                <w:bottom w:val="none" w:sz="0" w:space="0" w:color="auto"/>
                                <w:right w:val="none" w:sz="0" w:space="0" w:color="auto"/>
                              </w:divBdr>
                              <w:divsChild>
                                <w:div w:id="1744915325">
                                  <w:marLeft w:val="0"/>
                                  <w:marRight w:val="0"/>
                                  <w:marTop w:val="0"/>
                                  <w:marBottom w:val="0"/>
                                  <w:divBdr>
                                    <w:top w:val="none" w:sz="0" w:space="0" w:color="auto"/>
                                    <w:left w:val="none" w:sz="0" w:space="0" w:color="auto"/>
                                    <w:bottom w:val="none" w:sz="0" w:space="0" w:color="auto"/>
                                    <w:right w:val="none" w:sz="0" w:space="0" w:color="auto"/>
                                  </w:divBdr>
                                  <w:divsChild>
                                    <w:div w:id="657535492">
                                      <w:marLeft w:val="0"/>
                                      <w:marRight w:val="0"/>
                                      <w:marTop w:val="0"/>
                                      <w:marBottom w:val="0"/>
                                      <w:divBdr>
                                        <w:top w:val="none" w:sz="0" w:space="0" w:color="auto"/>
                                        <w:left w:val="none" w:sz="0" w:space="0" w:color="auto"/>
                                        <w:bottom w:val="none" w:sz="0" w:space="0" w:color="auto"/>
                                        <w:right w:val="none" w:sz="0" w:space="0" w:color="auto"/>
                                      </w:divBdr>
                                      <w:divsChild>
                                        <w:div w:id="2054110420">
                                          <w:marLeft w:val="0"/>
                                          <w:marRight w:val="0"/>
                                          <w:marTop w:val="0"/>
                                          <w:marBottom w:val="0"/>
                                          <w:divBdr>
                                            <w:top w:val="none" w:sz="0" w:space="0" w:color="auto"/>
                                            <w:left w:val="none" w:sz="0" w:space="0" w:color="auto"/>
                                            <w:bottom w:val="none" w:sz="0" w:space="0" w:color="auto"/>
                                            <w:right w:val="none" w:sz="0" w:space="0" w:color="auto"/>
                                          </w:divBdr>
                                          <w:divsChild>
                                            <w:div w:id="1558660681">
                                              <w:marLeft w:val="0"/>
                                              <w:marRight w:val="0"/>
                                              <w:marTop w:val="0"/>
                                              <w:marBottom w:val="0"/>
                                              <w:divBdr>
                                                <w:top w:val="none" w:sz="0" w:space="0" w:color="auto"/>
                                                <w:left w:val="none" w:sz="0" w:space="0" w:color="auto"/>
                                                <w:bottom w:val="none" w:sz="0" w:space="0" w:color="auto"/>
                                                <w:right w:val="none" w:sz="0" w:space="0" w:color="auto"/>
                                              </w:divBdr>
                                              <w:divsChild>
                                                <w:div w:id="1330982911">
                                                  <w:marLeft w:val="0"/>
                                                  <w:marRight w:val="0"/>
                                                  <w:marTop w:val="0"/>
                                                  <w:marBottom w:val="0"/>
                                                  <w:divBdr>
                                                    <w:top w:val="none" w:sz="0" w:space="0" w:color="auto"/>
                                                    <w:left w:val="none" w:sz="0" w:space="0" w:color="auto"/>
                                                    <w:bottom w:val="none" w:sz="0" w:space="0" w:color="auto"/>
                                                    <w:right w:val="none" w:sz="0" w:space="0" w:color="auto"/>
                                                  </w:divBdr>
                                                  <w:divsChild>
                                                    <w:div w:id="1451242899">
                                                      <w:marLeft w:val="0"/>
                                                      <w:marRight w:val="0"/>
                                                      <w:marTop w:val="0"/>
                                                      <w:marBottom w:val="0"/>
                                                      <w:divBdr>
                                                        <w:top w:val="none" w:sz="0" w:space="0" w:color="auto"/>
                                                        <w:left w:val="none" w:sz="0" w:space="0" w:color="auto"/>
                                                        <w:bottom w:val="none" w:sz="0" w:space="0" w:color="auto"/>
                                                        <w:right w:val="none" w:sz="0" w:space="0" w:color="auto"/>
                                                      </w:divBdr>
                                                      <w:divsChild>
                                                        <w:div w:id="707418804">
                                                          <w:marLeft w:val="0"/>
                                                          <w:marRight w:val="0"/>
                                                          <w:marTop w:val="0"/>
                                                          <w:marBottom w:val="0"/>
                                                          <w:divBdr>
                                                            <w:top w:val="none" w:sz="0" w:space="0" w:color="auto"/>
                                                            <w:left w:val="none" w:sz="0" w:space="0" w:color="auto"/>
                                                            <w:bottom w:val="none" w:sz="0" w:space="0" w:color="auto"/>
                                                            <w:right w:val="none" w:sz="0" w:space="0" w:color="auto"/>
                                                          </w:divBdr>
                                                          <w:divsChild>
                                                            <w:div w:id="18332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42191">
      <w:bodyDiv w:val="1"/>
      <w:marLeft w:val="0"/>
      <w:marRight w:val="0"/>
      <w:marTop w:val="0"/>
      <w:marBottom w:val="0"/>
      <w:divBdr>
        <w:top w:val="none" w:sz="0" w:space="0" w:color="auto"/>
        <w:left w:val="none" w:sz="0" w:space="0" w:color="auto"/>
        <w:bottom w:val="none" w:sz="0" w:space="0" w:color="auto"/>
        <w:right w:val="none" w:sz="0" w:space="0" w:color="auto"/>
      </w:divBdr>
    </w:div>
    <w:div w:id="539053645">
      <w:bodyDiv w:val="1"/>
      <w:marLeft w:val="0"/>
      <w:marRight w:val="0"/>
      <w:marTop w:val="0"/>
      <w:marBottom w:val="0"/>
      <w:divBdr>
        <w:top w:val="none" w:sz="0" w:space="0" w:color="auto"/>
        <w:left w:val="none" w:sz="0" w:space="0" w:color="auto"/>
        <w:bottom w:val="none" w:sz="0" w:space="0" w:color="auto"/>
        <w:right w:val="none" w:sz="0" w:space="0" w:color="auto"/>
      </w:divBdr>
    </w:div>
    <w:div w:id="613831868">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1011762976">
      <w:bodyDiv w:val="1"/>
      <w:marLeft w:val="0"/>
      <w:marRight w:val="0"/>
      <w:marTop w:val="0"/>
      <w:marBottom w:val="0"/>
      <w:divBdr>
        <w:top w:val="none" w:sz="0" w:space="0" w:color="auto"/>
        <w:left w:val="none" w:sz="0" w:space="0" w:color="auto"/>
        <w:bottom w:val="none" w:sz="0" w:space="0" w:color="auto"/>
        <w:right w:val="none" w:sz="0" w:space="0" w:color="auto"/>
      </w:divBdr>
    </w:div>
    <w:div w:id="1019501149">
      <w:bodyDiv w:val="1"/>
      <w:marLeft w:val="0"/>
      <w:marRight w:val="0"/>
      <w:marTop w:val="0"/>
      <w:marBottom w:val="0"/>
      <w:divBdr>
        <w:top w:val="none" w:sz="0" w:space="0" w:color="auto"/>
        <w:left w:val="none" w:sz="0" w:space="0" w:color="auto"/>
        <w:bottom w:val="none" w:sz="0" w:space="0" w:color="auto"/>
        <w:right w:val="none" w:sz="0" w:space="0" w:color="auto"/>
      </w:divBdr>
    </w:div>
    <w:div w:id="1065643764">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313675177">
      <w:bodyDiv w:val="1"/>
      <w:marLeft w:val="0"/>
      <w:marRight w:val="0"/>
      <w:marTop w:val="0"/>
      <w:marBottom w:val="0"/>
      <w:divBdr>
        <w:top w:val="none" w:sz="0" w:space="0" w:color="auto"/>
        <w:left w:val="none" w:sz="0" w:space="0" w:color="auto"/>
        <w:bottom w:val="none" w:sz="0" w:space="0" w:color="auto"/>
        <w:right w:val="none" w:sz="0" w:space="0" w:color="auto"/>
      </w:divBdr>
    </w:div>
    <w:div w:id="1487933373">
      <w:bodyDiv w:val="1"/>
      <w:marLeft w:val="0"/>
      <w:marRight w:val="0"/>
      <w:marTop w:val="0"/>
      <w:marBottom w:val="0"/>
      <w:divBdr>
        <w:top w:val="none" w:sz="0" w:space="0" w:color="auto"/>
        <w:left w:val="none" w:sz="0" w:space="0" w:color="auto"/>
        <w:bottom w:val="none" w:sz="0" w:space="0" w:color="auto"/>
        <w:right w:val="none" w:sz="0" w:space="0" w:color="auto"/>
      </w:divBdr>
    </w:div>
    <w:div w:id="1610694537">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657612940">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1756903032">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F28BAA2DB4747B4331BFFF894C5CF" ma:contentTypeVersion="0" ma:contentTypeDescription="Create a new document." ma:contentTypeScope="" ma:versionID="efab377559ddc775f5b1f7af169484cd">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2.xml><?xml version="1.0" encoding="utf-8"?>
<ds:datastoreItem xmlns:ds="http://schemas.openxmlformats.org/officeDocument/2006/customXml" ds:itemID="{D9C8B450-CDAA-4BE9-9AA2-9F7056BF5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40056C-A517-4123-B0B0-0297228A9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7E1F8-9648-449F-8E37-5E7CBA63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Template>
  <TotalTime>72</TotalTime>
  <Pages>13</Pages>
  <Words>4008</Words>
  <Characters>22847</Characters>
  <Application>Microsoft Office Word</Application>
  <DocSecurity>0</DocSecurity>
  <Lines>190</Lines>
  <Paragraphs>53</Paragraphs>
  <ScaleCrop>false</ScaleCrop>
  <HeadingPairs>
    <vt:vector size="16" baseType="variant">
      <vt:variant>
        <vt:lpstr>Title</vt:lpstr>
      </vt:variant>
      <vt:variant>
        <vt:i4>1</vt:i4>
      </vt:variant>
      <vt:variant>
        <vt:lpstr>Titel</vt:lpstr>
      </vt:variant>
      <vt:variant>
        <vt:i4>1</vt:i4>
      </vt:variant>
      <vt:variant>
        <vt:lpstr>Naslov</vt:lpstr>
      </vt:variant>
      <vt:variant>
        <vt:i4>1</vt:i4>
      </vt:variant>
      <vt:variant>
        <vt:lpstr>Cím</vt:lpstr>
      </vt:variant>
      <vt:variant>
        <vt:i4>1</vt:i4>
      </vt:variant>
      <vt:variant>
        <vt:lpstr>Otsikko</vt:lpstr>
      </vt:variant>
      <vt:variant>
        <vt:i4>1</vt:i4>
      </vt:variant>
      <vt:variant>
        <vt:lpstr>Título</vt:lpstr>
      </vt:variant>
      <vt:variant>
        <vt:i4>1</vt:i4>
      </vt:variant>
      <vt:variant>
        <vt:lpstr>Název</vt:lpstr>
      </vt:variant>
      <vt:variant>
        <vt:i4>1</vt:i4>
      </vt:variant>
      <vt:variant>
        <vt:lpstr>Tytuł</vt:lpstr>
      </vt:variant>
      <vt:variant>
        <vt:i4>1</vt:i4>
      </vt:variant>
    </vt:vector>
  </HeadingPairs>
  <TitlesOfParts>
    <vt:vector size="8" baseType="lpstr">
      <vt:lpstr>Propozimi i të gjitha TSO-ve kontinentale evropiane për rregullat e përbashkëta të barazimit përfundimtar për shkëmbimet e qëllimshme të energjisë si rezultat i procesit të rregullimit stabilizues të frekuencës dhe periodës së ndryshimit (rritje / ulje) n</vt:lpstr>
      <vt:lpstr>All Continental Europe TSOs’ proposal for Common settlement rules for intended exchanges  as a result of the frequency containment process and ramping period in accordance with the Article 50(3) of Commission Regulation (EU) 2017/2195 of 23 November 2017 </vt:lpstr>
      <vt:lpstr>All Continental Europe TSOs’ proposal for common settlement rules for intended exchanges  as a result of the frequency containment process and ramping period and all unintended exchanges of energy in accordance with the Articles 50(3) and 51(1) of Commiss</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Capacity Calculation Regions (CCRs)</vt:lpstr>
      <vt:lpstr>All TSOs’ proposal for Capacity Calculation Regions (CCRs)</vt:lpstr>
    </vt:vector>
  </TitlesOfParts>
  <Company>HP</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Propozimi i të gjitha TSO-ve kontinentale evropiane për rregullat e përbashkëta të barazimit përfundimtar për shkëmbimet e qëllimshme të energjisë si rezultat i procesit të rregullimit stabilizues të frekuencës dhe periodës së ndryshimit (rritje / ulje) në përputhje me Nenin 50 (3) të Rregullores së Komisionit (BE) 2017/2195 të 23 Nëntorit 2017  që është rregullore udhëzuese mbi balancimin e energjisë elektrike</dc:title>
  <dc:creator>Ricardo Renedo Williams</dc:creator>
  <cp:keywords>FSkar</cp:keywords>
  <cp:lastModifiedBy>Safete Kelmendi</cp:lastModifiedBy>
  <cp:revision>40</cp:revision>
  <cp:lastPrinted>2018-08-17T12:46:00Z</cp:lastPrinted>
  <dcterms:created xsi:type="dcterms:W3CDTF">2021-03-01T09:13:00Z</dcterms:created>
  <dcterms:modified xsi:type="dcterms:W3CDTF">2021-03-16T10:00:00Z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0x010100E78F28BAA2DB4747B4331BFFF894C5CF</vt:lpwstr>
  </property>
  <property fmtid="{D5CDD505-2E9C-101B-9397-08002B2CF9AE}" pid="4" name="TaxKeyword">
    <vt:lpwstr>1571;#DAFD|9e4f8ea4-3fcb-4dc8-9a4a-5500079119a0</vt:lpwstr>
  </property>
  <property fmtid="{D5CDD505-2E9C-101B-9397-08002B2CF9AE}" pid="5" name="m21e1f176c4a4ad491d679d83442a8a3">
    <vt:lpwstr/>
  </property>
  <property fmtid="{D5CDD505-2E9C-101B-9397-08002B2CF9AE}" pid="6" name="b">
    <vt:lpwstr/>
  </property>
</Properties>
</file>