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F8" w:rsidRPr="00EC4212" w:rsidRDefault="00E807F8" w:rsidP="00E807F8">
      <w:pPr>
        <w:pStyle w:val="BodyText"/>
        <w:rPr>
          <w:rFonts w:asciiTheme="minorHAnsi" w:hAnsiTheme="minorHAnsi"/>
          <w:lang w:val="en-GB"/>
        </w:rPr>
      </w:pPr>
      <w:bookmarkStart w:id="0" w:name="_GoBack"/>
      <w:bookmarkEnd w:id="0"/>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sz w:val="28"/>
          <w:szCs w:val="28"/>
          <w:lang w:val="en-GB"/>
        </w:rPr>
      </w:pPr>
      <w:r w:rsidRPr="00EC4212">
        <w:rPr>
          <w:rFonts w:asciiTheme="minorHAnsi" w:hAnsiTheme="minorHAnsi"/>
          <w:b/>
          <w:sz w:val="28"/>
          <w:szCs w:val="28"/>
          <w:lang w:val="en-GB"/>
        </w:rPr>
        <w:t>REGULATORY REPORT</w:t>
      </w:r>
    </w:p>
    <w:p w:rsidR="00E807F8" w:rsidRPr="00EC421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lang w:val="en-GB"/>
        </w:rPr>
      </w:pPr>
      <w:r w:rsidRPr="00EC4212">
        <w:rPr>
          <w:rFonts w:asciiTheme="minorHAnsi" w:hAnsiTheme="minorHAnsi"/>
          <w:b/>
          <w:lang w:val="en-GB"/>
        </w:rPr>
        <w:t>Determination of Maximum Allowed Revenues for District Heating Termokos J</w:t>
      </w:r>
      <w:r w:rsidR="00F1737B" w:rsidRPr="00EC4212">
        <w:rPr>
          <w:rFonts w:asciiTheme="minorHAnsi" w:hAnsiTheme="minorHAnsi"/>
          <w:b/>
          <w:lang w:val="en-GB"/>
        </w:rPr>
        <w:t>.</w:t>
      </w:r>
      <w:r w:rsidRPr="00EC4212">
        <w:rPr>
          <w:rFonts w:asciiTheme="minorHAnsi" w:hAnsiTheme="minorHAnsi"/>
          <w:b/>
          <w:lang w:val="en-GB"/>
        </w:rPr>
        <w:t>S</w:t>
      </w:r>
      <w:r w:rsidR="00F1737B" w:rsidRPr="00EC4212">
        <w:rPr>
          <w:rFonts w:asciiTheme="minorHAnsi" w:hAnsiTheme="minorHAnsi"/>
          <w:b/>
          <w:lang w:val="en-GB"/>
        </w:rPr>
        <w:t>.</w:t>
      </w:r>
      <w:r w:rsidRPr="00EC4212">
        <w:rPr>
          <w:rFonts w:asciiTheme="minorHAnsi" w:hAnsiTheme="minorHAnsi"/>
          <w:b/>
          <w:lang w:val="en-GB"/>
        </w:rPr>
        <w:t>C.</w:t>
      </w:r>
    </w:p>
    <w:p w:rsidR="00E807F8" w:rsidRPr="00EC421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lang w:val="en-GB"/>
        </w:rPr>
      </w:pPr>
      <w:r w:rsidRPr="00EC4212">
        <w:rPr>
          <w:rFonts w:asciiTheme="minorHAnsi" w:hAnsiTheme="minorHAnsi"/>
          <w:b/>
          <w:lang w:val="en-GB"/>
        </w:rPr>
        <w:t>Heating Season 2020/2021</w:t>
      </w:r>
    </w:p>
    <w:p w:rsidR="00E807F8" w:rsidRPr="00EC421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lang w:val="en-GB"/>
        </w:rPr>
      </w:pPr>
    </w:p>
    <w:p w:rsidR="00E807F8" w:rsidRPr="00EC4212" w:rsidRDefault="0064283F" w:rsidP="007A640E">
      <w:pPr>
        <w:pStyle w:val="BodyText"/>
        <w:pBdr>
          <w:top w:val="single" w:sz="4" w:space="1" w:color="auto"/>
          <w:left w:val="single" w:sz="4" w:space="4" w:color="auto"/>
          <w:bottom w:val="single" w:sz="4" w:space="1" w:color="auto"/>
          <w:right w:val="single" w:sz="4" w:space="4" w:color="auto"/>
        </w:pBdr>
        <w:jc w:val="center"/>
        <w:rPr>
          <w:rFonts w:asciiTheme="minorHAnsi" w:hAnsiTheme="minorHAnsi"/>
          <w:i/>
          <w:lang w:val="en-GB"/>
        </w:rPr>
      </w:pPr>
      <w:r w:rsidRPr="00EC4212">
        <w:rPr>
          <w:rFonts w:asciiTheme="minorHAnsi" w:hAnsiTheme="minorHAnsi"/>
          <w:i/>
          <w:lang w:val="en-GB"/>
        </w:rPr>
        <w:t xml:space="preserve">/Draft for </w:t>
      </w:r>
      <w:r w:rsidR="00F1737B" w:rsidRPr="00EC4212">
        <w:rPr>
          <w:rFonts w:asciiTheme="minorHAnsi" w:hAnsiTheme="minorHAnsi"/>
          <w:i/>
          <w:lang w:val="en-GB"/>
        </w:rPr>
        <w:t>Public Consultation</w:t>
      </w:r>
      <w:r w:rsidRPr="00EC4212">
        <w:rPr>
          <w:rFonts w:asciiTheme="minorHAnsi" w:hAnsiTheme="minorHAnsi"/>
          <w:i/>
          <w:lang w:val="en-GB"/>
        </w:rPr>
        <w:t>/</w:t>
      </w: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05432A" w:rsidRPr="00EC4212" w:rsidRDefault="0005432A" w:rsidP="0005432A">
      <w:pPr>
        <w:pStyle w:val="BodyText"/>
        <w:rPr>
          <w:noProof/>
          <w:lang w:val="en-GB"/>
        </w:rPr>
      </w:pPr>
    </w:p>
    <w:p w:rsidR="008256C8" w:rsidRPr="00EC4212" w:rsidRDefault="008256C8" w:rsidP="0005432A">
      <w:pPr>
        <w:pStyle w:val="BodyText"/>
        <w:rPr>
          <w:noProof/>
          <w:lang w:val="en-GB"/>
        </w:rPr>
      </w:pPr>
    </w:p>
    <w:p w:rsidR="008256C8" w:rsidRPr="00EC4212" w:rsidRDefault="008256C8" w:rsidP="0005432A">
      <w:pPr>
        <w:pStyle w:val="BodyText"/>
        <w:rPr>
          <w:noProof/>
          <w:lang w:val="en-GB"/>
        </w:rPr>
      </w:pPr>
    </w:p>
    <w:p w:rsidR="008256C8" w:rsidRPr="00EC4212" w:rsidRDefault="008256C8" w:rsidP="0005432A">
      <w:pPr>
        <w:pStyle w:val="BodyText"/>
        <w:rPr>
          <w:noProof/>
          <w:lang w:val="en-GB"/>
        </w:rPr>
      </w:pPr>
    </w:p>
    <w:p w:rsidR="008256C8" w:rsidRPr="00EC4212" w:rsidRDefault="008256C8" w:rsidP="0005432A">
      <w:pPr>
        <w:pStyle w:val="BodyText"/>
        <w:rPr>
          <w:noProof/>
          <w:lang w:val="en-GB"/>
        </w:rPr>
      </w:pPr>
    </w:p>
    <w:p w:rsidR="008256C8" w:rsidRPr="00EC4212" w:rsidRDefault="008256C8" w:rsidP="0005432A">
      <w:pPr>
        <w:pStyle w:val="BodyText"/>
        <w:rPr>
          <w:noProof/>
          <w:lang w:val="en-GB"/>
        </w:rPr>
      </w:pPr>
    </w:p>
    <w:p w:rsidR="008256C8" w:rsidRPr="00EC4212" w:rsidRDefault="008256C8" w:rsidP="0005432A">
      <w:pPr>
        <w:pStyle w:val="BodyText"/>
        <w:rPr>
          <w:noProof/>
          <w:lang w:val="en-GB"/>
        </w:rPr>
      </w:pPr>
    </w:p>
    <w:p w:rsidR="008256C8" w:rsidRPr="00EC4212" w:rsidRDefault="008256C8" w:rsidP="0005432A">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3D5EBE" w:rsidRPr="00EC4212" w:rsidRDefault="003D5EBE" w:rsidP="00E807F8">
      <w:pPr>
        <w:pStyle w:val="BodyText"/>
        <w:rPr>
          <w:rFonts w:asciiTheme="minorHAnsi" w:hAnsiTheme="minorHAnsi"/>
          <w:lang w:val="en-GB"/>
        </w:rPr>
      </w:pPr>
    </w:p>
    <w:p w:rsidR="00E807F8" w:rsidRPr="00EC4212" w:rsidRDefault="00E807F8" w:rsidP="00E807F8">
      <w:pPr>
        <w:pStyle w:val="BodyText"/>
        <w:rPr>
          <w:rFonts w:asciiTheme="minorHAnsi" w:hAnsiTheme="minorHAnsi"/>
          <w:lang w:val="en-GB"/>
        </w:rPr>
      </w:pPr>
    </w:p>
    <w:p w:rsidR="00E807F8" w:rsidRPr="00EC4212" w:rsidRDefault="00E807F8" w:rsidP="00E807F8">
      <w:pPr>
        <w:pStyle w:val="BodyText"/>
        <w:jc w:val="center"/>
        <w:rPr>
          <w:rFonts w:asciiTheme="minorHAnsi" w:hAnsiTheme="minorHAnsi"/>
          <w:lang w:val="en-GB"/>
        </w:rPr>
      </w:pPr>
      <w:r w:rsidRPr="00EC4212">
        <w:rPr>
          <w:rFonts w:asciiTheme="minorHAnsi" w:hAnsiTheme="minorHAnsi"/>
          <w:lang w:val="en-GB"/>
        </w:rPr>
        <w:t>Prishtina, September 2020</w:t>
      </w:r>
    </w:p>
    <w:p w:rsidR="00E807F8" w:rsidRPr="00EC4212" w:rsidRDefault="00E807F8" w:rsidP="00E807F8">
      <w:pPr>
        <w:pStyle w:val="BodyText"/>
        <w:rPr>
          <w:rFonts w:asciiTheme="minorHAnsi" w:hAnsiTheme="minorHAnsi"/>
          <w:lang w:val="en-GB"/>
        </w:rPr>
      </w:pPr>
      <w:r w:rsidRPr="00EC4212">
        <w:rPr>
          <w:rFonts w:asciiTheme="minorHAnsi" w:hAnsiTheme="minorHAnsi"/>
          <w:lang w:val="en-GB"/>
        </w:rPr>
        <w:lastRenderedPageBreak/>
        <w:t>CONTENTS</w:t>
      </w:r>
    </w:p>
    <w:sdt>
      <w:sdtPr>
        <w:rPr>
          <w:rStyle w:val="Hyperlink"/>
          <w:rFonts w:ascii="Times New Roman" w:hAnsi="Times New Roman"/>
          <w:b w:val="0"/>
          <w:bCs w:val="0"/>
          <w:noProof/>
          <w:sz w:val="20"/>
          <w:szCs w:val="24"/>
          <w:u w:val="none"/>
          <w:lang w:val="en-GB"/>
        </w:rPr>
        <w:id w:val="29658630"/>
        <w:docPartObj>
          <w:docPartGallery w:val="Table of Contents"/>
          <w:docPartUnique/>
        </w:docPartObj>
      </w:sdtPr>
      <w:sdtEndPr>
        <w:rPr>
          <w:rStyle w:val="Hyperlink"/>
          <w:rFonts w:asciiTheme="minorHAnsi" w:hAnsiTheme="minorHAnsi"/>
          <w:sz w:val="24"/>
        </w:rPr>
      </w:sdtEndPr>
      <w:sdtContent>
        <w:p w:rsidR="00872F75" w:rsidRPr="00EC4212" w:rsidRDefault="00872F75" w:rsidP="00F1737B">
          <w:pPr>
            <w:pStyle w:val="TOCHeading"/>
            <w:spacing w:before="0" w:line="276" w:lineRule="auto"/>
            <w:rPr>
              <w:rStyle w:val="Hyperlink"/>
              <w:rFonts w:ascii="Times New Roman" w:hAnsi="Times New Roman"/>
              <w:b w:val="0"/>
              <w:bCs w:val="0"/>
              <w:noProof/>
              <w:sz w:val="20"/>
              <w:szCs w:val="24"/>
              <w:u w:val="none"/>
              <w:lang w:val="en-GB"/>
            </w:rPr>
          </w:pPr>
        </w:p>
        <w:p w:rsidR="00F1737B" w:rsidRPr="00EC4212" w:rsidRDefault="00872F75" w:rsidP="00EC4212">
          <w:pPr>
            <w:pStyle w:val="TOC1"/>
            <w:spacing w:line="360" w:lineRule="auto"/>
            <w:rPr>
              <w:rFonts w:eastAsiaTheme="minorEastAsia" w:cstheme="minorBidi"/>
              <w:lang w:val="en-GB"/>
            </w:rPr>
          </w:pPr>
          <w:r w:rsidRPr="00EC4212">
            <w:rPr>
              <w:rStyle w:val="Hyperlink"/>
              <w:rFonts w:cs="Times New Roman"/>
              <w:b/>
              <w:i/>
              <w:sz w:val="24"/>
              <w:szCs w:val="24"/>
              <w:u w:val="none"/>
              <w:lang w:val="en-GB"/>
            </w:rPr>
            <w:fldChar w:fldCharType="begin"/>
          </w:r>
          <w:r w:rsidRPr="00EC4212">
            <w:rPr>
              <w:rStyle w:val="Hyperlink"/>
              <w:rFonts w:cs="Times New Roman"/>
              <w:b/>
              <w:i/>
              <w:sz w:val="24"/>
              <w:szCs w:val="24"/>
              <w:u w:val="none"/>
              <w:lang w:val="en-GB"/>
            </w:rPr>
            <w:instrText xml:space="preserve"> TOC \o "1-3" \h \z \u </w:instrText>
          </w:r>
          <w:r w:rsidRPr="00EC4212">
            <w:rPr>
              <w:rStyle w:val="Hyperlink"/>
              <w:rFonts w:cs="Times New Roman"/>
              <w:b/>
              <w:i/>
              <w:sz w:val="24"/>
              <w:szCs w:val="24"/>
              <w:u w:val="none"/>
              <w:lang w:val="en-GB"/>
            </w:rPr>
            <w:fldChar w:fldCharType="separate"/>
          </w:r>
          <w:hyperlink w:anchor="_Toc52186221" w:history="1">
            <w:r w:rsidR="00F1737B" w:rsidRPr="00EC4212">
              <w:rPr>
                <w:rStyle w:val="Hyperlink"/>
                <w:lang w:val="en-GB"/>
              </w:rPr>
              <w:t>1</w:t>
            </w:r>
            <w:r w:rsidR="00F1737B" w:rsidRPr="00EC4212">
              <w:rPr>
                <w:rFonts w:eastAsiaTheme="minorEastAsia" w:cstheme="minorBidi"/>
                <w:lang w:val="en-GB"/>
              </w:rPr>
              <w:tab/>
            </w:r>
            <w:r w:rsidR="00F1737B" w:rsidRPr="00EC4212">
              <w:rPr>
                <w:rStyle w:val="Hyperlink"/>
                <w:lang w:val="en-GB"/>
              </w:rPr>
              <w:t>Introduction</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_Toc52186221 \h </w:instrText>
            </w:r>
            <w:r w:rsidR="00F1737B" w:rsidRPr="00EC4212">
              <w:rPr>
                <w:webHidden/>
                <w:lang w:val="en-GB"/>
              </w:rPr>
            </w:r>
            <w:r w:rsidR="00F1737B" w:rsidRPr="00EC4212">
              <w:rPr>
                <w:webHidden/>
                <w:lang w:val="en-GB"/>
              </w:rPr>
              <w:fldChar w:fldCharType="separate"/>
            </w:r>
            <w:r w:rsidR="00F1737B" w:rsidRPr="00EC4212">
              <w:rPr>
                <w:webHidden/>
                <w:lang w:val="en-GB"/>
              </w:rPr>
              <w:t>3</w:t>
            </w:r>
            <w:r w:rsidR="00F1737B" w:rsidRPr="00EC4212">
              <w:rPr>
                <w:webHidden/>
                <w:lang w:val="en-GB"/>
              </w:rPr>
              <w:fldChar w:fldCharType="end"/>
            </w:r>
          </w:hyperlink>
        </w:p>
        <w:p w:rsidR="00F1737B" w:rsidRPr="00EC4212" w:rsidRDefault="00A34C30" w:rsidP="00EC4212">
          <w:pPr>
            <w:pStyle w:val="TOC1"/>
            <w:spacing w:line="360" w:lineRule="auto"/>
            <w:rPr>
              <w:rFonts w:eastAsiaTheme="minorEastAsia" w:cstheme="minorBidi"/>
              <w:lang w:val="en-GB"/>
            </w:rPr>
          </w:pPr>
          <w:hyperlink w:anchor="_Toc52186222" w:history="1">
            <w:r w:rsidR="00F1737B" w:rsidRPr="00EC4212">
              <w:rPr>
                <w:rStyle w:val="Hyperlink"/>
                <w:lang w:val="en-GB"/>
              </w:rPr>
              <w:t>2</w:t>
            </w:r>
            <w:r w:rsidR="00F1737B" w:rsidRPr="00EC4212">
              <w:rPr>
                <w:rFonts w:eastAsiaTheme="minorEastAsia" w:cstheme="minorBidi"/>
                <w:lang w:val="en-GB"/>
              </w:rPr>
              <w:tab/>
            </w:r>
            <w:r w:rsidR="00F1737B" w:rsidRPr="00EC4212">
              <w:rPr>
                <w:rStyle w:val="Hyperlink"/>
                <w:lang w:val="en-GB"/>
              </w:rPr>
              <w:t>Principles and Formulation of Tariff Methodology</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_Toc52186222 \h </w:instrText>
            </w:r>
            <w:r w:rsidR="00F1737B" w:rsidRPr="00EC4212">
              <w:rPr>
                <w:webHidden/>
                <w:lang w:val="en-GB"/>
              </w:rPr>
            </w:r>
            <w:r w:rsidR="00F1737B" w:rsidRPr="00EC4212">
              <w:rPr>
                <w:webHidden/>
                <w:lang w:val="en-GB"/>
              </w:rPr>
              <w:fldChar w:fldCharType="separate"/>
            </w:r>
            <w:r w:rsidR="00F1737B" w:rsidRPr="00EC4212">
              <w:rPr>
                <w:webHidden/>
                <w:lang w:val="en-GB"/>
              </w:rPr>
              <w:t>4</w:t>
            </w:r>
            <w:r w:rsidR="00F1737B" w:rsidRPr="00EC4212">
              <w:rPr>
                <w:webHidden/>
                <w:lang w:val="en-GB"/>
              </w:rPr>
              <w:fldChar w:fldCharType="end"/>
            </w:r>
          </w:hyperlink>
        </w:p>
        <w:p w:rsidR="00F1737B" w:rsidRPr="00EC4212" w:rsidRDefault="00A34C30" w:rsidP="00EC4212">
          <w:pPr>
            <w:pStyle w:val="TOC1"/>
            <w:spacing w:line="360" w:lineRule="auto"/>
            <w:rPr>
              <w:rFonts w:eastAsiaTheme="minorEastAsia" w:cstheme="minorBidi"/>
              <w:lang w:val="en-GB"/>
            </w:rPr>
          </w:pPr>
          <w:hyperlink w:anchor="_Toc52186224" w:history="1">
            <w:r w:rsidR="00F1737B" w:rsidRPr="00EC4212">
              <w:rPr>
                <w:rStyle w:val="Hyperlink"/>
                <w:lang w:val="en-GB"/>
              </w:rPr>
              <w:t>3</w:t>
            </w:r>
            <w:r w:rsidR="00F1737B" w:rsidRPr="00EC4212">
              <w:rPr>
                <w:rFonts w:eastAsiaTheme="minorEastAsia" w:cstheme="minorBidi"/>
                <w:lang w:val="en-GB"/>
              </w:rPr>
              <w:tab/>
            </w:r>
            <w:r w:rsidR="00F1737B" w:rsidRPr="00EC4212">
              <w:rPr>
                <w:rStyle w:val="Hyperlink"/>
                <w:lang w:val="en-GB"/>
              </w:rPr>
              <w:t>Determination of Allowed Revenues</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_Toc52186224 \h </w:instrText>
            </w:r>
            <w:r w:rsidR="00F1737B" w:rsidRPr="00EC4212">
              <w:rPr>
                <w:webHidden/>
                <w:lang w:val="en-GB"/>
              </w:rPr>
            </w:r>
            <w:r w:rsidR="00F1737B" w:rsidRPr="00EC4212">
              <w:rPr>
                <w:webHidden/>
                <w:lang w:val="en-GB"/>
              </w:rPr>
              <w:fldChar w:fldCharType="separate"/>
            </w:r>
            <w:r w:rsidR="00F1737B" w:rsidRPr="00EC4212">
              <w:rPr>
                <w:webHidden/>
                <w:lang w:val="en-GB"/>
              </w:rPr>
              <w:t>6</w:t>
            </w:r>
            <w:r w:rsidR="00F1737B" w:rsidRPr="00EC4212">
              <w:rPr>
                <w:webHidden/>
                <w:lang w:val="en-GB"/>
              </w:rPr>
              <w:fldChar w:fldCharType="end"/>
            </w:r>
          </w:hyperlink>
        </w:p>
        <w:p w:rsidR="00F1737B" w:rsidRPr="00EC4212" w:rsidRDefault="00A34C30" w:rsidP="00EC4212">
          <w:pPr>
            <w:pStyle w:val="TOC2"/>
            <w:spacing w:after="0" w:line="360" w:lineRule="auto"/>
            <w:rPr>
              <w:rFonts w:eastAsiaTheme="minorEastAsia" w:cstheme="minorBidi"/>
              <w:lang w:val="en-GB"/>
            </w:rPr>
          </w:pPr>
          <w:hyperlink w:anchor="_Toc52186225" w:history="1">
            <w:r w:rsidR="00F1737B" w:rsidRPr="00EC4212">
              <w:rPr>
                <w:rStyle w:val="Hyperlink"/>
                <w:lang w:val="en-GB"/>
              </w:rPr>
              <w:t>3.1</w:t>
            </w:r>
            <w:r w:rsidR="00F1737B" w:rsidRPr="00EC4212">
              <w:rPr>
                <w:rFonts w:eastAsiaTheme="minorEastAsia" w:cstheme="minorBidi"/>
                <w:lang w:val="en-GB"/>
              </w:rPr>
              <w:tab/>
            </w:r>
            <w:r w:rsidR="00F1737B" w:rsidRPr="00EC4212">
              <w:rPr>
                <w:rStyle w:val="Hyperlink"/>
                <w:lang w:val="en-GB"/>
              </w:rPr>
              <w:t>Evaluation and determination of allowed operational costs</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_Toc52186225 \h </w:instrText>
            </w:r>
            <w:r w:rsidR="00F1737B" w:rsidRPr="00EC4212">
              <w:rPr>
                <w:webHidden/>
                <w:lang w:val="en-GB"/>
              </w:rPr>
            </w:r>
            <w:r w:rsidR="00F1737B" w:rsidRPr="00EC4212">
              <w:rPr>
                <w:webHidden/>
                <w:lang w:val="en-GB"/>
              </w:rPr>
              <w:fldChar w:fldCharType="separate"/>
            </w:r>
            <w:r w:rsidR="00F1737B" w:rsidRPr="00EC4212">
              <w:rPr>
                <w:webHidden/>
                <w:lang w:val="en-GB"/>
              </w:rPr>
              <w:t>7</w:t>
            </w:r>
            <w:r w:rsidR="00F1737B" w:rsidRPr="00EC4212">
              <w:rPr>
                <w:webHidden/>
                <w:lang w:val="en-GB"/>
              </w:rPr>
              <w:fldChar w:fldCharType="end"/>
            </w:r>
          </w:hyperlink>
        </w:p>
        <w:p w:rsidR="00F1737B" w:rsidRPr="00EC4212" w:rsidRDefault="00A34C30" w:rsidP="00EC4212">
          <w:pPr>
            <w:pStyle w:val="TOC2"/>
            <w:spacing w:after="0" w:line="360" w:lineRule="auto"/>
            <w:rPr>
              <w:rFonts w:eastAsiaTheme="minorEastAsia" w:cstheme="minorBidi"/>
              <w:lang w:val="en-GB"/>
            </w:rPr>
          </w:pPr>
          <w:hyperlink w:anchor="_Toc52186228" w:history="1">
            <w:r w:rsidR="00F1737B" w:rsidRPr="00EC4212">
              <w:rPr>
                <w:rStyle w:val="Hyperlink"/>
                <w:lang w:val="en-GB"/>
              </w:rPr>
              <w:t>3.2</w:t>
            </w:r>
            <w:r w:rsidR="00F1737B" w:rsidRPr="00EC4212">
              <w:rPr>
                <w:rFonts w:eastAsiaTheme="minorEastAsia" w:cstheme="minorBidi"/>
                <w:lang w:val="en-GB"/>
              </w:rPr>
              <w:tab/>
            </w:r>
            <w:r w:rsidR="00F1737B" w:rsidRPr="00EC4212">
              <w:rPr>
                <w:rStyle w:val="Hyperlink"/>
                <w:lang w:val="en-GB"/>
              </w:rPr>
              <w:t>Determination of the Regulatory Asset Base (RAB)</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_Toc52186228 \h </w:instrText>
            </w:r>
            <w:r w:rsidR="00F1737B" w:rsidRPr="00EC4212">
              <w:rPr>
                <w:webHidden/>
                <w:lang w:val="en-GB"/>
              </w:rPr>
            </w:r>
            <w:r w:rsidR="00F1737B" w:rsidRPr="00EC4212">
              <w:rPr>
                <w:webHidden/>
                <w:lang w:val="en-GB"/>
              </w:rPr>
              <w:fldChar w:fldCharType="separate"/>
            </w:r>
            <w:r w:rsidR="00F1737B" w:rsidRPr="00EC4212">
              <w:rPr>
                <w:webHidden/>
                <w:lang w:val="en-GB"/>
              </w:rPr>
              <w:t>15</w:t>
            </w:r>
            <w:r w:rsidR="00F1737B" w:rsidRPr="00EC4212">
              <w:rPr>
                <w:webHidden/>
                <w:lang w:val="en-GB"/>
              </w:rPr>
              <w:fldChar w:fldCharType="end"/>
            </w:r>
          </w:hyperlink>
        </w:p>
        <w:p w:rsidR="00F1737B" w:rsidRPr="00EC4212" w:rsidRDefault="00A34C30" w:rsidP="00EC4212">
          <w:pPr>
            <w:pStyle w:val="TOC3"/>
            <w:tabs>
              <w:tab w:val="right" w:leader="dot" w:pos="9063"/>
            </w:tabs>
            <w:spacing w:after="0" w:line="360" w:lineRule="auto"/>
            <w:rPr>
              <w:rFonts w:asciiTheme="minorHAnsi" w:eastAsiaTheme="minorEastAsia" w:hAnsiTheme="minorHAnsi" w:cstheme="minorBidi"/>
              <w:noProof/>
              <w:sz w:val="22"/>
              <w:szCs w:val="22"/>
              <w:lang w:val="en-GB"/>
            </w:rPr>
          </w:pPr>
          <w:hyperlink w:anchor="_Toc52186229" w:history="1">
            <w:r w:rsidR="00F1737B" w:rsidRPr="00EC4212">
              <w:rPr>
                <w:rStyle w:val="Hyperlink"/>
                <w:noProof/>
                <w:lang w:val="en-GB"/>
              </w:rPr>
              <w:t>3.2.1 Determination of the Regulatory Initial Asset Base (RABnstart)</w:t>
            </w:r>
            <w:r w:rsidR="00F1737B" w:rsidRPr="00EC4212">
              <w:rPr>
                <w:noProof/>
                <w:webHidden/>
                <w:lang w:val="en-GB"/>
              </w:rPr>
              <w:tab/>
            </w:r>
            <w:r w:rsidR="00F1737B" w:rsidRPr="00EC4212">
              <w:rPr>
                <w:noProof/>
                <w:webHidden/>
                <w:lang w:val="en-GB"/>
              </w:rPr>
              <w:fldChar w:fldCharType="begin"/>
            </w:r>
            <w:r w:rsidR="00F1737B" w:rsidRPr="00EC4212">
              <w:rPr>
                <w:noProof/>
                <w:webHidden/>
                <w:lang w:val="en-GB"/>
              </w:rPr>
              <w:instrText xml:space="preserve"> PAGEREF _Toc52186229 \h </w:instrText>
            </w:r>
            <w:r w:rsidR="00F1737B" w:rsidRPr="00EC4212">
              <w:rPr>
                <w:noProof/>
                <w:webHidden/>
                <w:lang w:val="en-GB"/>
              </w:rPr>
            </w:r>
            <w:r w:rsidR="00F1737B" w:rsidRPr="00EC4212">
              <w:rPr>
                <w:noProof/>
                <w:webHidden/>
                <w:lang w:val="en-GB"/>
              </w:rPr>
              <w:fldChar w:fldCharType="separate"/>
            </w:r>
            <w:r w:rsidR="00F1737B" w:rsidRPr="00EC4212">
              <w:rPr>
                <w:noProof/>
                <w:webHidden/>
                <w:lang w:val="en-GB"/>
              </w:rPr>
              <w:t>15</w:t>
            </w:r>
            <w:r w:rsidR="00F1737B" w:rsidRPr="00EC4212">
              <w:rPr>
                <w:noProof/>
                <w:webHidden/>
                <w:lang w:val="en-GB"/>
              </w:rPr>
              <w:fldChar w:fldCharType="end"/>
            </w:r>
          </w:hyperlink>
        </w:p>
        <w:p w:rsidR="00F1737B" w:rsidRPr="00EC4212" w:rsidRDefault="00A34C30" w:rsidP="00EC4212">
          <w:pPr>
            <w:pStyle w:val="TOC3"/>
            <w:tabs>
              <w:tab w:val="right" w:leader="dot" w:pos="9063"/>
            </w:tabs>
            <w:spacing w:after="0" w:line="360" w:lineRule="auto"/>
            <w:rPr>
              <w:rFonts w:asciiTheme="minorHAnsi" w:eastAsiaTheme="minorEastAsia" w:hAnsiTheme="minorHAnsi" w:cstheme="minorBidi"/>
              <w:noProof/>
              <w:sz w:val="22"/>
              <w:szCs w:val="22"/>
              <w:lang w:val="en-GB"/>
            </w:rPr>
          </w:pPr>
          <w:hyperlink w:anchor="_Toc52186230" w:history="1">
            <w:r w:rsidR="00F1737B" w:rsidRPr="00EC4212">
              <w:rPr>
                <w:rStyle w:val="Hyperlink"/>
                <w:noProof/>
                <w:lang w:val="en-GB"/>
              </w:rPr>
              <w:t>3.2.2 Determination of New Allowed Investments</w:t>
            </w:r>
            <w:r w:rsidR="00F1737B" w:rsidRPr="00EC4212">
              <w:rPr>
                <w:noProof/>
                <w:webHidden/>
                <w:lang w:val="en-GB"/>
              </w:rPr>
              <w:tab/>
            </w:r>
            <w:r w:rsidR="00F1737B" w:rsidRPr="00EC4212">
              <w:rPr>
                <w:noProof/>
                <w:webHidden/>
                <w:lang w:val="en-GB"/>
              </w:rPr>
              <w:fldChar w:fldCharType="begin"/>
            </w:r>
            <w:r w:rsidR="00F1737B" w:rsidRPr="00EC4212">
              <w:rPr>
                <w:noProof/>
                <w:webHidden/>
                <w:lang w:val="en-GB"/>
              </w:rPr>
              <w:instrText xml:space="preserve"> PAGEREF _Toc52186230 \h </w:instrText>
            </w:r>
            <w:r w:rsidR="00F1737B" w:rsidRPr="00EC4212">
              <w:rPr>
                <w:noProof/>
                <w:webHidden/>
                <w:lang w:val="en-GB"/>
              </w:rPr>
            </w:r>
            <w:r w:rsidR="00F1737B" w:rsidRPr="00EC4212">
              <w:rPr>
                <w:noProof/>
                <w:webHidden/>
                <w:lang w:val="en-GB"/>
              </w:rPr>
              <w:fldChar w:fldCharType="separate"/>
            </w:r>
            <w:r w:rsidR="00F1737B" w:rsidRPr="00EC4212">
              <w:rPr>
                <w:noProof/>
                <w:webHidden/>
                <w:lang w:val="en-GB"/>
              </w:rPr>
              <w:t>15</w:t>
            </w:r>
            <w:r w:rsidR="00F1737B" w:rsidRPr="00EC4212">
              <w:rPr>
                <w:noProof/>
                <w:webHidden/>
                <w:lang w:val="en-GB"/>
              </w:rPr>
              <w:fldChar w:fldCharType="end"/>
            </w:r>
          </w:hyperlink>
        </w:p>
        <w:p w:rsidR="00F1737B" w:rsidRPr="00EC4212" w:rsidRDefault="00A34C30" w:rsidP="00EC4212">
          <w:pPr>
            <w:pStyle w:val="TOC3"/>
            <w:tabs>
              <w:tab w:val="right" w:leader="dot" w:pos="9063"/>
            </w:tabs>
            <w:spacing w:after="0" w:line="360" w:lineRule="auto"/>
            <w:rPr>
              <w:rFonts w:asciiTheme="minorHAnsi" w:eastAsiaTheme="minorEastAsia" w:hAnsiTheme="minorHAnsi" w:cstheme="minorBidi"/>
              <w:noProof/>
              <w:sz w:val="22"/>
              <w:szCs w:val="22"/>
              <w:lang w:val="en-GB"/>
            </w:rPr>
          </w:pPr>
          <w:hyperlink w:anchor="_Toc52186231" w:history="1">
            <w:r w:rsidR="00F1737B" w:rsidRPr="00EC4212">
              <w:rPr>
                <w:rStyle w:val="Hyperlink"/>
                <w:noProof/>
                <w:lang w:val="en-GB"/>
              </w:rPr>
              <w:t>3.2.3 Determination of Working Capital</w:t>
            </w:r>
            <w:r w:rsidR="00F1737B" w:rsidRPr="00EC4212">
              <w:rPr>
                <w:noProof/>
                <w:webHidden/>
                <w:lang w:val="en-GB"/>
              </w:rPr>
              <w:tab/>
            </w:r>
            <w:r w:rsidR="00F1737B" w:rsidRPr="00EC4212">
              <w:rPr>
                <w:noProof/>
                <w:webHidden/>
                <w:lang w:val="en-GB"/>
              </w:rPr>
              <w:fldChar w:fldCharType="begin"/>
            </w:r>
            <w:r w:rsidR="00F1737B" w:rsidRPr="00EC4212">
              <w:rPr>
                <w:noProof/>
                <w:webHidden/>
                <w:lang w:val="en-GB"/>
              </w:rPr>
              <w:instrText xml:space="preserve"> PAGEREF _Toc52186231 \h </w:instrText>
            </w:r>
            <w:r w:rsidR="00F1737B" w:rsidRPr="00EC4212">
              <w:rPr>
                <w:noProof/>
                <w:webHidden/>
                <w:lang w:val="en-GB"/>
              </w:rPr>
            </w:r>
            <w:r w:rsidR="00F1737B" w:rsidRPr="00EC4212">
              <w:rPr>
                <w:noProof/>
                <w:webHidden/>
                <w:lang w:val="en-GB"/>
              </w:rPr>
              <w:fldChar w:fldCharType="separate"/>
            </w:r>
            <w:r w:rsidR="00F1737B" w:rsidRPr="00EC4212">
              <w:rPr>
                <w:noProof/>
                <w:webHidden/>
                <w:lang w:val="en-GB"/>
              </w:rPr>
              <w:t>18</w:t>
            </w:r>
            <w:r w:rsidR="00F1737B" w:rsidRPr="00EC4212">
              <w:rPr>
                <w:noProof/>
                <w:webHidden/>
                <w:lang w:val="en-GB"/>
              </w:rPr>
              <w:fldChar w:fldCharType="end"/>
            </w:r>
          </w:hyperlink>
        </w:p>
        <w:p w:rsidR="00F1737B" w:rsidRPr="00EC4212" w:rsidRDefault="00A34C30" w:rsidP="00EC4212">
          <w:pPr>
            <w:pStyle w:val="TOC3"/>
            <w:tabs>
              <w:tab w:val="right" w:leader="dot" w:pos="9063"/>
            </w:tabs>
            <w:spacing w:after="0" w:line="360" w:lineRule="auto"/>
            <w:rPr>
              <w:rFonts w:asciiTheme="minorHAnsi" w:eastAsiaTheme="minorEastAsia" w:hAnsiTheme="minorHAnsi" w:cstheme="minorBidi"/>
              <w:noProof/>
              <w:sz w:val="22"/>
              <w:szCs w:val="22"/>
              <w:lang w:val="en-GB"/>
            </w:rPr>
          </w:pPr>
          <w:hyperlink w:anchor="_Toc52186232" w:history="1">
            <w:r w:rsidR="00F1737B" w:rsidRPr="00EC4212">
              <w:rPr>
                <w:rStyle w:val="Hyperlink"/>
                <w:noProof/>
                <w:lang w:val="en-GB"/>
              </w:rPr>
              <w:t>3.2.4 Annual Depreciation of Assets - realized in the season 2019/20 ('n-1')</w:t>
            </w:r>
            <w:r w:rsidR="00F1737B" w:rsidRPr="00EC4212">
              <w:rPr>
                <w:noProof/>
                <w:webHidden/>
                <w:lang w:val="en-GB"/>
              </w:rPr>
              <w:tab/>
            </w:r>
            <w:r w:rsidR="00F1737B" w:rsidRPr="00EC4212">
              <w:rPr>
                <w:noProof/>
                <w:webHidden/>
                <w:lang w:val="en-GB"/>
              </w:rPr>
              <w:fldChar w:fldCharType="begin"/>
            </w:r>
            <w:r w:rsidR="00F1737B" w:rsidRPr="00EC4212">
              <w:rPr>
                <w:noProof/>
                <w:webHidden/>
                <w:lang w:val="en-GB"/>
              </w:rPr>
              <w:instrText xml:space="preserve"> PAGEREF _Toc52186232 \h </w:instrText>
            </w:r>
            <w:r w:rsidR="00F1737B" w:rsidRPr="00EC4212">
              <w:rPr>
                <w:noProof/>
                <w:webHidden/>
                <w:lang w:val="en-GB"/>
              </w:rPr>
            </w:r>
            <w:r w:rsidR="00F1737B" w:rsidRPr="00EC4212">
              <w:rPr>
                <w:noProof/>
                <w:webHidden/>
                <w:lang w:val="en-GB"/>
              </w:rPr>
              <w:fldChar w:fldCharType="separate"/>
            </w:r>
            <w:r w:rsidR="00F1737B" w:rsidRPr="00EC4212">
              <w:rPr>
                <w:noProof/>
                <w:webHidden/>
                <w:lang w:val="en-GB"/>
              </w:rPr>
              <w:t>18</w:t>
            </w:r>
            <w:r w:rsidR="00F1737B" w:rsidRPr="00EC4212">
              <w:rPr>
                <w:noProof/>
                <w:webHidden/>
                <w:lang w:val="en-GB"/>
              </w:rPr>
              <w:fldChar w:fldCharType="end"/>
            </w:r>
          </w:hyperlink>
        </w:p>
        <w:p w:rsidR="00F1737B" w:rsidRPr="00EC4212" w:rsidRDefault="00A34C30" w:rsidP="00EC4212">
          <w:pPr>
            <w:pStyle w:val="TOC3"/>
            <w:tabs>
              <w:tab w:val="right" w:leader="dot" w:pos="9063"/>
            </w:tabs>
            <w:spacing w:after="0" w:line="360" w:lineRule="auto"/>
            <w:rPr>
              <w:rFonts w:asciiTheme="minorHAnsi" w:eastAsiaTheme="minorEastAsia" w:hAnsiTheme="minorHAnsi" w:cstheme="minorBidi"/>
              <w:noProof/>
              <w:sz w:val="22"/>
              <w:szCs w:val="22"/>
              <w:lang w:val="en-GB"/>
            </w:rPr>
          </w:pPr>
          <w:hyperlink w:anchor="_Toc52186233" w:history="1">
            <w:r w:rsidR="00F1737B" w:rsidRPr="00EC4212">
              <w:rPr>
                <w:rStyle w:val="Hyperlink"/>
                <w:noProof/>
                <w:lang w:val="en-GB"/>
              </w:rPr>
              <w:t>3.2.5  Disposals</w:t>
            </w:r>
            <w:r w:rsidR="00F1737B" w:rsidRPr="00EC4212">
              <w:rPr>
                <w:noProof/>
                <w:webHidden/>
                <w:lang w:val="en-GB"/>
              </w:rPr>
              <w:tab/>
            </w:r>
            <w:r w:rsidR="00F1737B" w:rsidRPr="00EC4212">
              <w:rPr>
                <w:noProof/>
                <w:webHidden/>
                <w:lang w:val="en-GB"/>
              </w:rPr>
              <w:fldChar w:fldCharType="begin"/>
            </w:r>
            <w:r w:rsidR="00F1737B" w:rsidRPr="00EC4212">
              <w:rPr>
                <w:noProof/>
                <w:webHidden/>
                <w:lang w:val="en-GB"/>
              </w:rPr>
              <w:instrText xml:space="preserve"> PAGEREF _Toc52186233 \h </w:instrText>
            </w:r>
            <w:r w:rsidR="00F1737B" w:rsidRPr="00EC4212">
              <w:rPr>
                <w:noProof/>
                <w:webHidden/>
                <w:lang w:val="en-GB"/>
              </w:rPr>
            </w:r>
            <w:r w:rsidR="00F1737B" w:rsidRPr="00EC4212">
              <w:rPr>
                <w:noProof/>
                <w:webHidden/>
                <w:lang w:val="en-GB"/>
              </w:rPr>
              <w:fldChar w:fldCharType="separate"/>
            </w:r>
            <w:r w:rsidR="00F1737B" w:rsidRPr="00EC4212">
              <w:rPr>
                <w:noProof/>
                <w:webHidden/>
                <w:lang w:val="en-GB"/>
              </w:rPr>
              <w:t>18</w:t>
            </w:r>
            <w:r w:rsidR="00F1737B" w:rsidRPr="00EC4212">
              <w:rPr>
                <w:noProof/>
                <w:webHidden/>
                <w:lang w:val="en-GB"/>
              </w:rPr>
              <w:fldChar w:fldCharType="end"/>
            </w:r>
          </w:hyperlink>
        </w:p>
        <w:p w:rsidR="00F1737B" w:rsidRPr="00EC4212" w:rsidRDefault="00A34C30" w:rsidP="00EC4212">
          <w:pPr>
            <w:pStyle w:val="TOC2"/>
            <w:spacing w:after="0" w:line="360" w:lineRule="auto"/>
            <w:rPr>
              <w:rFonts w:eastAsiaTheme="minorEastAsia" w:cstheme="minorBidi"/>
              <w:lang w:val="en-GB"/>
            </w:rPr>
          </w:pPr>
          <w:hyperlink w:anchor="_Toc52186236" w:history="1">
            <w:r w:rsidR="00F1737B" w:rsidRPr="00EC4212">
              <w:rPr>
                <w:rStyle w:val="Hyperlink"/>
                <w:lang w:val="en-GB"/>
              </w:rPr>
              <w:t>3.3</w:t>
            </w:r>
            <w:r w:rsidR="00F1737B" w:rsidRPr="00EC4212">
              <w:rPr>
                <w:rFonts w:eastAsiaTheme="minorEastAsia" w:cstheme="minorBidi"/>
                <w:lang w:val="en-GB"/>
              </w:rPr>
              <w:tab/>
            </w:r>
            <w:r w:rsidR="00F1737B" w:rsidRPr="00EC4212">
              <w:rPr>
                <w:rStyle w:val="Hyperlink"/>
                <w:lang w:val="en-GB"/>
              </w:rPr>
              <w:t>Evaluation and Determination of Annual Depreciation for the season 2020/2021</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_Toc52186236 \h </w:instrText>
            </w:r>
            <w:r w:rsidR="00F1737B" w:rsidRPr="00EC4212">
              <w:rPr>
                <w:webHidden/>
                <w:lang w:val="en-GB"/>
              </w:rPr>
            </w:r>
            <w:r w:rsidR="00F1737B" w:rsidRPr="00EC4212">
              <w:rPr>
                <w:webHidden/>
                <w:lang w:val="en-GB"/>
              </w:rPr>
              <w:fldChar w:fldCharType="separate"/>
            </w:r>
            <w:r w:rsidR="00F1737B" w:rsidRPr="00EC4212">
              <w:rPr>
                <w:webHidden/>
                <w:lang w:val="en-GB"/>
              </w:rPr>
              <w:t>19</w:t>
            </w:r>
            <w:r w:rsidR="00F1737B" w:rsidRPr="00EC4212">
              <w:rPr>
                <w:webHidden/>
                <w:lang w:val="en-GB"/>
              </w:rPr>
              <w:fldChar w:fldCharType="end"/>
            </w:r>
          </w:hyperlink>
        </w:p>
        <w:p w:rsidR="00F1737B" w:rsidRPr="00EC4212" w:rsidRDefault="00A34C30" w:rsidP="00EC4212">
          <w:pPr>
            <w:pStyle w:val="TOC2"/>
            <w:spacing w:after="0" w:line="360" w:lineRule="auto"/>
            <w:rPr>
              <w:rFonts w:eastAsiaTheme="minorEastAsia" w:cstheme="minorBidi"/>
              <w:lang w:val="en-GB"/>
            </w:rPr>
          </w:pPr>
          <w:hyperlink w:anchor="_Toc52186238" w:history="1">
            <w:r w:rsidR="00F1737B" w:rsidRPr="00EC4212">
              <w:rPr>
                <w:rStyle w:val="Hyperlink"/>
                <w:lang w:val="en-GB"/>
              </w:rPr>
              <w:t>3.4</w:t>
            </w:r>
            <w:r w:rsidR="00F1737B" w:rsidRPr="00EC4212">
              <w:rPr>
                <w:rFonts w:eastAsiaTheme="minorEastAsia" w:cstheme="minorBidi"/>
                <w:lang w:val="en-GB"/>
              </w:rPr>
              <w:tab/>
            </w:r>
            <w:r w:rsidR="00F1737B" w:rsidRPr="00EC4212">
              <w:rPr>
                <w:rStyle w:val="Hyperlink"/>
                <w:lang w:val="en-GB"/>
              </w:rPr>
              <w:t>Determination of Allowed Return on RAB (Allowed Profit)</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_Toc52186238 \h </w:instrText>
            </w:r>
            <w:r w:rsidR="00F1737B" w:rsidRPr="00EC4212">
              <w:rPr>
                <w:webHidden/>
                <w:lang w:val="en-GB"/>
              </w:rPr>
            </w:r>
            <w:r w:rsidR="00F1737B" w:rsidRPr="00EC4212">
              <w:rPr>
                <w:webHidden/>
                <w:lang w:val="en-GB"/>
              </w:rPr>
              <w:fldChar w:fldCharType="separate"/>
            </w:r>
            <w:r w:rsidR="00F1737B" w:rsidRPr="00EC4212">
              <w:rPr>
                <w:webHidden/>
                <w:lang w:val="en-GB"/>
              </w:rPr>
              <w:t>20</w:t>
            </w:r>
            <w:r w:rsidR="00F1737B" w:rsidRPr="00EC4212">
              <w:rPr>
                <w:webHidden/>
                <w:lang w:val="en-GB"/>
              </w:rPr>
              <w:fldChar w:fldCharType="end"/>
            </w:r>
          </w:hyperlink>
        </w:p>
        <w:p w:rsidR="00F1737B" w:rsidRPr="00EC4212" w:rsidRDefault="00A34C30" w:rsidP="00EC4212">
          <w:pPr>
            <w:pStyle w:val="TOC2"/>
            <w:spacing w:after="0" w:line="360" w:lineRule="auto"/>
            <w:rPr>
              <w:rFonts w:eastAsiaTheme="minorEastAsia" w:cstheme="minorBidi"/>
              <w:lang w:val="en-GB"/>
            </w:rPr>
          </w:pPr>
          <w:hyperlink w:anchor="_Toc52186241" w:history="1">
            <w:r w:rsidR="00F1737B" w:rsidRPr="00EC4212">
              <w:rPr>
                <w:rStyle w:val="Hyperlink"/>
                <w:lang w:val="en-GB"/>
              </w:rPr>
              <w:t>3.5</w:t>
            </w:r>
            <w:r w:rsidR="00F1737B" w:rsidRPr="00EC4212">
              <w:rPr>
                <w:rFonts w:eastAsiaTheme="minorEastAsia" w:cstheme="minorBidi"/>
                <w:lang w:val="en-GB"/>
              </w:rPr>
              <w:tab/>
            </w:r>
            <w:r w:rsidR="00F1737B" w:rsidRPr="00EC4212">
              <w:rPr>
                <w:rStyle w:val="Hyperlink"/>
                <w:lang w:val="en-GB"/>
              </w:rPr>
              <w:t>Determination of Network Losses Cost</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_Toc52186241 \h </w:instrText>
            </w:r>
            <w:r w:rsidR="00F1737B" w:rsidRPr="00EC4212">
              <w:rPr>
                <w:webHidden/>
                <w:lang w:val="en-GB"/>
              </w:rPr>
            </w:r>
            <w:r w:rsidR="00F1737B" w:rsidRPr="00EC4212">
              <w:rPr>
                <w:webHidden/>
                <w:lang w:val="en-GB"/>
              </w:rPr>
              <w:fldChar w:fldCharType="separate"/>
            </w:r>
            <w:r w:rsidR="00F1737B" w:rsidRPr="00EC4212">
              <w:rPr>
                <w:webHidden/>
                <w:lang w:val="en-GB"/>
              </w:rPr>
              <w:t>23</w:t>
            </w:r>
            <w:r w:rsidR="00F1737B" w:rsidRPr="00EC4212">
              <w:rPr>
                <w:webHidden/>
                <w:lang w:val="en-GB"/>
              </w:rPr>
              <w:fldChar w:fldCharType="end"/>
            </w:r>
          </w:hyperlink>
        </w:p>
        <w:p w:rsidR="00F1737B" w:rsidRPr="00EC4212" w:rsidRDefault="00A34C30" w:rsidP="00EC4212">
          <w:pPr>
            <w:pStyle w:val="TOC2"/>
            <w:spacing w:after="0" w:line="360" w:lineRule="auto"/>
            <w:rPr>
              <w:rFonts w:eastAsiaTheme="minorEastAsia" w:cstheme="minorBidi"/>
              <w:lang w:val="en-GB"/>
            </w:rPr>
          </w:pPr>
          <w:hyperlink w:anchor="_Toc52186242" w:history="1">
            <w:r w:rsidR="00F1737B" w:rsidRPr="00EC4212">
              <w:rPr>
                <w:rStyle w:val="Hyperlink"/>
                <w:lang w:val="en-GB"/>
              </w:rPr>
              <w:t>3.6</w:t>
            </w:r>
            <w:r w:rsidR="00F1737B" w:rsidRPr="00EC4212">
              <w:rPr>
                <w:rFonts w:eastAsiaTheme="minorEastAsia" w:cstheme="minorBidi"/>
                <w:lang w:val="en-GB"/>
              </w:rPr>
              <w:tab/>
            </w:r>
            <w:r w:rsidR="00F1737B" w:rsidRPr="00EC4212">
              <w:rPr>
                <w:rStyle w:val="Hyperlink"/>
                <w:lang w:val="en-GB"/>
              </w:rPr>
              <w:t>Adjustment</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_Toc52186242 \h </w:instrText>
            </w:r>
            <w:r w:rsidR="00F1737B" w:rsidRPr="00EC4212">
              <w:rPr>
                <w:webHidden/>
                <w:lang w:val="en-GB"/>
              </w:rPr>
            </w:r>
            <w:r w:rsidR="00F1737B" w:rsidRPr="00EC4212">
              <w:rPr>
                <w:webHidden/>
                <w:lang w:val="en-GB"/>
              </w:rPr>
              <w:fldChar w:fldCharType="separate"/>
            </w:r>
            <w:r w:rsidR="00F1737B" w:rsidRPr="00EC4212">
              <w:rPr>
                <w:webHidden/>
                <w:lang w:val="en-GB"/>
              </w:rPr>
              <w:t>24</w:t>
            </w:r>
            <w:r w:rsidR="00F1737B" w:rsidRPr="00EC4212">
              <w:rPr>
                <w:webHidden/>
                <w:lang w:val="en-GB"/>
              </w:rPr>
              <w:fldChar w:fldCharType="end"/>
            </w:r>
          </w:hyperlink>
        </w:p>
        <w:p w:rsidR="00F1737B" w:rsidRPr="00EC4212" w:rsidRDefault="00A34C30" w:rsidP="00EC4212">
          <w:pPr>
            <w:pStyle w:val="TOC2"/>
            <w:spacing w:after="0" w:line="360" w:lineRule="auto"/>
            <w:rPr>
              <w:rFonts w:eastAsiaTheme="minorEastAsia" w:cstheme="minorBidi"/>
              <w:lang w:val="en-GB"/>
            </w:rPr>
          </w:pPr>
          <w:hyperlink w:anchor="_Toc52186243" w:history="1">
            <w:r w:rsidR="00F1737B" w:rsidRPr="00EC4212">
              <w:rPr>
                <w:rStyle w:val="Hyperlink"/>
                <w:lang w:val="en-GB"/>
              </w:rPr>
              <w:t>3.7</w:t>
            </w:r>
            <w:r w:rsidR="00F1737B" w:rsidRPr="00EC4212">
              <w:rPr>
                <w:rFonts w:eastAsiaTheme="minorEastAsia" w:cstheme="minorBidi"/>
                <w:lang w:val="en-GB"/>
              </w:rPr>
              <w:tab/>
            </w:r>
            <w:r w:rsidR="00F1737B" w:rsidRPr="00EC4212">
              <w:rPr>
                <w:rStyle w:val="Hyperlink"/>
                <w:lang w:val="en-GB"/>
              </w:rPr>
              <w:t>Calculation of Maximum Allowed Revenues - Summary</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_Toc52186243 \h </w:instrText>
            </w:r>
            <w:r w:rsidR="00F1737B" w:rsidRPr="00EC4212">
              <w:rPr>
                <w:webHidden/>
                <w:lang w:val="en-GB"/>
              </w:rPr>
            </w:r>
            <w:r w:rsidR="00F1737B" w:rsidRPr="00EC4212">
              <w:rPr>
                <w:webHidden/>
                <w:lang w:val="en-GB"/>
              </w:rPr>
              <w:fldChar w:fldCharType="separate"/>
            </w:r>
            <w:r w:rsidR="00F1737B" w:rsidRPr="00EC4212">
              <w:rPr>
                <w:webHidden/>
                <w:lang w:val="en-GB"/>
              </w:rPr>
              <w:t>24</w:t>
            </w:r>
            <w:r w:rsidR="00F1737B" w:rsidRPr="00EC4212">
              <w:rPr>
                <w:webHidden/>
                <w:lang w:val="en-GB"/>
              </w:rPr>
              <w:fldChar w:fldCharType="end"/>
            </w:r>
          </w:hyperlink>
        </w:p>
        <w:p w:rsidR="00F1737B" w:rsidRPr="00EC4212" w:rsidRDefault="00A34C30" w:rsidP="00EC4212">
          <w:pPr>
            <w:pStyle w:val="TOC1"/>
            <w:spacing w:line="360" w:lineRule="auto"/>
            <w:rPr>
              <w:rFonts w:eastAsiaTheme="minorEastAsia" w:cstheme="minorBidi"/>
              <w:lang w:val="en-GB"/>
            </w:rPr>
          </w:pPr>
          <w:hyperlink w:anchor="_Toc52186245" w:history="1">
            <w:r w:rsidR="00F1737B" w:rsidRPr="00EC4212">
              <w:rPr>
                <w:rStyle w:val="Hyperlink"/>
                <w:lang w:val="en-GB"/>
              </w:rPr>
              <w:t>4</w:t>
            </w:r>
            <w:r w:rsidR="00F1737B" w:rsidRPr="00EC4212">
              <w:rPr>
                <w:rFonts w:eastAsiaTheme="minorEastAsia" w:cstheme="minorBidi"/>
                <w:lang w:val="en-GB"/>
              </w:rPr>
              <w:tab/>
            </w:r>
            <w:r w:rsidR="00F1737B" w:rsidRPr="00EC4212">
              <w:rPr>
                <w:rStyle w:val="Hyperlink"/>
                <w:lang w:val="en-GB"/>
              </w:rPr>
              <w:t>Thermal Energy Balance</w:t>
            </w:r>
            <w:r w:rsidR="00F1737B" w:rsidRPr="00EC4212">
              <w:rPr>
                <w:webHidden/>
                <w:lang w:val="en-GB"/>
              </w:rPr>
              <w:tab/>
            </w:r>
            <w:r w:rsidR="00F1737B" w:rsidRPr="00EC4212">
              <w:rPr>
                <w:webHidden/>
                <w:lang w:val="en-GB"/>
              </w:rPr>
              <w:fldChar w:fldCharType="begin"/>
            </w:r>
            <w:r w:rsidR="00F1737B" w:rsidRPr="00EC4212">
              <w:rPr>
                <w:webHidden/>
                <w:lang w:val="en-GB"/>
              </w:rPr>
              <w:instrText xml:space="preserve"> PAGEREF _Toc52186245 \h </w:instrText>
            </w:r>
            <w:r w:rsidR="00F1737B" w:rsidRPr="00EC4212">
              <w:rPr>
                <w:webHidden/>
                <w:lang w:val="en-GB"/>
              </w:rPr>
            </w:r>
            <w:r w:rsidR="00F1737B" w:rsidRPr="00EC4212">
              <w:rPr>
                <w:webHidden/>
                <w:lang w:val="en-GB"/>
              </w:rPr>
              <w:fldChar w:fldCharType="separate"/>
            </w:r>
            <w:r w:rsidR="00F1737B" w:rsidRPr="00EC4212">
              <w:rPr>
                <w:webHidden/>
                <w:lang w:val="en-GB"/>
              </w:rPr>
              <w:t>25</w:t>
            </w:r>
            <w:r w:rsidR="00F1737B" w:rsidRPr="00EC4212">
              <w:rPr>
                <w:webHidden/>
                <w:lang w:val="en-GB"/>
              </w:rPr>
              <w:fldChar w:fldCharType="end"/>
            </w:r>
          </w:hyperlink>
        </w:p>
        <w:p w:rsidR="00872F75" w:rsidRPr="00EC4212" w:rsidRDefault="00872F75" w:rsidP="00EC4212">
          <w:pPr>
            <w:spacing w:line="360" w:lineRule="auto"/>
            <w:rPr>
              <w:rStyle w:val="Hyperlink"/>
              <w:rFonts w:asciiTheme="minorHAnsi" w:hAnsiTheme="minorHAnsi"/>
              <w:u w:val="none"/>
              <w:lang w:val="en-GB"/>
            </w:rPr>
          </w:pPr>
          <w:r w:rsidRPr="00EC4212">
            <w:rPr>
              <w:rStyle w:val="Hyperlink"/>
              <w:rFonts w:asciiTheme="minorHAnsi" w:hAnsiTheme="minorHAnsi"/>
              <w:u w:val="none"/>
              <w:lang w:val="en-GB"/>
            </w:rPr>
            <w:fldChar w:fldCharType="end"/>
          </w:r>
        </w:p>
      </w:sdtContent>
    </w:sdt>
    <w:p w:rsidR="000C6431" w:rsidRPr="00EC4212" w:rsidRDefault="000C6431" w:rsidP="00EC4212">
      <w:pPr>
        <w:pStyle w:val="BodyText"/>
        <w:spacing w:line="360" w:lineRule="auto"/>
        <w:rPr>
          <w:rStyle w:val="Hyperlink"/>
          <w:rFonts w:asciiTheme="minorHAnsi" w:hAnsiTheme="minorHAnsi"/>
          <w:noProof/>
          <w:color w:val="000000" w:themeColor="text1"/>
          <w:szCs w:val="24"/>
          <w:lang w:val="en-GB"/>
        </w:rPr>
      </w:pPr>
      <w:r w:rsidRPr="00EC4212">
        <w:rPr>
          <w:rStyle w:val="Hyperlink"/>
          <w:rFonts w:asciiTheme="minorHAnsi" w:hAnsiTheme="minorHAnsi"/>
          <w:color w:val="000000" w:themeColor="text1"/>
          <w:szCs w:val="24"/>
          <w:lang w:val="en-GB"/>
        </w:rPr>
        <w:t xml:space="preserve">Figures </w:t>
      </w:r>
    </w:p>
    <w:p w:rsidR="000C6431" w:rsidRPr="00EC4212" w:rsidRDefault="000C6431" w:rsidP="00EC4212">
      <w:pPr>
        <w:pStyle w:val="BodyText"/>
        <w:spacing w:line="360" w:lineRule="auto"/>
        <w:rPr>
          <w:rStyle w:val="Hyperlink"/>
          <w:rFonts w:asciiTheme="minorHAnsi" w:hAnsiTheme="minorHAnsi"/>
          <w:noProof/>
          <w:color w:val="000000" w:themeColor="text1"/>
          <w:szCs w:val="24"/>
          <w:u w:val="none"/>
          <w:lang w:val="en-GB"/>
        </w:rPr>
      </w:pPr>
    </w:p>
    <w:p w:rsidR="00C51657" w:rsidRPr="00EC4212" w:rsidRDefault="00A34C30" w:rsidP="00EC4212">
      <w:pPr>
        <w:pStyle w:val="TOC3"/>
        <w:tabs>
          <w:tab w:val="right" w:leader="dot" w:pos="9063"/>
        </w:tabs>
        <w:spacing w:line="360" w:lineRule="auto"/>
        <w:ind w:left="0"/>
        <w:contextualSpacing/>
        <w:rPr>
          <w:rStyle w:val="Hyperlink"/>
          <w:rFonts w:asciiTheme="minorHAnsi" w:hAnsiTheme="minorHAnsi"/>
          <w:noProof/>
          <w:color w:val="000000" w:themeColor="text1"/>
          <w:sz w:val="22"/>
          <w:szCs w:val="22"/>
          <w:u w:val="none"/>
          <w:lang w:val="en-GB"/>
        </w:rPr>
      </w:pPr>
      <w:hyperlink w:anchor="_Toc21514443" w:history="1">
        <w:r w:rsidR="00F664B6" w:rsidRPr="00EC4212">
          <w:rPr>
            <w:rStyle w:val="Hyperlink"/>
            <w:rFonts w:asciiTheme="minorHAnsi" w:hAnsiTheme="minorHAnsi"/>
            <w:color w:val="000000" w:themeColor="text1"/>
            <w:sz w:val="22"/>
            <w:szCs w:val="22"/>
            <w:u w:val="none"/>
            <w:lang w:val="en-GB"/>
          </w:rPr>
          <w:t>Figure 1:</w:t>
        </w:r>
      </w:hyperlink>
      <w:r w:rsidR="00F1737B" w:rsidRPr="00EC4212">
        <w:rPr>
          <w:rStyle w:val="Hyperlink"/>
          <w:rFonts w:asciiTheme="minorHAnsi" w:hAnsiTheme="minorHAnsi"/>
          <w:color w:val="000000" w:themeColor="text1"/>
          <w:sz w:val="22"/>
          <w:szCs w:val="22"/>
          <w:u w:val="none"/>
          <w:lang w:val="en-GB"/>
        </w:rPr>
        <w:t xml:space="preserve"> </w:t>
      </w:r>
      <w:hyperlink w:anchor="_Toc21514443" w:history="1">
        <w:r w:rsidR="00F664B6" w:rsidRPr="00EC4212">
          <w:rPr>
            <w:rStyle w:val="Hyperlink"/>
            <w:rFonts w:asciiTheme="minorHAnsi" w:hAnsiTheme="minorHAnsi"/>
            <w:color w:val="000000" w:themeColor="text1"/>
            <w:sz w:val="22"/>
            <w:szCs w:val="22"/>
            <w:u w:val="none"/>
            <w:lang w:val="en-GB"/>
          </w:rPr>
          <w:t xml:space="preserve">Allowed Revenues Calculation Scheme </w:t>
        </w:r>
        <w:r w:rsidR="00F664B6" w:rsidRPr="00EC4212">
          <w:rPr>
            <w:rStyle w:val="Hyperlink"/>
            <w:rFonts w:asciiTheme="minorHAnsi" w:hAnsiTheme="minorHAnsi"/>
            <w:webHidden/>
            <w:color w:val="000000" w:themeColor="text1"/>
            <w:sz w:val="22"/>
            <w:szCs w:val="22"/>
            <w:u w:val="none"/>
            <w:lang w:val="en-GB"/>
          </w:rPr>
          <w:tab/>
        </w:r>
      </w:hyperlink>
      <w:r w:rsidR="00F664B6" w:rsidRPr="00EC4212">
        <w:rPr>
          <w:lang w:val="en-GB"/>
        </w:rPr>
        <w:t xml:space="preserve"> </w:t>
      </w:r>
      <w:hyperlink w:anchor="_Toc21514443" w:history="1">
        <w:r w:rsidR="00C51657" w:rsidRPr="00EC4212">
          <w:rPr>
            <w:rStyle w:val="Hyperlink"/>
            <w:rFonts w:asciiTheme="minorHAnsi" w:hAnsiTheme="minorHAnsi"/>
            <w:webHidden/>
            <w:color w:val="000000" w:themeColor="text1"/>
            <w:sz w:val="22"/>
            <w:szCs w:val="22"/>
            <w:u w:val="none"/>
            <w:lang w:val="en-GB"/>
          </w:rPr>
          <w:fldChar w:fldCharType="begin"/>
        </w:r>
        <w:r w:rsidR="00C51657" w:rsidRPr="00EC4212">
          <w:rPr>
            <w:rStyle w:val="Hyperlink"/>
            <w:rFonts w:asciiTheme="minorHAnsi" w:hAnsiTheme="minorHAnsi"/>
            <w:webHidden/>
            <w:color w:val="000000" w:themeColor="text1"/>
            <w:sz w:val="22"/>
            <w:szCs w:val="22"/>
            <w:u w:val="none"/>
            <w:lang w:val="en-GB"/>
          </w:rPr>
          <w:instrText xml:space="preserve"> PAGEREF _Toc21514443 \h </w:instrText>
        </w:r>
        <w:r w:rsidR="00C51657" w:rsidRPr="00EC4212">
          <w:rPr>
            <w:rStyle w:val="Hyperlink"/>
            <w:rFonts w:asciiTheme="minorHAnsi" w:hAnsiTheme="minorHAnsi"/>
            <w:webHidden/>
            <w:color w:val="000000" w:themeColor="text1"/>
            <w:sz w:val="22"/>
            <w:szCs w:val="22"/>
            <w:u w:val="none"/>
            <w:lang w:val="en-GB"/>
          </w:rPr>
        </w:r>
        <w:r w:rsidR="00C51657" w:rsidRPr="00EC4212">
          <w:rPr>
            <w:rStyle w:val="Hyperlink"/>
            <w:rFonts w:asciiTheme="minorHAnsi" w:hAnsiTheme="minorHAnsi"/>
            <w:webHidden/>
            <w:color w:val="000000" w:themeColor="text1"/>
            <w:sz w:val="22"/>
            <w:szCs w:val="22"/>
            <w:u w:val="none"/>
            <w:lang w:val="en-GB"/>
          </w:rPr>
          <w:fldChar w:fldCharType="separate"/>
        </w:r>
        <w:r w:rsidR="00923408" w:rsidRPr="00EC4212">
          <w:rPr>
            <w:rStyle w:val="Hyperlink"/>
            <w:rFonts w:asciiTheme="minorHAnsi" w:hAnsiTheme="minorHAnsi"/>
            <w:webHidden/>
            <w:color w:val="000000" w:themeColor="text1"/>
            <w:sz w:val="22"/>
            <w:szCs w:val="22"/>
            <w:u w:val="none"/>
            <w:lang w:val="en-GB"/>
          </w:rPr>
          <w:t>5</w:t>
        </w:r>
        <w:r w:rsidR="00C51657" w:rsidRPr="00EC4212">
          <w:rPr>
            <w:rStyle w:val="Hyperlink"/>
            <w:rFonts w:asciiTheme="minorHAnsi" w:hAnsiTheme="minorHAnsi"/>
            <w:webHidden/>
            <w:color w:val="000000" w:themeColor="text1"/>
            <w:sz w:val="22"/>
            <w:szCs w:val="22"/>
            <w:u w:val="none"/>
            <w:lang w:val="en-GB"/>
          </w:rPr>
          <w:fldChar w:fldCharType="end"/>
        </w:r>
      </w:hyperlink>
    </w:p>
    <w:p w:rsidR="00C51657" w:rsidRPr="00EC4212" w:rsidRDefault="00A34C30" w:rsidP="00EC4212">
      <w:pPr>
        <w:pStyle w:val="TOC3"/>
        <w:tabs>
          <w:tab w:val="right" w:leader="dot" w:pos="9063"/>
        </w:tabs>
        <w:spacing w:line="360" w:lineRule="auto"/>
        <w:ind w:left="0"/>
        <w:contextualSpacing/>
        <w:rPr>
          <w:rStyle w:val="Hyperlink"/>
          <w:rFonts w:asciiTheme="minorHAnsi" w:hAnsiTheme="minorHAnsi"/>
          <w:color w:val="000000" w:themeColor="text1"/>
          <w:sz w:val="22"/>
          <w:szCs w:val="22"/>
          <w:u w:val="none"/>
          <w:lang w:val="en-GB"/>
        </w:rPr>
      </w:pPr>
      <w:hyperlink w:anchor="_Toc21514448" w:history="1">
        <w:r w:rsidR="00F664B6" w:rsidRPr="00EC4212">
          <w:rPr>
            <w:rStyle w:val="Hyperlink"/>
            <w:rFonts w:asciiTheme="minorHAnsi" w:hAnsiTheme="minorHAnsi"/>
            <w:color w:val="000000" w:themeColor="text1"/>
            <w:sz w:val="22"/>
            <w:szCs w:val="22"/>
            <w:u w:val="none"/>
            <w:lang w:val="en-GB"/>
          </w:rPr>
          <w:t>Figure 2:</w:t>
        </w:r>
      </w:hyperlink>
      <w:r w:rsidR="00F1737B" w:rsidRPr="00EC4212">
        <w:rPr>
          <w:rStyle w:val="Hyperlink"/>
          <w:rFonts w:asciiTheme="minorHAnsi" w:hAnsiTheme="minorHAnsi"/>
          <w:color w:val="000000" w:themeColor="text1"/>
          <w:sz w:val="22"/>
          <w:szCs w:val="22"/>
          <w:u w:val="none"/>
          <w:lang w:val="en-GB"/>
        </w:rPr>
        <w:t xml:space="preserve"> </w:t>
      </w:r>
      <w:hyperlink w:anchor="_Toc21514448" w:history="1">
        <w:r w:rsidR="00F664B6" w:rsidRPr="00EC4212">
          <w:rPr>
            <w:rStyle w:val="Hyperlink"/>
            <w:rFonts w:asciiTheme="minorHAnsi" w:hAnsiTheme="minorHAnsi"/>
            <w:color w:val="000000" w:themeColor="text1"/>
            <w:sz w:val="22"/>
            <w:szCs w:val="22"/>
            <w:u w:val="none"/>
            <w:lang w:val="en-GB"/>
          </w:rPr>
          <w:t xml:space="preserve">Schematic presentation of operating costs proposed by DH Termokos and allowed by ERO for the heating season 2020/2021 </w:t>
        </w:r>
        <w:r w:rsidR="00F664B6" w:rsidRPr="00EC4212">
          <w:rPr>
            <w:rStyle w:val="Hyperlink"/>
            <w:rFonts w:asciiTheme="minorHAnsi" w:hAnsiTheme="minorHAnsi"/>
            <w:webHidden/>
            <w:color w:val="000000" w:themeColor="text1"/>
            <w:sz w:val="22"/>
            <w:szCs w:val="22"/>
            <w:u w:val="none"/>
            <w:lang w:val="en-GB"/>
          </w:rPr>
          <w:tab/>
        </w:r>
      </w:hyperlink>
      <w:r w:rsidR="00F664B6" w:rsidRPr="00EC4212">
        <w:rPr>
          <w:lang w:val="en-GB"/>
        </w:rPr>
        <w:t xml:space="preserve"> </w:t>
      </w:r>
      <w:hyperlink w:anchor="_Toc21514448" w:history="1">
        <w:r w:rsidR="00C51657" w:rsidRPr="00EC4212">
          <w:rPr>
            <w:rStyle w:val="Hyperlink"/>
            <w:rFonts w:asciiTheme="minorHAnsi" w:hAnsiTheme="minorHAnsi"/>
            <w:webHidden/>
            <w:color w:val="000000" w:themeColor="text1"/>
            <w:sz w:val="22"/>
            <w:szCs w:val="22"/>
            <w:u w:val="none"/>
            <w:lang w:val="en-GB"/>
          </w:rPr>
          <w:fldChar w:fldCharType="begin"/>
        </w:r>
        <w:r w:rsidR="00C51657" w:rsidRPr="00EC4212">
          <w:rPr>
            <w:rStyle w:val="Hyperlink"/>
            <w:rFonts w:asciiTheme="minorHAnsi" w:hAnsiTheme="minorHAnsi"/>
            <w:webHidden/>
            <w:color w:val="000000" w:themeColor="text1"/>
            <w:sz w:val="22"/>
            <w:szCs w:val="22"/>
            <w:u w:val="none"/>
            <w:lang w:val="en-GB"/>
          </w:rPr>
          <w:instrText xml:space="preserve"> PAGEREF _Toc21514448 \h </w:instrText>
        </w:r>
        <w:r w:rsidR="00C51657" w:rsidRPr="00EC4212">
          <w:rPr>
            <w:rStyle w:val="Hyperlink"/>
            <w:rFonts w:asciiTheme="minorHAnsi" w:hAnsiTheme="minorHAnsi"/>
            <w:webHidden/>
            <w:color w:val="000000" w:themeColor="text1"/>
            <w:sz w:val="22"/>
            <w:szCs w:val="22"/>
            <w:u w:val="none"/>
            <w:lang w:val="en-GB"/>
          </w:rPr>
        </w:r>
        <w:r w:rsidR="00C51657" w:rsidRPr="00EC4212">
          <w:rPr>
            <w:rStyle w:val="Hyperlink"/>
            <w:rFonts w:asciiTheme="minorHAnsi" w:hAnsiTheme="minorHAnsi"/>
            <w:webHidden/>
            <w:color w:val="000000" w:themeColor="text1"/>
            <w:sz w:val="22"/>
            <w:szCs w:val="22"/>
            <w:u w:val="none"/>
            <w:lang w:val="en-GB"/>
          </w:rPr>
          <w:fldChar w:fldCharType="separate"/>
        </w:r>
        <w:r w:rsidR="00923408" w:rsidRPr="00EC4212">
          <w:rPr>
            <w:rStyle w:val="Hyperlink"/>
            <w:rFonts w:asciiTheme="minorHAnsi" w:hAnsiTheme="minorHAnsi"/>
            <w:webHidden/>
            <w:color w:val="000000" w:themeColor="text1"/>
            <w:sz w:val="22"/>
            <w:szCs w:val="22"/>
            <w:u w:val="none"/>
            <w:lang w:val="en-GB"/>
          </w:rPr>
          <w:t>8</w:t>
        </w:r>
        <w:r w:rsidR="00C51657" w:rsidRPr="00EC4212">
          <w:rPr>
            <w:rStyle w:val="Hyperlink"/>
            <w:rFonts w:asciiTheme="minorHAnsi" w:hAnsiTheme="minorHAnsi"/>
            <w:webHidden/>
            <w:color w:val="000000" w:themeColor="text1"/>
            <w:sz w:val="22"/>
            <w:szCs w:val="22"/>
            <w:u w:val="none"/>
            <w:lang w:val="en-GB"/>
          </w:rPr>
          <w:fldChar w:fldCharType="end"/>
        </w:r>
      </w:hyperlink>
    </w:p>
    <w:p w:rsidR="000C6431" w:rsidRPr="00EC4212" w:rsidRDefault="000C6431" w:rsidP="00EC4212">
      <w:pPr>
        <w:pStyle w:val="BodyText"/>
        <w:spacing w:line="360" w:lineRule="auto"/>
        <w:rPr>
          <w:rFonts w:asciiTheme="minorHAnsi" w:hAnsiTheme="minorHAnsi"/>
          <w:color w:val="000000" w:themeColor="text1"/>
          <w:sz w:val="22"/>
          <w:szCs w:val="22"/>
          <w:lang w:val="en-GB"/>
        </w:rPr>
      </w:pPr>
    </w:p>
    <w:p w:rsidR="00C51657" w:rsidRPr="00EC4212" w:rsidRDefault="000C6431" w:rsidP="00EC4212">
      <w:pPr>
        <w:pStyle w:val="BodyText"/>
        <w:spacing w:line="360" w:lineRule="auto"/>
        <w:rPr>
          <w:rFonts w:asciiTheme="minorHAnsi" w:hAnsiTheme="minorHAnsi"/>
          <w:color w:val="000000" w:themeColor="text1"/>
          <w:sz w:val="22"/>
          <w:szCs w:val="22"/>
          <w:u w:val="single"/>
          <w:lang w:val="en-GB"/>
        </w:rPr>
      </w:pPr>
      <w:r w:rsidRPr="00EC4212">
        <w:rPr>
          <w:rFonts w:asciiTheme="minorHAnsi" w:hAnsiTheme="minorHAnsi"/>
          <w:color w:val="000000" w:themeColor="text1"/>
          <w:sz w:val="22"/>
          <w:szCs w:val="22"/>
          <w:u w:val="single"/>
          <w:lang w:val="en-GB"/>
        </w:rPr>
        <w:t xml:space="preserve">Tables </w:t>
      </w:r>
    </w:p>
    <w:p w:rsidR="000C6431" w:rsidRPr="00EC4212" w:rsidRDefault="000C6431" w:rsidP="00EC4212">
      <w:pPr>
        <w:pStyle w:val="BodyText"/>
        <w:spacing w:line="360" w:lineRule="auto"/>
        <w:rPr>
          <w:rFonts w:asciiTheme="minorHAnsi" w:hAnsiTheme="minorHAnsi"/>
          <w:b/>
          <w:color w:val="000000" w:themeColor="text1"/>
          <w:sz w:val="22"/>
          <w:szCs w:val="22"/>
          <w:lang w:val="en-GB"/>
        </w:rPr>
      </w:pPr>
    </w:p>
    <w:p w:rsidR="00E807F8" w:rsidRPr="00EC4212" w:rsidRDefault="00A34C30" w:rsidP="00EC4212">
      <w:pPr>
        <w:pStyle w:val="TOC3"/>
        <w:tabs>
          <w:tab w:val="right" w:leader="dot" w:pos="9063"/>
        </w:tabs>
        <w:spacing w:line="360" w:lineRule="auto"/>
        <w:ind w:left="0"/>
        <w:contextualSpacing/>
        <w:rPr>
          <w:rStyle w:val="Hyperlink"/>
          <w:rFonts w:asciiTheme="minorHAnsi" w:hAnsiTheme="minorHAnsi"/>
          <w:color w:val="000000" w:themeColor="text1"/>
          <w:sz w:val="22"/>
          <w:szCs w:val="22"/>
          <w:u w:val="none"/>
          <w:lang w:val="en-GB"/>
        </w:rPr>
      </w:pPr>
      <w:hyperlink w:anchor="_Toc21514446" w:history="1">
        <w:r w:rsidR="00F664B6" w:rsidRPr="00EC4212">
          <w:rPr>
            <w:rStyle w:val="Hyperlink"/>
            <w:rFonts w:asciiTheme="minorHAnsi" w:hAnsiTheme="minorHAnsi"/>
            <w:color w:val="000000" w:themeColor="text1"/>
            <w:sz w:val="22"/>
            <w:szCs w:val="22"/>
            <w:u w:val="none"/>
            <w:lang w:val="en-GB"/>
          </w:rPr>
          <w:t>Table 1:</w:t>
        </w:r>
      </w:hyperlink>
      <w:hyperlink w:anchor="_Toc21514446" w:history="1">
        <w:r w:rsidR="00F664B6" w:rsidRPr="00EC4212">
          <w:rPr>
            <w:rStyle w:val="Hyperlink"/>
            <w:rFonts w:asciiTheme="minorHAnsi" w:hAnsiTheme="minorHAnsi"/>
            <w:color w:val="000000" w:themeColor="text1"/>
            <w:sz w:val="22"/>
            <w:szCs w:val="22"/>
            <w:u w:val="none"/>
            <w:lang w:val="en-GB"/>
          </w:rPr>
          <w:t xml:space="preserve">Costs presented by DH Termokos JSC, and those allowed by ERO (In €) </w:t>
        </w:r>
        <w:r w:rsidR="00F664B6" w:rsidRPr="00EC4212">
          <w:rPr>
            <w:rStyle w:val="Hyperlink"/>
            <w:rFonts w:asciiTheme="minorHAnsi" w:hAnsiTheme="minorHAnsi"/>
            <w:webHidden/>
            <w:color w:val="000000" w:themeColor="text1"/>
            <w:sz w:val="22"/>
            <w:szCs w:val="22"/>
            <w:u w:val="none"/>
            <w:lang w:val="en-GB"/>
          </w:rPr>
          <w:tab/>
        </w:r>
      </w:hyperlink>
      <w:r w:rsidR="00F664B6" w:rsidRPr="00EC4212">
        <w:rPr>
          <w:lang w:val="en-GB"/>
        </w:rPr>
        <w:t xml:space="preserve"> </w:t>
      </w:r>
      <w:hyperlink w:anchor="_Toc21514446" w:history="1">
        <w:r w:rsidR="00C51657" w:rsidRPr="00EC4212">
          <w:rPr>
            <w:rStyle w:val="Hyperlink"/>
            <w:rFonts w:asciiTheme="minorHAnsi" w:hAnsiTheme="minorHAnsi"/>
            <w:webHidden/>
            <w:color w:val="000000" w:themeColor="text1"/>
            <w:sz w:val="22"/>
            <w:szCs w:val="22"/>
            <w:u w:val="none"/>
            <w:lang w:val="en-GB"/>
          </w:rPr>
          <w:fldChar w:fldCharType="begin"/>
        </w:r>
        <w:r w:rsidR="00C51657" w:rsidRPr="00EC4212">
          <w:rPr>
            <w:rStyle w:val="Hyperlink"/>
            <w:rFonts w:asciiTheme="minorHAnsi" w:hAnsiTheme="minorHAnsi"/>
            <w:webHidden/>
            <w:color w:val="000000" w:themeColor="text1"/>
            <w:sz w:val="22"/>
            <w:szCs w:val="22"/>
            <w:u w:val="none"/>
            <w:lang w:val="en-GB"/>
          </w:rPr>
          <w:instrText xml:space="preserve"> PAGEREF _Toc21514446 \h </w:instrText>
        </w:r>
        <w:r w:rsidR="00C51657" w:rsidRPr="00EC4212">
          <w:rPr>
            <w:rStyle w:val="Hyperlink"/>
            <w:rFonts w:asciiTheme="minorHAnsi" w:hAnsiTheme="minorHAnsi"/>
            <w:webHidden/>
            <w:color w:val="000000" w:themeColor="text1"/>
            <w:sz w:val="22"/>
            <w:szCs w:val="22"/>
            <w:u w:val="none"/>
            <w:lang w:val="en-GB"/>
          </w:rPr>
        </w:r>
        <w:r w:rsidR="00C51657" w:rsidRPr="00EC4212">
          <w:rPr>
            <w:rStyle w:val="Hyperlink"/>
            <w:rFonts w:asciiTheme="minorHAnsi" w:hAnsiTheme="minorHAnsi"/>
            <w:webHidden/>
            <w:color w:val="000000" w:themeColor="text1"/>
            <w:sz w:val="22"/>
            <w:szCs w:val="22"/>
            <w:u w:val="none"/>
            <w:lang w:val="en-GB"/>
          </w:rPr>
          <w:fldChar w:fldCharType="separate"/>
        </w:r>
        <w:r w:rsidR="00923408" w:rsidRPr="00EC4212">
          <w:rPr>
            <w:rStyle w:val="Hyperlink"/>
            <w:rFonts w:asciiTheme="minorHAnsi" w:hAnsiTheme="minorHAnsi"/>
            <w:webHidden/>
            <w:color w:val="000000" w:themeColor="text1"/>
            <w:sz w:val="22"/>
            <w:szCs w:val="22"/>
            <w:u w:val="none"/>
            <w:lang w:val="en-GB"/>
          </w:rPr>
          <w:t>8</w:t>
        </w:r>
        <w:r w:rsidR="00C51657" w:rsidRPr="00EC4212">
          <w:rPr>
            <w:rStyle w:val="Hyperlink"/>
            <w:rFonts w:asciiTheme="minorHAnsi" w:hAnsiTheme="minorHAnsi"/>
            <w:webHidden/>
            <w:color w:val="000000" w:themeColor="text1"/>
            <w:sz w:val="22"/>
            <w:szCs w:val="22"/>
            <w:u w:val="none"/>
            <w:lang w:val="en-GB"/>
          </w:rPr>
          <w:fldChar w:fldCharType="end"/>
        </w:r>
      </w:hyperlink>
    </w:p>
    <w:bookmarkStart w:id="1" w:name="_Toc526514479"/>
    <w:bookmarkStart w:id="2" w:name="_Toc339538658"/>
    <w:bookmarkStart w:id="3" w:name="_Toc339539114"/>
    <w:bookmarkEnd w:id="1"/>
    <w:p w:rsidR="00C51657" w:rsidRPr="00EC4212" w:rsidRDefault="00C51657" w:rsidP="00EC4212">
      <w:pPr>
        <w:pStyle w:val="TOC3"/>
        <w:tabs>
          <w:tab w:val="right" w:leader="dot" w:pos="9063"/>
        </w:tabs>
        <w:spacing w:line="360" w:lineRule="auto"/>
        <w:ind w:left="0"/>
        <w:contextualSpacing/>
        <w:rPr>
          <w:rFonts w:asciiTheme="minorHAnsi" w:eastAsiaTheme="minorEastAsia" w:hAnsiTheme="minorHAnsi" w:cstheme="minorBidi"/>
          <w:noProof/>
          <w:color w:val="000000" w:themeColor="text1"/>
          <w:sz w:val="22"/>
          <w:szCs w:val="22"/>
          <w:lang w:val="en-GB"/>
        </w:rPr>
      </w:pPr>
      <w:r w:rsidRPr="00EC4212">
        <w:rPr>
          <w:rStyle w:val="Hyperlink"/>
          <w:rFonts w:asciiTheme="minorHAnsi" w:hAnsiTheme="minorHAnsi"/>
          <w:color w:val="000000" w:themeColor="text1"/>
          <w:sz w:val="22"/>
          <w:szCs w:val="22"/>
          <w:u w:val="none"/>
          <w:lang w:val="en-GB"/>
        </w:rPr>
        <w:fldChar w:fldCharType="begin"/>
      </w:r>
      <w:r w:rsidRPr="00EC4212">
        <w:rPr>
          <w:rStyle w:val="Hyperlink"/>
          <w:rFonts w:asciiTheme="minorHAnsi" w:hAnsiTheme="minorHAnsi"/>
          <w:color w:val="000000" w:themeColor="text1"/>
          <w:sz w:val="22"/>
          <w:szCs w:val="22"/>
          <w:u w:val="none"/>
          <w:lang w:val="en-GB"/>
        </w:rPr>
        <w:instrText xml:space="preserve"> HYPERLINK \l "_Toc21514455" </w:instrText>
      </w:r>
      <w:r w:rsidRPr="00EC4212">
        <w:rPr>
          <w:rStyle w:val="Hyperlink"/>
          <w:rFonts w:asciiTheme="minorHAnsi" w:hAnsiTheme="minorHAnsi"/>
          <w:color w:val="000000" w:themeColor="text1"/>
          <w:sz w:val="22"/>
          <w:szCs w:val="22"/>
          <w:u w:val="none"/>
          <w:lang w:val="en-GB"/>
        </w:rPr>
        <w:fldChar w:fldCharType="separate"/>
      </w:r>
      <w:r w:rsidRPr="00EC4212">
        <w:rPr>
          <w:rStyle w:val="Hyperlink"/>
          <w:rFonts w:asciiTheme="minorHAnsi" w:hAnsiTheme="minorHAnsi"/>
          <w:color w:val="000000" w:themeColor="text1"/>
          <w:sz w:val="22"/>
          <w:szCs w:val="22"/>
          <w:u w:val="none"/>
          <w:lang w:val="en-GB"/>
        </w:rPr>
        <w:t>Table 2: RAB and its components - DH TERMOKOS - heating season 2020/2021</w:t>
      </w:r>
      <w:r w:rsidRPr="00EC4212">
        <w:rPr>
          <w:rStyle w:val="Hyperlink"/>
          <w:rFonts w:asciiTheme="minorHAnsi" w:hAnsiTheme="minorHAnsi"/>
          <w:webHidden/>
          <w:color w:val="000000" w:themeColor="text1"/>
          <w:sz w:val="22"/>
          <w:szCs w:val="22"/>
          <w:u w:val="none"/>
          <w:lang w:val="en-GB"/>
        </w:rPr>
        <w:tab/>
      </w:r>
      <w:r w:rsidRPr="00EC4212">
        <w:rPr>
          <w:rStyle w:val="Hyperlink"/>
          <w:rFonts w:asciiTheme="minorHAnsi" w:hAnsiTheme="minorHAnsi"/>
          <w:webHidden/>
          <w:color w:val="000000" w:themeColor="text1"/>
          <w:sz w:val="22"/>
          <w:szCs w:val="22"/>
          <w:u w:val="none"/>
          <w:lang w:val="en-GB"/>
        </w:rPr>
        <w:fldChar w:fldCharType="begin"/>
      </w:r>
      <w:r w:rsidRPr="00EC4212">
        <w:rPr>
          <w:rStyle w:val="Hyperlink"/>
          <w:rFonts w:asciiTheme="minorHAnsi" w:hAnsiTheme="minorHAnsi"/>
          <w:webHidden/>
          <w:color w:val="000000" w:themeColor="text1"/>
          <w:sz w:val="22"/>
          <w:szCs w:val="22"/>
          <w:u w:val="none"/>
          <w:lang w:val="en-GB"/>
        </w:rPr>
        <w:instrText xml:space="preserve"> PAGEREF _Toc21514455 \h </w:instrText>
      </w:r>
      <w:r w:rsidRPr="00EC4212">
        <w:rPr>
          <w:rStyle w:val="Hyperlink"/>
          <w:rFonts w:asciiTheme="minorHAnsi" w:hAnsiTheme="minorHAnsi"/>
          <w:webHidden/>
          <w:color w:val="000000" w:themeColor="text1"/>
          <w:sz w:val="22"/>
          <w:szCs w:val="22"/>
          <w:u w:val="none"/>
          <w:lang w:val="en-GB"/>
        </w:rPr>
      </w:r>
      <w:r w:rsidRPr="00EC4212">
        <w:rPr>
          <w:rStyle w:val="Hyperlink"/>
          <w:rFonts w:asciiTheme="minorHAnsi" w:hAnsiTheme="minorHAnsi"/>
          <w:webHidden/>
          <w:color w:val="000000" w:themeColor="text1"/>
          <w:sz w:val="22"/>
          <w:szCs w:val="22"/>
          <w:u w:val="none"/>
          <w:lang w:val="en-GB"/>
        </w:rPr>
        <w:fldChar w:fldCharType="separate"/>
      </w:r>
      <w:r w:rsidR="00923408" w:rsidRPr="00EC4212">
        <w:rPr>
          <w:rStyle w:val="Hyperlink"/>
          <w:rFonts w:asciiTheme="minorHAnsi" w:hAnsiTheme="minorHAnsi"/>
          <w:webHidden/>
          <w:color w:val="000000" w:themeColor="text1"/>
          <w:sz w:val="22"/>
          <w:szCs w:val="22"/>
          <w:u w:val="none"/>
          <w:lang w:val="en-GB"/>
        </w:rPr>
        <w:t>1</w:t>
      </w:r>
      <w:r w:rsidRPr="00EC4212">
        <w:rPr>
          <w:rStyle w:val="Hyperlink"/>
          <w:rFonts w:asciiTheme="minorHAnsi" w:hAnsiTheme="minorHAnsi"/>
          <w:webHidden/>
          <w:color w:val="000000" w:themeColor="text1"/>
          <w:sz w:val="22"/>
          <w:szCs w:val="22"/>
          <w:u w:val="none"/>
          <w:lang w:val="en-GB"/>
        </w:rPr>
        <w:fldChar w:fldCharType="end"/>
      </w:r>
      <w:r w:rsidRPr="00EC4212">
        <w:rPr>
          <w:rStyle w:val="Hyperlink"/>
          <w:rFonts w:asciiTheme="minorHAnsi" w:hAnsiTheme="minorHAnsi"/>
          <w:color w:val="000000" w:themeColor="text1"/>
          <w:sz w:val="22"/>
          <w:szCs w:val="22"/>
          <w:u w:val="none"/>
          <w:lang w:val="en-GB"/>
        </w:rPr>
        <w:fldChar w:fldCharType="end"/>
      </w:r>
      <w:r w:rsidRPr="00EC4212">
        <w:rPr>
          <w:rStyle w:val="Hyperlink"/>
          <w:rFonts w:asciiTheme="minorHAnsi" w:hAnsiTheme="minorHAnsi"/>
          <w:color w:val="000000" w:themeColor="text1"/>
          <w:sz w:val="22"/>
          <w:szCs w:val="22"/>
          <w:u w:val="none"/>
          <w:lang w:val="en-GB"/>
        </w:rPr>
        <w:t>9</w:t>
      </w:r>
    </w:p>
    <w:p w:rsidR="00C51657" w:rsidRPr="00EC4212" w:rsidRDefault="00A34C30" w:rsidP="00EC4212">
      <w:pPr>
        <w:pStyle w:val="TOC3"/>
        <w:tabs>
          <w:tab w:val="right" w:leader="dot" w:pos="9063"/>
        </w:tabs>
        <w:spacing w:line="360" w:lineRule="auto"/>
        <w:ind w:left="0"/>
        <w:contextualSpacing/>
        <w:rPr>
          <w:rStyle w:val="Hyperlink"/>
          <w:rFonts w:asciiTheme="minorHAnsi" w:hAnsiTheme="minorHAnsi"/>
          <w:color w:val="000000" w:themeColor="text1"/>
          <w:sz w:val="22"/>
          <w:szCs w:val="22"/>
          <w:u w:val="none"/>
          <w:lang w:val="en-GB"/>
        </w:rPr>
      </w:pPr>
      <w:hyperlink w:anchor="_Toc21514456" w:history="1">
        <w:r w:rsidR="00F664B6" w:rsidRPr="00EC4212">
          <w:rPr>
            <w:rStyle w:val="Hyperlink"/>
            <w:rFonts w:asciiTheme="minorHAnsi" w:hAnsiTheme="minorHAnsi"/>
            <w:color w:val="000000" w:themeColor="text1"/>
            <w:sz w:val="22"/>
            <w:szCs w:val="22"/>
            <w:u w:val="none"/>
            <w:lang w:val="en-GB"/>
          </w:rPr>
          <w:t>Table 3:</w:t>
        </w:r>
      </w:hyperlink>
      <w:r w:rsidR="00F1737B" w:rsidRPr="00EC4212">
        <w:rPr>
          <w:rStyle w:val="Hyperlink"/>
          <w:rFonts w:asciiTheme="minorHAnsi" w:hAnsiTheme="minorHAnsi"/>
          <w:color w:val="000000" w:themeColor="text1"/>
          <w:sz w:val="22"/>
          <w:szCs w:val="22"/>
          <w:u w:val="none"/>
          <w:lang w:val="en-GB"/>
        </w:rPr>
        <w:t xml:space="preserve"> </w:t>
      </w:r>
      <w:hyperlink w:anchor="_Toc21514456" w:history="1">
        <w:r w:rsidR="00F664B6" w:rsidRPr="00EC4212">
          <w:rPr>
            <w:rStyle w:val="Hyperlink"/>
            <w:rFonts w:asciiTheme="minorHAnsi" w:hAnsiTheme="minorHAnsi"/>
            <w:color w:val="000000" w:themeColor="text1"/>
            <w:sz w:val="22"/>
            <w:szCs w:val="22"/>
            <w:u w:val="none"/>
            <w:lang w:val="en-GB"/>
          </w:rPr>
          <w:t>RAB and its components - DH TERMOKOS - heating season 2020/2021</w:t>
        </w:r>
        <w:r w:rsidR="00F1737B" w:rsidRPr="00EC4212">
          <w:rPr>
            <w:rStyle w:val="Hyperlink"/>
            <w:rFonts w:asciiTheme="minorHAnsi" w:hAnsiTheme="minorHAnsi"/>
            <w:color w:val="000000" w:themeColor="text1"/>
            <w:sz w:val="22"/>
            <w:szCs w:val="22"/>
            <w:u w:val="none"/>
            <w:lang w:val="en-GB"/>
          </w:rPr>
          <w:t>.</w:t>
        </w:r>
        <w:r w:rsidR="00F1737B" w:rsidRPr="00EC4212">
          <w:rPr>
            <w:rStyle w:val="Hyperlink"/>
            <w:rFonts w:asciiTheme="minorHAnsi" w:hAnsiTheme="minorHAnsi"/>
            <w:webHidden/>
            <w:color w:val="000000" w:themeColor="text1"/>
            <w:sz w:val="22"/>
            <w:szCs w:val="22"/>
            <w:u w:val="none"/>
            <w:lang w:val="en-GB"/>
          </w:rPr>
          <w:t>…………….…….…………</w:t>
        </w:r>
        <w:r w:rsidR="00C51657" w:rsidRPr="00EC4212">
          <w:rPr>
            <w:rStyle w:val="Hyperlink"/>
            <w:rFonts w:asciiTheme="minorHAnsi" w:hAnsiTheme="minorHAnsi"/>
            <w:webHidden/>
            <w:color w:val="000000" w:themeColor="text1"/>
            <w:sz w:val="22"/>
            <w:szCs w:val="22"/>
            <w:u w:val="none"/>
            <w:lang w:val="en-GB"/>
          </w:rPr>
          <w:fldChar w:fldCharType="begin"/>
        </w:r>
        <w:r w:rsidR="00C51657" w:rsidRPr="00EC4212">
          <w:rPr>
            <w:rStyle w:val="Hyperlink"/>
            <w:rFonts w:asciiTheme="minorHAnsi" w:hAnsiTheme="minorHAnsi"/>
            <w:webHidden/>
            <w:color w:val="000000" w:themeColor="text1"/>
            <w:sz w:val="22"/>
            <w:szCs w:val="22"/>
            <w:u w:val="none"/>
            <w:lang w:val="en-GB"/>
          </w:rPr>
          <w:instrText xml:space="preserve"> PAGEREF _Toc21514456 \h </w:instrText>
        </w:r>
        <w:r w:rsidR="00C51657" w:rsidRPr="00EC4212">
          <w:rPr>
            <w:rStyle w:val="Hyperlink"/>
            <w:rFonts w:asciiTheme="minorHAnsi" w:hAnsiTheme="minorHAnsi"/>
            <w:webHidden/>
            <w:color w:val="000000" w:themeColor="text1"/>
            <w:sz w:val="22"/>
            <w:szCs w:val="22"/>
            <w:u w:val="none"/>
            <w:lang w:val="en-GB"/>
          </w:rPr>
        </w:r>
        <w:r w:rsidR="00C51657" w:rsidRPr="00EC4212">
          <w:rPr>
            <w:rStyle w:val="Hyperlink"/>
            <w:rFonts w:asciiTheme="minorHAnsi" w:hAnsiTheme="minorHAnsi"/>
            <w:webHidden/>
            <w:color w:val="000000" w:themeColor="text1"/>
            <w:sz w:val="22"/>
            <w:szCs w:val="22"/>
            <w:u w:val="none"/>
            <w:lang w:val="en-GB"/>
          </w:rPr>
          <w:fldChar w:fldCharType="separate"/>
        </w:r>
        <w:r w:rsidR="00923408" w:rsidRPr="00EC4212">
          <w:rPr>
            <w:rStyle w:val="Hyperlink"/>
            <w:rFonts w:asciiTheme="minorHAnsi" w:hAnsiTheme="minorHAnsi"/>
            <w:webHidden/>
            <w:color w:val="000000" w:themeColor="text1"/>
            <w:sz w:val="22"/>
            <w:szCs w:val="22"/>
            <w:u w:val="none"/>
            <w:lang w:val="en-GB"/>
          </w:rPr>
          <w:t>1</w:t>
        </w:r>
        <w:r w:rsidR="00C51657" w:rsidRPr="00EC4212">
          <w:rPr>
            <w:rStyle w:val="Hyperlink"/>
            <w:rFonts w:asciiTheme="minorHAnsi" w:hAnsiTheme="minorHAnsi"/>
            <w:webHidden/>
            <w:color w:val="000000" w:themeColor="text1"/>
            <w:sz w:val="22"/>
            <w:szCs w:val="22"/>
            <w:u w:val="none"/>
            <w:lang w:val="en-GB"/>
          </w:rPr>
          <w:fldChar w:fldCharType="end"/>
        </w:r>
      </w:hyperlink>
      <w:r w:rsidR="00F664B6" w:rsidRPr="00EC4212">
        <w:rPr>
          <w:rStyle w:val="Hyperlink"/>
          <w:rFonts w:asciiTheme="minorHAnsi" w:hAnsiTheme="minorHAnsi"/>
          <w:color w:val="000000" w:themeColor="text1"/>
          <w:sz w:val="22"/>
          <w:szCs w:val="22"/>
          <w:u w:val="none"/>
          <w:lang w:val="en-GB"/>
        </w:rPr>
        <w:t>9</w:t>
      </w:r>
    </w:p>
    <w:p w:rsidR="00C51657" w:rsidRPr="00EC4212" w:rsidRDefault="00A34C30" w:rsidP="00EC4212">
      <w:pPr>
        <w:pStyle w:val="TOC3"/>
        <w:tabs>
          <w:tab w:val="right" w:leader="dot" w:pos="9063"/>
        </w:tabs>
        <w:spacing w:line="360" w:lineRule="auto"/>
        <w:ind w:left="0"/>
        <w:contextualSpacing/>
        <w:rPr>
          <w:rStyle w:val="Hyperlink"/>
          <w:rFonts w:asciiTheme="minorHAnsi" w:hAnsiTheme="minorHAnsi"/>
          <w:noProof/>
          <w:color w:val="000000" w:themeColor="text1"/>
          <w:sz w:val="22"/>
          <w:szCs w:val="22"/>
          <w:u w:val="none"/>
          <w:lang w:val="en-GB"/>
        </w:rPr>
      </w:pPr>
      <w:hyperlink w:anchor="_Toc21514458" w:history="1">
        <w:r w:rsidR="00F664B6" w:rsidRPr="00EC4212">
          <w:rPr>
            <w:rStyle w:val="Hyperlink"/>
            <w:rFonts w:asciiTheme="minorHAnsi" w:hAnsiTheme="minorHAnsi"/>
            <w:color w:val="000000" w:themeColor="text1"/>
            <w:sz w:val="22"/>
            <w:szCs w:val="22"/>
            <w:u w:val="none"/>
            <w:lang w:val="en-GB"/>
          </w:rPr>
          <w:t>Table 4:</w:t>
        </w:r>
      </w:hyperlink>
      <w:r w:rsidR="00F1737B" w:rsidRPr="00EC4212">
        <w:rPr>
          <w:rStyle w:val="Hyperlink"/>
          <w:rFonts w:asciiTheme="minorHAnsi" w:hAnsiTheme="minorHAnsi"/>
          <w:color w:val="000000" w:themeColor="text1"/>
          <w:sz w:val="22"/>
          <w:szCs w:val="22"/>
          <w:u w:val="none"/>
          <w:lang w:val="en-GB"/>
        </w:rPr>
        <w:t xml:space="preserve"> </w:t>
      </w:r>
      <w:hyperlink w:anchor="_Toc21514458" w:history="1">
        <w:r w:rsidR="00F664B6" w:rsidRPr="00EC4212">
          <w:rPr>
            <w:rStyle w:val="Hyperlink"/>
            <w:rFonts w:asciiTheme="minorHAnsi" w:hAnsiTheme="minorHAnsi"/>
            <w:color w:val="000000" w:themeColor="text1"/>
            <w:sz w:val="22"/>
            <w:szCs w:val="22"/>
            <w:u w:val="none"/>
            <w:lang w:val="en-GB"/>
          </w:rPr>
          <w:t>Asset Categorization (RAB) and wei</w:t>
        </w:r>
        <w:r w:rsidR="00F1737B" w:rsidRPr="00EC4212">
          <w:rPr>
            <w:rStyle w:val="Hyperlink"/>
            <w:rFonts w:asciiTheme="minorHAnsi" w:hAnsiTheme="minorHAnsi"/>
            <w:color w:val="000000" w:themeColor="text1"/>
            <w:sz w:val="22"/>
            <w:szCs w:val="22"/>
            <w:u w:val="none"/>
            <w:lang w:val="en-GB"/>
          </w:rPr>
          <w:t>ghted average depreciation rate………………………………….</w:t>
        </w:r>
        <w:r w:rsidR="00F664B6" w:rsidRPr="00EC4212">
          <w:rPr>
            <w:rStyle w:val="Hyperlink"/>
            <w:rFonts w:asciiTheme="minorHAnsi" w:hAnsiTheme="minorHAnsi"/>
            <w:webHidden/>
            <w:color w:val="000000" w:themeColor="text1"/>
            <w:sz w:val="22"/>
            <w:szCs w:val="22"/>
            <w:u w:val="none"/>
            <w:lang w:val="en-GB"/>
          </w:rPr>
          <w:t>20</w:t>
        </w:r>
      </w:hyperlink>
    </w:p>
    <w:p w:rsidR="006D004B" w:rsidRPr="00EC4212" w:rsidRDefault="00A34C30" w:rsidP="00EC4212">
      <w:pPr>
        <w:pStyle w:val="TOC3"/>
        <w:tabs>
          <w:tab w:val="right" w:leader="dot" w:pos="9063"/>
        </w:tabs>
        <w:spacing w:line="360" w:lineRule="auto"/>
        <w:ind w:left="0"/>
        <w:contextualSpacing/>
        <w:rPr>
          <w:rStyle w:val="Hyperlink"/>
          <w:rFonts w:asciiTheme="minorHAnsi" w:hAnsiTheme="minorHAnsi"/>
          <w:color w:val="000000" w:themeColor="text1"/>
          <w:sz w:val="22"/>
          <w:szCs w:val="22"/>
          <w:u w:val="none"/>
          <w:lang w:val="en-GB"/>
        </w:rPr>
      </w:pPr>
      <w:hyperlink w:anchor="_Toc21514868" w:history="1">
        <w:r w:rsidR="00F664B6" w:rsidRPr="00EC4212">
          <w:rPr>
            <w:rStyle w:val="Hyperlink"/>
            <w:rFonts w:asciiTheme="minorHAnsi" w:hAnsiTheme="minorHAnsi"/>
            <w:color w:val="000000" w:themeColor="text1"/>
            <w:sz w:val="22"/>
            <w:szCs w:val="22"/>
            <w:u w:val="none"/>
            <w:lang w:val="en-GB"/>
          </w:rPr>
          <w:t>Table 5:</w:t>
        </w:r>
      </w:hyperlink>
      <w:r w:rsidR="00F1737B" w:rsidRPr="00EC4212">
        <w:rPr>
          <w:rStyle w:val="Hyperlink"/>
          <w:rFonts w:asciiTheme="minorHAnsi" w:hAnsiTheme="minorHAnsi"/>
          <w:color w:val="000000" w:themeColor="text1"/>
          <w:sz w:val="22"/>
          <w:szCs w:val="22"/>
          <w:u w:val="none"/>
          <w:lang w:val="en-GB"/>
        </w:rPr>
        <w:t xml:space="preserve"> </w:t>
      </w:r>
      <w:hyperlink w:anchor="_Toc21514868" w:history="1">
        <w:r w:rsidR="00F664B6" w:rsidRPr="00EC4212">
          <w:rPr>
            <w:rStyle w:val="Hyperlink"/>
            <w:rFonts w:asciiTheme="minorHAnsi" w:hAnsiTheme="minorHAnsi"/>
            <w:color w:val="000000" w:themeColor="text1"/>
            <w:sz w:val="22"/>
            <w:szCs w:val="22"/>
            <w:u w:val="none"/>
            <w:lang w:val="en-GB"/>
          </w:rPr>
          <w:t xml:space="preserve">Allowed Return (Allowed Profit) </w:t>
        </w:r>
        <w:r w:rsidR="00F1737B" w:rsidRPr="00EC4212">
          <w:rPr>
            <w:rStyle w:val="Hyperlink"/>
            <w:rFonts w:asciiTheme="minorHAnsi" w:hAnsiTheme="minorHAnsi"/>
            <w:color w:val="000000" w:themeColor="text1"/>
            <w:sz w:val="22"/>
            <w:szCs w:val="22"/>
            <w:u w:val="none"/>
            <w:lang w:val="en-GB"/>
          </w:rPr>
          <w:t>on</w:t>
        </w:r>
        <w:r w:rsidR="00F664B6" w:rsidRPr="00EC4212">
          <w:rPr>
            <w:rStyle w:val="Hyperlink"/>
            <w:rFonts w:asciiTheme="minorHAnsi" w:hAnsiTheme="minorHAnsi"/>
            <w:color w:val="000000" w:themeColor="text1"/>
            <w:sz w:val="22"/>
            <w:szCs w:val="22"/>
            <w:u w:val="none"/>
            <w:lang w:val="en-GB"/>
          </w:rPr>
          <w:t xml:space="preserve"> RAB fo</w:t>
        </w:r>
        <w:r w:rsidR="00F1737B" w:rsidRPr="00EC4212">
          <w:rPr>
            <w:rStyle w:val="Hyperlink"/>
            <w:rFonts w:asciiTheme="minorHAnsi" w:hAnsiTheme="minorHAnsi"/>
            <w:color w:val="000000" w:themeColor="text1"/>
            <w:sz w:val="22"/>
            <w:szCs w:val="22"/>
            <w:u w:val="none"/>
            <w:lang w:val="en-GB"/>
          </w:rPr>
          <w:t>r the heating season 2020/2021……………</w:t>
        </w:r>
        <w:r w:rsidR="00EC4212" w:rsidRPr="00EC4212">
          <w:rPr>
            <w:rStyle w:val="Hyperlink"/>
            <w:rFonts w:asciiTheme="minorHAnsi" w:hAnsiTheme="minorHAnsi"/>
            <w:color w:val="000000" w:themeColor="text1"/>
            <w:sz w:val="22"/>
            <w:szCs w:val="22"/>
            <w:u w:val="none"/>
            <w:lang w:val="en-GB"/>
          </w:rPr>
          <w:t>……</w:t>
        </w:r>
        <w:r w:rsidR="00F1737B" w:rsidRPr="00EC4212">
          <w:rPr>
            <w:rStyle w:val="Hyperlink"/>
            <w:rFonts w:asciiTheme="minorHAnsi" w:hAnsiTheme="minorHAnsi"/>
            <w:color w:val="000000" w:themeColor="text1"/>
            <w:sz w:val="22"/>
            <w:szCs w:val="22"/>
            <w:u w:val="none"/>
            <w:lang w:val="en-GB"/>
          </w:rPr>
          <w:t>…….</w:t>
        </w:r>
        <w:r w:rsidR="006D004B" w:rsidRPr="00EC4212">
          <w:rPr>
            <w:rStyle w:val="Hyperlink"/>
            <w:rFonts w:asciiTheme="minorHAnsi" w:hAnsiTheme="minorHAnsi"/>
            <w:webHidden/>
            <w:color w:val="000000" w:themeColor="text1"/>
            <w:sz w:val="22"/>
            <w:szCs w:val="22"/>
            <w:u w:val="none"/>
            <w:lang w:val="en-GB"/>
          </w:rPr>
          <w:fldChar w:fldCharType="begin"/>
        </w:r>
        <w:r w:rsidR="006D004B" w:rsidRPr="00EC4212">
          <w:rPr>
            <w:rStyle w:val="Hyperlink"/>
            <w:rFonts w:asciiTheme="minorHAnsi" w:hAnsiTheme="minorHAnsi"/>
            <w:webHidden/>
            <w:color w:val="000000" w:themeColor="text1"/>
            <w:sz w:val="22"/>
            <w:szCs w:val="22"/>
            <w:u w:val="none"/>
            <w:lang w:val="en-GB"/>
          </w:rPr>
          <w:instrText xml:space="preserve"> PAGEREF _Toc21514868 \h </w:instrText>
        </w:r>
        <w:r w:rsidR="006D004B" w:rsidRPr="00EC4212">
          <w:rPr>
            <w:rStyle w:val="Hyperlink"/>
            <w:rFonts w:asciiTheme="minorHAnsi" w:hAnsiTheme="minorHAnsi"/>
            <w:webHidden/>
            <w:color w:val="000000" w:themeColor="text1"/>
            <w:sz w:val="22"/>
            <w:szCs w:val="22"/>
            <w:u w:val="none"/>
            <w:lang w:val="en-GB"/>
          </w:rPr>
        </w:r>
        <w:r w:rsidR="006D004B" w:rsidRPr="00EC4212">
          <w:rPr>
            <w:rStyle w:val="Hyperlink"/>
            <w:rFonts w:asciiTheme="minorHAnsi" w:hAnsiTheme="minorHAnsi"/>
            <w:webHidden/>
            <w:color w:val="000000" w:themeColor="text1"/>
            <w:sz w:val="22"/>
            <w:szCs w:val="22"/>
            <w:u w:val="none"/>
            <w:lang w:val="en-GB"/>
          </w:rPr>
          <w:fldChar w:fldCharType="separate"/>
        </w:r>
        <w:r w:rsidR="00923408" w:rsidRPr="00EC4212">
          <w:rPr>
            <w:rStyle w:val="Hyperlink"/>
            <w:rFonts w:asciiTheme="minorHAnsi" w:hAnsiTheme="minorHAnsi"/>
            <w:webHidden/>
            <w:color w:val="000000" w:themeColor="text1"/>
            <w:sz w:val="22"/>
            <w:szCs w:val="22"/>
            <w:u w:val="none"/>
            <w:lang w:val="en-GB"/>
          </w:rPr>
          <w:t>2</w:t>
        </w:r>
        <w:r w:rsidR="006D004B" w:rsidRPr="00EC4212">
          <w:rPr>
            <w:rStyle w:val="Hyperlink"/>
            <w:rFonts w:asciiTheme="minorHAnsi" w:hAnsiTheme="minorHAnsi"/>
            <w:webHidden/>
            <w:color w:val="000000" w:themeColor="text1"/>
            <w:sz w:val="22"/>
            <w:szCs w:val="22"/>
            <w:u w:val="none"/>
            <w:lang w:val="en-GB"/>
          </w:rPr>
          <w:fldChar w:fldCharType="end"/>
        </w:r>
      </w:hyperlink>
      <w:r w:rsidR="00F664B6" w:rsidRPr="00EC4212">
        <w:rPr>
          <w:rStyle w:val="Hyperlink"/>
          <w:rFonts w:asciiTheme="minorHAnsi" w:hAnsiTheme="minorHAnsi"/>
          <w:color w:val="000000" w:themeColor="text1"/>
          <w:sz w:val="22"/>
          <w:szCs w:val="22"/>
          <w:u w:val="none"/>
          <w:lang w:val="en-GB"/>
        </w:rPr>
        <w:t>3</w:t>
      </w:r>
    </w:p>
    <w:p w:rsidR="00C51657" w:rsidRPr="00EC4212" w:rsidRDefault="00A34C30" w:rsidP="00EC4212">
      <w:pPr>
        <w:pStyle w:val="TOC3"/>
        <w:tabs>
          <w:tab w:val="right" w:leader="dot" w:pos="9063"/>
        </w:tabs>
        <w:spacing w:line="360" w:lineRule="auto"/>
        <w:ind w:left="0"/>
        <w:contextualSpacing/>
        <w:rPr>
          <w:rFonts w:asciiTheme="minorHAnsi" w:hAnsiTheme="minorHAnsi"/>
          <w:noProof/>
          <w:color w:val="000000" w:themeColor="text1"/>
          <w:sz w:val="22"/>
          <w:szCs w:val="22"/>
          <w:lang w:val="en-GB"/>
        </w:rPr>
      </w:pPr>
      <w:hyperlink w:anchor="_Toc21514465" w:history="1">
        <w:r w:rsidR="00F664B6" w:rsidRPr="00EC4212">
          <w:rPr>
            <w:rStyle w:val="Hyperlink"/>
            <w:rFonts w:asciiTheme="minorHAnsi" w:hAnsiTheme="minorHAnsi"/>
            <w:color w:val="000000" w:themeColor="text1"/>
            <w:sz w:val="22"/>
            <w:szCs w:val="22"/>
            <w:u w:val="none"/>
            <w:lang w:val="en-GB"/>
          </w:rPr>
          <w:t>Table 6:</w:t>
        </w:r>
      </w:hyperlink>
      <w:r w:rsidR="00EC4212" w:rsidRPr="00EC4212">
        <w:rPr>
          <w:rStyle w:val="Hyperlink"/>
          <w:rFonts w:asciiTheme="minorHAnsi" w:hAnsiTheme="minorHAnsi"/>
          <w:color w:val="000000" w:themeColor="text1"/>
          <w:sz w:val="22"/>
          <w:szCs w:val="22"/>
          <w:u w:val="none"/>
          <w:lang w:val="en-GB"/>
        </w:rPr>
        <w:t xml:space="preserve"> </w:t>
      </w:r>
      <w:hyperlink w:anchor="_Toc21514465" w:history="1">
        <w:r w:rsidR="00F664B6" w:rsidRPr="00EC4212">
          <w:rPr>
            <w:rStyle w:val="Hyperlink"/>
            <w:rFonts w:asciiTheme="minorHAnsi" w:hAnsiTheme="minorHAnsi"/>
            <w:color w:val="000000" w:themeColor="text1"/>
            <w:sz w:val="22"/>
            <w:szCs w:val="22"/>
            <w:u w:val="none"/>
            <w:lang w:val="en-GB"/>
          </w:rPr>
          <w:t>Allowed Revenues for DH Termokos - heating season 2020/2021</w:t>
        </w:r>
        <w:r w:rsidR="00EC4212" w:rsidRPr="00EC4212">
          <w:rPr>
            <w:rStyle w:val="Hyperlink"/>
            <w:rFonts w:asciiTheme="minorHAnsi" w:hAnsiTheme="minorHAnsi"/>
            <w:color w:val="000000" w:themeColor="text1"/>
            <w:sz w:val="22"/>
            <w:szCs w:val="22"/>
            <w:u w:val="none"/>
            <w:lang w:val="en-GB"/>
          </w:rPr>
          <w:t>………………………………………</w:t>
        </w:r>
        <w:r w:rsidR="00C51657" w:rsidRPr="00EC4212">
          <w:rPr>
            <w:rFonts w:asciiTheme="minorHAnsi" w:hAnsiTheme="minorHAnsi"/>
            <w:webHidden/>
            <w:color w:val="000000" w:themeColor="text1"/>
            <w:sz w:val="22"/>
            <w:szCs w:val="22"/>
            <w:lang w:val="en-GB"/>
          </w:rPr>
          <w:fldChar w:fldCharType="begin"/>
        </w:r>
        <w:r w:rsidR="00C51657" w:rsidRPr="00EC4212">
          <w:rPr>
            <w:rFonts w:asciiTheme="minorHAnsi" w:hAnsiTheme="minorHAnsi"/>
            <w:webHidden/>
            <w:color w:val="000000" w:themeColor="text1"/>
            <w:sz w:val="22"/>
            <w:szCs w:val="22"/>
            <w:lang w:val="en-GB"/>
          </w:rPr>
          <w:instrText xml:space="preserve"> PAGEREF _Toc21514465 \h </w:instrText>
        </w:r>
        <w:r w:rsidR="00C51657" w:rsidRPr="00EC4212">
          <w:rPr>
            <w:rFonts w:asciiTheme="minorHAnsi" w:hAnsiTheme="minorHAnsi"/>
            <w:webHidden/>
            <w:color w:val="000000" w:themeColor="text1"/>
            <w:sz w:val="22"/>
            <w:szCs w:val="22"/>
            <w:lang w:val="en-GB"/>
          </w:rPr>
        </w:r>
        <w:r w:rsidR="00C51657" w:rsidRPr="00EC4212">
          <w:rPr>
            <w:rFonts w:asciiTheme="minorHAnsi" w:hAnsiTheme="minorHAnsi"/>
            <w:webHidden/>
            <w:color w:val="000000" w:themeColor="text1"/>
            <w:sz w:val="22"/>
            <w:szCs w:val="22"/>
            <w:lang w:val="en-GB"/>
          </w:rPr>
          <w:fldChar w:fldCharType="separate"/>
        </w:r>
        <w:r w:rsidR="00923408" w:rsidRPr="00EC4212">
          <w:rPr>
            <w:rFonts w:asciiTheme="minorHAnsi" w:hAnsiTheme="minorHAnsi"/>
            <w:webHidden/>
            <w:color w:val="000000" w:themeColor="text1"/>
            <w:sz w:val="22"/>
            <w:szCs w:val="22"/>
            <w:lang w:val="en-GB"/>
          </w:rPr>
          <w:t>2</w:t>
        </w:r>
        <w:r w:rsidR="00C51657" w:rsidRPr="00EC4212">
          <w:rPr>
            <w:rFonts w:asciiTheme="minorHAnsi" w:hAnsiTheme="minorHAnsi"/>
            <w:webHidden/>
            <w:color w:val="000000" w:themeColor="text1"/>
            <w:sz w:val="22"/>
            <w:szCs w:val="22"/>
            <w:lang w:val="en-GB"/>
          </w:rPr>
          <w:fldChar w:fldCharType="end"/>
        </w:r>
      </w:hyperlink>
      <w:r w:rsidR="00F664B6" w:rsidRPr="00EC4212">
        <w:rPr>
          <w:rFonts w:asciiTheme="minorHAnsi" w:hAnsiTheme="minorHAnsi"/>
          <w:color w:val="000000" w:themeColor="text1"/>
          <w:sz w:val="22"/>
          <w:szCs w:val="22"/>
          <w:lang w:val="en-GB"/>
        </w:rPr>
        <w:t>5</w:t>
      </w:r>
    </w:p>
    <w:p w:rsidR="00C51657" w:rsidRPr="00EC4212" w:rsidRDefault="00A34C30" w:rsidP="00EC4212">
      <w:pPr>
        <w:pStyle w:val="TOC3"/>
        <w:tabs>
          <w:tab w:val="right" w:leader="dot" w:pos="9063"/>
        </w:tabs>
        <w:spacing w:line="360" w:lineRule="auto"/>
        <w:ind w:left="0"/>
        <w:contextualSpacing/>
        <w:rPr>
          <w:rStyle w:val="Hyperlink"/>
          <w:rFonts w:asciiTheme="minorHAnsi" w:hAnsiTheme="minorHAnsi"/>
          <w:color w:val="000000" w:themeColor="text1"/>
          <w:sz w:val="22"/>
          <w:szCs w:val="22"/>
          <w:u w:val="none"/>
          <w:lang w:val="en-GB"/>
        </w:rPr>
      </w:pPr>
      <w:hyperlink w:anchor="_Toc21514467" w:history="1">
        <w:r w:rsidR="00F664B6" w:rsidRPr="00EC4212">
          <w:rPr>
            <w:rStyle w:val="Hyperlink"/>
            <w:rFonts w:asciiTheme="minorHAnsi" w:hAnsiTheme="minorHAnsi"/>
            <w:color w:val="000000" w:themeColor="text1"/>
            <w:sz w:val="22"/>
            <w:szCs w:val="22"/>
            <w:u w:val="none"/>
            <w:lang w:val="en-GB"/>
          </w:rPr>
          <w:t>Table 7:</w:t>
        </w:r>
      </w:hyperlink>
      <w:r w:rsidR="00EC4212" w:rsidRPr="00EC4212">
        <w:rPr>
          <w:rStyle w:val="Hyperlink"/>
          <w:rFonts w:asciiTheme="minorHAnsi" w:hAnsiTheme="minorHAnsi"/>
          <w:color w:val="000000" w:themeColor="text1"/>
          <w:sz w:val="22"/>
          <w:szCs w:val="22"/>
          <w:u w:val="none"/>
          <w:lang w:val="en-GB"/>
        </w:rPr>
        <w:t xml:space="preserve"> </w:t>
      </w:r>
      <w:hyperlink w:anchor="_Toc21514467" w:history="1">
        <w:r w:rsidR="00F664B6" w:rsidRPr="00EC4212">
          <w:rPr>
            <w:rStyle w:val="Hyperlink"/>
            <w:rFonts w:asciiTheme="minorHAnsi" w:hAnsiTheme="minorHAnsi"/>
            <w:color w:val="000000" w:themeColor="text1"/>
            <w:sz w:val="22"/>
            <w:szCs w:val="22"/>
            <w:u w:val="none"/>
            <w:lang w:val="en-GB"/>
          </w:rPr>
          <w:t>Su</w:t>
        </w:r>
        <w:r w:rsidR="00EC4212" w:rsidRPr="00EC4212">
          <w:rPr>
            <w:rStyle w:val="Hyperlink"/>
            <w:rFonts w:asciiTheme="minorHAnsi" w:hAnsiTheme="minorHAnsi"/>
            <w:color w:val="000000" w:themeColor="text1"/>
            <w:sz w:val="22"/>
            <w:szCs w:val="22"/>
            <w:u w:val="none"/>
            <w:lang w:val="en-GB"/>
          </w:rPr>
          <w:t>mmary of Thermal Energy Balance………………………………………………………………………………….</w:t>
        </w:r>
        <w:r w:rsidR="00C51657" w:rsidRPr="00EC4212">
          <w:rPr>
            <w:rStyle w:val="Hyperlink"/>
            <w:rFonts w:asciiTheme="minorHAnsi" w:hAnsiTheme="minorHAnsi"/>
            <w:webHidden/>
            <w:color w:val="000000" w:themeColor="text1"/>
            <w:sz w:val="22"/>
            <w:szCs w:val="22"/>
            <w:u w:val="none"/>
            <w:lang w:val="en-GB"/>
          </w:rPr>
          <w:fldChar w:fldCharType="begin"/>
        </w:r>
        <w:r w:rsidR="00C51657" w:rsidRPr="00EC4212">
          <w:rPr>
            <w:rStyle w:val="Hyperlink"/>
            <w:rFonts w:asciiTheme="minorHAnsi" w:hAnsiTheme="minorHAnsi"/>
            <w:webHidden/>
            <w:color w:val="000000" w:themeColor="text1"/>
            <w:sz w:val="22"/>
            <w:szCs w:val="22"/>
            <w:u w:val="none"/>
            <w:lang w:val="en-GB"/>
          </w:rPr>
          <w:instrText xml:space="preserve"> PAGEREF _Toc21514467 \h </w:instrText>
        </w:r>
        <w:r w:rsidR="00C51657" w:rsidRPr="00EC4212">
          <w:rPr>
            <w:rStyle w:val="Hyperlink"/>
            <w:rFonts w:asciiTheme="minorHAnsi" w:hAnsiTheme="minorHAnsi"/>
            <w:webHidden/>
            <w:color w:val="000000" w:themeColor="text1"/>
            <w:sz w:val="22"/>
            <w:szCs w:val="22"/>
            <w:u w:val="none"/>
            <w:lang w:val="en-GB"/>
          </w:rPr>
        </w:r>
        <w:r w:rsidR="00C51657" w:rsidRPr="00EC4212">
          <w:rPr>
            <w:rStyle w:val="Hyperlink"/>
            <w:rFonts w:asciiTheme="minorHAnsi" w:hAnsiTheme="minorHAnsi"/>
            <w:webHidden/>
            <w:color w:val="000000" w:themeColor="text1"/>
            <w:sz w:val="22"/>
            <w:szCs w:val="22"/>
            <w:u w:val="none"/>
            <w:lang w:val="en-GB"/>
          </w:rPr>
          <w:fldChar w:fldCharType="separate"/>
        </w:r>
        <w:r w:rsidR="00923408" w:rsidRPr="00EC4212">
          <w:rPr>
            <w:rStyle w:val="Hyperlink"/>
            <w:rFonts w:asciiTheme="minorHAnsi" w:hAnsiTheme="minorHAnsi"/>
            <w:webHidden/>
            <w:color w:val="000000" w:themeColor="text1"/>
            <w:sz w:val="22"/>
            <w:szCs w:val="22"/>
            <w:u w:val="none"/>
            <w:lang w:val="en-GB"/>
          </w:rPr>
          <w:t>2</w:t>
        </w:r>
        <w:r w:rsidR="00C51657" w:rsidRPr="00EC4212">
          <w:rPr>
            <w:rStyle w:val="Hyperlink"/>
            <w:rFonts w:asciiTheme="minorHAnsi" w:hAnsiTheme="minorHAnsi"/>
            <w:webHidden/>
            <w:color w:val="000000" w:themeColor="text1"/>
            <w:sz w:val="22"/>
            <w:szCs w:val="22"/>
            <w:u w:val="none"/>
            <w:lang w:val="en-GB"/>
          </w:rPr>
          <w:fldChar w:fldCharType="end"/>
        </w:r>
      </w:hyperlink>
      <w:r w:rsidR="00F664B6" w:rsidRPr="00EC4212">
        <w:rPr>
          <w:rStyle w:val="Hyperlink"/>
          <w:rFonts w:asciiTheme="minorHAnsi" w:hAnsiTheme="minorHAnsi"/>
          <w:color w:val="000000" w:themeColor="text1"/>
          <w:sz w:val="22"/>
          <w:szCs w:val="22"/>
          <w:u w:val="none"/>
          <w:lang w:val="en-GB"/>
        </w:rPr>
        <w:t>5</w:t>
      </w:r>
    </w:p>
    <w:p w:rsidR="00E807F8" w:rsidRPr="00EC4212" w:rsidRDefault="00A34C30" w:rsidP="00382204">
      <w:pPr>
        <w:pStyle w:val="Heading1"/>
        <w:tabs>
          <w:tab w:val="clear" w:pos="2340"/>
          <w:tab w:val="num" w:pos="1620"/>
        </w:tabs>
        <w:ind w:left="720"/>
        <w:rPr>
          <w:color w:val="000000" w:themeColor="text1"/>
          <w:lang w:val="en-GB"/>
        </w:rPr>
      </w:pPr>
      <w:hyperlink w:anchor="_1._Hyrje" w:history="1">
        <w:bookmarkStart w:id="4" w:name="_Toc52186221"/>
        <w:bookmarkStart w:id="5" w:name="_Toc21513542"/>
        <w:bookmarkStart w:id="6" w:name="_Toc21514364"/>
        <w:r w:rsidR="00F664B6" w:rsidRPr="00EC4212">
          <w:rPr>
            <w:rStyle w:val="Hyperlink"/>
            <w:rFonts w:asciiTheme="minorHAnsi" w:hAnsiTheme="minorHAnsi"/>
            <w:color w:val="000000" w:themeColor="text1"/>
            <w:sz w:val="24"/>
            <w:u w:val="none"/>
            <w:lang w:val="en-GB"/>
          </w:rPr>
          <w:t>Introduction</w:t>
        </w:r>
        <w:bookmarkEnd w:id="4"/>
        <w:r w:rsidR="00F664B6" w:rsidRPr="00EC4212">
          <w:rPr>
            <w:rStyle w:val="Hyperlink"/>
            <w:lang w:val="en-GB"/>
          </w:rPr>
          <w:t xml:space="preserve"> </w:t>
        </w:r>
        <w:bookmarkEnd w:id="2"/>
        <w:bookmarkEnd w:id="3"/>
        <w:bookmarkEnd w:id="5"/>
        <w:r w:rsidR="00F664B6" w:rsidRPr="00EC4212">
          <w:rPr>
            <w:rStyle w:val="Hyperlink"/>
            <w:lang w:val="en-GB"/>
          </w:rPr>
          <w:t xml:space="preserve"> </w:t>
        </w:r>
        <w:bookmarkEnd w:id="6"/>
      </w:hyperlink>
      <w:r w:rsidR="00F664B6" w:rsidRPr="00EC4212">
        <w:rPr>
          <w:color w:val="000000" w:themeColor="text1"/>
          <w:lang w:val="en-GB"/>
        </w:rPr>
        <w:t xml:space="preserve"> </w:t>
      </w:r>
    </w:p>
    <w:p w:rsidR="00E807F8" w:rsidRPr="00EC4212" w:rsidRDefault="00E807F8" w:rsidP="00E807F8">
      <w:pPr>
        <w:rPr>
          <w:rFonts w:asciiTheme="minorHAnsi" w:hAnsiTheme="minorHAnsi"/>
          <w:b/>
          <w:bCs/>
          <w:lang w:val="en-GB"/>
        </w:rPr>
      </w:pPr>
    </w:p>
    <w:p w:rsidR="00E807F8" w:rsidRPr="00EC4212" w:rsidRDefault="00E807F8" w:rsidP="00EC4212">
      <w:pPr>
        <w:jc w:val="both"/>
        <w:rPr>
          <w:rFonts w:asciiTheme="minorHAnsi" w:hAnsiTheme="minorHAnsi"/>
          <w:sz w:val="22"/>
          <w:lang w:val="en-GB"/>
        </w:rPr>
      </w:pPr>
      <w:r w:rsidRPr="00EC4212">
        <w:rPr>
          <w:rFonts w:asciiTheme="minorHAnsi" w:hAnsiTheme="minorHAnsi"/>
          <w:sz w:val="22"/>
          <w:lang w:val="en-GB"/>
        </w:rPr>
        <w:t>According to primary legislation</w:t>
      </w:r>
      <w:r w:rsidR="00EC4212">
        <w:rPr>
          <w:rFonts w:asciiTheme="minorHAnsi" w:hAnsiTheme="minorHAnsi"/>
          <w:sz w:val="22"/>
          <w:lang w:val="en-GB"/>
        </w:rPr>
        <w:t xml:space="preserve"> </w:t>
      </w:r>
      <w:r w:rsidRPr="00EC4212">
        <w:rPr>
          <w:rFonts w:asciiTheme="minorHAnsi" w:hAnsiTheme="minorHAnsi"/>
          <w:sz w:val="22"/>
          <w:lang w:val="en-GB"/>
        </w:rPr>
        <w:t xml:space="preserve">- Articles 47 and 48 of the </w:t>
      </w:r>
      <w:r w:rsidR="00EC4212" w:rsidRPr="00EC4212">
        <w:rPr>
          <w:rFonts w:asciiTheme="minorHAnsi" w:hAnsiTheme="minorHAnsi"/>
          <w:sz w:val="22"/>
          <w:lang w:val="en-GB"/>
        </w:rPr>
        <w:t>Law on Energy Regulator, Energy</w:t>
      </w:r>
      <w:r w:rsidRPr="00EC4212">
        <w:rPr>
          <w:rFonts w:asciiTheme="minorHAnsi" w:hAnsiTheme="minorHAnsi"/>
          <w:sz w:val="22"/>
          <w:lang w:val="en-GB"/>
        </w:rPr>
        <w:br/>
        <w:t xml:space="preserve">Regulatory Office (ERO) is responsible for </w:t>
      </w:r>
      <w:r w:rsidR="00F80936">
        <w:rPr>
          <w:rFonts w:asciiTheme="minorHAnsi" w:hAnsiTheme="minorHAnsi"/>
          <w:sz w:val="22"/>
          <w:lang w:val="en-GB"/>
        </w:rPr>
        <w:t xml:space="preserve">the </w:t>
      </w:r>
      <w:r w:rsidRPr="00EC4212">
        <w:rPr>
          <w:rFonts w:asciiTheme="minorHAnsi" w:hAnsiTheme="minorHAnsi"/>
          <w:sz w:val="22"/>
          <w:lang w:val="en-GB"/>
        </w:rPr>
        <w:t>determination of t</w:t>
      </w:r>
      <w:r w:rsidR="00EC4212" w:rsidRPr="00EC4212">
        <w:rPr>
          <w:rFonts w:asciiTheme="minorHAnsi" w:hAnsiTheme="minorHAnsi"/>
          <w:sz w:val="22"/>
          <w:lang w:val="en-GB"/>
        </w:rPr>
        <w:t>ariff methodology and approving</w:t>
      </w:r>
      <w:r w:rsidRPr="00EC4212">
        <w:rPr>
          <w:rFonts w:asciiTheme="minorHAnsi" w:hAnsiTheme="minorHAnsi"/>
          <w:sz w:val="22"/>
          <w:lang w:val="en-GB"/>
        </w:rPr>
        <w:br/>
        <w:t>the tariffs in the regulated energy sector; therein is a set of broad p</w:t>
      </w:r>
      <w:r w:rsidR="00EC4212" w:rsidRPr="00EC4212">
        <w:rPr>
          <w:rFonts w:asciiTheme="minorHAnsi" w:hAnsiTheme="minorHAnsi"/>
          <w:sz w:val="22"/>
          <w:lang w:val="en-GB"/>
        </w:rPr>
        <w:t>rinciples such as justification</w:t>
      </w:r>
      <w:r w:rsidRPr="00EC4212">
        <w:rPr>
          <w:rFonts w:asciiTheme="minorHAnsi" w:hAnsiTheme="minorHAnsi"/>
          <w:sz w:val="22"/>
          <w:lang w:val="en-GB"/>
        </w:rPr>
        <w:br/>
        <w:t>and non-discriminatory principles under which energy enterpris</w:t>
      </w:r>
      <w:r w:rsidR="00EC4212" w:rsidRPr="00EC4212">
        <w:rPr>
          <w:rFonts w:asciiTheme="minorHAnsi" w:hAnsiTheme="minorHAnsi"/>
          <w:sz w:val="22"/>
          <w:lang w:val="en-GB"/>
        </w:rPr>
        <w:t>es should recover all justified</w:t>
      </w:r>
      <w:r w:rsidRPr="00EC4212">
        <w:rPr>
          <w:rFonts w:asciiTheme="minorHAnsi" w:hAnsiTheme="minorHAnsi"/>
          <w:sz w:val="22"/>
          <w:lang w:val="en-GB"/>
        </w:rPr>
        <w:br/>
        <w:t>costs including the reasonable return on their investments. Also, Articles 18 and 19 of the Law on Thermal Energy provide that the Supplier charged with</w:t>
      </w:r>
      <w:r w:rsidR="00EC4212" w:rsidRPr="00EC4212">
        <w:rPr>
          <w:rFonts w:asciiTheme="minorHAnsi" w:hAnsiTheme="minorHAnsi"/>
          <w:sz w:val="22"/>
          <w:lang w:val="en-GB"/>
        </w:rPr>
        <w:t xml:space="preserve"> public service carries out the</w:t>
      </w:r>
      <w:r w:rsidRPr="00EC4212">
        <w:rPr>
          <w:rFonts w:asciiTheme="minorHAnsi" w:hAnsiTheme="minorHAnsi"/>
          <w:sz w:val="22"/>
          <w:lang w:val="en-GB"/>
        </w:rPr>
        <w:br/>
        <w:t xml:space="preserve">supply of thermal energy with regulated tariffs. </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cs="Calibri"/>
          <w:bCs/>
          <w:sz w:val="22"/>
          <w:szCs w:val="22"/>
          <w:lang w:val="en-GB"/>
        </w:rPr>
      </w:pPr>
      <w:r w:rsidRPr="00EC4212">
        <w:rPr>
          <w:rFonts w:asciiTheme="minorHAnsi" w:hAnsiTheme="minorHAnsi"/>
          <w:bCs/>
          <w:sz w:val="22"/>
          <w:szCs w:val="22"/>
          <w:lang w:val="en-GB"/>
        </w:rPr>
        <w:t>District heating sector in Kosovo in transmission and distribution of heat is classified as a natural monopoly, while no competition exists for the time being in heat production and supply. Therefore, the district heating tariff, containing all the above</w:t>
      </w:r>
      <w:r w:rsidR="00F80936">
        <w:rPr>
          <w:rFonts w:asciiTheme="minorHAnsi" w:hAnsiTheme="minorHAnsi"/>
          <w:bCs/>
          <w:sz w:val="22"/>
          <w:szCs w:val="22"/>
          <w:lang w:val="en-GB"/>
        </w:rPr>
        <w:t>-</w:t>
      </w:r>
      <w:r w:rsidRPr="00EC4212">
        <w:rPr>
          <w:rFonts w:asciiTheme="minorHAnsi" w:hAnsiTheme="minorHAnsi"/>
          <w:bCs/>
          <w:sz w:val="22"/>
          <w:szCs w:val="22"/>
          <w:lang w:val="en-GB"/>
        </w:rPr>
        <w:t xml:space="preserve">mentioned components, is subject to approval by ERO. </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 xml:space="preserve">In line with its legal obligations and powers, </w:t>
      </w:r>
      <w:r w:rsidR="00F80936">
        <w:rPr>
          <w:rFonts w:asciiTheme="minorHAnsi" w:hAnsiTheme="minorHAnsi"/>
          <w:sz w:val="22"/>
          <w:lang w:val="en-GB"/>
        </w:rPr>
        <w:t xml:space="preserve">the </w:t>
      </w:r>
      <w:r w:rsidRPr="00EC4212">
        <w:rPr>
          <w:rFonts w:asciiTheme="minorHAnsi" w:hAnsiTheme="minorHAnsi"/>
          <w:sz w:val="22"/>
          <w:lang w:val="en-GB"/>
        </w:rPr>
        <w:t xml:space="preserve">Energy Regulatory Office issued Thermal Energy Pricing Rule.  This rule sets the procedures for submission, review of tariff application and approval of tariffs as well as Methodology on Calculation of Allowed Revenues and Tariffs. </w:t>
      </w:r>
    </w:p>
    <w:p w:rsidR="00E807F8" w:rsidRPr="00EC4212" w:rsidRDefault="00E807F8" w:rsidP="00E807F8">
      <w:pPr>
        <w:jc w:val="both"/>
        <w:rPr>
          <w:rFonts w:asciiTheme="minorHAnsi" w:hAnsiTheme="minorHAnsi"/>
          <w:sz w:val="22"/>
          <w:lang w:val="en-GB"/>
        </w:rPr>
      </w:pPr>
    </w:p>
    <w:p w:rsidR="00E807F8" w:rsidRPr="00EC4212" w:rsidRDefault="00E807F8" w:rsidP="00EC4212">
      <w:pPr>
        <w:rPr>
          <w:rFonts w:asciiTheme="minorHAnsi" w:hAnsiTheme="minorHAnsi"/>
          <w:sz w:val="22"/>
          <w:lang w:val="en-GB"/>
        </w:rPr>
      </w:pPr>
      <w:r w:rsidRPr="00EC4212">
        <w:rPr>
          <w:rFonts w:asciiTheme="minorHAnsi" w:hAnsiTheme="minorHAnsi"/>
          <w:sz w:val="22"/>
          <w:lang w:val="en-GB"/>
        </w:rPr>
        <w:t>For determination of allowed revenues for the heating season 2020-2021 have been considered the following:</w:t>
      </w:r>
    </w:p>
    <w:p w:rsidR="00E807F8" w:rsidRPr="00EC4212" w:rsidRDefault="00E807F8" w:rsidP="00EC4212">
      <w:pPr>
        <w:rPr>
          <w:rFonts w:asciiTheme="minorHAnsi" w:hAnsiTheme="minorHAnsi"/>
          <w:sz w:val="22"/>
          <w:lang w:val="en-GB"/>
        </w:rPr>
      </w:pPr>
    </w:p>
    <w:p w:rsidR="00E807F8" w:rsidRPr="00EC4212" w:rsidRDefault="00E807F8" w:rsidP="00EC4212">
      <w:pPr>
        <w:pStyle w:val="BodyTextIndent"/>
        <w:ind w:left="360" w:hanging="360"/>
        <w:jc w:val="both"/>
        <w:rPr>
          <w:rFonts w:asciiTheme="minorHAnsi" w:hAnsiTheme="minorHAnsi"/>
          <w:sz w:val="22"/>
          <w:lang w:val="en-GB"/>
        </w:rPr>
      </w:pPr>
      <w:r w:rsidRPr="00EC4212">
        <w:rPr>
          <w:rFonts w:asciiTheme="minorHAnsi" w:hAnsiTheme="minorHAnsi"/>
          <w:sz w:val="22"/>
          <w:lang w:val="en-GB"/>
        </w:rPr>
        <w:t>-</w:t>
      </w:r>
      <w:r w:rsidR="00EC4212">
        <w:rPr>
          <w:rFonts w:asciiTheme="minorHAnsi" w:hAnsiTheme="minorHAnsi"/>
          <w:sz w:val="22"/>
          <w:lang w:val="en-GB"/>
        </w:rPr>
        <w:tab/>
      </w:r>
      <w:r w:rsidRPr="00EC4212">
        <w:rPr>
          <w:rFonts w:asciiTheme="minorHAnsi" w:hAnsiTheme="minorHAnsi"/>
          <w:sz w:val="22"/>
          <w:lang w:val="en-GB"/>
        </w:rPr>
        <w:t xml:space="preserve"> Information provided by DH Termokos in its application of tariffs for the heating season 2020/2021;</w:t>
      </w:r>
    </w:p>
    <w:p w:rsidR="00E807F8" w:rsidRPr="00EC4212" w:rsidRDefault="00E807F8" w:rsidP="00EC4212">
      <w:pPr>
        <w:pStyle w:val="BodyTextIndent"/>
        <w:ind w:left="360" w:hanging="360"/>
        <w:jc w:val="both"/>
        <w:rPr>
          <w:rFonts w:asciiTheme="minorHAnsi" w:hAnsiTheme="minorHAnsi"/>
          <w:sz w:val="22"/>
          <w:lang w:val="en-GB"/>
        </w:rPr>
      </w:pPr>
      <w:r w:rsidRPr="00EC4212">
        <w:rPr>
          <w:rFonts w:asciiTheme="minorHAnsi" w:hAnsiTheme="minorHAnsi"/>
          <w:sz w:val="22"/>
          <w:lang w:val="en-GB"/>
        </w:rPr>
        <w:t xml:space="preserve">- </w:t>
      </w:r>
      <w:r w:rsidR="00EC4212">
        <w:rPr>
          <w:rFonts w:asciiTheme="minorHAnsi" w:hAnsiTheme="minorHAnsi"/>
          <w:sz w:val="22"/>
          <w:lang w:val="en-GB"/>
        </w:rPr>
        <w:tab/>
      </w:r>
      <w:r w:rsidRPr="00EC4212">
        <w:rPr>
          <w:rFonts w:asciiTheme="minorHAnsi" w:hAnsiTheme="minorHAnsi"/>
          <w:sz w:val="22"/>
          <w:lang w:val="en-GB"/>
        </w:rPr>
        <w:t xml:space="preserve">Information provided by DH Termokos in its regulatory reporting - costs and revenues, assets/investments, as well as technical and customer information, that has actually taken place in the heating season 2019/2020 and in the previous seasons; </w:t>
      </w:r>
    </w:p>
    <w:p w:rsidR="00E807F8" w:rsidRPr="00EC4212" w:rsidRDefault="00E807F8" w:rsidP="00E807F8">
      <w:pPr>
        <w:pStyle w:val="BodyTextIndent"/>
        <w:jc w:val="both"/>
        <w:rPr>
          <w:rFonts w:asciiTheme="minorHAnsi" w:hAnsiTheme="minorHAnsi"/>
          <w:sz w:val="22"/>
          <w:lang w:val="en-GB"/>
        </w:rPr>
      </w:pPr>
    </w:p>
    <w:p w:rsidR="00E807F8" w:rsidRPr="00EC4212" w:rsidRDefault="00E807F8" w:rsidP="00E807F8">
      <w:pPr>
        <w:pStyle w:val="BodyTextIndent"/>
        <w:jc w:val="both"/>
        <w:rPr>
          <w:rFonts w:asciiTheme="minorHAnsi" w:hAnsiTheme="minorHAnsi"/>
          <w:sz w:val="22"/>
          <w:u w:val="single"/>
          <w:lang w:val="en-GB"/>
        </w:rPr>
      </w:pPr>
      <w:r w:rsidRPr="00EC4212">
        <w:rPr>
          <w:rFonts w:asciiTheme="minorHAnsi" w:hAnsiTheme="minorHAnsi"/>
          <w:sz w:val="22"/>
          <w:u w:val="single"/>
          <w:lang w:val="en-GB"/>
        </w:rPr>
        <w:t>Procedure of tariff review process:</w:t>
      </w:r>
    </w:p>
    <w:p w:rsidR="00E807F8" w:rsidRPr="00EC4212" w:rsidRDefault="00E807F8" w:rsidP="00E807F8">
      <w:pPr>
        <w:pStyle w:val="BodyTextIndent"/>
        <w:jc w:val="both"/>
        <w:rPr>
          <w:rFonts w:asciiTheme="minorHAnsi" w:hAnsiTheme="minorHAnsi"/>
          <w:sz w:val="22"/>
          <w:u w:val="single"/>
          <w:lang w:val="en-GB"/>
        </w:rPr>
      </w:pPr>
    </w:p>
    <w:p w:rsidR="00E807F8" w:rsidRPr="00EC4212" w:rsidRDefault="00E807F8" w:rsidP="00EC4212">
      <w:pPr>
        <w:pStyle w:val="ListParagraph"/>
        <w:numPr>
          <w:ilvl w:val="0"/>
          <w:numId w:val="20"/>
        </w:numPr>
        <w:tabs>
          <w:tab w:val="num" w:pos="360"/>
        </w:tabs>
        <w:ind w:left="360"/>
        <w:contextualSpacing w:val="0"/>
        <w:jc w:val="both"/>
        <w:rPr>
          <w:rFonts w:asciiTheme="minorHAnsi" w:hAnsiTheme="minorHAnsi"/>
          <w:sz w:val="22"/>
          <w:lang w:val="en-GB"/>
        </w:rPr>
      </w:pPr>
      <w:r w:rsidRPr="00EC4212">
        <w:rPr>
          <w:rFonts w:asciiTheme="minorHAnsi" w:hAnsiTheme="minorHAnsi"/>
          <w:b/>
          <w:sz w:val="22"/>
          <w:szCs w:val="22"/>
          <w:lang w:val="en-GB"/>
        </w:rPr>
        <w:t>On 30 June 2020</w:t>
      </w:r>
      <w:r w:rsidRPr="00EC4212">
        <w:rPr>
          <w:rFonts w:asciiTheme="minorHAnsi" w:hAnsiTheme="minorHAnsi"/>
          <w:sz w:val="22"/>
          <w:szCs w:val="22"/>
          <w:lang w:val="en-GB"/>
        </w:rPr>
        <w:t xml:space="preserve"> - ERO issued a notice letter on commencement of tariff review for DH Termokos for the season 2020/2021</w:t>
      </w:r>
      <w:r w:rsidRPr="00EC4212">
        <w:rPr>
          <w:rFonts w:asciiTheme="minorHAnsi" w:hAnsiTheme="minorHAnsi"/>
          <w:sz w:val="22"/>
          <w:lang w:val="en-GB"/>
        </w:rPr>
        <w:t xml:space="preserve">; </w:t>
      </w:r>
    </w:p>
    <w:p w:rsidR="00E807F8" w:rsidRPr="00EC4212" w:rsidRDefault="00E807F8" w:rsidP="00EC4212">
      <w:pPr>
        <w:pStyle w:val="ListParagraph"/>
        <w:numPr>
          <w:ilvl w:val="0"/>
          <w:numId w:val="20"/>
        </w:numPr>
        <w:tabs>
          <w:tab w:val="num" w:pos="360"/>
        </w:tabs>
        <w:ind w:left="360"/>
        <w:contextualSpacing w:val="0"/>
        <w:jc w:val="both"/>
        <w:rPr>
          <w:rFonts w:asciiTheme="minorHAnsi" w:hAnsiTheme="minorHAnsi" w:cstheme="minorHAnsi"/>
          <w:sz w:val="22"/>
          <w:szCs w:val="22"/>
          <w:lang w:val="en-GB"/>
        </w:rPr>
      </w:pPr>
      <w:r w:rsidRPr="00EC4212">
        <w:rPr>
          <w:rFonts w:asciiTheme="minorHAnsi" w:hAnsiTheme="minorHAnsi"/>
          <w:b/>
          <w:bCs/>
          <w:sz w:val="22"/>
          <w:szCs w:val="22"/>
          <w:lang w:val="en-GB"/>
        </w:rPr>
        <w:t>On 1 July 2020</w:t>
      </w:r>
      <w:r w:rsidRPr="00EC4212">
        <w:rPr>
          <w:rFonts w:asciiTheme="minorHAnsi" w:hAnsiTheme="minorHAnsi"/>
          <w:sz w:val="22"/>
          <w:szCs w:val="22"/>
          <w:lang w:val="en-GB"/>
        </w:rPr>
        <w:t xml:space="preserve"> - ERO sent to DH Termokos, by email, a request for submitting the data and information which include a detailed description of information that DH Termokos shall submit for tariff review, as well as the Plan and Schedule  </w:t>
      </w:r>
    </w:p>
    <w:p w:rsidR="00E807F8" w:rsidRPr="00EC4212" w:rsidRDefault="00E807F8" w:rsidP="00EC4212">
      <w:pPr>
        <w:pStyle w:val="ListParagraph"/>
        <w:numPr>
          <w:ilvl w:val="0"/>
          <w:numId w:val="20"/>
        </w:numPr>
        <w:tabs>
          <w:tab w:val="num" w:pos="360"/>
        </w:tabs>
        <w:ind w:left="360"/>
        <w:contextualSpacing w:val="0"/>
        <w:jc w:val="both"/>
        <w:rPr>
          <w:rFonts w:asciiTheme="minorHAnsi" w:hAnsiTheme="minorHAnsi" w:cstheme="minorHAnsi"/>
          <w:sz w:val="22"/>
          <w:szCs w:val="22"/>
          <w:lang w:val="en-GB"/>
        </w:rPr>
      </w:pPr>
      <w:r w:rsidRPr="00EC4212">
        <w:rPr>
          <w:rFonts w:asciiTheme="minorHAnsi" w:hAnsiTheme="minorHAnsi"/>
          <w:b/>
          <w:sz w:val="22"/>
          <w:szCs w:val="22"/>
          <w:lang w:val="en-GB"/>
        </w:rPr>
        <w:t>On 07 August 2020</w:t>
      </w:r>
      <w:r w:rsidRPr="00EC4212">
        <w:rPr>
          <w:rFonts w:asciiTheme="minorHAnsi" w:hAnsiTheme="minorHAnsi"/>
          <w:sz w:val="22"/>
          <w:szCs w:val="22"/>
          <w:lang w:val="en-GB"/>
        </w:rPr>
        <w:t xml:space="preserve"> - DH Termokos submitted by e-mail the partial tariff application with some of the data and information required for tariff review;</w:t>
      </w:r>
    </w:p>
    <w:p w:rsidR="00953CAB" w:rsidRPr="00EC4212" w:rsidRDefault="00953CAB" w:rsidP="00EC4212">
      <w:pPr>
        <w:pStyle w:val="ListParagraph"/>
        <w:numPr>
          <w:ilvl w:val="0"/>
          <w:numId w:val="20"/>
        </w:numPr>
        <w:tabs>
          <w:tab w:val="num" w:pos="360"/>
        </w:tabs>
        <w:ind w:left="360"/>
        <w:contextualSpacing w:val="0"/>
        <w:jc w:val="both"/>
        <w:rPr>
          <w:rFonts w:asciiTheme="minorHAnsi" w:hAnsiTheme="minorHAnsi" w:cstheme="minorHAnsi"/>
          <w:sz w:val="22"/>
          <w:szCs w:val="22"/>
          <w:lang w:val="en-GB"/>
        </w:rPr>
      </w:pPr>
      <w:r w:rsidRPr="00EC4212">
        <w:rPr>
          <w:rFonts w:asciiTheme="minorHAnsi" w:hAnsiTheme="minorHAnsi"/>
          <w:b/>
          <w:sz w:val="22"/>
          <w:szCs w:val="22"/>
          <w:lang w:val="en-GB"/>
        </w:rPr>
        <w:t>On 12 August 2020 -</w:t>
      </w:r>
      <w:r w:rsidRPr="00EC4212">
        <w:rPr>
          <w:rFonts w:asciiTheme="minorHAnsi" w:hAnsiTheme="minorHAnsi"/>
          <w:sz w:val="22"/>
          <w:szCs w:val="22"/>
          <w:lang w:val="en-GB"/>
        </w:rPr>
        <w:t xml:space="preserve"> DH Termokos submitted additional data, information and documentation within the tariff application for the season 2020/2021;</w:t>
      </w:r>
    </w:p>
    <w:p w:rsidR="00E807F8" w:rsidRPr="00EC4212" w:rsidRDefault="00DB27D8" w:rsidP="00EC4212">
      <w:pPr>
        <w:pStyle w:val="BodyTextIndent"/>
        <w:numPr>
          <w:ilvl w:val="0"/>
          <w:numId w:val="20"/>
        </w:numPr>
        <w:tabs>
          <w:tab w:val="num" w:pos="360"/>
        </w:tabs>
        <w:spacing w:after="0"/>
        <w:ind w:left="360"/>
        <w:jc w:val="both"/>
        <w:rPr>
          <w:rFonts w:asciiTheme="minorHAnsi" w:hAnsiTheme="minorHAnsi"/>
          <w:sz w:val="22"/>
          <w:lang w:val="en-GB"/>
        </w:rPr>
      </w:pPr>
      <w:r w:rsidRPr="00EC4212">
        <w:rPr>
          <w:rFonts w:asciiTheme="minorHAnsi" w:hAnsiTheme="minorHAnsi"/>
          <w:b/>
          <w:sz w:val="22"/>
          <w:lang w:val="en-GB"/>
        </w:rPr>
        <w:t>On 28 August 2020</w:t>
      </w:r>
      <w:r w:rsidRPr="00EC4212">
        <w:rPr>
          <w:rFonts w:asciiTheme="minorHAnsi" w:hAnsiTheme="minorHAnsi"/>
          <w:sz w:val="22"/>
          <w:lang w:val="en-GB"/>
        </w:rPr>
        <w:t xml:space="preserve"> - Following the analysis and evaluation of data and information submitted by DH Termokos, ERO submitted the written comments, where the requirements for correction, amendment and supplementation of the initial application were specified; </w:t>
      </w:r>
    </w:p>
    <w:p w:rsidR="00E807F8" w:rsidRDefault="00E807F8" w:rsidP="00EC4212">
      <w:pPr>
        <w:pStyle w:val="BodyTextIndent"/>
        <w:numPr>
          <w:ilvl w:val="0"/>
          <w:numId w:val="20"/>
        </w:numPr>
        <w:tabs>
          <w:tab w:val="clear" w:pos="720"/>
          <w:tab w:val="num" w:pos="360"/>
        </w:tabs>
        <w:spacing w:after="0"/>
        <w:ind w:left="360"/>
        <w:jc w:val="both"/>
        <w:rPr>
          <w:rFonts w:asciiTheme="minorHAnsi" w:hAnsiTheme="minorHAnsi"/>
          <w:sz w:val="22"/>
          <w:lang w:val="en-GB"/>
        </w:rPr>
      </w:pPr>
      <w:r w:rsidRPr="00EC4212">
        <w:rPr>
          <w:rFonts w:asciiTheme="minorHAnsi" w:hAnsiTheme="minorHAnsi"/>
          <w:b/>
          <w:bCs/>
          <w:sz w:val="22"/>
          <w:lang w:val="en-GB"/>
        </w:rPr>
        <w:t>On 04 September 2020</w:t>
      </w:r>
      <w:r w:rsidRPr="00EC4212">
        <w:rPr>
          <w:rFonts w:asciiTheme="minorHAnsi" w:hAnsiTheme="minorHAnsi"/>
          <w:sz w:val="22"/>
          <w:lang w:val="en-GB"/>
        </w:rPr>
        <w:t xml:space="preserve"> - DH Termokos resubmitted the application with the corrections, amendments and supplementations required by ERO comments, in response to ERO comments.</w:t>
      </w:r>
    </w:p>
    <w:p w:rsidR="00EC4212" w:rsidRPr="00EC4212" w:rsidRDefault="00EC4212" w:rsidP="00EC4212">
      <w:pPr>
        <w:pStyle w:val="BodyTextIndent"/>
        <w:numPr>
          <w:ilvl w:val="0"/>
          <w:numId w:val="20"/>
        </w:numPr>
        <w:tabs>
          <w:tab w:val="clear" w:pos="720"/>
          <w:tab w:val="num" w:pos="360"/>
        </w:tabs>
        <w:spacing w:after="0"/>
        <w:ind w:left="360"/>
        <w:jc w:val="both"/>
        <w:rPr>
          <w:rFonts w:asciiTheme="minorHAnsi" w:hAnsiTheme="minorHAnsi"/>
          <w:sz w:val="22"/>
          <w:lang w:val="en-GB"/>
        </w:rPr>
      </w:pPr>
    </w:p>
    <w:p w:rsidR="00E807F8" w:rsidRPr="00EC4212" w:rsidRDefault="00A34C30" w:rsidP="00382204">
      <w:pPr>
        <w:pStyle w:val="Heading1"/>
        <w:tabs>
          <w:tab w:val="clear" w:pos="2340"/>
          <w:tab w:val="num" w:pos="1620"/>
        </w:tabs>
        <w:ind w:left="720"/>
        <w:rPr>
          <w:color w:val="000000" w:themeColor="text1"/>
          <w:lang w:val="en-GB"/>
        </w:rPr>
      </w:pPr>
      <w:hyperlink r:id="rId8" w:history="1">
        <w:bookmarkStart w:id="7" w:name="_Toc339538659"/>
        <w:bookmarkStart w:id="8" w:name="_Toc52186222"/>
        <w:bookmarkStart w:id="9" w:name="_Toc339539115"/>
        <w:bookmarkStart w:id="10" w:name="_Toc21512670"/>
        <w:bookmarkStart w:id="11" w:name="_Toc21513543"/>
        <w:bookmarkStart w:id="12" w:name="_Toc21514365"/>
        <w:r w:rsidR="00F664B6" w:rsidRPr="00EC4212">
          <w:rPr>
            <w:rStyle w:val="Hyperlink"/>
            <w:color w:val="000000" w:themeColor="text1"/>
            <w:u w:val="none"/>
            <w:lang w:val="en-GB"/>
          </w:rPr>
          <w:t>Principles and Formulation of Tariff Methodology</w:t>
        </w:r>
        <w:bookmarkEnd w:id="7"/>
        <w:bookmarkEnd w:id="8"/>
        <w:r w:rsidR="00F664B6" w:rsidRPr="00EC4212">
          <w:rPr>
            <w:rStyle w:val="Hyperlink"/>
            <w:lang w:val="en-GB"/>
          </w:rPr>
          <w:t xml:space="preserve"> </w:t>
        </w:r>
        <w:bookmarkEnd w:id="9"/>
        <w:bookmarkEnd w:id="10"/>
        <w:bookmarkEnd w:id="11"/>
        <w:bookmarkEnd w:id="12"/>
      </w:hyperlink>
    </w:p>
    <w:p w:rsidR="00E807F8" w:rsidRPr="00EC4212" w:rsidRDefault="00E807F8" w:rsidP="00E807F8">
      <w:pPr>
        <w:pStyle w:val="BodyTextIndent"/>
        <w:jc w:val="both"/>
        <w:rPr>
          <w:rFonts w:asciiTheme="minorHAnsi" w:hAnsiTheme="minorHAnsi"/>
          <w:sz w:val="22"/>
          <w:szCs w:val="22"/>
          <w:lang w:val="en-GB"/>
        </w:rPr>
      </w:pPr>
      <w:r w:rsidRPr="00EC4212">
        <w:rPr>
          <w:rFonts w:asciiTheme="minorHAnsi" w:hAnsiTheme="minorHAnsi"/>
          <w:sz w:val="22"/>
          <w:szCs w:val="22"/>
          <w:lang w:val="en-GB"/>
        </w:rPr>
        <w:tab/>
      </w:r>
    </w:p>
    <w:p w:rsidR="00E807F8" w:rsidRPr="00EC4212" w:rsidRDefault="00E807F8" w:rsidP="00EC4212">
      <w:pPr>
        <w:pStyle w:val="BodyTextIndent"/>
        <w:ind w:left="0"/>
        <w:jc w:val="both"/>
        <w:rPr>
          <w:rFonts w:asciiTheme="minorHAnsi" w:hAnsiTheme="minorHAnsi"/>
          <w:sz w:val="22"/>
          <w:szCs w:val="22"/>
          <w:lang w:val="en-GB"/>
        </w:rPr>
      </w:pPr>
      <w:r w:rsidRPr="00EC4212">
        <w:rPr>
          <w:rFonts w:asciiTheme="minorHAnsi" w:hAnsiTheme="minorHAnsi"/>
          <w:sz w:val="22"/>
          <w:lang w:val="en-GB"/>
        </w:rPr>
        <w:t>For the purpose of determination of allowed revenues and thermal energy tariffs for heating season 2020/2021, the Methodology determined in the Thermal Energy Pricing Rule is applied</w:t>
      </w:r>
      <w:r w:rsidRPr="00EC4212">
        <w:rPr>
          <w:rFonts w:asciiTheme="minorHAnsi" w:hAnsiTheme="minorHAnsi"/>
          <w:sz w:val="22"/>
          <w:szCs w:val="22"/>
          <w:lang w:val="en-GB"/>
        </w:rPr>
        <w:t>.</w:t>
      </w:r>
    </w:p>
    <w:p w:rsidR="00E807F8" w:rsidRPr="00EC4212" w:rsidRDefault="00E807F8" w:rsidP="00EC4212">
      <w:pPr>
        <w:jc w:val="both"/>
        <w:rPr>
          <w:rFonts w:asciiTheme="minorHAnsi" w:hAnsiTheme="minorHAnsi" w:cs="Calibri"/>
          <w:u w:val="single"/>
          <w:lang w:val="en-GB"/>
        </w:rPr>
      </w:pPr>
      <w:r w:rsidRPr="00EC4212">
        <w:rPr>
          <w:rFonts w:asciiTheme="minorHAnsi" w:hAnsiTheme="minorHAnsi"/>
          <w:u w:val="single"/>
          <w:lang w:val="en-GB"/>
        </w:rPr>
        <w:t xml:space="preserve">Principles </w:t>
      </w:r>
    </w:p>
    <w:p w:rsidR="00E807F8" w:rsidRPr="00EC4212" w:rsidRDefault="00E807F8" w:rsidP="00EC4212">
      <w:pPr>
        <w:jc w:val="both"/>
        <w:rPr>
          <w:rFonts w:asciiTheme="minorHAnsi" w:hAnsiTheme="minorHAnsi"/>
          <w:sz w:val="22"/>
          <w:szCs w:val="22"/>
          <w:lang w:val="en-GB"/>
        </w:rPr>
      </w:pPr>
    </w:p>
    <w:p w:rsidR="00E807F8" w:rsidRPr="00EC4212" w:rsidRDefault="00E807F8" w:rsidP="00EC4212">
      <w:pPr>
        <w:jc w:val="both"/>
        <w:rPr>
          <w:rFonts w:asciiTheme="minorHAnsi" w:hAnsiTheme="minorHAnsi"/>
          <w:sz w:val="22"/>
          <w:lang w:val="en-GB"/>
        </w:rPr>
      </w:pPr>
      <w:r w:rsidRPr="00EC4212">
        <w:rPr>
          <w:rFonts w:asciiTheme="minorHAnsi" w:hAnsiTheme="minorHAnsi"/>
          <w:sz w:val="22"/>
          <w:lang w:val="en-GB"/>
        </w:rPr>
        <w:t xml:space="preserve">The basic principle of this methodology is that the utility tariffs should cover </w:t>
      </w:r>
      <w:r w:rsidR="00EC4212">
        <w:rPr>
          <w:rFonts w:asciiTheme="minorHAnsi" w:hAnsiTheme="minorHAnsi"/>
          <w:sz w:val="22"/>
          <w:lang w:val="en-GB"/>
        </w:rPr>
        <w:t>all reasonable costs - operational</w:t>
      </w:r>
      <w:r w:rsidRPr="00EC4212">
        <w:rPr>
          <w:rFonts w:asciiTheme="minorHAnsi" w:hAnsiTheme="minorHAnsi"/>
          <w:sz w:val="22"/>
          <w:lang w:val="en-GB"/>
        </w:rPr>
        <w:t xml:space="preserve"> and capital so that on one hand consumers should not pay excessively over incurred costs for their </w:t>
      </w:r>
      <w:r w:rsidR="00EC4212" w:rsidRPr="00EC4212">
        <w:rPr>
          <w:rFonts w:asciiTheme="minorHAnsi" w:hAnsiTheme="minorHAnsi"/>
          <w:sz w:val="22"/>
          <w:lang w:val="en-GB"/>
        </w:rPr>
        <w:t>services,</w:t>
      </w:r>
      <w:r w:rsidRPr="00EC4212">
        <w:rPr>
          <w:rFonts w:asciiTheme="minorHAnsi" w:hAnsiTheme="minorHAnsi"/>
          <w:sz w:val="22"/>
          <w:lang w:val="en-GB"/>
        </w:rPr>
        <w:t xml:space="preserve"> while on the other hand</w:t>
      </w:r>
      <w:r w:rsidR="00F80936">
        <w:rPr>
          <w:rFonts w:asciiTheme="minorHAnsi" w:hAnsiTheme="minorHAnsi"/>
          <w:sz w:val="22"/>
          <w:lang w:val="en-GB"/>
        </w:rPr>
        <w:t>,</w:t>
      </w:r>
      <w:r w:rsidRPr="00EC4212">
        <w:rPr>
          <w:rFonts w:asciiTheme="minorHAnsi" w:hAnsiTheme="minorHAnsi"/>
          <w:sz w:val="22"/>
          <w:lang w:val="en-GB"/>
        </w:rPr>
        <w:t xml:space="preserve"> the utility should cover all justified costs</w:t>
      </w:r>
      <w:r w:rsidRPr="00EC4212">
        <w:rPr>
          <w:rFonts w:asciiTheme="minorHAnsi" w:hAnsiTheme="minorHAnsi"/>
          <w:lang w:val="en-GB"/>
        </w:rPr>
        <w:t xml:space="preserve"> </w:t>
      </w:r>
      <w:r w:rsidRPr="00EC4212">
        <w:rPr>
          <w:rFonts w:asciiTheme="minorHAnsi" w:hAnsiTheme="minorHAnsi"/>
          <w:sz w:val="22"/>
          <w:lang w:val="en-GB"/>
        </w:rPr>
        <w:t xml:space="preserve">plus a reasonable rate of return on capital investment. Total cost of service is usually defined to include all of utility operational expenses i.e. to recover </w:t>
      </w:r>
      <w:r w:rsidR="00F80936">
        <w:rPr>
          <w:rFonts w:asciiTheme="minorHAnsi" w:hAnsiTheme="minorHAnsi"/>
          <w:sz w:val="22"/>
          <w:lang w:val="en-GB"/>
        </w:rPr>
        <w:t xml:space="preserve">the </w:t>
      </w:r>
      <w:r w:rsidRPr="00EC4212">
        <w:rPr>
          <w:rFonts w:asciiTheme="minorHAnsi" w:hAnsiTheme="minorHAnsi"/>
          <w:sz w:val="22"/>
          <w:lang w:val="en-GB"/>
        </w:rPr>
        <w:t>cost of production, distribution and supply (operation and maintenance, fuel, salaries, common costs, taxes, etc.) plus a reasonable return on its investments devoted to the public service provision.</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 xml:space="preserve">Given that in some cases such a regulation does not provide incentives for </w:t>
      </w:r>
      <w:r w:rsidR="00EC4212">
        <w:rPr>
          <w:rFonts w:asciiTheme="minorHAnsi" w:hAnsiTheme="minorHAnsi"/>
          <w:sz w:val="22"/>
          <w:lang w:val="en-GB"/>
        </w:rPr>
        <w:t>enterprises to increase operational</w:t>
      </w:r>
      <w:r w:rsidRPr="00EC4212">
        <w:rPr>
          <w:rFonts w:asciiTheme="minorHAnsi" w:hAnsiTheme="minorHAnsi"/>
          <w:sz w:val="22"/>
          <w:lang w:val="en-GB"/>
        </w:rPr>
        <w:t xml:space="preserve"> efficiency and cost</w:t>
      </w:r>
      <w:r w:rsidR="00F80936">
        <w:rPr>
          <w:rFonts w:asciiTheme="minorHAnsi" w:hAnsiTheme="minorHAnsi"/>
          <w:sz w:val="22"/>
          <w:lang w:val="en-GB"/>
        </w:rPr>
        <w:t>-</w:t>
      </w:r>
      <w:r w:rsidRPr="00EC4212">
        <w:rPr>
          <w:rFonts w:asciiTheme="minorHAnsi" w:hAnsiTheme="minorHAnsi"/>
          <w:sz w:val="22"/>
          <w:lang w:val="en-GB"/>
        </w:rPr>
        <w:t>saving and on contrary may give incentive to over-invest in fixed assets and also considering the obligation of the Regulator to protect the customers, it is required from the enterprise not only to prove the declared “justifiable costs” but also to demonstrate increasing operational and procurement efficiency.  Such measures form the basis for reconciliation of tariffs at the beginning of the new tariff season, in which the Regulator rewards or penalizes the enterprise for increasing or decreasing the efficiency and cost control.</w:t>
      </w:r>
    </w:p>
    <w:p w:rsidR="00E807F8" w:rsidRPr="00EC4212" w:rsidRDefault="00E807F8" w:rsidP="00E807F8">
      <w:pPr>
        <w:jc w:val="both"/>
        <w:rPr>
          <w:rFonts w:asciiTheme="minorHAnsi" w:hAnsiTheme="minorHAnsi" w:cs="Calibri"/>
          <w:u w:val="single"/>
          <w:lang w:val="en-GB"/>
        </w:rPr>
      </w:pPr>
    </w:p>
    <w:p w:rsidR="00E807F8" w:rsidRPr="00EC4212" w:rsidRDefault="00E807F8" w:rsidP="00E807F8">
      <w:pPr>
        <w:pStyle w:val="Heading9"/>
        <w:rPr>
          <w:rStyle w:val="Strong"/>
          <w:rFonts w:asciiTheme="minorHAnsi" w:hAnsiTheme="minorHAnsi" w:cs="Calibri"/>
          <w:sz w:val="24"/>
          <w:u w:val="single"/>
          <w:lang w:val="en-GB"/>
        </w:rPr>
      </w:pPr>
      <w:r w:rsidRPr="00EC4212">
        <w:rPr>
          <w:rStyle w:val="Strong"/>
          <w:rFonts w:asciiTheme="minorHAnsi" w:hAnsiTheme="minorHAnsi"/>
          <w:sz w:val="24"/>
          <w:u w:val="single"/>
          <w:lang w:val="en-GB"/>
        </w:rPr>
        <w:t>Formulation</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For the purpose of calculation of allowed revenues and final tariff calculation, Thermal Energy Pricing Rule (Annexes 1, 2, 3 and 6) provides the detailed formulation of Tariff Methodology. However</w:t>
      </w:r>
      <w:r w:rsidR="00F80936">
        <w:rPr>
          <w:rFonts w:asciiTheme="minorHAnsi" w:hAnsiTheme="minorHAnsi"/>
          <w:sz w:val="22"/>
          <w:lang w:val="en-GB"/>
        </w:rPr>
        <w:t>,</w:t>
      </w:r>
      <w:r w:rsidRPr="00EC4212">
        <w:rPr>
          <w:rFonts w:asciiTheme="minorHAnsi" w:hAnsiTheme="minorHAnsi"/>
          <w:sz w:val="22"/>
          <w:lang w:val="en-GB"/>
        </w:rPr>
        <w:t xml:space="preserve"> for consistency reasons</w:t>
      </w:r>
      <w:r w:rsidR="00F80936">
        <w:rPr>
          <w:rFonts w:asciiTheme="minorHAnsi" w:hAnsiTheme="minorHAnsi"/>
          <w:sz w:val="22"/>
          <w:lang w:val="en-GB"/>
        </w:rPr>
        <w:t>,</w:t>
      </w:r>
      <w:r w:rsidRPr="00EC4212">
        <w:rPr>
          <w:rFonts w:asciiTheme="minorHAnsi" w:hAnsiTheme="minorHAnsi"/>
          <w:sz w:val="22"/>
          <w:lang w:val="en-GB"/>
        </w:rPr>
        <w:t xml:space="preserve"> the formulation shall be shortly presented in this report.</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Schematically, the Tariff Methodology can be shown as below. The costs which enterprise should recover are built up from its operational costs, depreciation representing ability to replace the enterprise assets, costs of network losses and the return on the Regulatory Asset Base (RAB), which in fact represents the allowed profit for the company.</w:t>
      </w:r>
    </w:p>
    <w:p w:rsidR="00E807F8" w:rsidRPr="00EC4212" w:rsidRDefault="00E807F8" w:rsidP="00E807F8">
      <w:pPr>
        <w:jc w:val="both"/>
        <w:rPr>
          <w:rFonts w:asciiTheme="minorHAnsi" w:hAnsiTheme="minorHAnsi"/>
          <w:b/>
          <w:sz w:val="22"/>
          <w:lang w:val="en-GB"/>
        </w:rPr>
      </w:pPr>
    </w:p>
    <w:p w:rsidR="00E807F8" w:rsidRPr="00EC4212" w:rsidRDefault="00945060" w:rsidP="00F02724">
      <w:pPr>
        <w:jc w:val="center"/>
        <w:rPr>
          <w:rFonts w:asciiTheme="minorHAnsi" w:hAnsiTheme="minorHAnsi"/>
          <w:b/>
          <w:bCs/>
          <w:color w:val="FFFFFF"/>
          <w:lang w:val="en-GB"/>
        </w:rPr>
      </w:pPr>
      <w:r>
        <w:rPr>
          <w:noProof/>
          <w:lang w:val="sq-AL" w:eastAsia="sq-AL"/>
        </w:rPr>
        <w:lastRenderedPageBreak/>
        <w:drawing>
          <wp:inline distT="0" distB="0" distL="0" distR="0" wp14:anchorId="24D7DACC" wp14:editId="3A88190D">
            <wp:extent cx="5761355" cy="28174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1355" cy="2817495"/>
                    </a:xfrm>
                    <a:prstGeom prst="rect">
                      <a:avLst/>
                    </a:prstGeom>
                  </pic:spPr>
                </pic:pic>
              </a:graphicData>
            </a:graphic>
          </wp:inline>
        </w:drawing>
      </w:r>
    </w:p>
    <w:p w:rsidR="00E807F8" w:rsidRPr="00EC4212" w:rsidRDefault="00E807F8" w:rsidP="006122E6">
      <w:pPr>
        <w:pStyle w:val="Heading3"/>
        <w:rPr>
          <w:lang w:val="en-GB"/>
        </w:rPr>
      </w:pPr>
      <w:bookmarkStart w:id="13" w:name="_Toc52186223"/>
      <w:bookmarkStart w:id="14" w:name="_Toc339538660"/>
      <w:bookmarkStart w:id="15" w:name="_Toc21513322"/>
      <w:bookmarkStart w:id="16" w:name="_Toc21514366"/>
      <w:bookmarkStart w:id="17" w:name="_Toc21514443"/>
      <w:bookmarkStart w:id="18" w:name="_Toc21514850"/>
      <w:bookmarkStart w:id="19" w:name="_Toc21515550"/>
      <w:bookmarkStart w:id="20" w:name="_Toc21521373"/>
      <w:r w:rsidRPr="00EC4212">
        <w:rPr>
          <w:lang w:val="en-GB"/>
        </w:rPr>
        <w:t xml:space="preserve">Figure </w:t>
      </w:r>
      <w:r w:rsidR="00642719" w:rsidRPr="00EC4212">
        <w:rPr>
          <w:lang w:val="en-GB"/>
        </w:rPr>
        <w:fldChar w:fldCharType="begin"/>
      </w:r>
      <w:r w:rsidRPr="00EC4212">
        <w:rPr>
          <w:lang w:val="en-GB"/>
        </w:rPr>
        <w:instrText xml:space="preserve"> SEQ Figura \* ARABIC </w:instrText>
      </w:r>
      <w:r w:rsidR="00642719" w:rsidRPr="00EC4212">
        <w:rPr>
          <w:lang w:val="en-GB"/>
        </w:rPr>
        <w:fldChar w:fldCharType="separate"/>
      </w:r>
      <w:r w:rsidR="00923408" w:rsidRPr="00EC4212">
        <w:rPr>
          <w:lang w:val="en-GB"/>
        </w:rPr>
        <w:t>1</w:t>
      </w:r>
      <w:r w:rsidR="00642719" w:rsidRPr="00EC4212">
        <w:rPr>
          <w:lang w:val="en-GB"/>
        </w:rPr>
        <w:fldChar w:fldCharType="end"/>
      </w:r>
      <w:r w:rsidRPr="00EC4212">
        <w:rPr>
          <w:lang w:val="en-GB"/>
        </w:rPr>
        <w:t>: Allowed Revenues Calculation Scheme</w:t>
      </w:r>
      <w:bookmarkEnd w:id="13"/>
      <w:r w:rsidRPr="00EC4212">
        <w:rPr>
          <w:lang w:val="en-GB"/>
        </w:rPr>
        <w:t xml:space="preserve"> </w:t>
      </w:r>
      <w:bookmarkEnd w:id="14"/>
      <w:bookmarkEnd w:id="15"/>
      <w:bookmarkEnd w:id="16"/>
      <w:bookmarkEnd w:id="17"/>
      <w:bookmarkEnd w:id="18"/>
      <w:bookmarkEnd w:id="19"/>
      <w:bookmarkEnd w:id="20"/>
    </w:p>
    <w:p w:rsidR="00E807F8" w:rsidRPr="00EC4212" w:rsidRDefault="00E807F8" w:rsidP="00E807F8">
      <w:pPr>
        <w:jc w:val="both"/>
        <w:rPr>
          <w:rFonts w:asciiTheme="minorHAnsi" w:hAnsiTheme="minorHAnsi"/>
          <w:b/>
          <w:bCs/>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Basic Regulation Formulas:</w:t>
      </w:r>
      <w:r w:rsidR="00945060">
        <w:rPr>
          <w:rFonts w:asciiTheme="minorHAnsi" w:hAnsiTheme="minorHAnsi"/>
          <w:sz w:val="22"/>
          <w:lang w:val="en-GB"/>
        </w:rPr>
        <w:t xml:space="preserve"> (RAB</w:t>
      </w:r>
      <w:r w:rsidR="00945060" w:rsidRPr="00945060">
        <w:rPr>
          <w:rFonts w:asciiTheme="minorHAnsi" w:hAnsiTheme="minorHAnsi"/>
          <w:sz w:val="22"/>
          <w:vertAlign w:val="subscript"/>
          <w:lang w:val="en-GB"/>
        </w:rPr>
        <w:t>f</w:t>
      </w:r>
      <w:r w:rsidR="00945060">
        <w:rPr>
          <w:rFonts w:asciiTheme="minorHAnsi" w:hAnsiTheme="minorHAnsi"/>
          <w:sz w:val="22"/>
          <w:lang w:val="en-GB"/>
        </w:rPr>
        <w:t>)</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Allowed revenues are calculated according to the formula:</w:t>
      </w:r>
    </w:p>
    <w:p w:rsidR="00E807F8" w:rsidRPr="00EC4212" w:rsidRDefault="00E807F8" w:rsidP="00E807F8">
      <w:pPr>
        <w:jc w:val="both"/>
        <w:rPr>
          <w:rFonts w:asciiTheme="minorHAnsi" w:hAnsiTheme="minorHAnsi" w:cs="Calibri"/>
          <w:b/>
          <w:sz w:val="22"/>
          <w:lang w:val="en-GB"/>
        </w:rPr>
      </w:pPr>
      <w:r w:rsidRPr="00EC4212">
        <w:rPr>
          <w:rFonts w:asciiTheme="minorHAnsi" w:hAnsiTheme="minorHAnsi"/>
          <w:b/>
          <w:lang w:val="en-GB"/>
        </w:rPr>
        <w:t>MAR = OPM + DEP + RTN + LOS + ADJ</w:t>
      </w:r>
    </w:p>
    <w:p w:rsidR="00E807F8" w:rsidRPr="00EC4212" w:rsidRDefault="00E807F8" w:rsidP="00E807F8">
      <w:pPr>
        <w:tabs>
          <w:tab w:val="left" w:pos="360"/>
        </w:tabs>
        <w:autoSpaceDE w:val="0"/>
        <w:autoSpaceDN w:val="0"/>
        <w:adjustRightInd w:val="0"/>
        <w:ind w:left="360" w:hanging="360"/>
        <w:rPr>
          <w:rFonts w:asciiTheme="minorHAnsi" w:hAnsiTheme="minorHAnsi" w:cs="Calibri"/>
          <w:bCs/>
          <w:szCs w:val="22"/>
          <w:lang w:val="en-GB"/>
        </w:rPr>
      </w:pPr>
    </w:p>
    <w:p w:rsidR="00E807F8" w:rsidRPr="00EC4212" w:rsidRDefault="00E807F8" w:rsidP="00E807F8">
      <w:pPr>
        <w:tabs>
          <w:tab w:val="left" w:pos="0"/>
        </w:tabs>
        <w:autoSpaceDE w:val="0"/>
        <w:autoSpaceDN w:val="0"/>
        <w:adjustRightInd w:val="0"/>
        <w:rPr>
          <w:rFonts w:asciiTheme="minorHAnsi" w:hAnsiTheme="minorHAnsi" w:cs="Calibri"/>
          <w:bCs/>
          <w:sz w:val="22"/>
          <w:szCs w:val="22"/>
          <w:lang w:val="en-GB"/>
        </w:rPr>
      </w:pPr>
      <w:r w:rsidRPr="00EC4212">
        <w:rPr>
          <w:rFonts w:asciiTheme="minorHAnsi" w:hAnsiTheme="minorHAnsi"/>
          <w:bCs/>
          <w:sz w:val="22"/>
          <w:szCs w:val="22"/>
          <w:lang w:val="en-GB"/>
        </w:rPr>
        <w:t>Where:</w:t>
      </w:r>
    </w:p>
    <w:p w:rsidR="00E807F8" w:rsidRPr="00EC4212" w:rsidRDefault="00E807F8" w:rsidP="00E807F8">
      <w:pPr>
        <w:tabs>
          <w:tab w:val="left" w:pos="0"/>
        </w:tabs>
        <w:autoSpaceDE w:val="0"/>
        <w:autoSpaceDN w:val="0"/>
        <w:adjustRightInd w:val="0"/>
        <w:rPr>
          <w:rFonts w:asciiTheme="minorHAnsi" w:hAnsiTheme="minorHAnsi" w:cs="Calibri"/>
          <w:bCs/>
          <w:sz w:val="22"/>
          <w:szCs w:val="22"/>
          <w:lang w:val="en-GB"/>
        </w:rPr>
      </w:pPr>
      <w:r w:rsidRPr="00EC4212">
        <w:rPr>
          <w:rFonts w:asciiTheme="minorHAnsi" w:hAnsiTheme="minorHAnsi"/>
          <w:bCs/>
          <w:sz w:val="22"/>
          <w:szCs w:val="22"/>
          <w:lang w:val="en-GB"/>
        </w:rPr>
        <w:br/>
      </w:r>
      <w:r w:rsidRPr="00EC4212">
        <w:rPr>
          <w:rFonts w:asciiTheme="minorHAnsi" w:hAnsiTheme="minorHAnsi"/>
          <w:b/>
          <w:bCs/>
          <w:sz w:val="22"/>
          <w:szCs w:val="22"/>
          <w:lang w:val="en-GB"/>
        </w:rPr>
        <w:t>MAR</w:t>
      </w:r>
      <w:r w:rsidRPr="00EC4212">
        <w:rPr>
          <w:rFonts w:asciiTheme="minorHAnsi" w:hAnsiTheme="minorHAnsi"/>
          <w:bCs/>
          <w:sz w:val="22"/>
          <w:szCs w:val="22"/>
          <w:lang w:val="en-GB"/>
        </w:rPr>
        <w:t xml:space="preserve"> </w:t>
      </w:r>
      <w:r w:rsidR="00E658BF">
        <w:rPr>
          <w:rFonts w:asciiTheme="minorHAnsi" w:hAnsiTheme="minorHAnsi"/>
          <w:bCs/>
          <w:sz w:val="22"/>
          <w:szCs w:val="22"/>
          <w:lang w:val="en-GB"/>
        </w:rPr>
        <w:tab/>
      </w:r>
      <w:r w:rsidRPr="00EC4212">
        <w:rPr>
          <w:rFonts w:asciiTheme="minorHAnsi" w:hAnsiTheme="minorHAnsi"/>
          <w:bCs/>
          <w:sz w:val="22"/>
          <w:szCs w:val="22"/>
          <w:lang w:val="en-GB"/>
        </w:rPr>
        <w:t>Maximum Allowed Revenues;</w:t>
      </w:r>
    </w:p>
    <w:p w:rsidR="00E807F8" w:rsidRPr="00EC4212" w:rsidRDefault="00E807F8" w:rsidP="00E807F8">
      <w:pPr>
        <w:tabs>
          <w:tab w:val="left" w:pos="0"/>
        </w:tabs>
        <w:autoSpaceDE w:val="0"/>
        <w:autoSpaceDN w:val="0"/>
        <w:adjustRightInd w:val="0"/>
        <w:rPr>
          <w:rFonts w:asciiTheme="minorHAnsi" w:hAnsiTheme="minorHAnsi" w:cs="Calibri"/>
          <w:bCs/>
          <w:sz w:val="22"/>
          <w:szCs w:val="22"/>
          <w:lang w:val="en-GB"/>
        </w:rPr>
      </w:pPr>
      <w:r w:rsidRPr="00EC4212">
        <w:rPr>
          <w:rFonts w:asciiTheme="minorHAnsi" w:hAnsiTheme="minorHAnsi"/>
          <w:b/>
          <w:bCs/>
          <w:sz w:val="22"/>
          <w:szCs w:val="22"/>
          <w:lang w:val="en-GB"/>
        </w:rPr>
        <w:t>OPM</w:t>
      </w:r>
      <w:r w:rsidRPr="00EC4212">
        <w:rPr>
          <w:rFonts w:asciiTheme="minorHAnsi" w:hAnsiTheme="minorHAnsi"/>
          <w:bCs/>
          <w:sz w:val="22"/>
          <w:szCs w:val="22"/>
          <w:lang w:val="en-GB"/>
        </w:rPr>
        <w:t xml:space="preserve"> </w:t>
      </w:r>
      <w:r w:rsidR="00E658BF">
        <w:rPr>
          <w:rFonts w:asciiTheme="minorHAnsi" w:hAnsiTheme="minorHAnsi"/>
          <w:bCs/>
          <w:sz w:val="22"/>
          <w:szCs w:val="22"/>
          <w:lang w:val="en-GB"/>
        </w:rPr>
        <w:tab/>
      </w:r>
      <w:r w:rsidRPr="00EC4212">
        <w:rPr>
          <w:rFonts w:asciiTheme="minorHAnsi" w:hAnsiTheme="minorHAnsi"/>
          <w:bCs/>
          <w:sz w:val="22"/>
          <w:szCs w:val="22"/>
          <w:lang w:val="en-GB"/>
        </w:rPr>
        <w:t>Allowed Operating and Maintenance Costs;</w:t>
      </w:r>
    </w:p>
    <w:p w:rsidR="00E807F8" w:rsidRPr="00EC4212" w:rsidRDefault="00E807F8" w:rsidP="00E807F8">
      <w:pPr>
        <w:tabs>
          <w:tab w:val="left" w:pos="0"/>
        </w:tabs>
        <w:autoSpaceDE w:val="0"/>
        <w:autoSpaceDN w:val="0"/>
        <w:adjustRightInd w:val="0"/>
        <w:rPr>
          <w:rFonts w:asciiTheme="minorHAnsi" w:hAnsiTheme="minorHAnsi" w:cs="Calibri"/>
          <w:bCs/>
          <w:sz w:val="22"/>
          <w:szCs w:val="22"/>
          <w:lang w:val="en-GB"/>
        </w:rPr>
      </w:pPr>
      <w:r w:rsidRPr="00EC4212">
        <w:rPr>
          <w:rFonts w:asciiTheme="minorHAnsi" w:hAnsiTheme="minorHAnsi"/>
          <w:b/>
          <w:bCs/>
          <w:sz w:val="22"/>
          <w:szCs w:val="22"/>
          <w:lang w:val="en-GB"/>
        </w:rPr>
        <w:t>DEP</w:t>
      </w:r>
      <w:r w:rsidRPr="00EC4212">
        <w:rPr>
          <w:rFonts w:asciiTheme="minorHAnsi" w:hAnsiTheme="minorHAnsi"/>
          <w:bCs/>
          <w:sz w:val="22"/>
          <w:szCs w:val="22"/>
          <w:lang w:val="en-GB"/>
        </w:rPr>
        <w:t xml:space="preserve"> </w:t>
      </w:r>
      <w:r w:rsidR="00E658BF">
        <w:rPr>
          <w:rFonts w:asciiTheme="minorHAnsi" w:hAnsiTheme="minorHAnsi"/>
          <w:bCs/>
          <w:sz w:val="22"/>
          <w:szCs w:val="22"/>
          <w:lang w:val="en-GB"/>
        </w:rPr>
        <w:tab/>
      </w:r>
      <w:r w:rsidRPr="00EC4212">
        <w:rPr>
          <w:rFonts w:asciiTheme="minorHAnsi" w:hAnsiTheme="minorHAnsi"/>
          <w:bCs/>
          <w:sz w:val="22"/>
          <w:szCs w:val="22"/>
          <w:lang w:val="en-GB"/>
        </w:rPr>
        <w:t>Annual Allowed Depreciation;</w:t>
      </w:r>
    </w:p>
    <w:p w:rsidR="00E807F8" w:rsidRPr="00EC4212" w:rsidRDefault="00E807F8" w:rsidP="00E807F8">
      <w:pPr>
        <w:tabs>
          <w:tab w:val="left" w:pos="0"/>
        </w:tabs>
        <w:autoSpaceDE w:val="0"/>
        <w:autoSpaceDN w:val="0"/>
        <w:adjustRightInd w:val="0"/>
        <w:rPr>
          <w:rFonts w:asciiTheme="minorHAnsi" w:hAnsiTheme="minorHAnsi" w:cs="Calibri"/>
          <w:bCs/>
          <w:sz w:val="22"/>
          <w:szCs w:val="22"/>
          <w:lang w:val="en-GB"/>
        </w:rPr>
      </w:pPr>
      <w:r w:rsidRPr="00EC4212">
        <w:rPr>
          <w:rFonts w:asciiTheme="minorHAnsi" w:hAnsiTheme="minorHAnsi"/>
          <w:b/>
          <w:bCs/>
          <w:sz w:val="22"/>
          <w:szCs w:val="22"/>
          <w:lang w:val="en-GB"/>
        </w:rPr>
        <w:t>RTN</w:t>
      </w:r>
      <w:r w:rsidRPr="00EC4212">
        <w:rPr>
          <w:rFonts w:asciiTheme="minorHAnsi" w:hAnsiTheme="minorHAnsi"/>
          <w:bCs/>
          <w:sz w:val="22"/>
          <w:szCs w:val="22"/>
          <w:lang w:val="en-GB"/>
        </w:rPr>
        <w:t xml:space="preserve"> </w:t>
      </w:r>
      <w:r w:rsidR="00E658BF">
        <w:rPr>
          <w:rFonts w:asciiTheme="minorHAnsi" w:hAnsiTheme="minorHAnsi"/>
          <w:bCs/>
          <w:sz w:val="22"/>
          <w:szCs w:val="22"/>
          <w:lang w:val="en-GB"/>
        </w:rPr>
        <w:tab/>
      </w:r>
      <w:r w:rsidRPr="00EC4212">
        <w:rPr>
          <w:rFonts w:asciiTheme="minorHAnsi" w:hAnsiTheme="minorHAnsi"/>
          <w:bCs/>
          <w:sz w:val="22"/>
          <w:szCs w:val="22"/>
          <w:lang w:val="en-GB"/>
        </w:rPr>
        <w:t>Allowed Return on Assets;</w:t>
      </w:r>
    </w:p>
    <w:p w:rsidR="00E807F8" w:rsidRPr="00EC4212" w:rsidRDefault="00E807F8" w:rsidP="00E807F8">
      <w:pPr>
        <w:tabs>
          <w:tab w:val="left" w:pos="0"/>
        </w:tabs>
        <w:autoSpaceDE w:val="0"/>
        <w:autoSpaceDN w:val="0"/>
        <w:adjustRightInd w:val="0"/>
        <w:ind w:left="720" w:hanging="720"/>
        <w:rPr>
          <w:rFonts w:asciiTheme="minorHAnsi" w:hAnsiTheme="minorHAnsi" w:cs="Calibri"/>
          <w:color w:val="000000"/>
          <w:sz w:val="22"/>
          <w:szCs w:val="22"/>
          <w:lang w:val="en-GB"/>
        </w:rPr>
      </w:pPr>
      <w:r w:rsidRPr="00EC4212">
        <w:rPr>
          <w:rFonts w:asciiTheme="minorHAnsi" w:hAnsiTheme="minorHAnsi"/>
          <w:b/>
          <w:bCs/>
          <w:sz w:val="22"/>
          <w:szCs w:val="22"/>
          <w:lang w:val="en-GB"/>
        </w:rPr>
        <w:t>LOS</w:t>
      </w:r>
      <w:r w:rsidRPr="00EC4212">
        <w:rPr>
          <w:rFonts w:asciiTheme="minorHAnsi" w:hAnsiTheme="minorHAnsi"/>
          <w:bCs/>
          <w:sz w:val="22"/>
          <w:szCs w:val="22"/>
          <w:lang w:val="en-GB"/>
        </w:rPr>
        <w:t xml:space="preserve"> </w:t>
      </w:r>
      <w:r w:rsidR="00E658BF">
        <w:rPr>
          <w:rFonts w:asciiTheme="minorHAnsi" w:hAnsiTheme="minorHAnsi"/>
          <w:bCs/>
          <w:sz w:val="22"/>
          <w:szCs w:val="22"/>
          <w:lang w:val="en-GB"/>
        </w:rPr>
        <w:tab/>
      </w:r>
      <w:r w:rsidRPr="00EC4212">
        <w:rPr>
          <w:rFonts w:asciiTheme="minorHAnsi" w:hAnsiTheme="minorHAnsi"/>
          <w:bCs/>
          <w:sz w:val="22"/>
          <w:szCs w:val="22"/>
          <w:lang w:val="en-GB"/>
        </w:rPr>
        <w:t>Cost of Network Losses;</w:t>
      </w:r>
    </w:p>
    <w:p w:rsidR="00E807F8" w:rsidRPr="00EC4212" w:rsidRDefault="00E807F8" w:rsidP="00E807F8">
      <w:pPr>
        <w:tabs>
          <w:tab w:val="left" w:pos="0"/>
        </w:tabs>
        <w:autoSpaceDE w:val="0"/>
        <w:autoSpaceDN w:val="0"/>
        <w:adjustRightInd w:val="0"/>
        <w:rPr>
          <w:rFonts w:asciiTheme="minorHAnsi" w:hAnsiTheme="minorHAnsi" w:cs="Calibri"/>
          <w:bCs/>
          <w:sz w:val="22"/>
          <w:szCs w:val="22"/>
          <w:lang w:val="en-GB"/>
        </w:rPr>
      </w:pPr>
      <w:r w:rsidRPr="00EC4212">
        <w:rPr>
          <w:rFonts w:asciiTheme="minorHAnsi" w:hAnsiTheme="minorHAnsi"/>
          <w:b/>
          <w:bCs/>
          <w:sz w:val="22"/>
          <w:szCs w:val="22"/>
          <w:lang w:val="en-GB"/>
        </w:rPr>
        <w:t>ADJ</w:t>
      </w:r>
      <w:r w:rsidRPr="00EC4212">
        <w:rPr>
          <w:rFonts w:asciiTheme="minorHAnsi" w:hAnsiTheme="minorHAnsi"/>
          <w:bCs/>
          <w:sz w:val="22"/>
          <w:szCs w:val="22"/>
          <w:lang w:val="en-GB"/>
        </w:rPr>
        <w:t xml:space="preserve"> </w:t>
      </w:r>
      <w:r w:rsidR="00E658BF">
        <w:rPr>
          <w:rFonts w:asciiTheme="minorHAnsi" w:hAnsiTheme="minorHAnsi"/>
          <w:bCs/>
          <w:sz w:val="22"/>
          <w:szCs w:val="22"/>
          <w:lang w:val="en-GB"/>
        </w:rPr>
        <w:tab/>
      </w:r>
      <w:r w:rsidRPr="00EC4212">
        <w:rPr>
          <w:rFonts w:asciiTheme="minorHAnsi" w:hAnsiTheme="minorHAnsi"/>
          <w:bCs/>
          <w:color w:val="000000"/>
          <w:sz w:val="22"/>
          <w:szCs w:val="22"/>
          <w:lang w:val="en-GB"/>
        </w:rPr>
        <w:t>Revenue Adjustment</w:t>
      </w:r>
      <w:r w:rsidRPr="00EC4212">
        <w:rPr>
          <w:rFonts w:asciiTheme="minorHAnsi" w:hAnsiTheme="minorHAnsi"/>
          <w:bCs/>
          <w:sz w:val="22"/>
          <w:szCs w:val="22"/>
          <w:lang w:val="en-GB"/>
        </w:rPr>
        <w:t>.</w:t>
      </w:r>
    </w:p>
    <w:p w:rsidR="00E807F8" w:rsidRPr="00EC4212" w:rsidRDefault="00E807F8" w:rsidP="00E807F8">
      <w:pPr>
        <w:jc w:val="both"/>
        <w:rPr>
          <w:rFonts w:asciiTheme="minorHAnsi" w:hAnsiTheme="minorHAnsi"/>
          <w:b/>
          <w:bCs/>
          <w:sz w:val="22"/>
          <w:lang w:val="en-GB"/>
        </w:rPr>
      </w:pPr>
      <w:r w:rsidRPr="00EC4212">
        <w:rPr>
          <w:rFonts w:asciiTheme="minorHAnsi" w:hAnsiTheme="minorHAnsi"/>
          <w:b/>
          <w:bCs/>
          <w:sz w:val="22"/>
          <w:lang w:val="en-GB"/>
        </w:rPr>
        <w:tab/>
      </w: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 xml:space="preserve">The </w:t>
      </w:r>
      <w:r w:rsidR="00E658BF" w:rsidRPr="00EC4212">
        <w:rPr>
          <w:rFonts w:asciiTheme="minorHAnsi" w:hAnsiTheme="minorHAnsi"/>
          <w:sz w:val="22"/>
          <w:lang w:val="en-GB"/>
        </w:rPr>
        <w:t xml:space="preserve">Allowed Revenues </w:t>
      </w:r>
      <w:r w:rsidRPr="00EC4212">
        <w:rPr>
          <w:rFonts w:asciiTheme="minorHAnsi" w:hAnsiTheme="minorHAnsi"/>
          <w:sz w:val="22"/>
          <w:lang w:val="en-GB"/>
        </w:rPr>
        <w:t xml:space="preserve">represent the annual cost of the enterprise and consist of: i) </w:t>
      </w:r>
      <w:r w:rsidR="00E658BF" w:rsidRPr="00EC4212">
        <w:rPr>
          <w:rFonts w:asciiTheme="minorHAnsi" w:hAnsiTheme="minorHAnsi"/>
          <w:sz w:val="22"/>
          <w:lang w:val="en-GB"/>
        </w:rPr>
        <w:t>Operational Costs</w:t>
      </w:r>
      <w:r w:rsidRPr="00EC4212">
        <w:rPr>
          <w:rFonts w:asciiTheme="minorHAnsi" w:hAnsiTheme="minorHAnsi"/>
          <w:sz w:val="22"/>
          <w:lang w:val="en-GB"/>
        </w:rPr>
        <w:t xml:space="preserve">, which are “justifiable”; ii) </w:t>
      </w:r>
      <w:r w:rsidR="00E658BF" w:rsidRPr="00EC4212">
        <w:rPr>
          <w:rFonts w:asciiTheme="minorHAnsi" w:hAnsiTheme="minorHAnsi"/>
          <w:sz w:val="22"/>
          <w:lang w:val="en-GB"/>
        </w:rPr>
        <w:t>Annual Depreciation</w:t>
      </w:r>
      <w:r w:rsidRPr="00EC4212">
        <w:rPr>
          <w:rFonts w:asciiTheme="minorHAnsi" w:hAnsiTheme="minorHAnsi"/>
          <w:sz w:val="22"/>
          <w:lang w:val="en-GB"/>
        </w:rPr>
        <w:t xml:space="preserve">; iii) </w:t>
      </w:r>
      <w:r w:rsidR="00E658BF" w:rsidRPr="00EC4212">
        <w:rPr>
          <w:rFonts w:asciiTheme="minorHAnsi" w:hAnsiTheme="minorHAnsi"/>
          <w:sz w:val="22"/>
          <w:lang w:val="en-GB"/>
        </w:rPr>
        <w:t xml:space="preserve">Cost </w:t>
      </w:r>
      <w:r w:rsidRPr="00EC4212">
        <w:rPr>
          <w:rFonts w:asciiTheme="minorHAnsi" w:hAnsiTheme="minorHAnsi"/>
          <w:sz w:val="22"/>
          <w:lang w:val="en-GB"/>
        </w:rPr>
        <w:t xml:space="preserve">of </w:t>
      </w:r>
      <w:r w:rsidR="00E658BF" w:rsidRPr="00EC4212">
        <w:rPr>
          <w:rFonts w:asciiTheme="minorHAnsi" w:hAnsiTheme="minorHAnsi"/>
          <w:sz w:val="22"/>
          <w:lang w:val="en-GB"/>
        </w:rPr>
        <w:t>Network Losse</w:t>
      </w:r>
      <w:r w:rsidRPr="00EC4212">
        <w:rPr>
          <w:rFonts w:asciiTheme="minorHAnsi" w:hAnsiTheme="minorHAnsi"/>
          <w:sz w:val="22"/>
          <w:lang w:val="en-GB"/>
        </w:rPr>
        <w:t>s</w:t>
      </w:r>
      <w:r w:rsidR="00F80936">
        <w:rPr>
          <w:rFonts w:asciiTheme="minorHAnsi" w:hAnsiTheme="minorHAnsi"/>
          <w:sz w:val="22"/>
          <w:lang w:val="en-GB"/>
        </w:rPr>
        <w:t>,</w:t>
      </w:r>
      <w:r w:rsidRPr="00EC4212">
        <w:rPr>
          <w:rFonts w:asciiTheme="minorHAnsi" w:hAnsiTheme="minorHAnsi"/>
          <w:sz w:val="22"/>
          <w:lang w:val="en-GB"/>
        </w:rPr>
        <w:t xml:space="preserve"> and iv)</w:t>
      </w:r>
      <w:r w:rsidR="00E658BF">
        <w:rPr>
          <w:rFonts w:asciiTheme="minorHAnsi" w:hAnsiTheme="minorHAnsi"/>
          <w:sz w:val="22"/>
          <w:lang w:val="en-GB"/>
        </w:rPr>
        <w:t xml:space="preserve"> </w:t>
      </w:r>
      <w:r w:rsidR="00E658BF" w:rsidRPr="00EC4212">
        <w:rPr>
          <w:rFonts w:asciiTheme="minorHAnsi" w:hAnsiTheme="minorHAnsi"/>
          <w:sz w:val="22"/>
          <w:lang w:val="en-GB"/>
        </w:rPr>
        <w:t>Allowed Return</w:t>
      </w:r>
      <w:r w:rsidRPr="00EC4212">
        <w:rPr>
          <w:rFonts w:asciiTheme="minorHAnsi" w:hAnsiTheme="minorHAnsi"/>
          <w:sz w:val="22"/>
          <w:lang w:val="en-GB"/>
        </w:rPr>
        <w:t xml:space="preserve"> on Regulatory Asset Base (RAB).</w:t>
      </w: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 xml:space="preserve"> </w:t>
      </w: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 xml:space="preserve">Operational </w:t>
      </w:r>
      <w:r w:rsidR="00E658BF">
        <w:rPr>
          <w:rFonts w:asciiTheme="minorHAnsi" w:hAnsiTheme="minorHAnsi"/>
          <w:sz w:val="22"/>
          <w:lang w:val="en-GB"/>
        </w:rPr>
        <w:t>C</w:t>
      </w:r>
      <w:r w:rsidR="00E658BF" w:rsidRPr="00EC4212">
        <w:rPr>
          <w:rFonts w:asciiTheme="minorHAnsi" w:hAnsiTheme="minorHAnsi"/>
          <w:sz w:val="22"/>
          <w:lang w:val="en-GB"/>
        </w:rPr>
        <w:t xml:space="preserve">osts </w:t>
      </w:r>
      <w:r w:rsidRPr="00EC4212">
        <w:rPr>
          <w:rFonts w:asciiTheme="minorHAnsi" w:hAnsiTheme="minorHAnsi"/>
          <w:sz w:val="22"/>
          <w:lang w:val="en-GB"/>
        </w:rPr>
        <w:t>consists of the sum of the fixed and variable costs as follows:</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b/>
          <w:bCs/>
          <w:vertAlign w:val="subscript"/>
          <w:lang w:val="en-GB"/>
        </w:rPr>
      </w:pPr>
      <w:r w:rsidRPr="00EC4212">
        <w:rPr>
          <w:rFonts w:asciiTheme="minorHAnsi" w:hAnsiTheme="minorHAnsi"/>
          <w:b/>
          <w:bCs/>
          <w:lang w:val="en-GB"/>
        </w:rPr>
        <w:t>OC = OC</w:t>
      </w:r>
      <w:r w:rsidRPr="00EC4212">
        <w:rPr>
          <w:rFonts w:asciiTheme="minorHAnsi" w:hAnsiTheme="minorHAnsi"/>
          <w:b/>
          <w:bCs/>
          <w:vertAlign w:val="subscript"/>
          <w:lang w:val="en-GB"/>
        </w:rPr>
        <w:t xml:space="preserve">F </w:t>
      </w:r>
      <w:r w:rsidRPr="00EC4212">
        <w:rPr>
          <w:rFonts w:asciiTheme="minorHAnsi" w:hAnsiTheme="minorHAnsi"/>
          <w:b/>
          <w:bCs/>
          <w:lang w:val="en-GB"/>
        </w:rPr>
        <w:t>+</w:t>
      </w:r>
      <w:r w:rsidRPr="00EC4212">
        <w:rPr>
          <w:rFonts w:asciiTheme="minorHAnsi" w:hAnsiTheme="minorHAnsi"/>
          <w:b/>
          <w:bCs/>
          <w:vertAlign w:val="subscript"/>
          <w:lang w:val="en-GB"/>
        </w:rPr>
        <w:t xml:space="preserve"> </w:t>
      </w:r>
      <w:r w:rsidRPr="00EC4212">
        <w:rPr>
          <w:rFonts w:asciiTheme="minorHAnsi" w:hAnsiTheme="minorHAnsi"/>
          <w:b/>
          <w:bCs/>
          <w:lang w:val="en-GB"/>
        </w:rPr>
        <w:t>OC</w:t>
      </w:r>
      <w:r w:rsidR="00E658BF">
        <w:rPr>
          <w:rFonts w:asciiTheme="minorHAnsi" w:hAnsiTheme="minorHAnsi"/>
          <w:b/>
          <w:bCs/>
          <w:vertAlign w:val="subscript"/>
          <w:lang w:val="en-GB"/>
        </w:rPr>
        <w:t>V</w:t>
      </w:r>
    </w:p>
    <w:p w:rsidR="00E807F8" w:rsidRPr="00EC4212" w:rsidRDefault="00E807F8" w:rsidP="00E658BF">
      <w:pPr>
        <w:jc w:val="both"/>
        <w:rPr>
          <w:rFonts w:asciiTheme="minorHAnsi" w:hAnsiTheme="minorHAnsi"/>
          <w:b/>
          <w:bCs/>
          <w:vertAlign w:val="subscript"/>
          <w:lang w:val="en-GB"/>
        </w:rPr>
      </w:pPr>
    </w:p>
    <w:p w:rsidR="00E807F8" w:rsidRPr="00EC4212" w:rsidRDefault="00E807F8" w:rsidP="00E658BF">
      <w:pPr>
        <w:pStyle w:val="BodyText3"/>
        <w:jc w:val="both"/>
        <w:rPr>
          <w:rFonts w:asciiTheme="minorHAnsi" w:hAnsiTheme="minorHAnsi"/>
          <w:sz w:val="22"/>
          <w:szCs w:val="22"/>
          <w:lang w:val="en-GB"/>
        </w:rPr>
      </w:pPr>
      <w:r w:rsidRPr="00EC4212">
        <w:rPr>
          <w:rFonts w:asciiTheme="minorHAnsi" w:hAnsiTheme="minorHAnsi"/>
          <w:sz w:val="22"/>
          <w:szCs w:val="22"/>
          <w:lang w:val="en-GB"/>
        </w:rPr>
        <w:t xml:space="preserve">Operational </w:t>
      </w:r>
      <w:r w:rsidR="00E658BF" w:rsidRPr="00EC4212">
        <w:rPr>
          <w:rFonts w:asciiTheme="minorHAnsi" w:hAnsiTheme="minorHAnsi"/>
          <w:sz w:val="22"/>
          <w:szCs w:val="22"/>
          <w:lang w:val="en-GB"/>
        </w:rPr>
        <w:t xml:space="preserve">Costs </w:t>
      </w:r>
      <w:r w:rsidRPr="00EC4212">
        <w:rPr>
          <w:rFonts w:asciiTheme="minorHAnsi" w:hAnsiTheme="minorHAnsi"/>
          <w:sz w:val="22"/>
          <w:szCs w:val="22"/>
          <w:lang w:val="en-GB"/>
        </w:rPr>
        <w:t>represent the total yearly estimated justified costs, including i)costs of fuel, costs of thermal energy purchase and other costs such as electricity, water treatment chemicals, spare parts; ii) other system operation costs, repairs and maintenance; and iii) personnel costs and common costs.  Allowed operational costs do not include: i) subsidies; ii) costs rejected by tax authorities and costs of setting aside and distributing reserves; and iii) lease payments for items not kept in the bookkeeping, financial or other unjustified costs.</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Regulatory Asset Base is calculated according to the formula:</w:t>
      </w:r>
    </w:p>
    <w:p w:rsidR="00E807F8" w:rsidRPr="00EC4212" w:rsidRDefault="00E807F8" w:rsidP="00E807F8">
      <w:pPr>
        <w:jc w:val="both"/>
        <w:rPr>
          <w:rFonts w:asciiTheme="minorHAnsi" w:hAnsiTheme="minorHAnsi"/>
          <w:sz w:val="22"/>
          <w:lang w:val="en-GB"/>
        </w:rPr>
      </w:pPr>
    </w:p>
    <w:p w:rsidR="00E807F8" w:rsidRPr="00EC4212" w:rsidRDefault="00E807F8" w:rsidP="00E807F8">
      <w:pPr>
        <w:autoSpaceDE w:val="0"/>
        <w:autoSpaceDN w:val="0"/>
        <w:adjustRightInd w:val="0"/>
        <w:rPr>
          <w:rFonts w:asciiTheme="minorHAnsi" w:hAnsiTheme="minorHAnsi" w:cs="Calibri"/>
          <w:b/>
          <w:noProof/>
          <w:color w:val="000000"/>
          <w:sz w:val="26"/>
          <w:szCs w:val="26"/>
          <w:vertAlign w:val="subscript"/>
          <w:lang w:val="en-GB"/>
        </w:rPr>
      </w:pPr>
      <w:r w:rsidRPr="00EC4212">
        <w:rPr>
          <w:rFonts w:asciiTheme="minorHAnsi" w:hAnsiTheme="minorHAnsi"/>
          <w:b/>
          <w:color w:val="000000"/>
          <w:sz w:val="26"/>
          <w:szCs w:val="26"/>
          <w:lang w:val="en-GB"/>
        </w:rPr>
        <w:lastRenderedPageBreak/>
        <w:t>RAB</w:t>
      </w:r>
      <w:r w:rsidRPr="00EC4212">
        <w:rPr>
          <w:rFonts w:asciiTheme="minorHAnsi" w:hAnsiTheme="minorHAnsi"/>
          <w:b/>
          <w:color w:val="000000"/>
          <w:sz w:val="26"/>
          <w:szCs w:val="26"/>
          <w:vertAlign w:val="subscript"/>
          <w:lang w:val="en-GB"/>
        </w:rPr>
        <w:t>n</w:t>
      </w:r>
      <w:r w:rsidRPr="00EC4212">
        <w:rPr>
          <w:rFonts w:asciiTheme="minorHAnsi" w:hAnsiTheme="minorHAnsi"/>
          <w:b/>
          <w:color w:val="000000"/>
          <w:sz w:val="26"/>
          <w:szCs w:val="26"/>
          <w:vertAlign w:val="superscript"/>
          <w:lang w:val="en-GB"/>
        </w:rPr>
        <w:t xml:space="preserve">end. </w:t>
      </w:r>
      <w:r w:rsidRPr="00EC4212">
        <w:rPr>
          <w:rFonts w:asciiTheme="minorHAnsi" w:hAnsiTheme="minorHAnsi"/>
          <w:b/>
          <w:color w:val="000000"/>
          <w:sz w:val="26"/>
          <w:szCs w:val="26"/>
          <w:lang w:val="en-GB"/>
        </w:rPr>
        <w:t>= RAB</w:t>
      </w:r>
      <w:r w:rsidRPr="00EC4212">
        <w:rPr>
          <w:rFonts w:asciiTheme="minorHAnsi" w:hAnsiTheme="minorHAnsi"/>
          <w:b/>
          <w:color w:val="000000"/>
          <w:sz w:val="26"/>
          <w:szCs w:val="26"/>
          <w:vertAlign w:val="subscript"/>
          <w:lang w:val="en-GB"/>
        </w:rPr>
        <w:t>n</w:t>
      </w:r>
      <w:r w:rsidRPr="00EC4212">
        <w:rPr>
          <w:rFonts w:asciiTheme="minorHAnsi" w:hAnsiTheme="minorHAnsi"/>
          <w:b/>
          <w:color w:val="000000"/>
          <w:sz w:val="26"/>
          <w:szCs w:val="26"/>
          <w:vertAlign w:val="superscript"/>
          <w:lang w:val="en-GB"/>
        </w:rPr>
        <w:t>start.</w:t>
      </w:r>
      <w:r w:rsidRPr="00EC4212">
        <w:rPr>
          <w:rFonts w:asciiTheme="minorHAnsi" w:hAnsiTheme="minorHAnsi"/>
          <w:b/>
          <w:color w:val="000000"/>
          <w:sz w:val="26"/>
          <w:szCs w:val="26"/>
          <w:lang w:val="en-GB"/>
        </w:rPr>
        <w:t xml:space="preserve"> + INV</w:t>
      </w:r>
      <w:r w:rsidRPr="00EC4212">
        <w:rPr>
          <w:rFonts w:asciiTheme="minorHAnsi" w:hAnsiTheme="minorHAnsi"/>
          <w:b/>
          <w:color w:val="000000"/>
          <w:sz w:val="26"/>
          <w:szCs w:val="26"/>
          <w:vertAlign w:val="subscript"/>
          <w:lang w:val="en-GB"/>
        </w:rPr>
        <w:t>n</w:t>
      </w:r>
      <w:r w:rsidRPr="00EC4212">
        <w:rPr>
          <w:rFonts w:asciiTheme="minorHAnsi" w:hAnsiTheme="minorHAnsi"/>
          <w:b/>
          <w:color w:val="000000"/>
          <w:sz w:val="26"/>
          <w:szCs w:val="26"/>
          <w:lang w:val="en-GB"/>
        </w:rPr>
        <w:t xml:space="preserve"> + WC</w:t>
      </w:r>
      <w:r w:rsidRPr="00EC4212">
        <w:rPr>
          <w:rFonts w:asciiTheme="minorHAnsi" w:hAnsiTheme="minorHAnsi"/>
          <w:b/>
          <w:color w:val="000000"/>
          <w:sz w:val="26"/>
          <w:szCs w:val="26"/>
          <w:vertAlign w:val="subscript"/>
          <w:lang w:val="en-GB"/>
        </w:rPr>
        <w:t>n</w:t>
      </w:r>
      <w:r w:rsidRPr="00EC4212">
        <w:rPr>
          <w:rFonts w:asciiTheme="minorHAnsi" w:hAnsiTheme="minorHAnsi"/>
          <w:b/>
          <w:color w:val="000000"/>
          <w:sz w:val="26"/>
          <w:szCs w:val="26"/>
          <w:lang w:val="en-GB"/>
        </w:rPr>
        <w:t xml:space="preserve"> - DEP</w:t>
      </w:r>
      <w:r w:rsidRPr="00EC4212">
        <w:rPr>
          <w:rFonts w:asciiTheme="minorHAnsi" w:hAnsiTheme="minorHAnsi"/>
          <w:b/>
          <w:color w:val="000000"/>
          <w:sz w:val="26"/>
          <w:szCs w:val="26"/>
          <w:vertAlign w:val="subscript"/>
          <w:lang w:val="en-GB"/>
        </w:rPr>
        <w:t>n-1</w:t>
      </w:r>
      <w:r w:rsidRPr="00EC4212">
        <w:rPr>
          <w:rFonts w:asciiTheme="minorHAnsi" w:hAnsiTheme="minorHAnsi"/>
          <w:b/>
          <w:color w:val="000000"/>
          <w:sz w:val="26"/>
          <w:szCs w:val="26"/>
          <w:lang w:val="en-GB"/>
        </w:rPr>
        <w:t xml:space="preserve"> - DIS</w:t>
      </w:r>
      <w:r w:rsidRPr="00EC4212">
        <w:rPr>
          <w:rFonts w:asciiTheme="minorHAnsi" w:hAnsiTheme="minorHAnsi"/>
          <w:b/>
          <w:color w:val="000000"/>
          <w:sz w:val="26"/>
          <w:szCs w:val="26"/>
          <w:vertAlign w:val="subscript"/>
          <w:lang w:val="en-GB"/>
        </w:rPr>
        <w:t>n-1</w:t>
      </w:r>
    </w:p>
    <w:p w:rsidR="00E807F8" w:rsidRPr="00EC4212" w:rsidRDefault="00E807F8" w:rsidP="00E807F8">
      <w:pPr>
        <w:pStyle w:val="BodyText"/>
        <w:jc w:val="both"/>
        <w:rPr>
          <w:rFonts w:asciiTheme="minorHAnsi" w:hAnsiTheme="minorHAnsi"/>
          <w:sz w:val="22"/>
          <w:szCs w:val="22"/>
          <w:lang w:val="en-GB"/>
        </w:rPr>
      </w:pPr>
    </w:p>
    <w:p w:rsidR="00E807F8" w:rsidRPr="00EC4212" w:rsidRDefault="00E807F8" w:rsidP="00E807F8">
      <w:pPr>
        <w:jc w:val="both"/>
        <w:rPr>
          <w:rFonts w:asciiTheme="minorHAnsi" w:hAnsiTheme="minorHAnsi"/>
          <w:noProof/>
          <w:sz w:val="22"/>
          <w:lang w:val="en-GB"/>
        </w:rPr>
      </w:pPr>
      <w:r w:rsidRPr="00EC4212">
        <w:rPr>
          <w:rFonts w:asciiTheme="minorHAnsi" w:hAnsiTheme="minorHAnsi"/>
          <w:sz w:val="22"/>
          <w:lang w:val="en-GB"/>
        </w:rPr>
        <w:t>The Regulatory Asset Base (RAB) represents the enterprise assets considered to be used and useful for the provision of public service</w:t>
      </w:r>
      <w:r w:rsidR="00E658BF">
        <w:rPr>
          <w:rFonts w:asciiTheme="minorHAnsi" w:hAnsiTheme="minorHAnsi"/>
          <w:sz w:val="22"/>
          <w:lang w:val="en-GB"/>
        </w:rPr>
        <w:t>, that include: i) the Regulatory</w:t>
      </w:r>
      <w:r w:rsidRPr="00EC4212">
        <w:rPr>
          <w:rFonts w:asciiTheme="minorHAnsi" w:hAnsiTheme="minorHAnsi"/>
          <w:sz w:val="22"/>
          <w:lang w:val="en-GB"/>
        </w:rPr>
        <w:t xml:space="preserve"> Initial Asset Base (RAB</w:t>
      </w:r>
      <w:r w:rsidRPr="00EC4212">
        <w:rPr>
          <w:rFonts w:asciiTheme="minorHAnsi" w:hAnsiTheme="minorHAnsi"/>
          <w:sz w:val="22"/>
          <w:vertAlign w:val="subscript"/>
          <w:lang w:val="en-GB"/>
        </w:rPr>
        <w:t>n</w:t>
      </w:r>
      <w:r w:rsidRPr="00EC4212">
        <w:rPr>
          <w:rFonts w:asciiTheme="minorHAnsi" w:hAnsiTheme="minorHAnsi"/>
          <w:sz w:val="22"/>
          <w:vertAlign w:val="superscript"/>
          <w:lang w:val="en-GB"/>
        </w:rPr>
        <w:t>start</w:t>
      </w:r>
      <w:r w:rsidRPr="00EC4212">
        <w:rPr>
          <w:rFonts w:asciiTheme="minorHAnsi" w:hAnsiTheme="minorHAnsi"/>
          <w:sz w:val="22"/>
          <w:lang w:val="en-GB"/>
        </w:rPr>
        <w:t xml:space="preserve"> ) which actually represents the final RAB realized in the previous season 2017/18 (n-1); ii) new investments when planned and approved by the Regulator </w:t>
      </w:r>
      <w:r w:rsidRPr="00EC4212">
        <w:rPr>
          <w:rFonts w:asciiTheme="minorHAnsi" w:hAnsiTheme="minorHAnsi"/>
          <w:sz w:val="22"/>
          <w:szCs w:val="22"/>
          <w:lang w:val="en-GB"/>
        </w:rPr>
        <w:t>(</w:t>
      </w:r>
      <w:r w:rsidRPr="00EC4212">
        <w:rPr>
          <w:rFonts w:asciiTheme="minorHAnsi" w:hAnsiTheme="minorHAnsi"/>
          <w:color w:val="000000"/>
          <w:sz w:val="22"/>
          <w:szCs w:val="22"/>
          <w:lang w:val="en-GB"/>
        </w:rPr>
        <w:t>INV</w:t>
      </w:r>
      <w:r w:rsidRPr="00EC4212">
        <w:rPr>
          <w:rFonts w:asciiTheme="minorHAnsi" w:hAnsiTheme="minorHAnsi"/>
          <w:color w:val="000000"/>
          <w:sz w:val="22"/>
          <w:szCs w:val="22"/>
          <w:vertAlign w:val="subscript"/>
          <w:lang w:val="en-GB"/>
        </w:rPr>
        <w:t>n</w:t>
      </w:r>
      <w:r w:rsidRPr="00EC4212">
        <w:rPr>
          <w:rFonts w:asciiTheme="minorHAnsi" w:hAnsiTheme="minorHAnsi"/>
          <w:color w:val="000000"/>
          <w:sz w:val="22"/>
          <w:szCs w:val="22"/>
          <w:lang w:val="en-GB"/>
        </w:rPr>
        <w:t>)</w:t>
      </w:r>
      <w:r w:rsidRPr="00EC4212">
        <w:rPr>
          <w:rFonts w:asciiTheme="minorHAnsi" w:hAnsiTheme="minorHAnsi"/>
          <w:sz w:val="22"/>
          <w:lang w:val="en-GB"/>
        </w:rPr>
        <w:t xml:space="preserve">; iii) working capital sufficient for the company to carry out its activities </w:t>
      </w:r>
      <w:r w:rsidRPr="00EC4212">
        <w:rPr>
          <w:rFonts w:asciiTheme="minorHAnsi" w:hAnsiTheme="minorHAnsi"/>
          <w:sz w:val="22"/>
          <w:szCs w:val="22"/>
          <w:lang w:val="en-GB"/>
        </w:rPr>
        <w:t>(</w:t>
      </w:r>
      <w:r w:rsidRPr="00EC4212">
        <w:rPr>
          <w:rFonts w:asciiTheme="minorHAnsi" w:hAnsiTheme="minorHAnsi"/>
          <w:color w:val="000000"/>
          <w:sz w:val="22"/>
          <w:szCs w:val="22"/>
          <w:lang w:val="en-GB"/>
        </w:rPr>
        <w:t>WC</w:t>
      </w:r>
      <w:r w:rsidRPr="00EC4212">
        <w:rPr>
          <w:rFonts w:asciiTheme="minorHAnsi" w:hAnsiTheme="minorHAnsi"/>
          <w:color w:val="000000"/>
          <w:sz w:val="22"/>
          <w:szCs w:val="22"/>
          <w:vertAlign w:val="subscript"/>
          <w:lang w:val="en-GB"/>
        </w:rPr>
        <w:t>n</w:t>
      </w:r>
      <w:r w:rsidRPr="00EC4212">
        <w:rPr>
          <w:rFonts w:asciiTheme="minorHAnsi" w:hAnsiTheme="minorHAnsi"/>
          <w:color w:val="000000"/>
          <w:sz w:val="22"/>
          <w:szCs w:val="22"/>
          <w:lang w:val="en-GB"/>
        </w:rPr>
        <w:t>)</w:t>
      </w:r>
      <w:r w:rsidRPr="00EC4212">
        <w:rPr>
          <w:rFonts w:asciiTheme="minorHAnsi" w:hAnsiTheme="minorHAnsi"/>
          <w:sz w:val="22"/>
          <w:lang w:val="en-GB"/>
        </w:rPr>
        <w:t xml:space="preserve">; Depreciation of assets incurred in the previous season 2017/18 (n-1) </w:t>
      </w:r>
      <w:r w:rsidRPr="00EC4212">
        <w:rPr>
          <w:rFonts w:asciiTheme="minorHAnsi" w:hAnsiTheme="minorHAnsi"/>
          <w:sz w:val="22"/>
          <w:szCs w:val="22"/>
          <w:lang w:val="en-GB"/>
        </w:rPr>
        <w:t>(</w:t>
      </w:r>
      <w:r w:rsidRPr="00EC4212">
        <w:rPr>
          <w:rFonts w:asciiTheme="minorHAnsi" w:hAnsiTheme="minorHAnsi"/>
          <w:color w:val="000000"/>
          <w:sz w:val="22"/>
          <w:szCs w:val="22"/>
          <w:lang w:val="en-GB"/>
        </w:rPr>
        <w:t>DEP</w:t>
      </w:r>
      <w:r w:rsidRPr="00EC4212">
        <w:rPr>
          <w:rFonts w:asciiTheme="minorHAnsi" w:hAnsiTheme="minorHAnsi"/>
          <w:color w:val="000000"/>
          <w:sz w:val="22"/>
          <w:szCs w:val="22"/>
          <w:vertAlign w:val="subscript"/>
          <w:lang w:val="en-GB"/>
        </w:rPr>
        <w:t>n-1</w:t>
      </w:r>
      <w:r w:rsidRPr="00EC4212">
        <w:rPr>
          <w:rFonts w:asciiTheme="minorHAnsi" w:hAnsiTheme="minorHAnsi"/>
          <w:color w:val="000000"/>
          <w:sz w:val="22"/>
          <w:szCs w:val="22"/>
          <w:lang w:val="en-GB"/>
        </w:rPr>
        <w:t>)</w:t>
      </w:r>
      <w:r w:rsidRPr="00EC4212">
        <w:rPr>
          <w:rFonts w:asciiTheme="minorHAnsi" w:hAnsiTheme="minorHAnsi"/>
          <w:lang w:val="en-GB"/>
        </w:rPr>
        <w:t xml:space="preserve"> </w:t>
      </w:r>
      <w:r w:rsidRPr="00EC4212">
        <w:rPr>
          <w:rFonts w:asciiTheme="minorHAnsi" w:hAnsiTheme="minorHAnsi"/>
          <w:sz w:val="22"/>
          <w:lang w:val="en-GB"/>
        </w:rPr>
        <w:t>and iv) Disposed assets (</w:t>
      </w:r>
      <w:r w:rsidRPr="00EC4212">
        <w:rPr>
          <w:rFonts w:asciiTheme="minorHAnsi" w:hAnsiTheme="minorHAnsi"/>
          <w:color w:val="000000"/>
          <w:sz w:val="22"/>
          <w:szCs w:val="22"/>
          <w:lang w:val="en-GB"/>
        </w:rPr>
        <w:t>DIS</w:t>
      </w:r>
      <w:r w:rsidRPr="00EC4212">
        <w:rPr>
          <w:rFonts w:asciiTheme="minorHAnsi" w:hAnsiTheme="minorHAnsi"/>
          <w:color w:val="000000"/>
          <w:sz w:val="22"/>
          <w:szCs w:val="22"/>
          <w:vertAlign w:val="subscript"/>
          <w:lang w:val="en-GB"/>
        </w:rPr>
        <w:t>n-1</w:t>
      </w:r>
      <w:r w:rsidRPr="00EC4212">
        <w:rPr>
          <w:rFonts w:asciiTheme="minorHAnsi" w:hAnsiTheme="minorHAnsi"/>
          <w:color w:val="000000"/>
          <w:sz w:val="22"/>
          <w:szCs w:val="22"/>
          <w:lang w:val="en-GB"/>
        </w:rPr>
        <w:t>)</w:t>
      </w:r>
      <w:r w:rsidRPr="00EC4212">
        <w:rPr>
          <w:rFonts w:asciiTheme="minorHAnsi" w:hAnsiTheme="minorHAnsi"/>
          <w:sz w:val="22"/>
          <w:lang w:val="en-GB"/>
        </w:rPr>
        <w:t xml:space="preserve">. </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b/>
          <w:bCs/>
          <w:lang w:val="en-GB"/>
        </w:rPr>
      </w:pPr>
      <w:r w:rsidRPr="00EC4212">
        <w:rPr>
          <w:rFonts w:asciiTheme="minorHAnsi" w:hAnsiTheme="minorHAnsi"/>
          <w:sz w:val="22"/>
          <w:lang w:val="en-GB"/>
        </w:rPr>
        <w:t xml:space="preserve">ERO will take as a rate of return the value of WACC (Weighted Average Cost of Capital). WACC (%) is the sum of </w:t>
      </w:r>
      <w:r w:rsidR="00F80936">
        <w:rPr>
          <w:rFonts w:asciiTheme="minorHAnsi" w:hAnsiTheme="minorHAnsi"/>
          <w:sz w:val="22"/>
          <w:lang w:val="en-GB"/>
        </w:rPr>
        <w:t xml:space="preserve">the </w:t>
      </w:r>
      <w:r w:rsidRPr="00EC4212">
        <w:rPr>
          <w:rFonts w:asciiTheme="minorHAnsi" w:hAnsiTheme="minorHAnsi"/>
          <w:sz w:val="22"/>
          <w:lang w:val="en-GB"/>
        </w:rPr>
        <w:t>weighted average of the equity cost and debt cost, and is calculated according to the formula:</w:t>
      </w:r>
    </w:p>
    <w:p w:rsidR="00E807F8" w:rsidRPr="00EC4212" w:rsidRDefault="00E807F8" w:rsidP="00E807F8">
      <w:pPr>
        <w:jc w:val="both"/>
        <w:rPr>
          <w:rFonts w:asciiTheme="minorHAnsi" w:hAnsiTheme="minorHAnsi"/>
          <w:b/>
          <w:bCs/>
          <w:lang w:val="en-GB"/>
        </w:rPr>
      </w:pPr>
    </w:p>
    <w:p w:rsidR="00E807F8" w:rsidRPr="00EC4212" w:rsidRDefault="00E807F8" w:rsidP="00E807F8">
      <w:pPr>
        <w:jc w:val="both"/>
        <w:rPr>
          <w:rFonts w:asciiTheme="minorHAnsi" w:hAnsiTheme="minorHAnsi"/>
          <w:b/>
          <w:bCs/>
          <w:lang w:val="en-GB"/>
        </w:rPr>
      </w:pPr>
      <w:r w:rsidRPr="00EC4212">
        <w:rPr>
          <w:rFonts w:asciiTheme="minorHAnsi" w:hAnsiTheme="minorHAnsi"/>
          <w:b/>
          <w:bCs/>
          <w:lang w:val="en-GB"/>
        </w:rPr>
        <w:t>WACC = [(D/V) * k</w:t>
      </w:r>
      <w:r w:rsidRPr="00EC4212">
        <w:rPr>
          <w:rFonts w:asciiTheme="minorHAnsi" w:hAnsiTheme="minorHAnsi"/>
          <w:b/>
          <w:bCs/>
          <w:vertAlign w:val="subscript"/>
          <w:lang w:val="en-GB"/>
        </w:rPr>
        <w:t>d</w:t>
      </w:r>
      <w:r w:rsidRPr="00EC4212">
        <w:rPr>
          <w:rFonts w:asciiTheme="minorHAnsi" w:hAnsiTheme="minorHAnsi"/>
          <w:b/>
          <w:bCs/>
          <w:lang w:val="en-GB"/>
        </w:rPr>
        <w:t>] + [(E/V) * k</w:t>
      </w:r>
      <w:r w:rsidRPr="00EC4212">
        <w:rPr>
          <w:rFonts w:asciiTheme="minorHAnsi" w:hAnsiTheme="minorHAnsi"/>
          <w:b/>
          <w:bCs/>
          <w:vertAlign w:val="subscript"/>
          <w:lang w:val="en-GB"/>
        </w:rPr>
        <w:t>e</w:t>
      </w:r>
      <w:r w:rsidRPr="00EC4212">
        <w:rPr>
          <w:rFonts w:asciiTheme="minorHAnsi" w:hAnsiTheme="minorHAnsi"/>
          <w:b/>
          <w:bCs/>
          <w:lang w:val="en-GB"/>
        </w:rPr>
        <w:t xml:space="preserve">]  </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Where:</w:t>
      </w:r>
    </w:p>
    <w:p w:rsidR="00E807F8" w:rsidRPr="00EC4212" w:rsidRDefault="00E658BF" w:rsidP="00E807F8">
      <w:pPr>
        <w:jc w:val="both"/>
        <w:rPr>
          <w:rFonts w:asciiTheme="minorHAnsi" w:hAnsiTheme="minorHAnsi"/>
          <w:sz w:val="22"/>
          <w:lang w:val="en-GB"/>
        </w:rPr>
      </w:pPr>
      <w:r>
        <w:rPr>
          <w:rFonts w:asciiTheme="minorHAnsi" w:hAnsiTheme="minorHAnsi"/>
          <w:b/>
          <w:bCs/>
          <w:sz w:val="22"/>
          <w:lang w:val="en-GB"/>
        </w:rPr>
        <w:t>D/</w:t>
      </w:r>
      <w:r w:rsidR="00E807F8" w:rsidRPr="00EC4212">
        <w:rPr>
          <w:rFonts w:asciiTheme="minorHAnsi" w:hAnsiTheme="minorHAnsi"/>
          <w:b/>
          <w:bCs/>
          <w:sz w:val="22"/>
          <w:lang w:val="en-GB"/>
        </w:rPr>
        <w:t>V</w:t>
      </w:r>
      <w:r w:rsidR="00E807F8" w:rsidRPr="00EC4212">
        <w:rPr>
          <w:rFonts w:asciiTheme="minorHAnsi" w:hAnsiTheme="minorHAnsi"/>
          <w:sz w:val="22"/>
          <w:lang w:val="en-GB"/>
        </w:rPr>
        <w:t xml:space="preserve"> - </w:t>
      </w:r>
      <w:r>
        <w:rPr>
          <w:rFonts w:asciiTheme="minorHAnsi" w:hAnsiTheme="minorHAnsi"/>
          <w:sz w:val="22"/>
          <w:lang w:val="en-GB"/>
        </w:rPr>
        <w:tab/>
      </w:r>
      <w:r>
        <w:rPr>
          <w:rFonts w:asciiTheme="minorHAnsi" w:hAnsiTheme="minorHAnsi"/>
          <w:sz w:val="22"/>
          <w:lang w:val="en-GB"/>
        </w:rPr>
        <w:tab/>
      </w:r>
      <w:r w:rsidR="00E807F8" w:rsidRPr="00EC4212">
        <w:rPr>
          <w:rFonts w:asciiTheme="minorHAnsi" w:hAnsiTheme="minorHAnsi"/>
          <w:sz w:val="22"/>
          <w:lang w:val="en-GB"/>
        </w:rPr>
        <w:t>Debt share from the total capital base</w:t>
      </w:r>
    </w:p>
    <w:p w:rsidR="00E807F8" w:rsidRPr="00EC4212" w:rsidRDefault="00E807F8" w:rsidP="00E807F8">
      <w:pPr>
        <w:jc w:val="both"/>
        <w:rPr>
          <w:rFonts w:asciiTheme="minorHAnsi" w:hAnsiTheme="minorHAnsi"/>
          <w:sz w:val="22"/>
          <w:lang w:val="en-GB"/>
        </w:rPr>
      </w:pPr>
      <w:r w:rsidRPr="00EC4212">
        <w:rPr>
          <w:rFonts w:asciiTheme="minorHAnsi" w:hAnsiTheme="minorHAnsi"/>
          <w:b/>
          <w:bCs/>
          <w:sz w:val="22"/>
          <w:lang w:val="en-GB"/>
        </w:rPr>
        <w:t>E/V</w:t>
      </w:r>
      <w:r w:rsidRPr="00EC4212">
        <w:rPr>
          <w:rFonts w:asciiTheme="minorHAnsi" w:hAnsiTheme="minorHAnsi"/>
          <w:sz w:val="22"/>
          <w:lang w:val="en-GB"/>
        </w:rPr>
        <w:t xml:space="preserve"> -    </w:t>
      </w:r>
      <w:r w:rsidR="00E658BF">
        <w:rPr>
          <w:rFonts w:asciiTheme="minorHAnsi" w:hAnsiTheme="minorHAnsi"/>
          <w:sz w:val="22"/>
          <w:lang w:val="en-GB"/>
        </w:rPr>
        <w:tab/>
      </w:r>
      <w:r w:rsidR="00E658BF">
        <w:rPr>
          <w:rFonts w:asciiTheme="minorHAnsi" w:hAnsiTheme="minorHAnsi"/>
          <w:sz w:val="22"/>
          <w:lang w:val="en-GB"/>
        </w:rPr>
        <w:tab/>
      </w:r>
      <w:r w:rsidRPr="00EC4212">
        <w:rPr>
          <w:rFonts w:asciiTheme="minorHAnsi" w:hAnsiTheme="minorHAnsi"/>
          <w:sz w:val="22"/>
          <w:lang w:val="en-GB"/>
        </w:rPr>
        <w:t>Equity share from the total capital base</w:t>
      </w:r>
    </w:p>
    <w:p w:rsidR="00E807F8" w:rsidRPr="00EC4212" w:rsidRDefault="00E807F8" w:rsidP="00E807F8">
      <w:pPr>
        <w:jc w:val="both"/>
        <w:rPr>
          <w:rFonts w:asciiTheme="minorHAnsi" w:hAnsiTheme="minorHAnsi"/>
          <w:sz w:val="22"/>
          <w:lang w:val="en-GB"/>
        </w:rPr>
      </w:pPr>
      <w:r w:rsidRPr="00EC4212">
        <w:rPr>
          <w:rFonts w:asciiTheme="minorHAnsi" w:hAnsiTheme="minorHAnsi"/>
          <w:b/>
          <w:bCs/>
          <w:sz w:val="22"/>
          <w:lang w:val="en-GB"/>
        </w:rPr>
        <w:t>V</w:t>
      </w:r>
      <w:r w:rsidRPr="00EC4212">
        <w:rPr>
          <w:rFonts w:asciiTheme="minorHAnsi" w:hAnsiTheme="minorHAnsi"/>
          <w:sz w:val="22"/>
          <w:lang w:val="en-GB"/>
        </w:rPr>
        <w:t xml:space="preserve"> -       </w:t>
      </w:r>
      <w:r w:rsidR="00E658BF">
        <w:rPr>
          <w:rFonts w:asciiTheme="minorHAnsi" w:hAnsiTheme="minorHAnsi"/>
          <w:sz w:val="22"/>
          <w:lang w:val="en-GB"/>
        </w:rPr>
        <w:tab/>
      </w:r>
      <w:r w:rsidR="00E658BF">
        <w:rPr>
          <w:rFonts w:asciiTheme="minorHAnsi" w:hAnsiTheme="minorHAnsi"/>
          <w:sz w:val="22"/>
          <w:lang w:val="en-GB"/>
        </w:rPr>
        <w:tab/>
      </w:r>
      <w:r w:rsidRPr="00EC4212">
        <w:rPr>
          <w:rFonts w:asciiTheme="minorHAnsi" w:hAnsiTheme="minorHAnsi"/>
          <w:sz w:val="22"/>
          <w:lang w:val="en-GB"/>
        </w:rPr>
        <w:t>Total capital base, which is the total of equity and debt</w:t>
      </w:r>
    </w:p>
    <w:p w:rsidR="00E807F8" w:rsidRPr="00EC4212" w:rsidRDefault="00E807F8" w:rsidP="00E807F8">
      <w:pPr>
        <w:jc w:val="both"/>
        <w:rPr>
          <w:rFonts w:asciiTheme="minorHAnsi" w:hAnsiTheme="minorHAnsi"/>
          <w:sz w:val="22"/>
          <w:lang w:val="en-GB"/>
        </w:rPr>
      </w:pPr>
      <w:r w:rsidRPr="00EC4212">
        <w:rPr>
          <w:rFonts w:asciiTheme="minorHAnsi" w:hAnsiTheme="minorHAnsi"/>
          <w:b/>
          <w:bCs/>
          <w:sz w:val="22"/>
          <w:lang w:val="en-GB"/>
        </w:rPr>
        <w:t>k</w:t>
      </w:r>
      <w:r w:rsidRPr="00EC4212">
        <w:rPr>
          <w:rFonts w:asciiTheme="minorHAnsi" w:hAnsiTheme="minorHAnsi"/>
          <w:b/>
          <w:bCs/>
          <w:sz w:val="22"/>
          <w:vertAlign w:val="subscript"/>
          <w:lang w:val="en-GB"/>
        </w:rPr>
        <w:t xml:space="preserve">d - </w:t>
      </w:r>
      <w:r w:rsidRPr="00EC4212">
        <w:rPr>
          <w:rFonts w:asciiTheme="minorHAnsi" w:hAnsiTheme="minorHAnsi"/>
          <w:sz w:val="22"/>
          <w:lang w:val="en-GB"/>
        </w:rPr>
        <w:t xml:space="preserve"> -     </w:t>
      </w:r>
      <w:r w:rsidR="00E658BF">
        <w:rPr>
          <w:rFonts w:asciiTheme="minorHAnsi" w:hAnsiTheme="minorHAnsi"/>
          <w:sz w:val="22"/>
          <w:lang w:val="en-GB"/>
        </w:rPr>
        <w:tab/>
      </w:r>
      <w:r w:rsidR="00E658BF">
        <w:rPr>
          <w:rFonts w:asciiTheme="minorHAnsi" w:hAnsiTheme="minorHAnsi"/>
          <w:sz w:val="22"/>
          <w:lang w:val="en-GB"/>
        </w:rPr>
        <w:tab/>
      </w:r>
      <w:r w:rsidRPr="00EC4212">
        <w:rPr>
          <w:rFonts w:asciiTheme="minorHAnsi" w:hAnsiTheme="minorHAnsi"/>
          <w:sz w:val="22"/>
          <w:lang w:val="en-GB"/>
        </w:rPr>
        <w:t>Cost of debt</w:t>
      </w:r>
    </w:p>
    <w:p w:rsidR="00E807F8" w:rsidRPr="00EC4212" w:rsidRDefault="00E807F8" w:rsidP="00E807F8">
      <w:pPr>
        <w:jc w:val="both"/>
        <w:rPr>
          <w:rFonts w:asciiTheme="minorHAnsi" w:hAnsiTheme="minorHAnsi"/>
          <w:sz w:val="22"/>
          <w:lang w:val="en-GB"/>
        </w:rPr>
      </w:pPr>
      <w:r w:rsidRPr="00EC4212">
        <w:rPr>
          <w:rFonts w:asciiTheme="minorHAnsi" w:hAnsiTheme="minorHAnsi"/>
          <w:b/>
          <w:bCs/>
          <w:sz w:val="22"/>
          <w:lang w:val="en-GB"/>
        </w:rPr>
        <w:t>k</w:t>
      </w:r>
      <w:r w:rsidRPr="00EC4212">
        <w:rPr>
          <w:rFonts w:asciiTheme="minorHAnsi" w:hAnsiTheme="minorHAnsi"/>
          <w:b/>
          <w:bCs/>
          <w:sz w:val="22"/>
          <w:vertAlign w:val="subscript"/>
          <w:lang w:val="en-GB"/>
        </w:rPr>
        <w:t>e -</w:t>
      </w:r>
      <w:r w:rsidRPr="00EC4212">
        <w:rPr>
          <w:rFonts w:asciiTheme="minorHAnsi" w:hAnsiTheme="minorHAnsi"/>
          <w:sz w:val="22"/>
          <w:lang w:val="en-GB"/>
        </w:rPr>
        <w:t xml:space="preserve"> -     </w:t>
      </w:r>
      <w:r w:rsidR="00E658BF">
        <w:rPr>
          <w:rFonts w:asciiTheme="minorHAnsi" w:hAnsiTheme="minorHAnsi"/>
          <w:sz w:val="22"/>
          <w:lang w:val="en-GB"/>
        </w:rPr>
        <w:tab/>
      </w:r>
      <w:r w:rsidR="00E658BF">
        <w:rPr>
          <w:rFonts w:asciiTheme="minorHAnsi" w:hAnsiTheme="minorHAnsi"/>
          <w:sz w:val="22"/>
          <w:lang w:val="en-GB"/>
        </w:rPr>
        <w:tab/>
      </w:r>
      <w:r w:rsidRPr="00EC4212">
        <w:rPr>
          <w:rFonts w:asciiTheme="minorHAnsi" w:hAnsiTheme="minorHAnsi"/>
          <w:sz w:val="22"/>
          <w:lang w:val="en-GB"/>
        </w:rPr>
        <w:t>Cost of equity</w:t>
      </w:r>
    </w:p>
    <w:p w:rsidR="00E807F8" w:rsidRPr="00EC4212" w:rsidRDefault="00E807F8" w:rsidP="00E807F8">
      <w:pPr>
        <w:jc w:val="both"/>
        <w:rPr>
          <w:rFonts w:asciiTheme="minorHAnsi" w:hAnsiTheme="minorHAnsi"/>
          <w:b/>
          <w:bCs/>
          <w:sz w:val="22"/>
          <w:szCs w:val="22"/>
          <w:lang w:val="en-GB"/>
        </w:rPr>
      </w:pPr>
    </w:p>
    <w:p w:rsidR="00E807F8" w:rsidRPr="00EC4212" w:rsidRDefault="00A34C30" w:rsidP="00382204">
      <w:pPr>
        <w:pStyle w:val="Heading1"/>
        <w:tabs>
          <w:tab w:val="clear" w:pos="2340"/>
          <w:tab w:val="num" w:pos="1620"/>
        </w:tabs>
        <w:ind w:left="720"/>
        <w:rPr>
          <w:rStyle w:val="Strong"/>
          <w:b/>
          <w:bCs/>
          <w:color w:val="000000" w:themeColor="text1"/>
          <w:lang w:val="en-GB"/>
        </w:rPr>
      </w:pPr>
      <w:hyperlink r:id="rId10" w:history="1">
        <w:bookmarkStart w:id="21" w:name="_Toc339538662"/>
        <w:bookmarkStart w:id="22" w:name="_Toc52186224"/>
        <w:bookmarkStart w:id="23" w:name="_Toc339539117"/>
        <w:bookmarkStart w:id="24" w:name="_Toc21513544"/>
        <w:bookmarkStart w:id="25" w:name="_Toc21514367"/>
        <w:r w:rsidR="00F664B6" w:rsidRPr="00EC4212">
          <w:rPr>
            <w:rStyle w:val="Hyperlink"/>
            <w:color w:val="000000" w:themeColor="text1"/>
            <w:u w:val="none"/>
            <w:lang w:val="en-GB"/>
          </w:rPr>
          <w:t>Determination of</w:t>
        </w:r>
        <w:r w:rsidR="00F664B6" w:rsidRPr="00EC4212">
          <w:rPr>
            <w:rStyle w:val="Hyperlink"/>
            <w:u w:val="none"/>
            <w:lang w:val="en-GB"/>
          </w:rPr>
          <w:t xml:space="preserve"> </w:t>
        </w:r>
        <w:r w:rsidR="00F664B6" w:rsidRPr="00EC4212">
          <w:rPr>
            <w:rStyle w:val="Hyperlink"/>
            <w:color w:val="auto"/>
            <w:u w:val="none"/>
            <w:lang w:val="en-GB"/>
          </w:rPr>
          <w:t>Allowed</w:t>
        </w:r>
        <w:r w:rsidR="00F664B6" w:rsidRPr="00EC4212">
          <w:rPr>
            <w:rStyle w:val="Hyperlink"/>
            <w:u w:val="none"/>
            <w:lang w:val="en-GB"/>
          </w:rPr>
          <w:t xml:space="preserve"> </w:t>
        </w:r>
        <w:r w:rsidR="00F664B6" w:rsidRPr="00EC4212">
          <w:rPr>
            <w:rStyle w:val="Hyperlink"/>
            <w:color w:val="000000" w:themeColor="text1"/>
            <w:u w:val="none"/>
            <w:lang w:val="en-GB"/>
          </w:rPr>
          <w:t>Revenues</w:t>
        </w:r>
        <w:bookmarkEnd w:id="21"/>
        <w:bookmarkEnd w:id="22"/>
        <w:r w:rsidR="00F664B6" w:rsidRPr="00EC4212">
          <w:rPr>
            <w:rStyle w:val="Hyperlink"/>
            <w:lang w:val="en-GB"/>
          </w:rPr>
          <w:t xml:space="preserve"> </w:t>
        </w:r>
        <w:bookmarkEnd w:id="23"/>
        <w:bookmarkEnd w:id="24"/>
        <w:bookmarkEnd w:id="25"/>
      </w:hyperlink>
    </w:p>
    <w:p w:rsidR="00E807F8" w:rsidRPr="00EC4212" w:rsidRDefault="00E807F8" w:rsidP="00E807F8">
      <w:pPr>
        <w:jc w:val="both"/>
        <w:rPr>
          <w:rFonts w:asciiTheme="minorHAnsi" w:hAnsiTheme="minorHAnsi"/>
          <w:sz w:val="22"/>
          <w:szCs w:val="22"/>
          <w:lang w:val="en-GB"/>
        </w:rPr>
      </w:pPr>
    </w:p>
    <w:p w:rsidR="00E807F8" w:rsidRPr="00EC4212" w:rsidRDefault="00E807F8" w:rsidP="00E658BF">
      <w:pPr>
        <w:jc w:val="both"/>
        <w:rPr>
          <w:rFonts w:asciiTheme="minorHAnsi" w:hAnsiTheme="minorHAnsi"/>
          <w:sz w:val="22"/>
          <w:szCs w:val="22"/>
          <w:lang w:val="en-GB"/>
        </w:rPr>
      </w:pPr>
      <w:r w:rsidRPr="00EC4212">
        <w:rPr>
          <w:rFonts w:asciiTheme="minorHAnsi" w:hAnsiTheme="minorHAnsi"/>
          <w:sz w:val="22"/>
          <w:szCs w:val="22"/>
          <w:lang w:val="en-GB"/>
        </w:rPr>
        <w:t>For determination of Allowed Revenues of DH Termokos JSC for the heating season 2020/2021, according to Thermal Energy Pricing Rule, ERO has undertaken the following:</w:t>
      </w:r>
    </w:p>
    <w:p w:rsidR="00E807F8" w:rsidRPr="00EC4212" w:rsidRDefault="00E807F8" w:rsidP="00E658BF">
      <w:pPr>
        <w:jc w:val="both"/>
        <w:rPr>
          <w:rFonts w:asciiTheme="minorHAnsi" w:hAnsiTheme="minorHAnsi"/>
          <w:sz w:val="22"/>
          <w:szCs w:val="22"/>
          <w:lang w:val="en-GB"/>
        </w:rPr>
      </w:pPr>
    </w:p>
    <w:p w:rsidR="00E807F8" w:rsidRPr="00EC4212" w:rsidRDefault="00E807F8" w:rsidP="00E658BF">
      <w:pPr>
        <w:numPr>
          <w:ilvl w:val="0"/>
          <w:numId w:val="5"/>
        </w:numPr>
        <w:tabs>
          <w:tab w:val="clear" w:pos="720"/>
          <w:tab w:val="num" w:pos="360"/>
        </w:tabs>
        <w:ind w:left="360"/>
        <w:jc w:val="both"/>
        <w:rPr>
          <w:rFonts w:asciiTheme="minorHAnsi" w:hAnsiTheme="minorHAnsi"/>
          <w:sz w:val="22"/>
          <w:szCs w:val="22"/>
          <w:lang w:val="en-GB"/>
        </w:rPr>
      </w:pPr>
      <w:r w:rsidRPr="00EC4212">
        <w:rPr>
          <w:rFonts w:asciiTheme="minorHAnsi" w:hAnsiTheme="minorHAnsi"/>
          <w:sz w:val="22"/>
          <w:szCs w:val="22"/>
          <w:lang w:val="en-GB"/>
        </w:rPr>
        <w:t>Evaluation and determination of allowed operational costs;</w:t>
      </w:r>
    </w:p>
    <w:p w:rsidR="00E807F8" w:rsidRPr="00EC4212" w:rsidRDefault="00E807F8" w:rsidP="00E658BF">
      <w:pPr>
        <w:numPr>
          <w:ilvl w:val="0"/>
          <w:numId w:val="5"/>
        </w:numPr>
        <w:tabs>
          <w:tab w:val="clear" w:pos="720"/>
          <w:tab w:val="num" w:pos="360"/>
        </w:tabs>
        <w:ind w:left="360"/>
        <w:jc w:val="both"/>
        <w:rPr>
          <w:rFonts w:asciiTheme="minorHAnsi" w:hAnsiTheme="minorHAnsi"/>
          <w:sz w:val="22"/>
          <w:szCs w:val="22"/>
          <w:lang w:val="en-GB"/>
        </w:rPr>
      </w:pPr>
      <w:r w:rsidRPr="00EC4212">
        <w:rPr>
          <w:rFonts w:asciiTheme="minorHAnsi" w:hAnsiTheme="minorHAnsi"/>
          <w:sz w:val="22"/>
          <w:szCs w:val="22"/>
          <w:lang w:val="en-GB"/>
        </w:rPr>
        <w:t>Evaluation and determination of depreciation;</w:t>
      </w:r>
    </w:p>
    <w:p w:rsidR="00E807F8" w:rsidRPr="00EC4212" w:rsidRDefault="00E807F8" w:rsidP="00E658BF">
      <w:pPr>
        <w:numPr>
          <w:ilvl w:val="0"/>
          <w:numId w:val="5"/>
        </w:numPr>
        <w:tabs>
          <w:tab w:val="clear" w:pos="720"/>
          <w:tab w:val="num" w:pos="360"/>
        </w:tabs>
        <w:ind w:left="360"/>
        <w:jc w:val="both"/>
        <w:rPr>
          <w:rFonts w:asciiTheme="minorHAnsi" w:hAnsiTheme="minorHAnsi"/>
          <w:sz w:val="22"/>
          <w:szCs w:val="22"/>
          <w:lang w:val="en-GB"/>
        </w:rPr>
      </w:pPr>
      <w:r w:rsidRPr="00EC4212">
        <w:rPr>
          <w:rFonts w:asciiTheme="minorHAnsi" w:hAnsiTheme="minorHAnsi"/>
          <w:sz w:val="22"/>
          <w:szCs w:val="22"/>
          <w:lang w:val="en-GB"/>
        </w:rPr>
        <w:t>Determination of Allowed Return on RAB (return on investments), which includes:</w:t>
      </w:r>
    </w:p>
    <w:p w:rsidR="00E807F8" w:rsidRPr="00EC4212" w:rsidRDefault="00E807F8" w:rsidP="00E658BF">
      <w:pPr>
        <w:pStyle w:val="BodyTextIndent2"/>
        <w:numPr>
          <w:ilvl w:val="1"/>
          <w:numId w:val="5"/>
        </w:numPr>
        <w:tabs>
          <w:tab w:val="clear" w:pos="1440"/>
        </w:tabs>
        <w:ind w:left="720"/>
        <w:jc w:val="both"/>
        <w:rPr>
          <w:rFonts w:asciiTheme="minorHAnsi" w:hAnsiTheme="minorHAnsi"/>
          <w:lang w:val="en-GB"/>
        </w:rPr>
      </w:pPr>
      <w:r w:rsidRPr="00EC4212">
        <w:rPr>
          <w:rFonts w:asciiTheme="minorHAnsi" w:hAnsiTheme="minorHAnsi"/>
          <w:lang w:val="en-GB"/>
        </w:rPr>
        <w:t xml:space="preserve">Establishment of the RAB – evaluation and approval of company assets, verification and approval of planned investments and working capital; and  </w:t>
      </w:r>
    </w:p>
    <w:p w:rsidR="00E807F8" w:rsidRPr="00EC4212" w:rsidRDefault="00E807F8" w:rsidP="00E658BF">
      <w:pPr>
        <w:numPr>
          <w:ilvl w:val="1"/>
          <w:numId w:val="5"/>
        </w:numPr>
        <w:tabs>
          <w:tab w:val="clear" w:pos="1440"/>
        </w:tabs>
        <w:ind w:left="720"/>
        <w:jc w:val="both"/>
        <w:rPr>
          <w:rFonts w:asciiTheme="minorHAnsi" w:hAnsiTheme="minorHAnsi"/>
          <w:sz w:val="22"/>
          <w:szCs w:val="22"/>
          <w:lang w:val="en-GB"/>
        </w:rPr>
      </w:pPr>
      <w:r w:rsidRPr="00EC4212">
        <w:rPr>
          <w:rFonts w:asciiTheme="minorHAnsi" w:hAnsiTheme="minorHAnsi"/>
          <w:sz w:val="22"/>
          <w:szCs w:val="22"/>
          <w:lang w:val="en-GB"/>
        </w:rPr>
        <w:t>Calculation of th</w:t>
      </w:r>
      <w:r w:rsidR="00E658BF">
        <w:rPr>
          <w:rFonts w:asciiTheme="minorHAnsi" w:hAnsiTheme="minorHAnsi"/>
          <w:sz w:val="22"/>
          <w:szCs w:val="22"/>
          <w:lang w:val="en-GB"/>
        </w:rPr>
        <w:t>e allowed Rate of Return (RoR)/</w:t>
      </w:r>
      <w:r w:rsidRPr="00EC4212">
        <w:rPr>
          <w:rFonts w:asciiTheme="minorHAnsi" w:hAnsiTheme="minorHAnsi"/>
          <w:sz w:val="22"/>
          <w:szCs w:val="22"/>
          <w:lang w:val="en-GB"/>
        </w:rPr>
        <w:t>WACC;</w:t>
      </w:r>
    </w:p>
    <w:p w:rsidR="00E807F8" w:rsidRPr="00EC4212" w:rsidRDefault="00E807F8" w:rsidP="00E658BF">
      <w:pPr>
        <w:pStyle w:val="ListParagraph"/>
        <w:numPr>
          <w:ilvl w:val="0"/>
          <w:numId w:val="5"/>
        </w:numPr>
        <w:tabs>
          <w:tab w:val="clear" w:pos="720"/>
          <w:tab w:val="num" w:pos="360"/>
        </w:tabs>
        <w:ind w:left="360"/>
        <w:contextualSpacing w:val="0"/>
        <w:jc w:val="both"/>
        <w:rPr>
          <w:rFonts w:asciiTheme="minorHAnsi" w:hAnsiTheme="minorHAnsi"/>
          <w:sz w:val="22"/>
          <w:szCs w:val="22"/>
          <w:lang w:val="en-GB"/>
        </w:rPr>
      </w:pPr>
      <w:r w:rsidRPr="00EC4212">
        <w:rPr>
          <w:rFonts w:asciiTheme="minorHAnsi" w:hAnsiTheme="minorHAnsi"/>
          <w:sz w:val="22"/>
          <w:szCs w:val="22"/>
          <w:lang w:val="en-GB"/>
        </w:rPr>
        <w:t>Evaluation and calculation of the allowed cost for network losses.</w:t>
      </w:r>
    </w:p>
    <w:p w:rsidR="00E807F8" w:rsidRPr="00EC4212" w:rsidRDefault="00E807F8" w:rsidP="00E658BF">
      <w:pPr>
        <w:jc w:val="both"/>
        <w:rPr>
          <w:rFonts w:asciiTheme="minorHAnsi" w:hAnsiTheme="minorHAnsi"/>
          <w:sz w:val="22"/>
          <w:szCs w:val="22"/>
          <w:lang w:val="en-GB"/>
        </w:rPr>
      </w:pPr>
    </w:p>
    <w:p w:rsidR="00E807F8" w:rsidRPr="00EC4212" w:rsidRDefault="00E807F8" w:rsidP="00E658BF">
      <w:pPr>
        <w:jc w:val="both"/>
        <w:rPr>
          <w:rFonts w:asciiTheme="minorHAnsi" w:hAnsiTheme="minorHAnsi"/>
          <w:sz w:val="22"/>
          <w:szCs w:val="22"/>
          <w:lang w:val="en-GB"/>
        </w:rPr>
      </w:pPr>
      <w:r w:rsidRPr="00EC4212">
        <w:rPr>
          <w:rFonts w:asciiTheme="minorHAnsi" w:hAnsiTheme="minorHAnsi"/>
          <w:sz w:val="22"/>
          <w:szCs w:val="22"/>
          <w:lang w:val="en-GB"/>
        </w:rPr>
        <w:t>In determining the Allowed Revenues, ERO has taken into consideration the following:</w:t>
      </w:r>
    </w:p>
    <w:p w:rsidR="00E807F8" w:rsidRPr="00EC4212" w:rsidRDefault="00E807F8" w:rsidP="00E658BF">
      <w:pPr>
        <w:jc w:val="both"/>
        <w:rPr>
          <w:rFonts w:asciiTheme="minorHAnsi" w:hAnsiTheme="minorHAnsi"/>
          <w:sz w:val="22"/>
          <w:szCs w:val="22"/>
          <w:lang w:val="en-GB"/>
        </w:rPr>
      </w:pPr>
    </w:p>
    <w:p w:rsidR="00E807F8" w:rsidRPr="00E658BF" w:rsidRDefault="00E807F8" w:rsidP="00E658BF">
      <w:pPr>
        <w:pStyle w:val="ListParagraph"/>
        <w:numPr>
          <w:ilvl w:val="0"/>
          <w:numId w:val="6"/>
        </w:numPr>
        <w:tabs>
          <w:tab w:val="clear" w:pos="720"/>
        </w:tabs>
        <w:ind w:left="360"/>
        <w:jc w:val="both"/>
        <w:rPr>
          <w:rFonts w:asciiTheme="minorHAnsi" w:hAnsiTheme="minorHAnsi"/>
          <w:sz w:val="22"/>
          <w:szCs w:val="22"/>
          <w:lang w:val="en-GB"/>
        </w:rPr>
      </w:pPr>
      <w:r w:rsidRPr="00E658BF">
        <w:rPr>
          <w:rFonts w:asciiTheme="minorHAnsi" w:hAnsiTheme="minorHAnsi"/>
          <w:sz w:val="22"/>
          <w:szCs w:val="22"/>
          <w:lang w:val="en-GB"/>
        </w:rPr>
        <w:t>Information provided by DH Termokos in its application for tariffs for the heating season 2020/2021</w:t>
      </w:r>
      <w:r w:rsidR="00E658BF">
        <w:rPr>
          <w:rFonts w:asciiTheme="minorHAnsi" w:hAnsiTheme="minorHAnsi"/>
          <w:sz w:val="22"/>
          <w:szCs w:val="22"/>
          <w:lang w:val="en-GB"/>
        </w:rPr>
        <w:t xml:space="preserve"> </w:t>
      </w:r>
      <w:r w:rsidRPr="00E658BF">
        <w:rPr>
          <w:rFonts w:asciiTheme="minorHAnsi" w:hAnsiTheme="minorHAnsi"/>
          <w:sz w:val="22"/>
          <w:szCs w:val="22"/>
          <w:lang w:val="en-GB"/>
        </w:rPr>
        <w:t>- information regarding estimated revenues from heat</w:t>
      </w:r>
      <w:r w:rsidR="00F80936">
        <w:rPr>
          <w:rFonts w:asciiTheme="minorHAnsi" w:hAnsiTheme="minorHAnsi"/>
          <w:sz w:val="22"/>
          <w:szCs w:val="22"/>
          <w:lang w:val="en-GB"/>
        </w:rPr>
        <w:t>-</w:t>
      </w:r>
      <w:r w:rsidRPr="00E658BF">
        <w:rPr>
          <w:rFonts w:asciiTheme="minorHAnsi" w:hAnsiTheme="minorHAnsi"/>
          <w:sz w:val="22"/>
          <w:szCs w:val="22"/>
          <w:lang w:val="en-GB"/>
        </w:rPr>
        <w:t xml:space="preserve">related services, forecasted total costs, forecasted assets and </w:t>
      </w:r>
      <w:r w:rsidR="00E658BF" w:rsidRPr="00E658BF">
        <w:rPr>
          <w:rFonts w:asciiTheme="minorHAnsi" w:hAnsiTheme="minorHAnsi"/>
          <w:sz w:val="22"/>
          <w:szCs w:val="22"/>
          <w:lang w:val="en-GB"/>
        </w:rPr>
        <w:t>planned</w:t>
      </w:r>
      <w:r w:rsidRPr="00E658BF">
        <w:rPr>
          <w:rFonts w:asciiTheme="minorHAnsi" w:hAnsiTheme="minorHAnsi"/>
          <w:sz w:val="22"/>
          <w:szCs w:val="22"/>
          <w:lang w:val="en-GB"/>
        </w:rPr>
        <w:t xml:space="preserve"> investments and forecasted heat production and supply, as well as forecasted heating area;</w:t>
      </w:r>
    </w:p>
    <w:p w:rsidR="00E807F8" w:rsidRPr="00EC4212" w:rsidRDefault="00E807F8" w:rsidP="00E658BF">
      <w:pPr>
        <w:numPr>
          <w:ilvl w:val="0"/>
          <w:numId w:val="6"/>
        </w:numPr>
        <w:ind w:left="360"/>
        <w:jc w:val="both"/>
        <w:rPr>
          <w:rFonts w:asciiTheme="minorHAnsi" w:hAnsiTheme="minorHAnsi"/>
          <w:sz w:val="22"/>
          <w:szCs w:val="22"/>
          <w:lang w:val="en-GB"/>
        </w:rPr>
      </w:pPr>
      <w:r w:rsidRPr="00EC4212">
        <w:rPr>
          <w:rFonts w:asciiTheme="minorHAnsi" w:hAnsiTheme="minorHAnsi"/>
          <w:sz w:val="22"/>
          <w:szCs w:val="22"/>
          <w:lang w:val="en-GB"/>
        </w:rPr>
        <w:t>Information provided by DH Termokos in its regulatory reporting</w:t>
      </w:r>
      <w:r w:rsidR="00E658BF">
        <w:rPr>
          <w:rFonts w:asciiTheme="minorHAnsi" w:hAnsiTheme="minorHAnsi"/>
          <w:sz w:val="22"/>
          <w:szCs w:val="22"/>
          <w:lang w:val="en-GB"/>
        </w:rPr>
        <w:t xml:space="preserve"> </w:t>
      </w:r>
      <w:r w:rsidRPr="00EC4212">
        <w:rPr>
          <w:rFonts w:asciiTheme="minorHAnsi" w:hAnsiTheme="minorHAnsi"/>
          <w:sz w:val="22"/>
          <w:szCs w:val="22"/>
          <w:lang w:val="en-GB"/>
        </w:rPr>
        <w:t>- costs and revenues, assets/investment, as well as technical and customers information, that has actually taken place in the previous season 2019/2020;</w:t>
      </w:r>
    </w:p>
    <w:p w:rsidR="00E807F8" w:rsidRPr="00EC4212" w:rsidRDefault="00E807F8" w:rsidP="00E658BF">
      <w:pPr>
        <w:numPr>
          <w:ilvl w:val="0"/>
          <w:numId w:val="6"/>
        </w:numPr>
        <w:ind w:left="360"/>
        <w:jc w:val="both"/>
        <w:rPr>
          <w:rFonts w:asciiTheme="minorHAnsi" w:hAnsiTheme="minorHAnsi"/>
          <w:sz w:val="22"/>
          <w:szCs w:val="22"/>
          <w:lang w:val="en-GB"/>
        </w:rPr>
      </w:pPr>
      <w:r w:rsidRPr="00EC4212">
        <w:rPr>
          <w:rFonts w:asciiTheme="minorHAnsi" w:hAnsiTheme="minorHAnsi"/>
          <w:sz w:val="22"/>
          <w:szCs w:val="22"/>
          <w:lang w:val="en-GB"/>
        </w:rPr>
        <w:t>Information that ERO possesses from tariff reviews and monitoring of realizations and performance of previous seasons/years.</w:t>
      </w:r>
    </w:p>
    <w:p w:rsidR="003A13BC" w:rsidRPr="00EC4212" w:rsidRDefault="003A13BC" w:rsidP="00E807F8">
      <w:pPr>
        <w:jc w:val="both"/>
        <w:rPr>
          <w:rFonts w:asciiTheme="minorHAnsi" w:hAnsiTheme="minorHAnsi"/>
          <w:sz w:val="22"/>
          <w:szCs w:val="22"/>
          <w:lang w:val="en-GB"/>
        </w:rPr>
      </w:pPr>
    </w:p>
    <w:p w:rsidR="00E807F8" w:rsidRPr="00EC4212" w:rsidRDefault="00E807F8" w:rsidP="00E807F8">
      <w:pPr>
        <w:jc w:val="both"/>
        <w:rPr>
          <w:rFonts w:asciiTheme="minorHAnsi" w:hAnsiTheme="minorHAnsi"/>
          <w:sz w:val="22"/>
          <w:szCs w:val="22"/>
          <w:lang w:val="en-GB"/>
        </w:rPr>
      </w:pPr>
      <w:r w:rsidRPr="0032194A">
        <w:rPr>
          <w:rFonts w:asciiTheme="minorHAnsi" w:hAnsiTheme="minorHAnsi"/>
          <w:sz w:val="22"/>
          <w:szCs w:val="22"/>
          <w:lang w:val="en-GB"/>
        </w:rPr>
        <w:lastRenderedPageBreak/>
        <w:t xml:space="preserve">Knowing that forecasted information is the key to </w:t>
      </w:r>
      <w:r w:rsidR="00F80936">
        <w:rPr>
          <w:rFonts w:asciiTheme="minorHAnsi" w:hAnsiTheme="minorHAnsi"/>
          <w:sz w:val="22"/>
          <w:szCs w:val="22"/>
          <w:lang w:val="en-GB"/>
        </w:rPr>
        <w:t xml:space="preserve">the </w:t>
      </w:r>
      <w:r w:rsidRPr="0032194A">
        <w:rPr>
          <w:rFonts w:asciiTheme="minorHAnsi" w:hAnsiTheme="minorHAnsi"/>
          <w:sz w:val="22"/>
          <w:szCs w:val="22"/>
          <w:lang w:val="en-GB"/>
        </w:rPr>
        <w:t>determination of allowed revenues, it should be</w:t>
      </w:r>
      <w:r w:rsidRPr="00EC4212">
        <w:rPr>
          <w:rFonts w:asciiTheme="minorHAnsi" w:hAnsiTheme="minorHAnsi"/>
          <w:sz w:val="22"/>
          <w:szCs w:val="22"/>
          <w:lang w:val="en-GB"/>
        </w:rPr>
        <w:t xml:space="preserve"> reliable and realistic.  Generally, in forecasting/planning the business a realistic approach should be applied, followed by a comprehensive assessment of multiple factors affecting the business; </w:t>
      </w:r>
      <w:r w:rsidR="0032194A" w:rsidRPr="00EC4212">
        <w:rPr>
          <w:rFonts w:asciiTheme="minorHAnsi" w:hAnsiTheme="minorHAnsi"/>
          <w:sz w:val="22"/>
          <w:szCs w:val="22"/>
          <w:lang w:val="en-GB"/>
        </w:rPr>
        <w:t>i.e.</w:t>
      </w:r>
      <w:r w:rsidRPr="00EC4212">
        <w:rPr>
          <w:rFonts w:asciiTheme="minorHAnsi" w:hAnsiTheme="minorHAnsi"/>
          <w:sz w:val="22"/>
          <w:szCs w:val="22"/>
          <w:lang w:val="en-GB"/>
        </w:rPr>
        <w:t xml:space="preserve"> assessment of the market and forecasting the expansion of customer base, assessment of production/supply capabilities and financial capabilities of the company.  Of course, the proper forecasting/planning has to be based on the past data that the company has realized during a certain period.</w:t>
      </w:r>
    </w:p>
    <w:p w:rsidR="00E807F8" w:rsidRPr="00EC4212" w:rsidRDefault="00E807F8" w:rsidP="00E807F8">
      <w:pPr>
        <w:jc w:val="both"/>
        <w:rPr>
          <w:rFonts w:asciiTheme="minorHAnsi" w:hAnsiTheme="minorHAnsi"/>
          <w:sz w:val="22"/>
          <w:szCs w:val="22"/>
          <w:lang w:val="en-GB"/>
        </w:rPr>
      </w:pPr>
      <w:r w:rsidRPr="00EC4212">
        <w:rPr>
          <w:rFonts w:asciiTheme="minorHAnsi" w:hAnsiTheme="minorHAnsi"/>
          <w:sz w:val="22"/>
          <w:szCs w:val="22"/>
          <w:lang w:val="en-GB"/>
        </w:rPr>
        <w:t xml:space="preserve">   </w:t>
      </w:r>
    </w:p>
    <w:p w:rsidR="00E807F8" w:rsidRPr="00EC4212" w:rsidRDefault="00E807F8" w:rsidP="00E807F8">
      <w:pPr>
        <w:jc w:val="both"/>
        <w:rPr>
          <w:rFonts w:asciiTheme="minorHAnsi" w:hAnsiTheme="minorHAnsi"/>
          <w:sz w:val="22"/>
          <w:szCs w:val="22"/>
          <w:lang w:val="en-GB"/>
        </w:rPr>
      </w:pPr>
      <w:r w:rsidRPr="00EC4212">
        <w:rPr>
          <w:rFonts w:asciiTheme="minorHAnsi" w:hAnsiTheme="minorHAnsi"/>
          <w:sz w:val="22"/>
          <w:szCs w:val="22"/>
          <w:lang w:val="en-GB"/>
        </w:rPr>
        <w:t>It must be noted here that DH Termokos’ tariff application was quite detailed and complete.</w:t>
      </w:r>
      <w:r w:rsidRPr="00EC4212">
        <w:rPr>
          <w:rFonts w:asciiTheme="minorHAnsi" w:hAnsiTheme="minorHAnsi"/>
          <w:sz w:val="22"/>
          <w:szCs w:val="22"/>
          <w:lang w:val="en-GB"/>
        </w:rPr>
        <w:cr/>
      </w:r>
      <w:r w:rsidRPr="00EC4212">
        <w:rPr>
          <w:rFonts w:asciiTheme="minorHAnsi" w:hAnsiTheme="minorHAnsi"/>
          <w:sz w:val="22"/>
          <w:szCs w:val="22"/>
          <w:lang w:val="en-GB"/>
        </w:rPr>
        <w:br/>
        <w:t xml:space="preserve"> However, inaccuracies, </w:t>
      </w:r>
      <w:r w:rsidR="0032194A" w:rsidRPr="00EC4212">
        <w:rPr>
          <w:rFonts w:asciiTheme="minorHAnsi" w:hAnsiTheme="minorHAnsi"/>
          <w:sz w:val="22"/>
          <w:szCs w:val="22"/>
          <w:lang w:val="en-GB"/>
        </w:rPr>
        <w:t>noncompliance</w:t>
      </w:r>
      <w:r w:rsidRPr="00EC4212">
        <w:rPr>
          <w:rFonts w:asciiTheme="minorHAnsi" w:hAnsiTheme="minorHAnsi"/>
          <w:sz w:val="22"/>
          <w:szCs w:val="22"/>
          <w:lang w:val="en-GB"/>
        </w:rPr>
        <w:t xml:space="preserve"> and inconsistencies were noticed in some of the data and information contained in the application, which were improved, clarified and supplemented after the ERO comments and the joint meetings </w:t>
      </w:r>
      <w:r w:rsidR="0032194A">
        <w:rPr>
          <w:rFonts w:asciiTheme="minorHAnsi" w:hAnsiTheme="minorHAnsi"/>
          <w:sz w:val="22"/>
          <w:szCs w:val="22"/>
          <w:lang w:val="en-GB"/>
        </w:rPr>
        <w:t xml:space="preserve">between ERO and </w:t>
      </w:r>
      <w:r w:rsidRPr="00EC4212">
        <w:rPr>
          <w:rFonts w:asciiTheme="minorHAnsi" w:hAnsiTheme="minorHAnsi"/>
          <w:sz w:val="22"/>
          <w:szCs w:val="22"/>
          <w:lang w:val="en-GB"/>
        </w:rPr>
        <w:t xml:space="preserve">DH Termokos. </w:t>
      </w:r>
    </w:p>
    <w:p w:rsidR="00E807F8" w:rsidRPr="00EC4212" w:rsidRDefault="00E807F8" w:rsidP="00E807F8">
      <w:pPr>
        <w:jc w:val="both"/>
        <w:rPr>
          <w:rFonts w:asciiTheme="minorHAnsi" w:hAnsiTheme="minorHAnsi"/>
          <w:sz w:val="22"/>
          <w:szCs w:val="22"/>
          <w:lang w:val="en-GB"/>
        </w:rPr>
      </w:pPr>
    </w:p>
    <w:p w:rsidR="00E807F8" w:rsidRPr="00EC4212" w:rsidRDefault="00E807F8" w:rsidP="00E807F8">
      <w:pPr>
        <w:jc w:val="both"/>
        <w:rPr>
          <w:rFonts w:asciiTheme="minorHAnsi" w:hAnsiTheme="minorHAnsi"/>
          <w:sz w:val="22"/>
          <w:szCs w:val="22"/>
          <w:lang w:val="en-GB"/>
        </w:rPr>
      </w:pPr>
      <w:r w:rsidRPr="00EC4212">
        <w:rPr>
          <w:rFonts w:asciiTheme="minorHAnsi" w:hAnsiTheme="minorHAnsi"/>
          <w:sz w:val="22"/>
          <w:szCs w:val="22"/>
          <w:lang w:val="en-GB"/>
        </w:rPr>
        <w:t>In fact, as far as foreca</w:t>
      </w:r>
      <w:r w:rsidR="0032194A">
        <w:rPr>
          <w:rFonts w:asciiTheme="minorHAnsi" w:hAnsiTheme="minorHAnsi"/>
          <w:sz w:val="22"/>
          <w:szCs w:val="22"/>
          <w:lang w:val="en-GB"/>
        </w:rPr>
        <w:t>sted information is concerned (</w:t>
      </w:r>
      <w:r w:rsidRPr="00EC4212">
        <w:rPr>
          <w:rFonts w:asciiTheme="minorHAnsi" w:hAnsiTheme="minorHAnsi"/>
          <w:sz w:val="22"/>
          <w:szCs w:val="22"/>
          <w:lang w:val="en-GB"/>
        </w:rPr>
        <w:t xml:space="preserve">as stipulated in Annex 4 of Thermal Energy Pricing Rule), DH Termokos has submitted to ERO, the statements/spreadsheet consisting of forecasted income and costs, technical and customer data, operational assets and forecasted investments for one year period covering full district heating season: 15 October 2020 - 14 October 2021. While as supporting documents it has submitted: i) Auditor's Report and Statutory Financial Statements for 2019; ii) </w:t>
      </w:r>
      <w:r w:rsidRPr="00EC4212">
        <w:rPr>
          <w:rFonts w:asciiTheme="minorHAnsi" w:hAnsiTheme="minorHAnsi"/>
          <w:bCs/>
          <w:sz w:val="22"/>
          <w:szCs w:val="22"/>
          <w:lang w:val="en-GB"/>
        </w:rPr>
        <w:t>Consumption measurements recorded in the previous season according to the List of substations - data on heating areas and relevant capacities, as well as other technical data</w:t>
      </w:r>
      <w:r w:rsidRPr="00EC4212">
        <w:rPr>
          <w:rFonts w:asciiTheme="minorHAnsi" w:hAnsiTheme="minorHAnsi"/>
          <w:sz w:val="22"/>
          <w:szCs w:val="22"/>
          <w:lang w:val="en-GB"/>
        </w:rPr>
        <w:t xml:space="preserve">; ii) </w:t>
      </w:r>
      <w:r w:rsidRPr="00EC4212">
        <w:rPr>
          <w:rFonts w:asciiTheme="minorHAnsi" w:hAnsiTheme="minorHAnsi"/>
          <w:bCs/>
          <w:sz w:val="22"/>
          <w:szCs w:val="22"/>
          <w:lang w:val="en-GB"/>
        </w:rPr>
        <w:t xml:space="preserve">Asset list - detailed data on fixed assets where initial value (acquisition), accumulated depreciation and </w:t>
      </w:r>
      <w:r w:rsidR="00F80936">
        <w:rPr>
          <w:rFonts w:asciiTheme="minorHAnsi" w:hAnsiTheme="minorHAnsi"/>
          <w:bCs/>
          <w:sz w:val="22"/>
          <w:szCs w:val="22"/>
          <w:lang w:val="en-GB"/>
        </w:rPr>
        <w:t xml:space="preserve">the </w:t>
      </w:r>
      <w:r w:rsidRPr="00EC4212">
        <w:rPr>
          <w:rFonts w:asciiTheme="minorHAnsi" w:hAnsiTheme="minorHAnsi"/>
          <w:bCs/>
          <w:sz w:val="22"/>
          <w:szCs w:val="22"/>
          <w:lang w:val="en-GB"/>
        </w:rPr>
        <w:t>present value of assets are given (submitted</w:t>
      </w:r>
      <w:r w:rsidRPr="00EC4212">
        <w:rPr>
          <w:rFonts w:asciiTheme="minorHAnsi" w:hAnsiTheme="minorHAnsi"/>
          <w:sz w:val="22"/>
          <w:szCs w:val="22"/>
          <w:lang w:val="en-GB"/>
        </w:rPr>
        <w:t xml:space="preserve"> in regular annual/seasonal reporting); iii) Investment Planning in </w:t>
      </w:r>
      <w:r w:rsidR="00F80936">
        <w:rPr>
          <w:rFonts w:asciiTheme="minorHAnsi" w:hAnsiTheme="minorHAnsi"/>
          <w:sz w:val="22"/>
          <w:szCs w:val="22"/>
          <w:lang w:val="en-GB"/>
        </w:rPr>
        <w:t>one year</w:t>
      </w:r>
      <w:r w:rsidRPr="00EC4212">
        <w:rPr>
          <w:rFonts w:asciiTheme="minorHAnsi" w:hAnsiTheme="minorHAnsi"/>
          <w:sz w:val="22"/>
          <w:szCs w:val="22"/>
          <w:lang w:val="en-GB"/>
        </w:rPr>
        <w:t xml:space="preserve"> that includes </w:t>
      </w:r>
      <w:r w:rsidR="0032194A">
        <w:rPr>
          <w:rFonts w:asciiTheme="minorHAnsi" w:hAnsiTheme="minorHAnsi"/>
          <w:sz w:val="22"/>
          <w:szCs w:val="22"/>
          <w:lang w:val="en-GB"/>
        </w:rPr>
        <w:t xml:space="preserve">the </w:t>
      </w:r>
      <w:r w:rsidR="0032194A" w:rsidRPr="00EC4212">
        <w:rPr>
          <w:rFonts w:asciiTheme="minorHAnsi" w:hAnsiTheme="minorHAnsi"/>
          <w:sz w:val="22"/>
          <w:szCs w:val="22"/>
          <w:lang w:val="en-GB"/>
        </w:rPr>
        <w:t xml:space="preserve">season </w:t>
      </w:r>
      <w:r w:rsidRPr="00EC4212">
        <w:rPr>
          <w:rFonts w:asciiTheme="minorHAnsi" w:hAnsiTheme="minorHAnsi"/>
          <w:sz w:val="22"/>
          <w:szCs w:val="22"/>
          <w:lang w:val="en-GB"/>
        </w:rPr>
        <w:t xml:space="preserve">2020/21; iv) Plans for new connections for </w:t>
      </w:r>
      <w:r w:rsidR="0032194A">
        <w:rPr>
          <w:rFonts w:asciiTheme="minorHAnsi" w:hAnsiTheme="minorHAnsi"/>
          <w:sz w:val="22"/>
          <w:szCs w:val="22"/>
          <w:lang w:val="en-GB"/>
        </w:rPr>
        <w:t xml:space="preserve">the </w:t>
      </w:r>
      <w:r w:rsidR="0032194A" w:rsidRPr="00EC4212">
        <w:rPr>
          <w:rFonts w:asciiTheme="minorHAnsi" w:hAnsiTheme="minorHAnsi"/>
          <w:sz w:val="22"/>
          <w:szCs w:val="22"/>
          <w:lang w:val="en-GB"/>
        </w:rPr>
        <w:t xml:space="preserve">season </w:t>
      </w:r>
      <w:r w:rsidRPr="00EC4212">
        <w:rPr>
          <w:rFonts w:asciiTheme="minorHAnsi" w:hAnsiTheme="minorHAnsi"/>
          <w:sz w:val="22"/>
          <w:szCs w:val="22"/>
          <w:lang w:val="en-GB"/>
        </w:rPr>
        <w:t xml:space="preserve">2020/2021; v) Customer billing plans based on metered supply/consumption; vi) Recorded measurements for thermal energy produced by co-generation (submitted in regular annual/seasonal reports and vii) </w:t>
      </w:r>
      <w:r w:rsidRPr="00EC4212">
        <w:rPr>
          <w:rFonts w:asciiTheme="minorHAnsi" w:hAnsiTheme="minorHAnsi"/>
          <w:bCs/>
          <w:sz w:val="22"/>
          <w:szCs w:val="22"/>
          <w:lang w:val="en-GB"/>
        </w:rPr>
        <w:t>Projected data for customer billing 2020/2021 based on realizations - consumption measurement and heating area of customers in the past season</w:t>
      </w:r>
      <w:r w:rsidR="0032194A">
        <w:rPr>
          <w:rFonts w:asciiTheme="minorHAnsi" w:hAnsiTheme="minorHAnsi"/>
          <w:bCs/>
          <w:sz w:val="22"/>
          <w:szCs w:val="22"/>
          <w:lang w:val="en-GB"/>
        </w:rPr>
        <w:t xml:space="preserve"> </w:t>
      </w:r>
      <w:r w:rsidRPr="00EC4212">
        <w:rPr>
          <w:rFonts w:asciiTheme="minorHAnsi" w:hAnsiTheme="minorHAnsi"/>
          <w:bCs/>
          <w:sz w:val="22"/>
          <w:szCs w:val="22"/>
          <w:lang w:val="en-GB"/>
        </w:rPr>
        <w:t>2018/2019, as well as plans for new connections, respectively expansion of the heating area of customers</w:t>
      </w:r>
      <w:r w:rsidRPr="00EC4212">
        <w:rPr>
          <w:rFonts w:asciiTheme="minorHAnsi" w:hAnsiTheme="minorHAnsi"/>
          <w:bCs/>
          <w:szCs w:val="22"/>
          <w:lang w:val="en-GB"/>
        </w:rPr>
        <w:t>.</w:t>
      </w:r>
      <w:r w:rsidRPr="00EC4212">
        <w:rPr>
          <w:rFonts w:asciiTheme="minorHAnsi" w:hAnsiTheme="minorHAnsi"/>
          <w:sz w:val="22"/>
          <w:szCs w:val="22"/>
          <w:lang w:val="en-GB"/>
        </w:rPr>
        <w:t xml:space="preserve"> </w:t>
      </w:r>
    </w:p>
    <w:p w:rsidR="00E807F8" w:rsidRPr="00EC4212" w:rsidRDefault="00E807F8" w:rsidP="00E807F8">
      <w:pPr>
        <w:jc w:val="both"/>
        <w:rPr>
          <w:rFonts w:asciiTheme="minorHAnsi" w:hAnsiTheme="minorHAnsi"/>
          <w:sz w:val="22"/>
          <w:szCs w:val="22"/>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 xml:space="preserve">ERO has made efforts and has engaged the expertise available to make a realistic evaluation of the forecasted information submitted by Termokos. It made a comprehensive analysis and evaluation of the information presented, followed by a comparison of data from past seasons, in order to make an accurate determination (forecasting) of allowed revenues for the coming season 2020/2021. </w:t>
      </w:r>
    </w:p>
    <w:p w:rsidR="00E807F8" w:rsidRPr="00EC4212" w:rsidRDefault="00E807F8" w:rsidP="004D35CB">
      <w:pPr>
        <w:pStyle w:val="Heading2"/>
        <w:numPr>
          <w:ilvl w:val="0"/>
          <w:numId w:val="0"/>
        </w:numPr>
        <w:spacing w:after="120"/>
        <w:ind w:left="720"/>
        <w:rPr>
          <w:lang w:val="en-GB"/>
        </w:rPr>
      </w:pPr>
    </w:p>
    <w:p w:rsidR="00E807F8" w:rsidRPr="00EC4212" w:rsidRDefault="00E807F8" w:rsidP="00F53E76">
      <w:pPr>
        <w:pStyle w:val="Heading2"/>
        <w:rPr>
          <w:color w:val="000000" w:themeColor="text1"/>
          <w:lang w:val="en-GB"/>
        </w:rPr>
      </w:pPr>
      <w:bookmarkStart w:id="26" w:name="_Toc339538663"/>
      <w:bookmarkStart w:id="27" w:name="_Toc339539118"/>
      <w:bookmarkStart w:id="28" w:name="_Toc21513545"/>
      <w:bookmarkStart w:id="29" w:name="_Toc21514368"/>
      <w:bookmarkStart w:id="30" w:name="_Toc21514852"/>
      <w:bookmarkStart w:id="31" w:name="_Toc21515552"/>
      <w:bookmarkStart w:id="32" w:name="_Toc52186225"/>
      <w:r w:rsidRPr="00EC4212">
        <w:rPr>
          <w:color w:val="000000" w:themeColor="text1"/>
          <w:lang w:val="en-GB"/>
        </w:rPr>
        <w:t>Evaluation and determination of allowed operational costs</w:t>
      </w:r>
      <w:bookmarkEnd w:id="26"/>
      <w:bookmarkEnd w:id="27"/>
      <w:bookmarkEnd w:id="28"/>
      <w:bookmarkEnd w:id="29"/>
      <w:bookmarkEnd w:id="30"/>
      <w:bookmarkEnd w:id="31"/>
      <w:bookmarkEnd w:id="32"/>
    </w:p>
    <w:p w:rsidR="00E807F8" w:rsidRPr="00EC4212" w:rsidRDefault="00E807F8" w:rsidP="00E807F8">
      <w:pPr>
        <w:jc w:val="both"/>
        <w:rPr>
          <w:rFonts w:asciiTheme="minorHAnsi" w:hAnsiTheme="minorHAnsi"/>
          <w:b/>
          <w:bCs/>
          <w:sz w:val="22"/>
          <w:lang w:val="en-GB"/>
        </w:rPr>
      </w:pPr>
    </w:p>
    <w:p w:rsidR="00E807F8" w:rsidRPr="00EC4212" w:rsidRDefault="00E807F8" w:rsidP="00E807F8">
      <w:pPr>
        <w:jc w:val="both"/>
        <w:rPr>
          <w:rFonts w:asciiTheme="minorHAnsi" w:hAnsiTheme="minorHAnsi"/>
          <w:bCs/>
          <w:sz w:val="22"/>
          <w:lang w:val="en-GB"/>
        </w:rPr>
      </w:pPr>
      <w:r w:rsidRPr="00EC4212">
        <w:rPr>
          <w:rFonts w:asciiTheme="minorHAnsi" w:hAnsiTheme="minorHAnsi"/>
          <w:bCs/>
          <w:sz w:val="22"/>
          <w:lang w:val="en-GB"/>
        </w:rPr>
        <w:t>Operational costs planning submitted by DH Termokos for the period 15 October 2020  -</w:t>
      </w:r>
      <w:r w:rsidR="0032194A">
        <w:rPr>
          <w:rFonts w:asciiTheme="minorHAnsi" w:hAnsiTheme="minorHAnsi"/>
          <w:bCs/>
          <w:sz w:val="22"/>
          <w:lang w:val="en-GB"/>
        </w:rPr>
        <w:t xml:space="preserve"> 14 October 2020</w:t>
      </w:r>
      <w:r w:rsidRPr="00EC4212">
        <w:rPr>
          <w:rFonts w:asciiTheme="minorHAnsi" w:hAnsiTheme="minorHAnsi"/>
          <w:bCs/>
          <w:sz w:val="22"/>
          <w:lang w:val="en-GB"/>
        </w:rPr>
        <w:t>, a period covering full district heating season 2020/2021, are structured as variable and fixed costs which is mainly in compliance with provisions of Thermal Energy Pricing Rule as well as advanced accounting principles and Kosovo Accounting Standards.</w:t>
      </w:r>
      <w:r w:rsidRPr="00EC4212">
        <w:rPr>
          <w:rFonts w:asciiTheme="minorHAnsi" w:hAnsiTheme="minorHAnsi"/>
          <w:bCs/>
          <w:sz w:val="22"/>
          <w:lang w:val="en-GB"/>
        </w:rPr>
        <w:cr/>
      </w:r>
      <w:r w:rsidRPr="00EC4212">
        <w:rPr>
          <w:rFonts w:asciiTheme="minorHAnsi" w:hAnsiTheme="minorHAnsi"/>
          <w:bCs/>
          <w:sz w:val="22"/>
          <w:lang w:val="en-GB"/>
        </w:rPr>
        <w:br/>
        <w:t>In this section will be presented in table all forecasted costs presented by DH Termokos and the allowed operational costs allowed by ERO (Table 1). The table will follow with the analytical explanation of each item of operational costs.</w:t>
      </w:r>
    </w:p>
    <w:p w:rsidR="00E807F8" w:rsidRPr="00EC4212" w:rsidRDefault="00E807F8" w:rsidP="00E807F8">
      <w:pPr>
        <w:ind w:left="900" w:hanging="900"/>
        <w:rPr>
          <w:rFonts w:asciiTheme="minorHAnsi" w:hAnsiTheme="minorHAnsi"/>
          <w:b/>
          <w:bCs/>
          <w:sz w:val="22"/>
          <w:lang w:val="en-GB"/>
        </w:rPr>
      </w:pPr>
    </w:p>
    <w:p w:rsidR="00AD1F56" w:rsidRPr="00EC4212" w:rsidRDefault="00AD1F56" w:rsidP="00E807F8">
      <w:pPr>
        <w:ind w:left="900" w:hanging="900"/>
        <w:rPr>
          <w:rFonts w:asciiTheme="minorHAnsi" w:hAnsiTheme="minorHAnsi"/>
          <w:b/>
          <w:bCs/>
          <w:sz w:val="22"/>
          <w:lang w:val="en-GB"/>
        </w:rPr>
      </w:pPr>
    </w:p>
    <w:p w:rsidR="00E807F8" w:rsidRPr="00EC4212" w:rsidRDefault="00E807F8" w:rsidP="006122E6">
      <w:pPr>
        <w:pStyle w:val="Heading3"/>
        <w:rPr>
          <w:lang w:val="en-GB"/>
        </w:rPr>
      </w:pPr>
      <w:bookmarkStart w:id="33" w:name="_Toc21513177"/>
      <w:bookmarkStart w:id="34" w:name="_Toc21514369"/>
      <w:bookmarkStart w:id="35" w:name="_Toc21514446"/>
      <w:bookmarkStart w:id="36" w:name="_Toc21514853"/>
      <w:bookmarkStart w:id="37" w:name="_Toc21515553"/>
      <w:bookmarkStart w:id="38" w:name="_Toc21521376"/>
      <w:bookmarkStart w:id="39" w:name="_Toc52186226"/>
      <w:r w:rsidRPr="00EC4212">
        <w:rPr>
          <w:lang w:val="en-GB"/>
        </w:rPr>
        <w:lastRenderedPageBreak/>
        <w:t xml:space="preserve">Table </w:t>
      </w:r>
      <w:r w:rsidR="00642719" w:rsidRPr="00EC4212">
        <w:rPr>
          <w:lang w:val="en-GB"/>
        </w:rPr>
        <w:fldChar w:fldCharType="begin"/>
      </w:r>
      <w:r w:rsidRPr="00EC4212">
        <w:rPr>
          <w:lang w:val="en-GB"/>
        </w:rPr>
        <w:instrText xml:space="preserve"> SEQ Tabela \* ARABIC </w:instrText>
      </w:r>
      <w:r w:rsidR="00642719" w:rsidRPr="00EC4212">
        <w:rPr>
          <w:lang w:val="en-GB"/>
        </w:rPr>
        <w:fldChar w:fldCharType="separate"/>
      </w:r>
      <w:r w:rsidR="00923408" w:rsidRPr="00EC4212">
        <w:rPr>
          <w:lang w:val="en-GB"/>
        </w:rPr>
        <w:t>1</w:t>
      </w:r>
      <w:r w:rsidR="00642719" w:rsidRPr="00EC4212">
        <w:rPr>
          <w:lang w:val="en-GB"/>
        </w:rPr>
        <w:fldChar w:fldCharType="end"/>
      </w:r>
      <w:r w:rsidRPr="00EC4212">
        <w:rPr>
          <w:lang w:val="en-GB"/>
        </w:rPr>
        <w:t>: Costs presented by DH Termokos JSC, and those allowed by ERO (In €)</w:t>
      </w:r>
      <w:bookmarkEnd w:id="33"/>
      <w:bookmarkEnd w:id="34"/>
      <w:bookmarkEnd w:id="35"/>
      <w:bookmarkEnd w:id="36"/>
      <w:bookmarkEnd w:id="37"/>
      <w:bookmarkEnd w:id="38"/>
      <w:bookmarkEnd w:id="39"/>
    </w:p>
    <w:p w:rsidR="00E807F8" w:rsidRPr="00EC4212" w:rsidRDefault="00F1737B" w:rsidP="00643023">
      <w:pPr>
        <w:ind w:left="630" w:hanging="900"/>
        <w:jc w:val="center"/>
        <w:rPr>
          <w:rFonts w:asciiTheme="minorHAnsi" w:hAnsiTheme="minorHAnsi"/>
          <w:b/>
          <w:bCs/>
          <w:sz w:val="22"/>
          <w:lang w:val="en-GB"/>
        </w:rPr>
      </w:pPr>
      <w:r w:rsidRPr="00EC4212">
        <w:rPr>
          <w:noProof/>
          <w:lang w:val="en-GB"/>
        </w:rPr>
        <w:t xml:space="preserve"> </w:t>
      </w:r>
      <w:r w:rsidR="00643023">
        <w:rPr>
          <w:rFonts w:eastAsiaTheme="minorEastAsia"/>
          <w:noProof/>
          <w:lang w:val="sq-AL" w:eastAsia="sq-AL"/>
        </w:rPr>
        <mc:AlternateContent>
          <mc:Choice Requires="wps">
            <w:drawing>
              <wp:anchor distT="0" distB="0" distL="114300" distR="114300" simplePos="0" relativeHeight="251658240" behindDoc="1" locked="0" layoutInCell="1" allowOverlap="1">
                <wp:simplePos x="0" y="0"/>
                <wp:positionH relativeFrom="page">
                  <wp:posOffset>1470991</wp:posOffset>
                </wp:positionH>
                <wp:positionV relativeFrom="page">
                  <wp:posOffset>1463040</wp:posOffset>
                </wp:positionV>
                <wp:extent cx="4387850" cy="394970"/>
                <wp:effectExtent l="4445" t="4445"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023" w:rsidRDefault="00643023" w:rsidP="00643023">
                            <w:pPr>
                              <w:tabs>
                                <w:tab w:val="left" w:pos="5561"/>
                              </w:tabs>
                              <w:spacing w:before="18" w:line="283" w:lineRule="auto"/>
                              <w:ind w:left="5576" w:right="171" w:hanging="5121"/>
                              <w:rPr>
                                <w:rFonts w:ascii="Calibri" w:eastAsia="Calibri" w:hAnsi="Calibri" w:cs="Calibri"/>
                                <w:sz w:val="19"/>
                                <w:szCs w:val="19"/>
                              </w:rPr>
                            </w:pPr>
                            <w:r>
                              <w:rPr>
                                <w:rFonts w:ascii="Calibri"/>
                                <w:b/>
                                <w:spacing w:val="2"/>
                              </w:rPr>
                              <w:t xml:space="preserve">Operational costs </w:t>
                            </w:r>
                            <w:r>
                              <w:rPr>
                                <w:rFonts w:ascii="Calibri"/>
                                <w:b/>
                                <w:spacing w:val="2"/>
                              </w:rPr>
                              <w:t>–</w:t>
                            </w:r>
                            <w:r>
                              <w:rPr>
                                <w:rFonts w:ascii="Calibri"/>
                                <w:b/>
                                <w:spacing w:val="2"/>
                              </w:rPr>
                              <w:t xml:space="preserve"> DH Termokos - season</w:t>
                            </w:r>
                            <w:r>
                              <w:rPr>
                                <w:rFonts w:ascii="Calibri"/>
                                <w:b/>
                                <w:spacing w:val="-2"/>
                              </w:rPr>
                              <w:t xml:space="preserve"> 2020/2021</w:t>
                            </w:r>
                            <w:r>
                              <w:rPr>
                                <w:rFonts w:ascii="Calibri"/>
                                <w:b/>
                                <w:spacing w:val="-2"/>
                              </w:rPr>
                              <w:tab/>
                            </w:r>
                            <w:r>
                              <w:rPr>
                                <w:rFonts w:ascii="Calibri"/>
                                <w:b/>
                                <w:spacing w:val="-1"/>
                                <w:sz w:val="19"/>
                              </w:rPr>
                              <w:t>Proposed by</w:t>
                            </w:r>
                            <w:r>
                              <w:rPr>
                                <w:rFonts w:ascii="Calibri"/>
                                <w:b/>
                                <w:spacing w:val="29"/>
                                <w:sz w:val="19"/>
                              </w:rPr>
                              <w:t xml:space="preserve"> </w:t>
                            </w:r>
                            <w:r>
                              <w:rPr>
                                <w:rFonts w:ascii="Calibri"/>
                                <w:b/>
                                <w:spacing w:val="-1"/>
                                <w:sz w:val="19"/>
                              </w:rPr>
                              <w:t xml:space="preserve">DH </w:t>
                            </w:r>
                            <w:r>
                              <w:rPr>
                                <w:rFonts w:ascii="Calibri"/>
                                <w:b/>
                                <w:sz w:val="19"/>
                              </w:rPr>
                              <w:t>Termokos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5.85pt;margin-top:115.2pt;width:345.5pt;height:3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PrgIAAKs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" filled="f" stroked="f">
                <v:textbox inset="0,0,0,0">
                  <w:txbxContent>
                    <w:p w:rsidR="00643023" w:rsidRDefault="00643023" w:rsidP="00643023">
                      <w:pPr>
                        <w:tabs>
                          <w:tab w:val="left" w:pos="5561"/>
                        </w:tabs>
                        <w:spacing w:before="18" w:line="283" w:lineRule="auto"/>
                        <w:ind w:left="5576" w:right="171" w:hanging="5121"/>
                        <w:rPr>
                          <w:rFonts w:ascii="Calibri" w:eastAsia="Calibri" w:hAnsi="Calibri" w:cs="Calibri"/>
                          <w:sz w:val="19"/>
                          <w:szCs w:val="19"/>
                        </w:rPr>
                      </w:pPr>
                      <w:r>
                        <w:rPr>
                          <w:rFonts w:ascii="Calibri"/>
                          <w:b/>
                          <w:spacing w:val="2"/>
                        </w:rPr>
                        <w:t xml:space="preserve">Operational costs </w:t>
                      </w:r>
                      <w:r>
                        <w:rPr>
                          <w:rFonts w:ascii="Calibri"/>
                          <w:b/>
                          <w:spacing w:val="2"/>
                        </w:rPr>
                        <w:t>–</w:t>
                      </w:r>
                      <w:r>
                        <w:rPr>
                          <w:rFonts w:ascii="Calibri"/>
                          <w:b/>
                          <w:spacing w:val="2"/>
                        </w:rPr>
                        <w:t xml:space="preserve"> DH Termokos - season</w:t>
                      </w:r>
                      <w:r>
                        <w:rPr>
                          <w:rFonts w:ascii="Calibri"/>
                          <w:b/>
                          <w:spacing w:val="-2"/>
                        </w:rPr>
                        <w:t xml:space="preserve"> 2020/2021</w:t>
                      </w:r>
                      <w:r>
                        <w:rPr>
                          <w:rFonts w:ascii="Calibri"/>
                          <w:b/>
                          <w:spacing w:val="-2"/>
                        </w:rPr>
                        <w:tab/>
                      </w:r>
                      <w:r>
                        <w:rPr>
                          <w:rFonts w:ascii="Calibri"/>
                          <w:b/>
                          <w:spacing w:val="-1"/>
                          <w:sz w:val="19"/>
                        </w:rPr>
                        <w:t>Proposed by</w:t>
                      </w:r>
                      <w:r>
                        <w:rPr>
                          <w:rFonts w:ascii="Calibri"/>
                          <w:b/>
                          <w:spacing w:val="29"/>
                          <w:sz w:val="19"/>
                        </w:rPr>
                        <w:t xml:space="preserve"> </w:t>
                      </w:r>
                      <w:r>
                        <w:rPr>
                          <w:rFonts w:ascii="Calibri"/>
                          <w:b/>
                          <w:spacing w:val="-1"/>
                          <w:sz w:val="19"/>
                        </w:rPr>
                        <w:t xml:space="preserve">DH </w:t>
                      </w:r>
                      <w:r>
                        <w:rPr>
                          <w:rFonts w:ascii="Calibri"/>
                          <w:b/>
                          <w:sz w:val="19"/>
                        </w:rPr>
                        <w:t>Termokos</w:t>
                      </w:r>
                    </w:p>
                  </w:txbxContent>
                </v:textbox>
                <w10:wrap anchorx="page" anchory="page"/>
              </v:shape>
            </w:pict>
          </mc:Fallback>
        </mc:AlternateContent>
      </w:r>
      <w:r w:rsidR="00643023" w:rsidRPr="00643023">
        <w:rPr>
          <w:noProof/>
          <w:lang w:val="sq-AL" w:eastAsia="sq-AL"/>
        </w:rPr>
        <w:drawing>
          <wp:inline distT="0" distB="0" distL="0" distR="0">
            <wp:extent cx="5761355" cy="4300607"/>
            <wp:effectExtent l="0" t="0" r="0" b="508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00607"/>
                    </a:xfrm>
                    <a:prstGeom prst="rect">
                      <a:avLst/>
                    </a:prstGeom>
                    <a:noFill/>
                    <a:ln>
                      <a:noFill/>
                    </a:ln>
                  </pic:spPr>
                </pic:pic>
              </a:graphicData>
            </a:graphic>
          </wp:inline>
        </w:drawing>
      </w:r>
    </w:p>
    <w:p w:rsidR="00E807F8" w:rsidRPr="00EC4212" w:rsidRDefault="00E807F8" w:rsidP="00E807F8">
      <w:pPr>
        <w:ind w:left="900" w:hanging="900"/>
        <w:rPr>
          <w:rFonts w:asciiTheme="minorHAnsi" w:hAnsiTheme="minorHAnsi"/>
          <w:b/>
          <w:bCs/>
          <w:sz w:val="22"/>
          <w:lang w:val="en-GB"/>
        </w:rPr>
      </w:pPr>
    </w:p>
    <w:p w:rsidR="00234B7D" w:rsidRPr="00EC4212" w:rsidRDefault="00234B7D" w:rsidP="00E807F8">
      <w:pPr>
        <w:ind w:left="900" w:hanging="900"/>
        <w:rPr>
          <w:rFonts w:asciiTheme="minorHAnsi" w:hAnsiTheme="minorHAnsi"/>
          <w:b/>
          <w:bCs/>
          <w:sz w:val="22"/>
          <w:lang w:val="en-GB"/>
        </w:rPr>
      </w:pPr>
    </w:p>
    <w:p w:rsidR="00E807F8" w:rsidRPr="00EC4212" w:rsidRDefault="00643023" w:rsidP="00E807F8">
      <w:pPr>
        <w:jc w:val="center"/>
        <w:rPr>
          <w:rFonts w:asciiTheme="minorHAnsi" w:hAnsiTheme="minorHAnsi"/>
          <w:b/>
          <w:bCs/>
          <w:sz w:val="22"/>
          <w:lang w:val="en-GB"/>
        </w:rPr>
      </w:pPr>
      <w:r w:rsidRPr="00643023">
        <w:rPr>
          <w:rFonts w:asciiTheme="minorHAnsi" w:hAnsiTheme="minorHAnsi"/>
          <w:b/>
          <w:bCs/>
          <w:noProof/>
          <w:sz w:val="22"/>
          <w:lang w:val="sq-AL" w:eastAsia="sq-AL"/>
        </w:rPr>
        <mc:AlternateContent>
          <mc:Choice Requires="wps">
            <w:drawing>
              <wp:anchor distT="45720" distB="45720" distL="114300" distR="114300" simplePos="0" relativeHeight="251666432" behindDoc="0" locked="0" layoutInCell="1" allowOverlap="1" wp14:anchorId="0EA98ADF" wp14:editId="19414968">
                <wp:simplePos x="0" y="0"/>
                <wp:positionH relativeFrom="column">
                  <wp:posOffset>2623930</wp:posOffset>
                </wp:positionH>
                <wp:positionV relativeFrom="paragraph">
                  <wp:posOffset>2701593</wp:posOffset>
                </wp:positionV>
                <wp:extent cx="1073426" cy="1404620"/>
                <wp:effectExtent l="0" t="0" r="0" b="8890"/>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6" cy="1404620"/>
                        </a:xfrm>
                        <a:prstGeom prst="rect">
                          <a:avLst/>
                        </a:prstGeom>
                        <a:solidFill>
                          <a:srgbClr val="FFFFFF"/>
                        </a:solidFill>
                        <a:ln w="9525">
                          <a:noFill/>
                          <a:miter lim="800000"/>
                          <a:headEnd/>
                          <a:tailEnd/>
                        </a:ln>
                      </wps:spPr>
                      <wps:txbx>
                        <w:txbxContent>
                          <w:p w:rsidR="00643023" w:rsidRPr="00643023" w:rsidRDefault="00643023" w:rsidP="00643023">
                            <w:pPr>
                              <w:rPr>
                                <w:rFonts w:asciiTheme="minorHAnsi" w:hAnsiTheme="minorHAnsi" w:cstheme="minorHAnsi"/>
                                <w:sz w:val="20"/>
                                <w:szCs w:val="20"/>
                              </w:rPr>
                            </w:pPr>
                            <w:r w:rsidRPr="00643023">
                              <w:rPr>
                                <w:rFonts w:asciiTheme="minorHAnsi" w:hAnsiTheme="minorHAnsi" w:cstheme="minorHAnsi"/>
                                <w:sz w:val="20"/>
                                <w:szCs w:val="20"/>
                              </w:rPr>
                              <w:t>Allowed by 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98ADF" id="Text Box 2" o:spid="_x0000_s1027" type="#_x0000_t202" style="position:absolute;left:0;text-align:left;margin-left:206.6pt;margin-top:212.7pt;width:8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" stroked="f">
                <v:textbox style="mso-fit-shape-to-text:t">
                  <w:txbxContent>
                    <w:p w:rsidR="00643023" w:rsidRPr="00643023" w:rsidRDefault="00643023" w:rsidP="00643023">
                      <w:pPr>
                        <w:rPr>
                          <w:rFonts w:asciiTheme="minorHAnsi" w:hAnsiTheme="minorHAnsi" w:cstheme="minorHAnsi"/>
                          <w:sz w:val="20"/>
                          <w:szCs w:val="20"/>
                        </w:rPr>
                      </w:pPr>
                      <w:r w:rsidRPr="00643023">
                        <w:rPr>
                          <w:rFonts w:asciiTheme="minorHAnsi" w:hAnsiTheme="minorHAnsi" w:cstheme="minorHAnsi"/>
                          <w:sz w:val="20"/>
                          <w:szCs w:val="20"/>
                        </w:rPr>
                        <w:t>Allowed by ERO</w:t>
                      </w:r>
                    </w:p>
                  </w:txbxContent>
                </v:textbox>
              </v:shape>
            </w:pict>
          </mc:Fallback>
        </mc:AlternateContent>
      </w:r>
      <w:r w:rsidRPr="00643023">
        <w:rPr>
          <w:rFonts w:asciiTheme="minorHAnsi" w:hAnsiTheme="minorHAnsi"/>
          <w:b/>
          <w:bCs/>
          <w:noProof/>
          <w:sz w:val="22"/>
          <w:lang w:val="sq-AL" w:eastAsia="sq-AL"/>
        </w:rPr>
        <mc:AlternateContent>
          <mc:Choice Requires="wps">
            <w:drawing>
              <wp:anchor distT="45720" distB="45720" distL="114300" distR="114300" simplePos="0" relativeHeight="251664384" behindDoc="0" locked="0" layoutInCell="1" allowOverlap="1" wp14:anchorId="0EA98ADF" wp14:editId="19414968">
                <wp:simplePos x="0" y="0"/>
                <wp:positionH relativeFrom="column">
                  <wp:posOffset>1415332</wp:posOffset>
                </wp:positionH>
                <wp:positionV relativeFrom="paragraph">
                  <wp:posOffset>2676580</wp:posOffset>
                </wp:positionV>
                <wp:extent cx="1073426" cy="1404620"/>
                <wp:effectExtent l="0" t="0" r="0" b="8890"/>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6" cy="1404620"/>
                        </a:xfrm>
                        <a:prstGeom prst="rect">
                          <a:avLst/>
                        </a:prstGeom>
                        <a:solidFill>
                          <a:srgbClr val="FFFFFF"/>
                        </a:solidFill>
                        <a:ln w="9525">
                          <a:noFill/>
                          <a:miter lim="800000"/>
                          <a:headEnd/>
                          <a:tailEnd/>
                        </a:ln>
                      </wps:spPr>
                      <wps:txbx>
                        <w:txbxContent>
                          <w:p w:rsidR="00643023" w:rsidRPr="00643023" w:rsidRDefault="00643023" w:rsidP="00643023">
                            <w:pPr>
                              <w:jc w:val="center"/>
                              <w:rPr>
                                <w:rFonts w:asciiTheme="minorHAnsi" w:hAnsiTheme="minorHAnsi" w:cstheme="minorHAnsi"/>
                                <w:sz w:val="20"/>
                                <w:szCs w:val="20"/>
                              </w:rPr>
                            </w:pPr>
                            <w:r w:rsidRPr="00643023">
                              <w:rPr>
                                <w:rFonts w:asciiTheme="minorHAnsi" w:hAnsiTheme="minorHAnsi" w:cstheme="minorHAnsi"/>
                                <w:sz w:val="20"/>
                                <w:szCs w:val="20"/>
                              </w:rPr>
                              <w:t>Proposed by DH Termokos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98ADF" id="_x0000_s1028" type="#_x0000_t202" style="position:absolute;left:0;text-align:left;margin-left:111.45pt;margin-top:210.75pt;width:84.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" stroked="f">
                <v:textbox style="mso-fit-shape-to-text:t">
                  <w:txbxContent>
                    <w:p w:rsidR="00643023" w:rsidRPr="00643023" w:rsidRDefault="00643023" w:rsidP="00643023">
                      <w:pPr>
                        <w:jc w:val="center"/>
                        <w:rPr>
                          <w:rFonts w:asciiTheme="minorHAnsi" w:hAnsiTheme="minorHAnsi" w:cstheme="minorHAnsi"/>
                          <w:sz w:val="20"/>
                          <w:szCs w:val="20"/>
                        </w:rPr>
                      </w:pPr>
                      <w:r w:rsidRPr="00643023">
                        <w:rPr>
                          <w:rFonts w:asciiTheme="minorHAnsi" w:hAnsiTheme="minorHAnsi" w:cstheme="minorHAnsi"/>
                          <w:sz w:val="20"/>
                          <w:szCs w:val="20"/>
                        </w:rPr>
                        <w:t>Proposed by DH Termokos</w:t>
                      </w:r>
                    </w:p>
                  </w:txbxContent>
                </v:textbox>
              </v:shape>
            </w:pict>
          </mc:Fallback>
        </mc:AlternateContent>
      </w:r>
      <w:r w:rsidRPr="00643023">
        <w:rPr>
          <w:rFonts w:asciiTheme="minorHAnsi" w:hAnsiTheme="minorHAnsi"/>
          <w:b/>
          <w:bCs/>
          <w:noProof/>
          <w:sz w:val="22"/>
          <w:lang w:val="sq-AL" w:eastAsia="sq-AL"/>
        </w:rPr>
        <mc:AlternateContent>
          <mc:Choice Requires="wps">
            <w:drawing>
              <wp:anchor distT="45720" distB="45720" distL="114300" distR="114300" simplePos="0" relativeHeight="251662336" behindDoc="0" locked="0" layoutInCell="1" allowOverlap="1" wp14:anchorId="1DE0DABC" wp14:editId="563411FF">
                <wp:simplePos x="0" y="0"/>
                <wp:positionH relativeFrom="margin">
                  <wp:posOffset>4044977</wp:posOffset>
                </wp:positionH>
                <wp:positionV relativeFrom="paragraph">
                  <wp:posOffset>1716487</wp:posOffset>
                </wp:positionV>
                <wp:extent cx="1033669" cy="1404620"/>
                <wp:effectExtent l="0" t="0" r="0" b="7620"/>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69" cy="1404620"/>
                        </a:xfrm>
                        <a:prstGeom prst="rect">
                          <a:avLst/>
                        </a:prstGeom>
                        <a:solidFill>
                          <a:srgbClr val="FFFFFF"/>
                        </a:solidFill>
                        <a:ln w="9525">
                          <a:noFill/>
                          <a:miter lim="800000"/>
                          <a:headEnd/>
                          <a:tailEnd/>
                        </a:ln>
                      </wps:spPr>
                      <wps:txbx>
                        <w:txbxContent>
                          <w:p w:rsidR="00643023" w:rsidRPr="00643023" w:rsidRDefault="00643023" w:rsidP="00643023">
                            <w:pPr>
                              <w:rPr>
                                <w:rFonts w:asciiTheme="minorHAnsi" w:hAnsiTheme="minorHAnsi" w:cstheme="minorHAnsi"/>
                                <w:sz w:val="18"/>
                                <w:szCs w:val="18"/>
                                <w:lang w:val="sq-AL"/>
                              </w:rPr>
                            </w:pPr>
                            <w:r w:rsidRPr="00643023">
                              <w:rPr>
                                <w:rFonts w:asciiTheme="minorHAnsi" w:hAnsiTheme="minorHAnsi" w:cstheme="minorHAnsi"/>
                                <w:sz w:val="18"/>
                                <w:szCs w:val="18"/>
                              </w:rPr>
                              <w:t>Allowed</w:t>
                            </w:r>
                            <w:r>
                              <w:rPr>
                                <w:rFonts w:asciiTheme="minorHAnsi" w:hAnsiTheme="minorHAnsi" w:cstheme="minorHAnsi"/>
                                <w:sz w:val="18"/>
                                <w:szCs w:val="18"/>
                                <w:lang w:val="sq-AL"/>
                              </w:rPr>
                              <w:t xml:space="preserve"> by 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0DABC" id="_x0000_s1029" type="#_x0000_t202" style="position:absolute;left:0;text-align:left;margin-left:318.5pt;margin-top:135.15pt;width:81.4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" stroked="f">
                <v:textbox style="mso-fit-shape-to-text:t">
                  <w:txbxContent>
                    <w:p w:rsidR="00643023" w:rsidRPr="00643023" w:rsidRDefault="00643023" w:rsidP="00643023">
                      <w:pPr>
                        <w:rPr>
                          <w:rFonts w:asciiTheme="minorHAnsi" w:hAnsiTheme="minorHAnsi" w:cstheme="minorHAnsi"/>
                          <w:sz w:val="18"/>
                          <w:szCs w:val="18"/>
                          <w:lang w:val="sq-AL"/>
                        </w:rPr>
                      </w:pPr>
                      <w:r w:rsidRPr="00643023">
                        <w:rPr>
                          <w:rFonts w:asciiTheme="minorHAnsi" w:hAnsiTheme="minorHAnsi" w:cstheme="minorHAnsi"/>
                          <w:sz w:val="18"/>
                          <w:szCs w:val="18"/>
                        </w:rPr>
                        <w:t>Allowed</w:t>
                      </w:r>
                      <w:r>
                        <w:rPr>
                          <w:rFonts w:asciiTheme="minorHAnsi" w:hAnsiTheme="minorHAnsi" w:cstheme="minorHAnsi"/>
                          <w:sz w:val="18"/>
                          <w:szCs w:val="18"/>
                          <w:lang w:val="sq-AL"/>
                        </w:rPr>
                        <w:t xml:space="preserve"> by ERO</w:t>
                      </w:r>
                    </w:p>
                  </w:txbxContent>
                </v:textbox>
                <w10:wrap anchorx="margin"/>
              </v:shape>
            </w:pict>
          </mc:Fallback>
        </mc:AlternateContent>
      </w:r>
      <w:r w:rsidRPr="00643023">
        <w:rPr>
          <w:rFonts w:asciiTheme="minorHAnsi" w:hAnsiTheme="minorHAnsi"/>
          <w:b/>
          <w:bCs/>
          <w:noProof/>
          <w:sz w:val="22"/>
          <w:lang w:val="sq-AL" w:eastAsia="sq-AL"/>
        </w:rPr>
        <mc:AlternateContent>
          <mc:Choice Requires="wps">
            <w:drawing>
              <wp:anchor distT="45720" distB="45720" distL="114300" distR="114300" simplePos="0" relativeHeight="251660288" behindDoc="0" locked="0" layoutInCell="1" allowOverlap="1">
                <wp:simplePos x="0" y="0"/>
                <wp:positionH relativeFrom="column">
                  <wp:posOffset>4045254</wp:posOffset>
                </wp:positionH>
                <wp:positionV relativeFrom="paragraph">
                  <wp:posOffset>1337530</wp:posOffset>
                </wp:positionV>
                <wp:extent cx="1073426"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6" cy="1404620"/>
                        </a:xfrm>
                        <a:prstGeom prst="rect">
                          <a:avLst/>
                        </a:prstGeom>
                        <a:solidFill>
                          <a:srgbClr val="FFFFFF"/>
                        </a:solidFill>
                        <a:ln w="9525">
                          <a:noFill/>
                          <a:miter lim="800000"/>
                          <a:headEnd/>
                          <a:tailEnd/>
                        </a:ln>
                      </wps:spPr>
                      <wps:txbx>
                        <w:txbxContent>
                          <w:p w:rsidR="00643023" w:rsidRPr="00643023" w:rsidRDefault="00643023">
                            <w:pPr>
                              <w:rPr>
                                <w:rFonts w:asciiTheme="minorHAnsi" w:hAnsiTheme="minorHAnsi" w:cstheme="minorHAnsi"/>
                                <w:sz w:val="18"/>
                                <w:szCs w:val="18"/>
                              </w:rPr>
                            </w:pPr>
                            <w:r w:rsidRPr="00643023">
                              <w:rPr>
                                <w:rFonts w:asciiTheme="minorHAnsi" w:hAnsiTheme="minorHAnsi" w:cstheme="minorHAnsi"/>
                                <w:sz w:val="18"/>
                                <w:szCs w:val="18"/>
                              </w:rPr>
                              <w:t>Proposed by DH Termokos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18.5pt;margin-top:105.3pt;width:8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" stroked="f">
                <v:textbox style="mso-fit-shape-to-text:t">
                  <w:txbxContent>
                    <w:p w:rsidR="00643023" w:rsidRPr="00643023" w:rsidRDefault="00643023">
                      <w:pPr>
                        <w:rPr>
                          <w:rFonts w:asciiTheme="minorHAnsi" w:hAnsiTheme="minorHAnsi" w:cstheme="minorHAnsi"/>
                          <w:sz w:val="18"/>
                          <w:szCs w:val="18"/>
                        </w:rPr>
                      </w:pPr>
                      <w:r w:rsidRPr="00643023">
                        <w:rPr>
                          <w:rFonts w:asciiTheme="minorHAnsi" w:hAnsiTheme="minorHAnsi" w:cstheme="minorHAnsi"/>
                          <w:sz w:val="18"/>
                          <w:szCs w:val="18"/>
                        </w:rPr>
                        <w:t>Proposed by DH Termokos</w:t>
                      </w:r>
                    </w:p>
                  </w:txbxContent>
                </v:textbox>
              </v:shape>
            </w:pict>
          </mc:Fallback>
        </mc:AlternateContent>
      </w:r>
      <w:r w:rsidR="00680367" w:rsidRPr="00EC4212">
        <w:rPr>
          <w:noProof/>
          <w:lang w:val="sq-AL" w:eastAsia="sq-AL"/>
        </w:rPr>
        <w:drawing>
          <wp:inline distT="0" distB="0" distL="0" distR="0" wp14:anchorId="5794A802" wp14:editId="7CFE415F">
            <wp:extent cx="4610099" cy="3057526"/>
            <wp:effectExtent l="0" t="0" r="63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3023" w:rsidRDefault="00643023" w:rsidP="006122E6">
      <w:pPr>
        <w:pStyle w:val="Heading3"/>
        <w:rPr>
          <w:lang w:val="en-GB"/>
        </w:rPr>
      </w:pPr>
      <w:bookmarkStart w:id="40" w:name="_Toc339538667"/>
      <w:bookmarkStart w:id="41" w:name="_Toc339539121"/>
      <w:bookmarkStart w:id="42" w:name="_Toc21513324"/>
      <w:bookmarkStart w:id="43" w:name="_Toc21514371"/>
      <w:bookmarkStart w:id="44" w:name="_Toc21514448"/>
      <w:bookmarkStart w:id="45" w:name="_Toc21514855"/>
      <w:bookmarkStart w:id="46" w:name="_Toc21515555"/>
      <w:bookmarkStart w:id="47" w:name="_Toc21521378"/>
      <w:bookmarkStart w:id="48" w:name="_Toc52186227"/>
    </w:p>
    <w:p w:rsidR="00234B7D" w:rsidRPr="00EC4212" w:rsidRDefault="00234B7D" w:rsidP="006122E6">
      <w:pPr>
        <w:pStyle w:val="Heading3"/>
        <w:rPr>
          <w:lang w:val="en-GB"/>
        </w:rPr>
      </w:pPr>
      <w:r w:rsidRPr="00EC4212">
        <w:rPr>
          <w:lang w:val="en-GB"/>
        </w:rPr>
        <w:t xml:space="preserve">Figure </w:t>
      </w:r>
      <w:r w:rsidR="004A64EF" w:rsidRPr="00EC4212">
        <w:rPr>
          <w:lang w:val="en-GB"/>
        </w:rPr>
        <w:fldChar w:fldCharType="begin"/>
      </w:r>
      <w:r w:rsidR="004A64EF" w:rsidRPr="00EC4212">
        <w:rPr>
          <w:lang w:val="en-GB"/>
        </w:rPr>
        <w:instrText xml:space="preserve"> SEQ Figura \* ARABIC </w:instrText>
      </w:r>
      <w:r w:rsidR="004A64EF" w:rsidRPr="00EC4212">
        <w:rPr>
          <w:lang w:val="en-GB"/>
        </w:rPr>
        <w:fldChar w:fldCharType="separate"/>
      </w:r>
      <w:r w:rsidR="00923408" w:rsidRPr="00EC4212">
        <w:rPr>
          <w:lang w:val="en-GB"/>
        </w:rPr>
        <w:t>2</w:t>
      </w:r>
      <w:r w:rsidR="004A64EF" w:rsidRPr="00EC4212">
        <w:rPr>
          <w:lang w:val="en-GB"/>
        </w:rPr>
        <w:fldChar w:fldCharType="end"/>
      </w:r>
      <w:r w:rsidRPr="00EC4212">
        <w:rPr>
          <w:lang w:val="en-GB"/>
        </w:rPr>
        <w:t xml:space="preserve">: </w:t>
      </w:r>
      <w:bookmarkStart w:id="49" w:name="_Toc339537716"/>
      <w:r w:rsidRPr="00EC4212">
        <w:rPr>
          <w:lang w:val="en-GB"/>
        </w:rPr>
        <w:t>Schematic presentation of operational costs proposed by DH Termokos and allowed by ERO for the heating season</w:t>
      </w:r>
      <w:bookmarkEnd w:id="49"/>
      <w:r w:rsidRPr="00EC4212">
        <w:rPr>
          <w:lang w:val="en-GB"/>
        </w:rPr>
        <w:t xml:space="preserve"> </w:t>
      </w:r>
      <w:bookmarkEnd w:id="40"/>
      <w:bookmarkEnd w:id="41"/>
      <w:r w:rsidRPr="00EC4212">
        <w:rPr>
          <w:lang w:val="en-GB"/>
        </w:rPr>
        <w:t>2020/202</w:t>
      </w:r>
      <w:bookmarkEnd w:id="42"/>
      <w:bookmarkEnd w:id="43"/>
      <w:bookmarkEnd w:id="44"/>
      <w:bookmarkEnd w:id="45"/>
      <w:bookmarkEnd w:id="46"/>
      <w:bookmarkEnd w:id="47"/>
      <w:r w:rsidRPr="00EC4212">
        <w:rPr>
          <w:lang w:val="en-GB"/>
        </w:rPr>
        <w:t>1</w:t>
      </w:r>
      <w:bookmarkEnd w:id="48"/>
    </w:p>
    <w:p w:rsidR="00234B7D" w:rsidRPr="00EC4212" w:rsidRDefault="00234B7D" w:rsidP="00E807F8">
      <w:pPr>
        <w:jc w:val="center"/>
        <w:rPr>
          <w:rFonts w:asciiTheme="minorHAnsi" w:hAnsiTheme="minorHAnsi"/>
          <w:b/>
          <w:bCs/>
          <w:sz w:val="22"/>
          <w:lang w:val="en-GB"/>
        </w:rPr>
      </w:pPr>
    </w:p>
    <w:p w:rsidR="00D825FC" w:rsidRPr="00EC4212" w:rsidRDefault="00D825FC" w:rsidP="00E807F8">
      <w:pPr>
        <w:jc w:val="center"/>
        <w:rPr>
          <w:rFonts w:asciiTheme="minorHAnsi" w:hAnsiTheme="minorHAnsi"/>
          <w:b/>
          <w:bCs/>
          <w:sz w:val="22"/>
          <w:lang w:val="en-GB"/>
        </w:rPr>
      </w:pPr>
    </w:p>
    <w:p w:rsidR="00E807F8" w:rsidRPr="00EC4212" w:rsidRDefault="00A34C30" w:rsidP="00E807F8">
      <w:pPr>
        <w:jc w:val="both"/>
        <w:rPr>
          <w:rFonts w:asciiTheme="minorHAnsi" w:hAnsiTheme="minorHAnsi" w:cs="Calibri"/>
          <w:b/>
          <w:bCs/>
          <w:lang w:val="en-GB"/>
        </w:rPr>
      </w:pPr>
      <w:hyperlink r:id="rId13" w:history="1">
        <w:bookmarkStart w:id="50" w:name="_Toc339537715"/>
        <w:bookmarkStart w:id="51" w:name="_Toc339538665"/>
        <w:bookmarkStart w:id="52" w:name="_Toc339539119"/>
        <w:r w:rsidR="00F664B6" w:rsidRPr="00EC4212">
          <w:rPr>
            <w:rStyle w:val="Hyperlink"/>
            <w:lang w:val="en-GB"/>
          </w:rPr>
          <w:t xml:space="preserve"> </w:t>
        </w:r>
        <w:r w:rsidR="00F664B6" w:rsidRPr="00EC4212">
          <w:rPr>
            <w:rStyle w:val="Hyperlink"/>
            <w:rFonts w:asciiTheme="minorHAnsi" w:hAnsiTheme="minorHAnsi"/>
            <w:color w:val="auto"/>
            <w:lang w:val="en-GB"/>
          </w:rPr>
          <w:t>Analytical explanation</w:t>
        </w:r>
        <w:bookmarkEnd w:id="50"/>
        <w:r w:rsidR="00F664B6" w:rsidRPr="00EC4212">
          <w:rPr>
            <w:rStyle w:val="Hyperlink"/>
            <w:lang w:val="en-GB"/>
          </w:rPr>
          <w:t xml:space="preserve"> </w:t>
        </w:r>
        <w:bookmarkEnd w:id="51"/>
        <w:bookmarkEnd w:id="52"/>
      </w:hyperlink>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 xml:space="preserve">Detailed explanations and justifications for determination/allowance of each group of costs, namely for the main positions of operational costs, are provided below. </w:t>
      </w:r>
    </w:p>
    <w:p w:rsidR="00E807F8" w:rsidRPr="00EC4212" w:rsidRDefault="00E807F8" w:rsidP="00E807F8">
      <w:pPr>
        <w:jc w:val="both"/>
        <w:rPr>
          <w:rFonts w:asciiTheme="minorHAnsi" w:hAnsiTheme="minorHAnsi"/>
          <w:sz w:val="22"/>
          <w:lang w:val="en-GB"/>
        </w:rPr>
      </w:pPr>
    </w:p>
    <w:p w:rsidR="00E807F8" w:rsidRPr="00EC4212" w:rsidRDefault="00A34C30" w:rsidP="00E807F8">
      <w:pPr>
        <w:rPr>
          <w:rFonts w:asciiTheme="minorHAnsi" w:hAnsiTheme="minorHAnsi" w:cs="Calibri"/>
          <w:sz w:val="22"/>
          <w:szCs w:val="22"/>
          <w:u w:val="single"/>
          <w:lang w:val="en-GB"/>
        </w:rPr>
      </w:pPr>
      <w:hyperlink r:id="rId14" w:history="1">
        <w:r w:rsidR="00F664B6" w:rsidRPr="00EC4212">
          <w:rPr>
            <w:rStyle w:val="Hyperlink"/>
            <w:rFonts w:asciiTheme="minorHAnsi" w:hAnsiTheme="minorHAnsi"/>
            <w:color w:val="auto"/>
            <w:sz w:val="22"/>
            <w:szCs w:val="22"/>
            <w:lang w:val="en-GB"/>
          </w:rPr>
          <w:t>Variable costs:</w:t>
        </w:r>
      </w:hyperlink>
    </w:p>
    <w:p w:rsidR="00E807F8" w:rsidRPr="00EC4212" w:rsidRDefault="00E807F8" w:rsidP="00E807F8">
      <w:pPr>
        <w:jc w:val="both"/>
        <w:rPr>
          <w:rFonts w:asciiTheme="minorHAnsi" w:hAnsiTheme="minorHAnsi"/>
          <w:sz w:val="22"/>
          <w:lang w:val="en-GB"/>
        </w:rPr>
      </w:pPr>
    </w:p>
    <w:p w:rsidR="00E807F8" w:rsidRPr="00EC4212" w:rsidRDefault="00E807F8" w:rsidP="00F23C29">
      <w:pPr>
        <w:numPr>
          <w:ilvl w:val="0"/>
          <w:numId w:val="7"/>
        </w:numPr>
        <w:tabs>
          <w:tab w:val="clear" w:pos="720"/>
          <w:tab w:val="num" w:pos="360"/>
        </w:tabs>
        <w:ind w:left="360"/>
        <w:jc w:val="both"/>
        <w:rPr>
          <w:rFonts w:asciiTheme="minorHAnsi" w:hAnsiTheme="minorHAnsi"/>
          <w:sz w:val="22"/>
          <w:lang w:val="en-GB"/>
        </w:rPr>
      </w:pPr>
      <w:r w:rsidRPr="00EC4212">
        <w:rPr>
          <w:rFonts w:asciiTheme="minorHAnsi" w:hAnsiTheme="minorHAnsi"/>
          <w:b/>
          <w:bCs/>
          <w:sz w:val="22"/>
          <w:lang w:val="en-GB"/>
        </w:rPr>
        <w:t>Cost of thermal energy purchase from cogeneration in TPP Kosovo B</w:t>
      </w:r>
      <w:r w:rsidR="00EE17D9">
        <w:rPr>
          <w:rFonts w:asciiTheme="minorHAnsi" w:hAnsiTheme="minorHAnsi"/>
          <w:b/>
          <w:bCs/>
          <w:sz w:val="22"/>
          <w:lang w:val="en-GB"/>
        </w:rPr>
        <w:t xml:space="preserve"> </w:t>
      </w:r>
      <w:r w:rsidRPr="00EC4212">
        <w:rPr>
          <w:rFonts w:asciiTheme="minorHAnsi" w:hAnsiTheme="minorHAnsi"/>
          <w:b/>
          <w:bCs/>
          <w:sz w:val="22"/>
          <w:lang w:val="en-GB"/>
        </w:rPr>
        <w:t>- payment component for thermal energy amount</w:t>
      </w:r>
    </w:p>
    <w:p w:rsidR="00E807F8" w:rsidRPr="00EC4212" w:rsidRDefault="00E807F8" w:rsidP="00E807F8">
      <w:pPr>
        <w:ind w:left="360"/>
        <w:jc w:val="both"/>
        <w:rPr>
          <w:rFonts w:asciiTheme="minorHAnsi" w:hAnsiTheme="minorHAnsi"/>
          <w:sz w:val="22"/>
          <w:lang w:val="en-GB"/>
        </w:rPr>
      </w:pPr>
    </w:p>
    <w:p w:rsidR="00E807F8" w:rsidRPr="00EC4212" w:rsidRDefault="00E807F8" w:rsidP="00F23C29">
      <w:pPr>
        <w:pStyle w:val="ListParagraph"/>
        <w:numPr>
          <w:ilvl w:val="0"/>
          <w:numId w:val="13"/>
        </w:numPr>
        <w:ind w:left="720"/>
        <w:contextualSpacing w:val="0"/>
        <w:jc w:val="both"/>
        <w:rPr>
          <w:rFonts w:asciiTheme="minorHAnsi" w:hAnsiTheme="minorHAnsi"/>
          <w:sz w:val="22"/>
          <w:lang w:val="en-GB"/>
        </w:rPr>
      </w:pPr>
      <w:r w:rsidRPr="00EC4212">
        <w:rPr>
          <w:rFonts w:asciiTheme="minorHAnsi" w:hAnsiTheme="minorHAnsi"/>
          <w:sz w:val="22"/>
          <w:lang w:val="en-GB"/>
        </w:rPr>
        <w:t xml:space="preserve">DH Termokos proposed the total cost of thermal energy purchase from cogeneration in the amount of </w:t>
      </w:r>
      <w:r w:rsidR="00EE17D9" w:rsidRPr="00EC4212">
        <w:rPr>
          <w:rFonts w:asciiTheme="minorHAnsi" w:hAnsiTheme="minorHAnsi"/>
          <w:sz w:val="22"/>
          <w:lang w:val="en-GB"/>
        </w:rPr>
        <w:t>€</w:t>
      </w:r>
      <w:r w:rsidR="00EE17D9">
        <w:rPr>
          <w:rFonts w:asciiTheme="minorHAnsi" w:hAnsiTheme="minorHAnsi"/>
          <w:sz w:val="22"/>
          <w:lang w:val="en-GB"/>
        </w:rPr>
        <w:t xml:space="preserve"> </w:t>
      </w:r>
      <w:r w:rsidRPr="00EC4212">
        <w:rPr>
          <w:rFonts w:asciiTheme="minorHAnsi" w:hAnsiTheme="minorHAnsi"/>
          <w:sz w:val="22"/>
          <w:lang w:val="en-GB"/>
        </w:rPr>
        <w:t>1,230,610</w:t>
      </w:r>
      <w:r w:rsidR="00EE17D9">
        <w:rPr>
          <w:rFonts w:asciiTheme="minorHAnsi" w:hAnsiTheme="minorHAnsi"/>
          <w:sz w:val="22"/>
          <w:lang w:val="en-GB"/>
        </w:rPr>
        <w:t xml:space="preserve">. </w:t>
      </w:r>
      <w:r w:rsidRPr="00EC4212">
        <w:rPr>
          <w:rFonts w:asciiTheme="minorHAnsi" w:hAnsiTheme="minorHAnsi"/>
          <w:sz w:val="22"/>
          <w:lang w:val="en-GB"/>
        </w:rPr>
        <w:t>This cost is based on the reserved capacity according to the Energy Balance planning and planned amount of thermal energy, as well as the respective prices for the capacity and quantity of thermal energy according to the sale agree</w:t>
      </w:r>
      <w:r w:rsidR="00EE17D9">
        <w:rPr>
          <w:rFonts w:asciiTheme="minorHAnsi" w:hAnsiTheme="minorHAnsi"/>
          <w:sz w:val="22"/>
          <w:lang w:val="en-GB"/>
        </w:rPr>
        <w:t xml:space="preserve">ment on thermal energy between </w:t>
      </w:r>
      <w:r w:rsidRPr="00EC4212">
        <w:rPr>
          <w:rFonts w:asciiTheme="minorHAnsi" w:hAnsiTheme="minorHAnsi"/>
          <w:sz w:val="22"/>
          <w:lang w:val="en-GB"/>
        </w:rPr>
        <w:t>KEK Generation and DH Termokos.</w:t>
      </w:r>
    </w:p>
    <w:p w:rsidR="00E807F8" w:rsidRPr="00EC4212" w:rsidRDefault="00E807F8" w:rsidP="00E807F8">
      <w:pPr>
        <w:pStyle w:val="ListParagraph"/>
        <w:jc w:val="both"/>
        <w:rPr>
          <w:rFonts w:asciiTheme="minorHAnsi" w:hAnsiTheme="minorHAnsi"/>
          <w:sz w:val="22"/>
          <w:lang w:val="en-GB"/>
        </w:rPr>
      </w:pPr>
    </w:p>
    <w:p w:rsidR="00E807F8" w:rsidRPr="00EC4212" w:rsidRDefault="00E807F8" w:rsidP="00E807F8">
      <w:pPr>
        <w:pStyle w:val="ListParagraph"/>
        <w:jc w:val="both"/>
        <w:rPr>
          <w:rFonts w:asciiTheme="minorHAnsi" w:hAnsiTheme="minorHAnsi"/>
          <w:sz w:val="22"/>
          <w:lang w:val="en-GB"/>
        </w:rPr>
      </w:pPr>
      <w:r w:rsidRPr="00EC4212">
        <w:rPr>
          <w:rFonts w:asciiTheme="minorHAnsi" w:hAnsiTheme="minorHAnsi"/>
          <w:sz w:val="22"/>
          <w:lang w:val="en-GB"/>
        </w:rPr>
        <w:t>More specifically, the variable pay component for the amount of thermal energy is based on the planned amount of 267,648 MWh</w:t>
      </w:r>
      <w:r w:rsidRPr="00EC4212">
        <w:rPr>
          <w:rFonts w:asciiTheme="minorHAnsi" w:hAnsiTheme="minorHAnsi"/>
          <w:sz w:val="22"/>
          <w:vertAlign w:val="subscript"/>
          <w:lang w:val="en-GB"/>
        </w:rPr>
        <w:t>TH</w:t>
      </w:r>
      <w:r w:rsidRPr="00EC4212">
        <w:rPr>
          <w:rFonts w:asciiTheme="minorHAnsi" w:hAnsiTheme="minorHAnsi"/>
          <w:sz w:val="22"/>
          <w:lang w:val="en-GB"/>
        </w:rPr>
        <w:t xml:space="preserve"> and the price (charge) of 1.35 €/MWh</w:t>
      </w:r>
      <w:r w:rsidRPr="00EC4212">
        <w:rPr>
          <w:rFonts w:asciiTheme="minorHAnsi" w:hAnsiTheme="minorHAnsi"/>
          <w:sz w:val="22"/>
          <w:vertAlign w:val="subscript"/>
          <w:lang w:val="en-GB"/>
        </w:rPr>
        <w:t>TH</w:t>
      </w:r>
      <w:r w:rsidRPr="00EC4212">
        <w:rPr>
          <w:rFonts w:asciiTheme="minorHAnsi" w:hAnsiTheme="minorHAnsi"/>
          <w:sz w:val="22"/>
          <w:lang w:val="en-GB"/>
        </w:rPr>
        <w:t>.</w:t>
      </w:r>
    </w:p>
    <w:p w:rsidR="00E807F8" w:rsidRPr="00EC4212" w:rsidRDefault="00E807F8" w:rsidP="00E807F8">
      <w:pPr>
        <w:pStyle w:val="ListParagraph"/>
        <w:jc w:val="both"/>
        <w:rPr>
          <w:rFonts w:asciiTheme="minorHAnsi" w:hAnsiTheme="minorHAnsi"/>
          <w:sz w:val="22"/>
          <w:lang w:val="en-GB"/>
        </w:rPr>
      </w:pPr>
    </w:p>
    <w:p w:rsidR="00E807F8" w:rsidRPr="00EC4212" w:rsidRDefault="00E807F8" w:rsidP="00F23C29">
      <w:pPr>
        <w:pStyle w:val="ListParagraph"/>
        <w:numPr>
          <w:ilvl w:val="0"/>
          <w:numId w:val="13"/>
        </w:numPr>
        <w:ind w:left="720"/>
        <w:contextualSpacing w:val="0"/>
        <w:jc w:val="both"/>
        <w:rPr>
          <w:rFonts w:asciiTheme="minorHAnsi" w:hAnsiTheme="minorHAnsi"/>
          <w:sz w:val="22"/>
          <w:lang w:val="en-GB"/>
        </w:rPr>
      </w:pPr>
      <w:r w:rsidRPr="00EC4212">
        <w:rPr>
          <w:rFonts w:asciiTheme="minorHAnsi" w:hAnsiTheme="minorHAnsi"/>
          <w:sz w:val="22"/>
          <w:lang w:val="en-GB"/>
        </w:rPr>
        <w:t>Evaluation - DH Termokos proposal</w:t>
      </w:r>
      <w:r w:rsidR="00F80936">
        <w:rPr>
          <w:rFonts w:asciiTheme="minorHAnsi" w:hAnsiTheme="minorHAnsi"/>
          <w:sz w:val="22"/>
          <w:lang w:val="en-GB"/>
        </w:rPr>
        <w:t xml:space="preserve"> is evaluated to be mainly real</w:t>
      </w:r>
      <w:r w:rsidRPr="00EC4212">
        <w:rPr>
          <w:rFonts w:asciiTheme="minorHAnsi" w:hAnsiTheme="minorHAnsi"/>
          <w:sz w:val="22"/>
          <w:lang w:val="en-GB"/>
        </w:rPr>
        <w:t xml:space="preserve"> and well-grounded. It should also be noted that the payment component for the annual licensing fee is included, which is calculated based on the annual license fee for the production of thermal energy determined according to the Rule on Fees issued by ERO. The calculations result as follows:</w:t>
      </w:r>
    </w:p>
    <w:p w:rsidR="00E807F8" w:rsidRPr="00EC4212" w:rsidRDefault="00E807F8" w:rsidP="00F23C29">
      <w:pPr>
        <w:pStyle w:val="ListParagraph"/>
        <w:numPr>
          <w:ilvl w:val="0"/>
          <w:numId w:val="6"/>
        </w:numPr>
        <w:tabs>
          <w:tab w:val="clear" w:pos="720"/>
          <w:tab w:val="num" w:pos="1080"/>
        </w:tabs>
        <w:ind w:left="1080"/>
        <w:contextualSpacing w:val="0"/>
        <w:jc w:val="both"/>
        <w:rPr>
          <w:rFonts w:asciiTheme="minorHAnsi" w:hAnsiTheme="minorHAnsi"/>
          <w:sz w:val="22"/>
          <w:lang w:val="en-GB"/>
        </w:rPr>
      </w:pPr>
      <w:r w:rsidRPr="00EC4212">
        <w:rPr>
          <w:rFonts w:asciiTheme="minorHAnsi" w:hAnsiTheme="minorHAnsi"/>
          <w:sz w:val="22"/>
          <w:lang w:val="en-GB"/>
        </w:rPr>
        <w:t>Payment component for the amount of thermal energy: € 361,325; and</w:t>
      </w:r>
    </w:p>
    <w:p w:rsidR="00E807F8" w:rsidRPr="00EC4212" w:rsidRDefault="00E807F8" w:rsidP="00F23C29">
      <w:pPr>
        <w:pStyle w:val="ListParagraph"/>
        <w:numPr>
          <w:ilvl w:val="0"/>
          <w:numId w:val="6"/>
        </w:numPr>
        <w:tabs>
          <w:tab w:val="clear" w:pos="720"/>
          <w:tab w:val="num" w:pos="1080"/>
        </w:tabs>
        <w:ind w:left="1080"/>
        <w:contextualSpacing w:val="0"/>
        <w:jc w:val="both"/>
        <w:rPr>
          <w:rFonts w:asciiTheme="minorHAnsi" w:hAnsiTheme="minorHAnsi"/>
          <w:sz w:val="22"/>
          <w:lang w:val="en-GB"/>
        </w:rPr>
      </w:pPr>
      <w:r w:rsidRPr="00EC4212">
        <w:rPr>
          <w:rFonts w:asciiTheme="minorHAnsi" w:hAnsiTheme="minorHAnsi"/>
          <w:sz w:val="22"/>
          <w:lang w:val="en-GB"/>
        </w:rPr>
        <w:t>Payment component for the annual licensing fee: € 26,765.</w:t>
      </w:r>
    </w:p>
    <w:p w:rsidR="00E807F8" w:rsidRPr="00EC4212" w:rsidRDefault="00E807F8" w:rsidP="00E807F8">
      <w:pPr>
        <w:ind w:left="720"/>
        <w:jc w:val="both"/>
        <w:rPr>
          <w:rFonts w:asciiTheme="minorHAnsi" w:hAnsiTheme="minorHAnsi"/>
          <w:sz w:val="22"/>
          <w:lang w:val="en-GB"/>
        </w:rPr>
      </w:pPr>
    </w:p>
    <w:p w:rsidR="00E807F8" w:rsidRPr="00EC4212" w:rsidRDefault="00E807F8" w:rsidP="00E807F8">
      <w:pPr>
        <w:ind w:left="720"/>
        <w:jc w:val="both"/>
        <w:rPr>
          <w:rFonts w:asciiTheme="minorHAnsi" w:hAnsiTheme="minorHAnsi"/>
          <w:sz w:val="22"/>
          <w:lang w:val="en-GB"/>
        </w:rPr>
      </w:pPr>
      <w:r w:rsidRPr="00EC4212">
        <w:rPr>
          <w:rFonts w:asciiTheme="minorHAnsi" w:hAnsiTheme="minorHAnsi"/>
          <w:sz w:val="22"/>
          <w:lang w:val="en-GB"/>
        </w:rPr>
        <w:t xml:space="preserve">The above-described components result in the payment component for the amount of thermal energy from cogeneration at TPP Kosova B, in the amount of </w:t>
      </w:r>
      <w:r w:rsidRPr="00EC4212">
        <w:rPr>
          <w:rFonts w:asciiTheme="minorHAnsi" w:hAnsiTheme="minorHAnsi"/>
          <w:b/>
          <w:sz w:val="22"/>
          <w:lang w:val="en-GB"/>
        </w:rPr>
        <w:t>€ 388,090</w:t>
      </w:r>
      <w:r w:rsidRPr="00EC4212">
        <w:rPr>
          <w:rFonts w:asciiTheme="minorHAnsi" w:hAnsiTheme="minorHAnsi"/>
          <w:sz w:val="22"/>
          <w:lang w:val="en-GB"/>
        </w:rPr>
        <w:t>, which is allowed for the season 2020/2021.</w:t>
      </w:r>
    </w:p>
    <w:p w:rsidR="00E807F8" w:rsidRPr="00EC4212" w:rsidRDefault="00E807F8" w:rsidP="00E807F8">
      <w:pPr>
        <w:ind w:left="720"/>
        <w:jc w:val="both"/>
        <w:rPr>
          <w:rFonts w:asciiTheme="minorHAnsi" w:hAnsiTheme="minorHAnsi"/>
          <w:sz w:val="22"/>
          <w:lang w:val="en-GB"/>
        </w:rPr>
      </w:pPr>
      <w:r w:rsidRPr="00EC4212">
        <w:rPr>
          <w:rFonts w:asciiTheme="minorHAnsi" w:hAnsiTheme="minorHAnsi"/>
          <w:sz w:val="22"/>
          <w:lang w:val="en-GB"/>
        </w:rPr>
        <w:t xml:space="preserve"> </w:t>
      </w:r>
    </w:p>
    <w:p w:rsidR="00E807F8" w:rsidRPr="00EC4212" w:rsidRDefault="00E807F8" w:rsidP="00F23C29">
      <w:pPr>
        <w:pStyle w:val="ListParagraph"/>
        <w:numPr>
          <w:ilvl w:val="0"/>
          <w:numId w:val="13"/>
        </w:numPr>
        <w:ind w:left="720"/>
        <w:contextualSpacing w:val="0"/>
        <w:jc w:val="both"/>
        <w:rPr>
          <w:rFonts w:asciiTheme="minorHAnsi" w:hAnsiTheme="minorHAnsi"/>
          <w:sz w:val="22"/>
          <w:lang w:val="en-GB"/>
        </w:rPr>
      </w:pPr>
      <w:r w:rsidRPr="00EC4212">
        <w:rPr>
          <w:rFonts w:asciiTheme="minorHAnsi" w:hAnsiTheme="minorHAnsi"/>
          <w:sz w:val="22"/>
          <w:lang w:val="en-GB"/>
        </w:rPr>
        <w:t xml:space="preserve">It is worth mentioning that the total cost of purchasing thermal energy from cogeneration at TPP Kosova B - which includes the reserved capacity component and the component for the amount of thermal energy - is </w:t>
      </w:r>
      <w:r w:rsidRPr="00EC4212">
        <w:rPr>
          <w:rFonts w:asciiTheme="minorHAnsi" w:hAnsiTheme="minorHAnsi"/>
          <w:b/>
          <w:sz w:val="22"/>
          <w:lang w:val="en-GB"/>
        </w:rPr>
        <w:t>€ 1,230,610.</w:t>
      </w:r>
      <w:r w:rsidRPr="00EC4212">
        <w:rPr>
          <w:rFonts w:asciiTheme="minorHAnsi" w:hAnsiTheme="minorHAnsi"/>
          <w:sz w:val="22"/>
          <w:lang w:val="en-GB"/>
        </w:rPr>
        <w:t xml:space="preserve"> </w:t>
      </w:r>
    </w:p>
    <w:p w:rsidR="00E807F8" w:rsidRPr="00EC4212" w:rsidRDefault="00E807F8" w:rsidP="00E807F8">
      <w:pPr>
        <w:pStyle w:val="ListParagraph"/>
        <w:jc w:val="both"/>
        <w:rPr>
          <w:rFonts w:asciiTheme="minorHAnsi" w:hAnsiTheme="minorHAnsi"/>
          <w:sz w:val="22"/>
          <w:lang w:val="en-GB"/>
        </w:rPr>
      </w:pPr>
      <w:r w:rsidRPr="00EC4212">
        <w:rPr>
          <w:rFonts w:asciiTheme="minorHAnsi" w:hAnsiTheme="minorHAnsi"/>
          <w:sz w:val="22"/>
          <w:lang w:val="en-GB"/>
        </w:rPr>
        <w:t xml:space="preserve">  </w:t>
      </w:r>
    </w:p>
    <w:p w:rsidR="00E807F8" w:rsidRPr="00EC4212" w:rsidRDefault="00E807F8" w:rsidP="00F23C29">
      <w:pPr>
        <w:numPr>
          <w:ilvl w:val="0"/>
          <w:numId w:val="7"/>
        </w:numPr>
        <w:tabs>
          <w:tab w:val="clear" w:pos="720"/>
          <w:tab w:val="num" w:pos="360"/>
        </w:tabs>
        <w:ind w:left="360"/>
        <w:jc w:val="both"/>
        <w:rPr>
          <w:rFonts w:asciiTheme="minorHAnsi" w:hAnsiTheme="minorHAnsi"/>
          <w:b/>
          <w:sz w:val="22"/>
          <w:lang w:val="en-GB"/>
        </w:rPr>
      </w:pPr>
      <w:r w:rsidRPr="00EC4212">
        <w:rPr>
          <w:rFonts w:asciiTheme="minorHAnsi" w:hAnsiTheme="minorHAnsi"/>
          <w:b/>
          <w:sz w:val="22"/>
          <w:lang w:val="en-GB"/>
        </w:rPr>
        <w:t>Fuel cost - heavy fuel oil:</w:t>
      </w:r>
    </w:p>
    <w:p w:rsidR="00E807F8" w:rsidRPr="00EC4212" w:rsidRDefault="00E807F8" w:rsidP="00E807F8">
      <w:pPr>
        <w:ind w:left="360"/>
        <w:jc w:val="both"/>
        <w:rPr>
          <w:rFonts w:asciiTheme="minorHAnsi" w:hAnsiTheme="minorHAnsi"/>
          <w:b/>
          <w:sz w:val="22"/>
          <w:lang w:val="en-GB"/>
        </w:rPr>
      </w:pPr>
    </w:p>
    <w:p w:rsidR="00E807F8" w:rsidRPr="00EC4212" w:rsidRDefault="00E807F8" w:rsidP="00F23C29">
      <w:pPr>
        <w:numPr>
          <w:ilvl w:val="1"/>
          <w:numId w:val="7"/>
        </w:numPr>
        <w:tabs>
          <w:tab w:val="clear" w:pos="1440"/>
          <w:tab w:val="num" w:pos="720"/>
        </w:tabs>
        <w:ind w:left="720"/>
        <w:jc w:val="both"/>
        <w:rPr>
          <w:rFonts w:asciiTheme="minorHAnsi" w:hAnsiTheme="minorHAnsi"/>
          <w:sz w:val="22"/>
          <w:szCs w:val="22"/>
          <w:lang w:val="en-GB"/>
        </w:rPr>
      </w:pPr>
      <w:r w:rsidRPr="00EC4212">
        <w:rPr>
          <w:rFonts w:asciiTheme="minorHAnsi" w:hAnsiTheme="minorHAnsi"/>
          <w:sz w:val="22"/>
          <w:lang w:val="en-GB"/>
        </w:rPr>
        <w:t xml:space="preserve">The cost of heavy fuel oil proposed by Termokos in the amount of € 320,000 is based on the estimated amount of consumption of 710  ton and estimated purchase price of 450€/ton, as well as the annual licensing fee of € 1,000;  </w:t>
      </w:r>
    </w:p>
    <w:p w:rsidR="00E807F8" w:rsidRPr="00EC4212" w:rsidRDefault="00E807F8" w:rsidP="00F23C29">
      <w:pPr>
        <w:numPr>
          <w:ilvl w:val="1"/>
          <w:numId w:val="7"/>
        </w:numPr>
        <w:tabs>
          <w:tab w:val="clear" w:pos="1440"/>
          <w:tab w:val="num" w:pos="720"/>
        </w:tabs>
        <w:ind w:left="720"/>
        <w:jc w:val="both"/>
        <w:rPr>
          <w:rFonts w:asciiTheme="minorHAnsi" w:hAnsiTheme="minorHAnsi"/>
          <w:sz w:val="22"/>
          <w:szCs w:val="22"/>
          <w:lang w:val="en-GB"/>
        </w:rPr>
      </w:pPr>
      <w:r w:rsidRPr="00EC4212">
        <w:rPr>
          <w:rFonts w:asciiTheme="minorHAnsi" w:hAnsiTheme="minorHAnsi"/>
          <w:sz w:val="22"/>
          <w:lang w:val="en-GB"/>
        </w:rPr>
        <w:t xml:space="preserve">Evaluation – Upon the functioning of cogeneration project, the boilers of thermal energy production are a reserve capacity to be activated only during unplanned interruptions of TPP Kosova B. Therefore, their eventual usage would last for short periods until the necessary repairs are done. Considering that the average daily consumption, based on historical data (14 years) is estimated to be around 70 ton/day, then it is evaluated that the estimated quantity of 710 ton is sufficient to produce thermal energy for a period of </w:t>
      </w:r>
      <w:r w:rsidR="00EE17D9">
        <w:rPr>
          <w:rFonts w:asciiTheme="minorHAnsi" w:hAnsiTheme="minorHAnsi"/>
          <w:sz w:val="22"/>
          <w:lang w:val="en-GB"/>
        </w:rPr>
        <w:t>ten</w:t>
      </w:r>
      <w:r w:rsidRPr="00EC4212">
        <w:rPr>
          <w:rFonts w:asciiTheme="minorHAnsi" w:hAnsiTheme="minorHAnsi"/>
          <w:sz w:val="22"/>
          <w:lang w:val="en-GB"/>
        </w:rPr>
        <w:t xml:space="preserve"> days. Regarding the purchase price, it should be noted that the heavy fuel oil supply price consists of the current market price and the ‘premium’ to cover the supplier's costs. However, considering that the quantity of heavy fuel oil is a reserve from the quantity purchased years ago, then the purchase price was taken at that time (450 €/ton). Based on the foregoing, it can be estimated that the </w:t>
      </w:r>
      <w:r w:rsidRPr="00EC4212">
        <w:rPr>
          <w:rFonts w:asciiTheme="minorHAnsi" w:hAnsiTheme="minorHAnsi"/>
          <w:sz w:val="22"/>
          <w:lang w:val="en-GB"/>
        </w:rPr>
        <w:lastRenderedPageBreak/>
        <w:t xml:space="preserve">planning for the heavy fuel oil cost proposed by DH Termokos is </w:t>
      </w:r>
      <w:r w:rsidR="00EE17D9">
        <w:rPr>
          <w:rFonts w:asciiTheme="minorHAnsi" w:hAnsiTheme="minorHAnsi"/>
          <w:sz w:val="22"/>
          <w:lang w:val="en-GB"/>
        </w:rPr>
        <w:t>real</w:t>
      </w:r>
      <w:r w:rsidRPr="00EC4212">
        <w:rPr>
          <w:rFonts w:asciiTheme="minorHAnsi" w:hAnsiTheme="minorHAnsi"/>
          <w:sz w:val="22"/>
          <w:lang w:val="en-GB"/>
        </w:rPr>
        <w:t xml:space="preserve"> and it</w:t>
      </w:r>
      <w:r w:rsidR="00F80936">
        <w:rPr>
          <w:rFonts w:asciiTheme="minorHAnsi" w:hAnsiTheme="minorHAnsi"/>
          <w:sz w:val="22"/>
          <w:lang w:val="en-GB"/>
        </w:rPr>
        <w:t>, therefore,</w:t>
      </w:r>
      <w:r w:rsidRPr="00EC4212">
        <w:rPr>
          <w:rFonts w:asciiTheme="minorHAnsi" w:hAnsiTheme="minorHAnsi"/>
          <w:sz w:val="22"/>
          <w:lang w:val="en-GB"/>
        </w:rPr>
        <w:t xml:space="preserve"> allows the </w:t>
      </w:r>
      <w:r w:rsidRPr="00EC4212">
        <w:rPr>
          <w:rFonts w:asciiTheme="minorHAnsi" w:hAnsiTheme="minorHAnsi"/>
          <w:b/>
          <w:sz w:val="22"/>
          <w:lang w:val="en-GB"/>
        </w:rPr>
        <w:t>heavy fuel oil</w:t>
      </w:r>
      <w:r w:rsidRPr="00EC4212">
        <w:rPr>
          <w:rFonts w:asciiTheme="minorHAnsi" w:hAnsiTheme="minorHAnsi"/>
          <w:sz w:val="22"/>
          <w:lang w:val="en-GB"/>
        </w:rPr>
        <w:t xml:space="preserve"> cost in the amount of </w:t>
      </w:r>
      <w:r w:rsidRPr="00EC4212">
        <w:rPr>
          <w:rFonts w:asciiTheme="minorHAnsi" w:hAnsiTheme="minorHAnsi"/>
          <w:b/>
          <w:sz w:val="22"/>
          <w:lang w:val="en-GB"/>
        </w:rPr>
        <w:t>€ 319,500.</w:t>
      </w:r>
      <w:r w:rsidRPr="00EC4212">
        <w:rPr>
          <w:rFonts w:asciiTheme="minorHAnsi" w:hAnsiTheme="minorHAnsi"/>
          <w:sz w:val="22"/>
          <w:lang w:val="en-GB"/>
        </w:rPr>
        <w:t xml:space="preserve"> </w:t>
      </w:r>
    </w:p>
    <w:p w:rsidR="00E807F8" w:rsidRPr="00EC4212" w:rsidRDefault="00E807F8" w:rsidP="00E807F8">
      <w:pPr>
        <w:ind w:left="720"/>
        <w:jc w:val="both"/>
        <w:rPr>
          <w:rFonts w:asciiTheme="minorHAnsi" w:hAnsiTheme="minorHAnsi"/>
          <w:sz w:val="22"/>
          <w:szCs w:val="22"/>
          <w:lang w:val="en-GB"/>
        </w:rPr>
      </w:pPr>
      <w:r w:rsidRPr="00EC4212">
        <w:rPr>
          <w:rFonts w:asciiTheme="minorHAnsi" w:hAnsiTheme="minorHAnsi"/>
          <w:sz w:val="22"/>
          <w:lang w:val="en-GB"/>
        </w:rPr>
        <w:t xml:space="preserve">Regarding the cost of heavy fuel oil for </w:t>
      </w:r>
      <w:r w:rsidR="00F80936">
        <w:rPr>
          <w:rFonts w:asciiTheme="minorHAnsi" w:hAnsiTheme="minorHAnsi"/>
          <w:sz w:val="22"/>
          <w:lang w:val="en-GB"/>
        </w:rPr>
        <w:t xml:space="preserve">its </w:t>
      </w:r>
      <w:r w:rsidRPr="00EC4212">
        <w:rPr>
          <w:rFonts w:asciiTheme="minorHAnsi" w:hAnsiTheme="minorHAnsi"/>
          <w:sz w:val="22"/>
          <w:lang w:val="en-GB"/>
        </w:rPr>
        <w:t xml:space="preserve">own generation of thermal energy, it shall be emphasized that despite that it was not presented by DH Termokos, ERO has also added the annual licensing tax. This payment is calculated </w:t>
      </w:r>
      <w:r w:rsidRPr="00EC4212">
        <w:rPr>
          <w:rFonts w:asciiTheme="minorHAnsi" w:hAnsiTheme="minorHAnsi"/>
          <w:b/>
          <w:sz w:val="22"/>
          <w:lang w:val="en-GB"/>
        </w:rPr>
        <w:t>€ 1,364</w:t>
      </w:r>
      <w:r w:rsidRPr="00EC4212">
        <w:rPr>
          <w:rFonts w:asciiTheme="minorHAnsi" w:hAnsiTheme="minorHAnsi"/>
          <w:sz w:val="22"/>
          <w:lang w:val="en-GB"/>
        </w:rPr>
        <w:t xml:space="preserve"> based on the projected production of thermal energy from heavy fuel oil of 6,820 MWh and the annual licensing fee of 0.20 €/MWh (according to the Rule on taxes issued by ERO).</w:t>
      </w:r>
    </w:p>
    <w:p w:rsidR="00E807F8" w:rsidRPr="00EC4212" w:rsidRDefault="00E807F8" w:rsidP="00E807F8">
      <w:pPr>
        <w:ind w:left="720"/>
        <w:jc w:val="both"/>
        <w:rPr>
          <w:rFonts w:asciiTheme="minorHAnsi" w:hAnsiTheme="minorHAnsi"/>
          <w:sz w:val="22"/>
          <w:szCs w:val="22"/>
          <w:lang w:val="en-GB"/>
        </w:rPr>
      </w:pPr>
    </w:p>
    <w:p w:rsidR="00E807F8" w:rsidRPr="00EC4212" w:rsidRDefault="00E807F8" w:rsidP="00F23C29">
      <w:pPr>
        <w:numPr>
          <w:ilvl w:val="2"/>
          <w:numId w:val="6"/>
        </w:numPr>
        <w:tabs>
          <w:tab w:val="clear" w:pos="2160"/>
          <w:tab w:val="num" w:pos="360"/>
        </w:tabs>
        <w:ind w:left="360"/>
        <w:jc w:val="both"/>
        <w:rPr>
          <w:rFonts w:asciiTheme="minorHAnsi" w:hAnsiTheme="minorHAnsi"/>
          <w:sz w:val="22"/>
          <w:szCs w:val="22"/>
          <w:lang w:val="en-GB"/>
        </w:rPr>
      </w:pPr>
      <w:r w:rsidRPr="00EC4212">
        <w:rPr>
          <w:rFonts w:asciiTheme="minorHAnsi" w:hAnsiTheme="minorHAnsi"/>
          <w:b/>
          <w:bCs/>
          <w:sz w:val="22"/>
          <w:szCs w:val="22"/>
          <w:lang w:val="en-GB"/>
        </w:rPr>
        <w:t>Cost of water for (re)filling of heating system</w:t>
      </w:r>
    </w:p>
    <w:p w:rsidR="00E807F8" w:rsidRPr="00EC4212" w:rsidRDefault="00E807F8" w:rsidP="00E807F8">
      <w:pPr>
        <w:ind w:left="720"/>
        <w:jc w:val="both"/>
        <w:rPr>
          <w:rFonts w:asciiTheme="minorHAnsi" w:hAnsiTheme="minorHAnsi"/>
          <w:b/>
          <w:sz w:val="22"/>
          <w:szCs w:val="22"/>
          <w:lang w:val="en-GB"/>
        </w:rPr>
      </w:pPr>
    </w:p>
    <w:p w:rsidR="00E807F8" w:rsidRPr="00EC4212" w:rsidRDefault="00E807F8" w:rsidP="000F1941">
      <w:pPr>
        <w:pStyle w:val="ListParagraph"/>
        <w:numPr>
          <w:ilvl w:val="0"/>
          <w:numId w:val="14"/>
        </w:numPr>
        <w:ind w:left="720"/>
        <w:contextualSpacing w:val="0"/>
        <w:jc w:val="both"/>
        <w:rPr>
          <w:rFonts w:asciiTheme="minorHAnsi" w:hAnsiTheme="minorHAnsi"/>
          <w:sz w:val="22"/>
          <w:szCs w:val="22"/>
          <w:lang w:val="en-GB"/>
        </w:rPr>
      </w:pPr>
      <w:r w:rsidRPr="00EC4212">
        <w:rPr>
          <w:rFonts w:asciiTheme="minorHAnsi" w:hAnsiTheme="minorHAnsi"/>
          <w:sz w:val="22"/>
          <w:szCs w:val="22"/>
          <w:lang w:val="en-GB"/>
        </w:rPr>
        <w:t>DH Termokos has proposed the cost in the amount of € 94,698, for the estimated amount of water consumption 65,823 m</w:t>
      </w:r>
      <w:r w:rsidRPr="00EC4212">
        <w:rPr>
          <w:rFonts w:asciiTheme="minorHAnsi" w:hAnsiTheme="minorHAnsi"/>
          <w:sz w:val="22"/>
          <w:szCs w:val="22"/>
          <w:vertAlign w:val="superscript"/>
          <w:lang w:val="en-GB"/>
        </w:rPr>
        <w:t>3</w:t>
      </w:r>
      <w:r w:rsidRPr="00EC4212">
        <w:rPr>
          <w:rFonts w:asciiTheme="minorHAnsi" w:hAnsiTheme="minorHAnsi"/>
          <w:sz w:val="22"/>
          <w:szCs w:val="22"/>
          <w:lang w:val="en-GB"/>
        </w:rPr>
        <w:t xml:space="preserve"> for replenishment of system (primary network) as well as the cost for recharging the thermal energy transmission network from cogeneration and the cost for water consumption in substations.</w:t>
      </w:r>
    </w:p>
    <w:p w:rsidR="00E807F8" w:rsidRPr="00EC4212" w:rsidRDefault="00E807F8" w:rsidP="00F23C29">
      <w:pPr>
        <w:pStyle w:val="ListParagraph"/>
        <w:numPr>
          <w:ilvl w:val="0"/>
          <w:numId w:val="14"/>
        </w:numPr>
        <w:ind w:left="720"/>
        <w:contextualSpacing w:val="0"/>
        <w:jc w:val="both"/>
        <w:rPr>
          <w:rFonts w:asciiTheme="minorHAnsi" w:hAnsiTheme="minorHAnsi"/>
          <w:sz w:val="22"/>
          <w:szCs w:val="22"/>
          <w:lang w:val="en-GB"/>
        </w:rPr>
      </w:pPr>
      <w:r w:rsidRPr="00EC4212">
        <w:rPr>
          <w:rFonts w:asciiTheme="minorHAnsi" w:hAnsiTheme="minorHAnsi"/>
          <w:sz w:val="22"/>
          <w:szCs w:val="22"/>
          <w:lang w:val="en-GB"/>
        </w:rPr>
        <w:t>Evaluation - ERO carried evaluations based on the realization of this cost in previous seasons - namely in the season 2019/2020 the realized water cost was € 90,188 for water consumption of 62,689 m</w:t>
      </w:r>
      <w:r w:rsidRPr="00EC4212">
        <w:rPr>
          <w:rFonts w:asciiTheme="minorHAnsi" w:hAnsiTheme="minorHAnsi"/>
          <w:sz w:val="22"/>
          <w:szCs w:val="22"/>
          <w:vertAlign w:val="superscript"/>
          <w:lang w:val="en-GB"/>
        </w:rPr>
        <w:t>3</w:t>
      </w:r>
      <w:r w:rsidRPr="00EC4212">
        <w:rPr>
          <w:rFonts w:asciiTheme="minorHAnsi" w:hAnsiTheme="minorHAnsi"/>
          <w:sz w:val="22"/>
          <w:szCs w:val="22"/>
          <w:lang w:val="en-GB"/>
        </w:rPr>
        <w:t>. Estimates have also taken into account the projected amount of water for recharging the primary distribution network (65,823 m</w:t>
      </w:r>
      <w:r w:rsidRPr="00EC4212">
        <w:rPr>
          <w:rFonts w:asciiTheme="minorHAnsi" w:hAnsiTheme="minorHAnsi"/>
          <w:sz w:val="22"/>
          <w:szCs w:val="22"/>
          <w:vertAlign w:val="superscript"/>
          <w:lang w:val="en-GB"/>
        </w:rPr>
        <w:t>3</w:t>
      </w:r>
      <w:r w:rsidRPr="00EC4212">
        <w:rPr>
          <w:rFonts w:asciiTheme="minorHAnsi" w:hAnsiTheme="minorHAnsi"/>
          <w:sz w:val="22"/>
          <w:szCs w:val="22"/>
          <w:lang w:val="en-GB"/>
        </w:rPr>
        <w:t xml:space="preserve"> - a consumption slightly higher than last season due to network expansion), as well as other water costs for the cogeneration network and substations. Consequently, based on the relevant calculations that take into account the current tariffs for water services for RWC Prishtina - for water supply service: 0.69 €/m</w:t>
      </w:r>
      <w:r w:rsidRPr="00EC4212">
        <w:rPr>
          <w:rFonts w:asciiTheme="minorHAnsi" w:hAnsiTheme="minorHAnsi"/>
          <w:sz w:val="22"/>
          <w:szCs w:val="22"/>
          <w:vertAlign w:val="superscript"/>
          <w:lang w:val="en-GB"/>
        </w:rPr>
        <w:t>3</w:t>
      </w:r>
      <w:r w:rsidRPr="00EC4212">
        <w:rPr>
          <w:rFonts w:asciiTheme="minorHAnsi" w:hAnsiTheme="minorHAnsi"/>
          <w:sz w:val="22"/>
          <w:szCs w:val="22"/>
          <w:lang w:val="en-GB"/>
        </w:rPr>
        <w:t xml:space="preserve"> and for wastewater service: 0.11 €/m</w:t>
      </w:r>
      <w:r w:rsidRPr="00EC4212">
        <w:rPr>
          <w:rFonts w:asciiTheme="minorHAnsi" w:hAnsiTheme="minorHAnsi"/>
          <w:sz w:val="22"/>
          <w:szCs w:val="22"/>
          <w:vertAlign w:val="superscript"/>
          <w:lang w:val="en-GB"/>
        </w:rPr>
        <w:t>3</w:t>
      </w:r>
      <w:r w:rsidRPr="00EC4212">
        <w:rPr>
          <w:rFonts w:asciiTheme="minorHAnsi" w:hAnsiTheme="minorHAnsi"/>
          <w:sz w:val="22"/>
          <w:szCs w:val="22"/>
          <w:lang w:val="en-GB"/>
        </w:rPr>
        <w:t xml:space="preserve">, as well as the cost of water for substations, ERO estimates that the proposed cost of water of </w:t>
      </w:r>
      <w:r w:rsidRPr="00EC4212">
        <w:rPr>
          <w:rFonts w:asciiTheme="minorHAnsi" w:hAnsiTheme="minorHAnsi"/>
          <w:b/>
          <w:sz w:val="22"/>
          <w:szCs w:val="22"/>
          <w:lang w:val="en-GB"/>
        </w:rPr>
        <w:t>94,698 €,</w:t>
      </w:r>
      <w:r w:rsidRPr="00EC4212">
        <w:rPr>
          <w:rFonts w:asciiTheme="minorHAnsi" w:hAnsiTheme="minorHAnsi"/>
          <w:sz w:val="22"/>
          <w:szCs w:val="22"/>
          <w:lang w:val="en-GB"/>
        </w:rPr>
        <w:t xml:space="preserve"> is real and sufficient for the season 2020/2021.</w:t>
      </w:r>
    </w:p>
    <w:p w:rsidR="00E807F8" w:rsidRPr="00EC4212" w:rsidRDefault="00E807F8" w:rsidP="00E807F8">
      <w:pPr>
        <w:jc w:val="both"/>
        <w:rPr>
          <w:rFonts w:asciiTheme="minorHAnsi" w:hAnsiTheme="minorHAnsi"/>
          <w:sz w:val="22"/>
          <w:szCs w:val="22"/>
          <w:lang w:val="en-GB"/>
        </w:rPr>
      </w:pPr>
      <w:r w:rsidRPr="00EC4212">
        <w:rPr>
          <w:rFonts w:asciiTheme="minorHAnsi" w:hAnsiTheme="minorHAnsi"/>
          <w:sz w:val="22"/>
          <w:szCs w:val="22"/>
          <w:lang w:val="en-GB"/>
        </w:rPr>
        <w:t xml:space="preserve"> </w:t>
      </w:r>
      <w:r w:rsidRPr="00EC4212">
        <w:rPr>
          <w:rFonts w:asciiTheme="minorHAnsi" w:hAnsiTheme="minorHAnsi"/>
          <w:sz w:val="22"/>
          <w:szCs w:val="22"/>
          <w:vertAlign w:val="superscript"/>
          <w:lang w:val="en-GB"/>
        </w:rPr>
        <w:t xml:space="preserve"> </w:t>
      </w:r>
      <w:r w:rsidRPr="00EC4212">
        <w:rPr>
          <w:rFonts w:asciiTheme="minorHAnsi" w:hAnsiTheme="minorHAnsi"/>
          <w:sz w:val="22"/>
          <w:szCs w:val="22"/>
          <w:lang w:val="en-GB"/>
        </w:rPr>
        <w:t xml:space="preserve">  </w:t>
      </w:r>
    </w:p>
    <w:p w:rsidR="00E807F8" w:rsidRPr="00EC4212" w:rsidRDefault="00E807F8" w:rsidP="00F23C29">
      <w:pPr>
        <w:numPr>
          <w:ilvl w:val="2"/>
          <w:numId w:val="6"/>
        </w:numPr>
        <w:tabs>
          <w:tab w:val="clear" w:pos="2160"/>
          <w:tab w:val="num" w:pos="360"/>
        </w:tabs>
        <w:ind w:left="360"/>
        <w:jc w:val="both"/>
        <w:rPr>
          <w:rFonts w:asciiTheme="minorHAnsi" w:hAnsiTheme="minorHAnsi"/>
          <w:b/>
          <w:sz w:val="22"/>
          <w:szCs w:val="22"/>
          <w:lang w:val="en-GB"/>
        </w:rPr>
      </w:pPr>
      <w:r w:rsidRPr="00EC4212">
        <w:rPr>
          <w:rFonts w:asciiTheme="minorHAnsi" w:hAnsiTheme="minorHAnsi"/>
          <w:b/>
          <w:sz w:val="22"/>
          <w:szCs w:val="22"/>
          <w:lang w:val="en-GB"/>
        </w:rPr>
        <w:t>Cost of water treatment chemicals</w:t>
      </w:r>
    </w:p>
    <w:p w:rsidR="00E807F8" w:rsidRPr="00EC4212" w:rsidRDefault="00E807F8" w:rsidP="00E807F8">
      <w:pPr>
        <w:ind w:left="360"/>
        <w:jc w:val="both"/>
        <w:rPr>
          <w:rFonts w:asciiTheme="minorHAnsi" w:hAnsiTheme="minorHAnsi"/>
          <w:b/>
          <w:sz w:val="22"/>
          <w:szCs w:val="22"/>
          <w:lang w:val="en-GB"/>
        </w:rPr>
      </w:pPr>
    </w:p>
    <w:p w:rsidR="00E807F8" w:rsidRPr="00EC4212" w:rsidRDefault="00E807F8" w:rsidP="00F23C29">
      <w:pPr>
        <w:numPr>
          <w:ilvl w:val="3"/>
          <w:numId w:val="15"/>
        </w:numPr>
        <w:tabs>
          <w:tab w:val="clear" w:pos="2880"/>
          <w:tab w:val="num" w:pos="720"/>
        </w:tabs>
        <w:ind w:left="720"/>
        <w:jc w:val="both"/>
        <w:rPr>
          <w:rFonts w:asciiTheme="minorHAnsi" w:hAnsiTheme="minorHAnsi"/>
          <w:sz w:val="22"/>
          <w:szCs w:val="22"/>
          <w:lang w:val="en-GB"/>
        </w:rPr>
      </w:pPr>
      <w:r w:rsidRPr="00EC4212">
        <w:rPr>
          <w:rFonts w:asciiTheme="minorHAnsi" w:hAnsiTheme="minorHAnsi"/>
          <w:sz w:val="22"/>
          <w:szCs w:val="22"/>
          <w:lang w:val="en-GB"/>
        </w:rPr>
        <w:t>DH Termokosi proposed the cost of water treatment chemicals in the amount of € 15,222, which is an increased cost of only € 754 compared to the cost realized in the last season 2019/2020 (€ 14,468), which reflects the planned increase amount of water to recharge the system.</w:t>
      </w:r>
    </w:p>
    <w:p w:rsidR="00E807F8" w:rsidRPr="00EC4212" w:rsidRDefault="00E807F8" w:rsidP="00E807F8">
      <w:pPr>
        <w:ind w:left="720"/>
        <w:jc w:val="both"/>
        <w:rPr>
          <w:rFonts w:asciiTheme="minorHAnsi" w:hAnsiTheme="minorHAnsi"/>
          <w:sz w:val="22"/>
          <w:szCs w:val="22"/>
          <w:lang w:val="en-GB"/>
        </w:rPr>
      </w:pPr>
    </w:p>
    <w:p w:rsidR="00E807F8" w:rsidRPr="00EC4212" w:rsidRDefault="00E807F8" w:rsidP="00F23C29">
      <w:pPr>
        <w:numPr>
          <w:ilvl w:val="3"/>
          <w:numId w:val="15"/>
        </w:numPr>
        <w:tabs>
          <w:tab w:val="clear" w:pos="2880"/>
          <w:tab w:val="num" w:pos="720"/>
        </w:tabs>
        <w:ind w:left="720"/>
        <w:jc w:val="both"/>
        <w:rPr>
          <w:rFonts w:asciiTheme="minorHAnsi" w:hAnsiTheme="minorHAnsi"/>
          <w:sz w:val="22"/>
          <w:szCs w:val="22"/>
          <w:lang w:val="en-GB"/>
        </w:rPr>
      </w:pPr>
      <w:r w:rsidRPr="00EC4212">
        <w:rPr>
          <w:rFonts w:asciiTheme="minorHAnsi" w:hAnsiTheme="minorHAnsi"/>
          <w:sz w:val="22"/>
          <w:szCs w:val="22"/>
          <w:lang w:val="en-GB"/>
        </w:rPr>
        <w:t xml:space="preserve">Evaluation - Taking into account the amount of water to be treated, water leaks (losses) and the planned increase of the heating area, ERO estimates that the amount of </w:t>
      </w:r>
      <w:r w:rsidRPr="00EC4212">
        <w:rPr>
          <w:rFonts w:asciiTheme="minorHAnsi" w:hAnsiTheme="minorHAnsi"/>
          <w:b/>
          <w:sz w:val="22"/>
          <w:szCs w:val="22"/>
          <w:lang w:val="en-GB"/>
        </w:rPr>
        <w:t>€ 15,222</w:t>
      </w:r>
      <w:r w:rsidRPr="00EC4212">
        <w:rPr>
          <w:rFonts w:asciiTheme="minorHAnsi" w:hAnsiTheme="minorHAnsi"/>
          <w:sz w:val="22"/>
          <w:szCs w:val="22"/>
          <w:lang w:val="en-GB"/>
        </w:rPr>
        <w:t xml:space="preserve"> is sufficient to cover the cost of water treatment chemicals.</w:t>
      </w:r>
    </w:p>
    <w:p w:rsidR="00E807F8" w:rsidRPr="00EC4212" w:rsidRDefault="00E807F8" w:rsidP="00E807F8">
      <w:pPr>
        <w:jc w:val="both"/>
        <w:rPr>
          <w:rFonts w:asciiTheme="minorHAnsi" w:hAnsiTheme="minorHAnsi"/>
          <w:sz w:val="22"/>
          <w:szCs w:val="22"/>
          <w:lang w:val="en-GB"/>
        </w:rPr>
      </w:pPr>
    </w:p>
    <w:p w:rsidR="00E807F8" w:rsidRPr="00EC4212" w:rsidRDefault="00E807F8" w:rsidP="00F23C29">
      <w:pPr>
        <w:numPr>
          <w:ilvl w:val="4"/>
          <w:numId w:val="6"/>
        </w:numPr>
        <w:tabs>
          <w:tab w:val="clear" w:pos="3600"/>
          <w:tab w:val="num" w:pos="360"/>
        </w:tabs>
        <w:ind w:left="360"/>
        <w:jc w:val="both"/>
        <w:rPr>
          <w:rFonts w:asciiTheme="minorHAnsi" w:hAnsiTheme="minorHAnsi"/>
          <w:b/>
          <w:sz w:val="22"/>
          <w:szCs w:val="22"/>
          <w:lang w:val="en-GB"/>
        </w:rPr>
      </w:pPr>
      <w:r w:rsidRPr="00EC4212">
        <w:rPr>
          <w:rFonts w:asciiTheme="minorHAnsi" w:hAnsiTheme="minorHAnsi"/>
          <w:b/>
          <w:sz w:val="22"/>
          <w:szCs w:val="22"/>
          <w:lang w:val="en-GB"/>
        </w:rPr>
        <w:t xml:space="preserve">Cost of electricity  </w:t>
      </w:r>
    </w:p>
    <w:p w:rsidR="00E807F8" w:rsidRPr="00EC4212" w:rsidRDefault="00E807F8" w:rsidP="00E807F8">
      <w:pPr>
        <w:ind w:left="720"/>
        <w:jc w:val="both"/>
        <w:rPr>
          <w:rFonts w:asciiTheme="minorHAnsi" w:hAnsiTheme="minorHAnsi"/>
          <w:sz w:val="22"/>
          <w:szCs w:val="22"/>
          <w:lang w:val="en-GB"/>
        </w:rPr>
      </w:pPr>
    </w:p>
    <w:p w:rsidR="00E807F8" w:rsidRPr="00EC4212" w:rsidRDefault="00E807F8" w:rsidP="00F23C29">
      <w:pPr>
        <w:numPr>
          <w:ilvl w:val="5"/>
          <w:numId w:val="6"/>
        </w:numPr>
        <w:tabs>
          <w:tab w:val="clear" w:pos="4320"/>
          <w:tab w:val="num" w:pos="720"/>
        </w:tabs>
        <w:ind w:left="720"/>
        <w:jc w:val="both"/>
        <w:rPr>
          <w:rFonts w:asciiTheme="minorHAnsi" w:hAnsiTheme="minorHAnsi"/>
          <w:sz w:val="22"/>
          <w:szCs w:val="22"/>
          <w:lang w:val="en-GB"/>
        </w:rPr>
      </w:pPr>
      <w:r w:rsidRPr="00EC4212">
        <w:rPr>
          <w:rFonts w:asciiTheme="minorHAnsi" w:hAnsiTheme="minorHAnsi"/>
          <w:sz w:val="22"/>
          <w:szCs w:val="22"/>
          <w:lang w:val="en-GB"/>
        </w:rPr>
        <w:t>For the cost of electricity</w:t>
      </w:r>
      <w:r w:rsidR="00F80936">
        <w:rPr>
          <w:rFonts w:asciiTheme="minorHAnsi" w:hAnsiTheme="minorHAnsi"/>
          <w:sz w:val="22"/>
          <w:szCs w:val="22"/>
          <w:lang w:val="en-GB"/>
        </w:rPr>
        <w:t>,</w:t>
      </w:r>
      <w:r w:rsidRPr="00EC4212">
        <w:rPr>
          <w:rFonts w:asciiTheme="minorHAnsi" w:hAnsiTheme="minorHAnsi"/>
          <w:sz w:val="22"/>
          <w:szCs w:val="22"/>
          <w:lang w:val="en-GB"/>
        </w:rPr>
        <w:t xml:space="preserve"> DH Termokos has proposed a total value of € 596,489 - this cost takes into account the consumption of electricity in system plants and substations. It should be noted that the proposed value of the cost of electricity represents an increase of about 11% compared to the value realized in the last season 2019/2020 (€ 537,378). This increase was justified mainly with the increase of the number of substations due to the increase </w:t>
      </w:r>
      <w:r w:rsidR="00F80936">
        <w:rPr>
          <w:rFonts w:asciiTheme="minorHAnsi" w:hAnsiTheme="minorHAnsi"/>
          <w:sz w:val="22"/>
          <w:szCs w:val="22"/>
          <w:lang w:val="en-GB"/>
        </w:rPr>
        <w:t>in</w:t>
      </w:r>
      <w:r w:rsidRPr="00EC4212">
        <w:rPr>
          <w:rFonts w:asciiTheme="minorHAnsi" w:hAnsiTheme="minorHAnsi"/>
          <w:sz w:val="22"/>
          <w:szCs w:val="22"/>
          <w:lang w:val="en-GB"/>
        </w:rPr>
        <w:t xml:space="preserve"> customer base, namely the increase of heating area and new equipment. </w:t>
      </w:r>
    </w:p>
    <w:p w:rsidR="00E807F8" w:rsidRPr="00EC4212" w:rsidRDefault="00E807F8" w:rsidP="00E807F8">
      <w:pPr>
        <w:ind w:left="720"/>
        <w:jc w:val="both"/>
        <w:rPr>
          <w:rFonts w:asciiTheme="minorHAnsi" w:hAnsiTheme="minorHAnsi"/>
          <w:sz w:val="22"/>
          <w:szCs w:val="22"/>
          <w:lang w:val="en-GB"/>
        </w:rPr>
      </w:pPr>
      <w:r w:rsidRPr="00EC4212">
        <w:rPr>
          <w:rFonts w:asciiTheme="minorHAnsi" w:hAnsiTheme="minorHAnsi"/>
          <w:sz w:val="22"/>
          <w:szCs w:val="22"/>
          <w:lang w:val="en-GB"/>
        </w:rPr>
        <w:t xml:space="preserve"> </w:t>
      </w:r>
    </w:p>
    <w:p w:rsidR="00002250" w:rsidRPr="00EC4212" w:rsidRDefault="00E807F8" w:rsidP="005F7877">
      <w:pPr>
        <w:numPr>
          <w:ilvl w:val="5"/>
          <w:numId w:val="6"/>
        </w:numPr>
        <w:tabs>
          <w:tab w:val="clear" w:pos="4320"/>
          <w:tab w:val="num" w:pos="720"/>
        </w:tabs>
        <w:ind w:left="720"/>
        <w:jc w:val="both"/>
        <w:rPr>
          <w:rFonts w:asciiTheme="minorHAnsi" w:hAnsiTheme="minorHAnsi"/>
          <w:sz w:val="22"/>
          <w:lang w:val="en-GB"/>
        </w:rPr>
      </w:pPr>
      <w:r w:rsidRPr="00EC4212">
        <w:rPr>
          <w:rFonts w:asciiTheme="minorHAnsi" w:hAnsiTheme="minorHAnsi"/>
          <w:sz w:val="22"/>
          <w:szCs w:val="22"/>
          <w:lang w:val="en-GB"/>
        </w:rPr>
        <w:t xml:space="preserve">Evaluation - ERO estimates that the cost planning of electricity is grounded and realistic and that the increase of about 11% corresponds to the increase of the number of substations, namely heating area. Consequently, the presented cost of electricity in the amount of </w:t>
      </w:r>
      <w:r w:rsidRPr="00EC4212">
        <w:rPr>
          <w:rFonts w:asciiTheme="minorHAnsi" w:hAnsiTheme="minorHAnsi"/>
          <w:b/>
          <w:sz w:val="22"/>
          <w:szCs w:val="22"/>
          <w:lang w:val="en-GB"/>
        </w:rPr>
        <w:t xml:space="preserve">€ 596,489 </w:t>
      </w:r>
      <w:r w:rsidRPr="00EC4212">
        <w:rPr>
          <w:rFonts w:asciiTheme="minorHAnsi" w:hAnsiTheme="minorHAnsi"/>
          <w:sz w:val="22"/>
          <w:szCs w:val="22"/>
          <w:lang w:val="en-GB"/>
        </w:rPr>
        <w:t xml:space="preserve">is </w:t>
      </w:r>
      <w:r w:rsidR="00EE17D9">
        <w:rPr>
          <w:rFonts w:asciiTheme="minorHAnsi" w:hAnsiTheme="minorHAnsi"/>
          <w:sz w:val="22"/>
          <w:szCs w:val="22"/>
          <w:lang w:val="en-GB"/>
        </w:rPr>
        <w:t>allowed</w:t>
      </w:r>
      <w:r w:rsidRPr="00EC4212">
        <w:rPr>
          <w:rFonts w:asciiTheme="minorHAnsi" w:hAnsiTheme="minorHAnsi"/>
          <w:sz w:val="22"/>
          <w:szCs w:val="22"/>
          <w:lang w:val="en-GB"/>
        </w:rPr>
        <w:t xml:space="preserve"> as real and sufficient to cover the total consumption of electricity for the </w:t>
      </w:r>
      <w:r w:rsidRPr="00EC4212">
        <w:rPr>
          <w:rFonts w:asciiTheme="minorHAnsi" w:hAnsiTheme="minorHAnsi"/>
          <w:sz w:val="22"/>
          <w:szCs w:val="22"/>
          <w:lang w:val="en-GB"/>
        </w:rPr>
        <w:lastRenderedPageBreak/>
        <w:t>period concerned, including additional costs due to the increase of heating area and installation of additional equipment (new).</w:t>
      </w:r>
    </w:p>
    <w:p w:rsidR="00E807F8" w:rsidRPr="00EC4212" w:rsidRDefault="00E807F8" w:rsidP="00002250">
      <w:pPr>
        <w:jc w:val="both"/>
        <w:rPr>
          <w:rFonts w:asciiTheme="minorHAnsi" w:hAnsiTheme="minorHAnsi"/>
          <w:sz w:val="22"/>
          <w:lang w:val="en-GB"/>
        </w:rPr>
      </w:pPr>
      <w:r w:rsidRPr="00EC4212">
        <w:rPr>
          <w:rFonts w:asciiTheme="minorHAnsi" w:hAnsiTheme="minorHAnsi"/>
          <w:sz w:val="22"/>
          <w:szCs w:val="22"/>
          <w:lang w:val="en-GB"/>
        </w:rPr>
        <w:t xml:space="preserve">  </w:t>
      </w:r>
    </w:p>
    <w:p w:rsidR="00E807F8" w:rsidRPr="00EC4212" w:rsidRDefault="00E807F8" w:rsidP="00F23C29">
      <w:pPr>
        <w:numPr>
          <w:ilvl w:val="4"/>
          <w:numId w:val="7"/>
        </w:numPr>
        <w:tabs>
          <w:tab w:val="clear" w:pos="3600"/>
          <w:tab w:val="num" w:pos="360"/>
        </w:tabs>
        <w:ind w:left="360"/>
        <w:jc w:val="both"/>
        <w:rPr>
          <w:rFonts w:asciiTheme="minorHAnsi" w:hAnsiTheme="minorHAnsi"/>
          <w:b/>
          <w:sz w:val="22"/>
          <w:lang w:val="en-GB"/>
        </w:rPr>
      </w:pPr>
      <w:r w:rsidRPr="00EC4212">
        <w:rPr>
          <w:rFonts w:asciiTheme="minorHAnsi" w:hAnsiTheme="minorHAnsi"/>
          <w:b/>
          <w:sz w:val="22"/>
          <w:lang w:val="en-GB"/>
        </w:rPr>
        <w:t xml:space="preserve">Personnel </w:t>
      </w:r>
      <w:r w:rsidR="00804CC5" w:rsidRPr="00EC4212">
        <w:rPr>
          <w:rFonts w:asciiTheme="minorHAnsi" w:hAnsiTheme="minorHAnsi"/>
          <w:b/>
          <w:sz w:val="22"/>
          <w:lang w:val="en-GB"/>
        </w:rPr>
        <w:t xml:space="preserve">Cost </w:t>
      </w:r>
      <w:r w:rsidRPr="00EC4212">
        <w:rPr>
          <w:rFonts w:asciiTheme="minorHAnsi" w:hAnsiTheme="minorHAnsi"/>
          <w:b/>
          <w:sz w:val="22"/>
          <w:lang w:val="en-GB"/>
        </w:rPr>
        <w:t>(“direct labour”)</w:t>
      </w:r>
    </w:p>
    <w:p w:rsidR="00E807F8" w:rsidRPr="00EC4212" w:rsidRDefault="00E807F8" w:rsidP="00E807F8">
      <w:pPr>
        <w:ind w:left="360"/>
        <w:jc w:val="both"/>
        <w:rPr>
          <w:rFonts w:asciiTheme="minorHAnsi" w:hAnsiTheme="minorHAnsi"/>
          <w:sz w:val="22"/>
          <w:lang w:val="en-GB"/>
        </w:rPr>
      </w:pPr>
    </w:p>
    <w:p w:rsidR="00E807F8" w:rsidRPr="00EC4212" w:rsidRDefault="00E807F8" w:rsidP="00F23C29">
      <w:pPr>
        <w:numPr>
          <w:ilvl w:val="5"/>
          <w:numId w:val="7"/>
        </w:numPr>
        <w:tabs>
          <w:tab w:val="clear" w:pos="4320"/>
          <w:tab w:val="num" w:pos="720"/>
        </w:tabs>
        <w:ind w:left="720"/>
        <w:jc w:val="both"/>
        <w:rPr>
          <w:rFonts w:asciiTheme="minorHAnsi" w:hAnsiTheme="minorHAnsi"/>
          <w:sz w:val="22"/>
          <w:lang w:val="en-GB"/>
        </w:rPr>
      </w:pPr>
      <w:r w:rsidRPr="00EC4212">
        <w:rPr>
          <w:rFonts w:asciiTheme="minorHAnsi" w:hAnsiTheme="minorHAnsi"/>
          <w:sz w:val="22"/>
          <w:lang w:val="en-GB"/>
        </w:rPr>
        <w:t xml:space="preserve">DH Termokos presented the </w:t>
      </w:r>
      <w:r w:rsidR="00467E86">
        <w:rPr>
          <w:rFonts w:asciiTheme="minorHAnsi" w:hAnsiTheme="minorHAnsi"/>
          <w:sz w:val="22"/>
          <w:lang w:val="en-GB"/>
        </w:rPr>
        <w:t>personnel</w:t>
      </w:r>
      <w:r w:rsidRPr="00EC4212">
        <w:rPr>
          <w:rFonts w:asciiTheme="minorHAnsi" w:hAnsiTheme="minorHAnsi"/>
          <w:sz w:val="22"/>
          <w:lang w:val="en-GB"/>
        </w:rPr>
        <w:t xml:space="preserve"> cost - "direct labour", in the amount of € 978,038, which represents an increase of 16.23% compared to the value allowed last season (€ 841,454). Details of this forecast were provided, which were requested in ERO written comments, and was justified by the planned increase in the number of staff according to the Regulation on the Organization and Systematization of Jobs issued by the Board of </w:t>
      </w:r>
      <w:r w:rsidR="00467E86">
        <w:rPr>
          <w:rFonts w:asciiTheme="minorHAnsi" w:hAnsiTheme="minorHAnsi"/>
          <w:sz w:val="22"/>
          <w:lang w:val="en-GB"/>
        </w:rPr>
        <w:t>PE</w:t>
      </w:r>
      <w:r w:rsidRPr="00EC4212">
        <w:rPr>
          <w:rFonts w:asciiTheme="minorHAnsi" w:hAnsiTheme="minorHAnsi"/>
          <w:sz w:val="22"/>
          <w:lang w:val="en-GB"/>
        </w:rPr>
        <w:t xml:space="preserve"> Termokos at the end of 2019. According to this Regulation, among others, it is foreseen to increase the number of employees (from currently 203 to 248), as well as the addition of some new</w:t>
      </w:r>
      <w:r w:rsidR="00467E86">
        <w:rPr>
          <w:rFonts w:asciiTheme="minorHAnsi" w:hAnsiTheme="minorHAnsi"/>
          <w:sz w:val="22"/>
          <w:lang w:val="en-GB"/>
        </w:rPr>
        <w:t xml:space="preserve"> organizational units, such as t</w:t>
      </w:r>
      <w:r w:rsidRPr="00EC4212">
        <w:rPr>
          <w:rFonts w:asciiTheme="minorHAnsi" w:hAnsiTheme="minorHAnsi"/>
          <w:sz w:val="22"/>
          <w:lang w:val="en-GB"/>
        </w:rPr>
        <w:t xml:space="preserve">he Legal Department and the Capital Development and Investment Department, which are expected to have 24 employees. According to the new organizational chart, an increase in the number of employees in the Distribution Department is foreseen due to expansion of </w:t>
      </w:r>
      <w:r w:rsidR="00F80936">
        <w:rPr>
          <w:rFonts w:asciiTheme="minorHAnsi" w:hAnsiTheme="minorHAnsi"/>
          <w:sz w:val="22"/>
          <w:lang w:val="en-GB"/>
        </w:rPr>
        <w:t xml:space="preserve">the </w:t>
      </w:r>
      <w:r w:rsidRPr="00EC4212">
        <w:rPr>
          <w:rFonts w:asciiTheme="minorHAnsi" w:hAnsiTheme="minorHAnsi"/>
          <w:sz w:val="22"/>
          <w:lang w:val="en-GB"/>
        </w:rPr>
        <w:t>network in other districts (neighbo</w:t>
      </w:r>
      <w:r w:rsidR="00F80936">
        <w:rPr>
          <w:rFonts w:asciiTheme="minorHAnsi" w:hAnsiTheme="minorHAnsi"/>
          <w:sz w:val="22"/>
          <w:lang w:val="en-GB"/>
        </w:rPr>
        <w:t>u</w:t>
      </w:r>
      <w:r w:rsidRPr="00EC4212">
        <w:rPr>
          <w:rFonts w:asciiTheme="minorHAnsi" w:hAnsiTheme="minorHAnsi"/>
          <w:sz w:val="22"/>
          <w:lang w:val="en-GB"/>
        </w:rPr>
        <w:t xml:space="preserve">rhoods) of the city, within the ongoing or planned projects. Regarding the planned increase in the number of employees, it should be noted that, according to information from POE Termokos, new jobs have not yet been filled in both existing and new departments. Also, </w:t>
      </w:r>
      <w:r w:rsidR="00467E86">
        <w:rPr>
          <w:rFonts w:asciiTheme="minorHAnsi" w:hAnsiTheme="minorHAnsi"/>
          <w:sz w:val="22"/>
          <w:lang w:val="en-GB"/>
        </w:rPr>
        <w:t>PE</w:t>
      </w:r>
      <w:r w:rsidRPr="00EC4212">
        <w:rPr>
          <w:rFonts w:asciiTheme="minorHAnsi" w:hAnsiTheme="minorHAnsi"/>
          <w:sz w:val="22"/>
          <w:lang w:val="en-GB"/>
        </w:rPr>
        <w:t xml:space="preserve"> Termokos has not provided any recruitment plan for new staff to fill new positions.   </w:t>
      </w:r>
    </w:p>
    <w:p w:rsidR="00E807F8" w:rsidRPr="00EC4212" w:rsidRDefault="00E807F8" w:rsidP="00E807F8">
      <w:pPr>
        <w:ind w:left="720"/>
        <w:jc w:val="both"/>
        <w:rPr>
          <w:rFonts w:asciiTheme="minorHAnsi" w:hAnsiTheme="minorHAnsi"/>
          <w:sz w:val="22"/>
          <w:lang w:val="en-GB"/>
        </w:rPr>
      </w:pPr>
    </w:p>
    <w:p w:rsidR="00351D47" w:rsidRPr="00EC4212" w:rsidRDefault="00E807F8" w:rsidP="00F23C29">
      <w:pPr>
        <w:numPr>
          <w:ilvl w:val="5"/>
          <w:numId w:val="7"/>
        </w:numPr>
        <w:tabs>
          <w:tab w:val="clear" w:pos="4320"/>
          <w:tab w:val="num" w:pos="720"/>
        </w:tabs>
        <w:ind w:left="720"/>
        <w:jc w:val="both"/>
        <w:rPr>
          <w:rFonts w:asciiTheme="minorHAnsi" w:hAnsiTheme="minorHAnsi"/>
          <w:sz w:val="22"/>
          <w:lang w:val="en-GB"/>
        </w:rPr>
      </w:pPr>
      <w:r w:rsidRPr="00EC4212">
        <w:rPr>
          <w:rFonts w:asciiTheme="minorHAnsi" w:hAnsiTheme="minorHAnsi"/>
          <w:sz w:val="22"/>
          <w:lang w:val="en-GB"/>
        </w:rPr>
        <w:t>Evaluation - Without wishing to give estimates for the significant increase in the number of employees planned by the new Regulation, which is an exclusive competence of the Board of PE Termokos, ERO emphasizes that the increase of new jobs shou</w:t>
      </w:r>
      <w:r w:rsidR="00467E86">
        <w:rPr>
          <w:rFonts w:asciiTheme="minorHAnsi" w:hAnsiTheme="minorHAnsi"/>
          <w:sz w:val="22"/>
          <w:lang w:val="en-GB"/>
        </w:rPr>
        <w:t>ld be a process that reflects a</w:t>
      </w:r>
      <w:r w:rsidRPr="00EC4212">
        <w:rPr>
          <w:rFonts w:asciiTheme="minorHAnsi" w:hAnsiTheme="minorHAnsi"/>
          <w:sz w:val="22"/>
          <w:lang w:val="en-GB"/>
        </w:rPr>
        <w:t xml:space="preserve"> visible increase of the enterprise operations, as well as considering the cost-effectiveness and related benefits. </w:t>
      </w:r>
    </w:p>
    <w:p w:rsidR="00351D47" w:rsidRPr="00EC4212" w:rsidRDefault="00351D47" w:rsidP="00351D47">
      <w:pPr>
        <w:pStyle w:val="ListParagraph"/>
        <w:rPr>
          <w:rFonts w:asciiTheme="minorHAnsi" w:hAnsiTheme="minorHAnsi"/>
          <w:sz w:val="22"/>
          <w:lang w:val="en-GB"/>
        </w:rPr>
      </w:pPr>
    </w:p>
    <w:p w:rsidR="00611DF2" w:rsidRPr="00EC4212" w:rsidRDefault="005874A4" w:rsidP="005874A4">
      <w:pPr>
        <w:pStyle w:val="ListParagraph"/>
        <w:jc w:val="both"/>
        <w:rPr>
          <w:rFonts w:asciiTheme="minorHAnsi" w:hAnsiTheme="minorHAnsi"/>
          <w:sz w:val="22"/>
          <w:lang w:val="en-GB"/>
        </w:rPr>
      </w:pPr>
      <w:r w:rsidRPr="00EC4212">
        <w:rPr>
          <w:rFonts w:asciiTheme="minorHAnsi" w:hAnsiTheme="minorHAnsi"/>
          <w:sz w:val="22"/>
          <w:lang w:val="en-GB"/>
        </w:rPr>
        <w:t xml:space="preserve">From the review of the information provided and the Regulation concerned, it is estimated that, according to the new organization, no significant increase in the number of employees in Production/Cogeneration and Distribution Department is foreseen, and it emphasizes the fact that so far the relevant job positions have not been filled in. Considering these facts and considering that filling of new job positions is a process that requires time for the recruitment of professional staff and </w:t>
      </w:r>
      <w:r w:rsidR="00467E86">
        <w:rPr>
          <w:rFonts w:asciiTheme="minorHAnsi" w:hAnsiTheme="minorHAnsi"/>
          <w:sz w:val="22"/>
          <w:lang w:val="en-GB"/>
        </w:rPr>
        <w:t>which</w:t>
      </w:r>
      <w:r w:rsidRPr="00EC4212">
        <w:rPr>
          <w:rFonts w:asciiTheme="minorHAnsi" w:hAnsiTheme="minorHAnsi"/>
          <w:sz w:val="22"/>
          <w:lang w:val="en-GB"/>
        </w:rPr>
        <w:t xml:space="preserve"> should be undertaken in accordance with the gradual expansion of the operations of the enterprise, it is considered that the proposed increase is not real and allows an increase of 2.8% of this cost compared to allowances for the previous season 2019/2020; consequently</w:t>
      </w:r>
      <w:r w:rsidR="00F80936">
        <w:rPr>
          <w:rFonts w:asciiTheme="minorHAnsi" w:hAnsiTheme="minorHAnsi"/>
          <w:sz w:val="22"/>
          <w:lang w:val="en-GB"/>
        </w:rPr>
        <w:t>,</w:t>
      </w:r>
      <w:r w:rsidRPr="00EC4212">
        <w:rPr>
          <w:rFonts w:asciiTheme="minorHAnsi" w:hAnsiTheme="minorHAnsi"/>
          <w:sz w:val="22"/>
          <w:lang w:val="en-GB"/>
        </w:rPr>
        <w:t xml:space="preserve"> ERO allows </w:t>
      </w:r>
      <w:r w:rsidRPr="00EC4212">
        <w:rPr>
          <w:rFonts w:asciiTheme="minorHAnsi" w:hAnsiTheme="minorHAnsi"/>
          <w:b/>
          <w:sz w:val="22"/>
          <w:lang w:val="en-GB"/>
        </w:rPr>
        <w:t>Staff Cost - 'Direct Labour'</w:t>
      </w:r>
      <w:r w:rsidRPr="00EC4212">
        <w:rPr>
          <w:rFonts w:asciiTheme="minorHAnsi" w:hAnsiTheme="minorHAnsi"/>
          <w:sz w:val="22"/>
          <w:lang w:val="en-GB"/>
        </w:rPr>
        <w:t xml:space="preserve"> in the amount of </w:t>
      </w:r>
      <w:r w:rsidRPr="00EC4212">
        <w:rPr>
          <w:rFonts w:asciiTheme="minorHAnsi" w:hAnsiTheme="minorHAnsi"/>
          <w:b/>
          <w:sz w:val="22"/>
          <w:lang w:val="en-GB"/>
        </w:rPr>
        <w:t>€ 865,015.</w:t>
      </w:r>
      <w:r w:rsidRPr="00EC4212">
        <w:rPr>
          <w:rFonts w:asciiTheme="minorHAnsi" w:hAnsiTheme="minorHAnsi"/>
          <w:sz w:val="22"/>
          <w:lang w:val="en-GB"/>
        </w:rPr>
        <w:t xml:space="preserve">  </w:t>
      </w:r>
    </w:p>
    <w:p w:rsidR="00611DF2" w:rsidRPr="00EC4212" w:rsidRDefault="00611DF2" w:rsidP="005874A4">
      <w:pPr>
        <w:pStyle w:val="ListParagraph"/>
        <w:jc w:val="both"/>
        <w:rPr>
          <w:rFonts w:asciiTheme="minorHAnsi" w:hAnsiTheme="minorHAnsi"/>
          <w:sz w:val="22"/>
          <w:lang w:val="en-GB"/>
        </w:rPr>
      </w:pPr>
    </w:p>
    <w:p w:rsidR="005874A4" w:rsidRPr="00EC4212" w:rsidRDefault="00611DF2" w:rsidP="005874A4">
      <w:pPr>
        <w:pStyle w:val="ListParagraph"/>
        <w:jc w:val="both"/>
        <w:rPr>
          <w:rFonts w:asciiTheme="minorHAnsi" w:hAnsiTheme="minorHAnsi"/>
          <w:sz w:val="22"/>
          <w:lang w:val="en-GB"/>
        </w:rPr>
      </w:pPr>
      <w:r w:rsidRPr="00EC4212">
        <w:rPr>
          <w:rFonts w:asciiTheme="minorHAnsi" w:hAnsiTheme="minorHAnsi"/>
          <w:sz w:val="22"/>
          <w:lang w:val="en-GB"/>
        </w:rPr>
        <w:t>The increase of 2.8% reflects the economic growth nationwide for the tariff review period October 2020 - October 2021. According to estimates and projections of the World Bank (</w:t>
      </w:r>
      <w:hyperlink r:id="rId15" w:history="1">
        <w:r w:rsidRPr="00EC4212">
          <w:rPr>
            <w:rStyle w:val="Hyperlink"/>
            <w:rFonts w:asciiTheme="minorHAnsi" w:hAnsiTheme="minorHAnsi"/>
            <w:sz w:val="22"/>
            <w:lang w:val="en-GB"/>
          </w:rPr>
          <w:t>https://dataworldbank.org/country/kosovo</w:t>
        </w:r>
      </w:hyperlink>
      <w:r w:rsidRPr="00EC4212">
        <w:rPr>
          <w:rStyle w:val="Hyperlink"/>
          <w:rFonts w:asciiTheme="minorHAnsi" w:hAnsiTheme="minorHAnsi"/>
          <w:color w:val="auto"/>
          <w:sz w:val="22"/>
          <w:lang w:val="en-GB"/>
        </w:rPr>
        <w:t xml:space="preserve">) </w:t>
      </w:r>
      <w:r w:rsidRPr="00EC4212">
        <w:rPr>
          <w:rStyle w:val="Hyperlink"/>
          <w:rFonts w:asciiTheme="minorHAnsi" w:hAnsiTheme="minorHAnsi"/>
          <w:color w:val="auto"/>
          <w:sz w:val="22"/>
          <w:u w:val="none"/>
          <w:lang w:val="en-GB"/>
        </w:rPr>
        <w:t>for 2020</w:t>
      </w:r>
      <w:r w:rsidR="00F80936">
        <w:rPr>
          <w:rStyle w:val="Hyperlink"/>
          <w:rFonts w:asciiTheme="minorHAnsi" w:hAnsiTheme="minorHAnsi"/>
          <w:color w:val="auto"/>
          <w:sz w:val="22"/>
          <w:u w:val="none"/>
          <w:lang w:val="en-GB"/>
        </w:rPr>
        <w:t>,</w:t>
      </w:r>
      <w:r w:rsidRPr="00EC4212">
        <w:rPr>
          <w:rStyle w:val="Hyperlink"/>
          <w:rFonts w:asciiTheme="minorHAnsi" w:hAnsiTheme="minorHAnsi"/>
          <w:color w:val="auto"/>
          <w:sz w:val="22"/>
          <w:u w:val="none"/>
          <w:lang w:val="en-GB"/>
        </w:rPr>
        <w:t xml:space="preserve"> it is estimated that there has been a recession, i.e. a negative GDP growth of -4/5% (due to the COVID19 pandemic), while the projection of GDP growth</w:t>
      </w:r>
      <w:r w:rsidRPr="00EC4212">
        <w:rPr>
          <w:rFonts w:asciiTheme="minorHAnsi" w:hAnsiTheme="minorHAnsi"/>
          <w:sz w:val="22"/>
          <w:lang w:val="en-GB"/>
        </w:rPr>
        <w:t xml:space="preserve"> </w:t>
      </w:r>
      <w:r w:rsidRPr="00EC4212">
        <w:rPr>
          <w:rFonts w:asciiTheme="minorHAnsi" w:hAnsiTheme="minorHAnsi"/>
          <w:sz w:val="22"/>
          <w:szCs w:val="22"/>
          <w:lang w:val="en-GB"/>
        </w:rPr>
        <w:t xml:space="preserve">for 2021 is 5.2%. The weighted average (which includes 3 months of 2020 and 9 months of 2021) results in 2.8%.  </w:t>
      </w:r>
      <w:r w:rsidRPr="00EC4212">
        <w:rPr>
          <w:lang w:val="en-GB"/>
        </w:rPr>
        <w:t xml:space="preserve">   </w:t>
      </w:r>
      <w:r w:rsidRPr="00EC4212">
        <w:rPr>
          <w:rFonts w:asciiTheme="minorHAnsi" w:hAnsiTheme="minorHAnsi"/>
          <w:sz w:val="22"/>
          <w:lang w:val="en-GB"/>
        </w:rPr>
        <w:t xml:space="preserve">   </w:t>
      </w:r>
    </w:p>
    <w:p w:rsidR="00E807F8" w:rsidRPr="00EC4212" w:rsidRDefault="00E807F8" w:rsidP="00E807F8">
      <w:pPr>
        <w:jc w:val="both"/>
        <w:rPr>
          <w:rFonts w:asciiTheme="minorHAnsi" w:hAnsiTheme="minorHAnsi"/>
          <w:sz w:val="22"/>
          <w:lang w:val="en-GB"/>
        </w:rPr>
      </w:pPr>
    </w:p>
    <w:p w:rsidR="00E807F8" w:rsidRPr="00EC4212" w:rsidRDefault="00E807F8" w:rsidP="00F23C29">
      <w:pPr>
        <w:pStyle w:val="ListParagraph"/>
        <w:numPr>
          <w:ilvl w:val="4"/>
          <w:numId w:val="7"/>
        </w:numPr>
        <w:tabs>
          <w:tab w:val="clear" w:pos="3600"/>
          <w:tab w:val="num" w:pos="360"/>
        </w:tabs>
        <w:ind w:left="360"/>
        <w:contextualSpacing w:val="0"/>
        <w:jc w:val="both"/>
        <w:rPr>
          <w:rFonts w:asciiTheme="minorHAnsi" w:hAnsiTheme="minorHAnsi"/>
          <w:b/>
          <w:sz w:val="22"/>
          <w:lang w:val="en-GB"/>
        </w:rPr>
      </w:pPr>
      <w:r w:rsidRPr="00EC4212">
        <w:rPr>
          <w:rFonts w:asciiTheme="minorHAnsi" w:hAnsiTheme="minorHAnsi"/>
          <w:b/>
          <w:sz w:val="22"/>
          <w:lang w:val="en-GB"/>
        </w:rPr>
        <w:t>Bad debt cost and the annual licensing fee</w:t>
      </w:r>
    </w:p>
    <w:p w:rsidR="00E807F8" w:rsidRPr="00EC4212" w:rsidRDefault="00E807F8" w:rsidP="00E807F8">
      <w:pPr>
        <w:pStyle w:val="ListParagraph"/>
        <w:ind w:left="360"/>
        <w:jc w:val="both"/>
        <w:rPr>
          <w:rFonts w:asciiTheme="minorHAnsi" w:hAnsiTheme="minorHAnsi"/>
          <w:b/>
          <w:sz w:val="22"/>
          <w:lang w:val="en-GB"/>
        </w:rPr>
      </w:pPr>
    </w:p>
    <w:p w:rsidR="00CB0C52" w:rsidRPr="00EC4212" w:rsidRDefault="00CB0C52" w:rsidP="00F23C29">
      <w:pPr>
        <w:pStyle w:val="ListParagraph"/>
        <w:numPr>
          <w:ilvl w:val="0"/>
          <w:numId w:val="16"/>
        </w:numPr>
        <w:ind w:left="720"/>
        <w:contextualSpacing w:val="0"/>
        <w:jc w:val="both"/>
        <w:rPr>
          <w:rFonts w:asciiTheme="minorHAnsi" w:hAnsiTheme="minorHAnsi"/>
          <w:sz w:val="22"/>
          <w:lang w:val="en-GB"/>
        </w:rPr>
      </w:pPr>
      <w:r w:rsidRPr="00EC4212">
        <w:rPr>
          <w:rFonts w:asciiTheme="minorHAnsi" w:hAnsiTheme="minorHAnsi"/>
          <w:sz w:val="22"/>
          <w:lang w:val="en-GB"/>
        </w:rPr>
        <w:t xml:space="preserve">DH Termokos did not present the bad debt cost below the variable costs, but as stated below under the section 'fixed costs', DH Termokos under the item 'sales and other administrative </w:t>
      </w:r>
      <w:r w:rsidRPr="00EC4212">
        <w:rPr>
          <w:rFonts w:asciiTheme="minorHAnsi" w:hAnsiTheme="minorHAnsi"/>
          <w:sz w:val="22"/>
          <w:lang w:val="en-GB"/>
        </w:rPr>
        <w:lastRenderedPageBreak/>
        <w:t xml:space="preserve">costs' presented the value of € 682,888 as "commission costs of accounts receivable” providing a value corresponding to over 10% of the planned billing. </w:t>
      </w:r>
    </w:p>
    <w:p w:rsidR="00E807F8" w:rsidRPr="00EC4212" w:rsidRDefault="00FA3F18" w:rsidP="00CB0C52">
      <w:pPr>
        <w:pStyle w:val="ListParagraph"/>
        <w:contextualSpacing w:val="0"/>
        <w:jc w:val="both"/>
        <w:rPr>
          <w:rFonts w:asciiTheme="minorHAnsi" w:hAnsiTheme="minorHAnsi"/>
          <w:sz w:val="22"/>
          <w:lang w:val="en-GB"/>
        </w:rPr>
      </w:pPr>
      <w:r w:rsidRPr="00EC4212">
        <w:rPr>
          <w:rFonts w:asciiTheme="minorHAnsi" w:hAnsiTheme="minorHAnsi"/>
          <w:sz w:val="22"/>
          <w:lang w:val="en-GB"/>
        </w:rPr>
        <w:t xml:space="preserve">Whereas the licensing tax for thermal energy production from heavy fuel oil production facilities in the heating plant is presented in the amount of € 1,000 combined with the cost of heavy fuel oil. </w:t>
      </w:r>
    </w:p>
    <w:p w:rsidR="00E807F8" w:rsidRPr="00EC4212" w:rsidRDefault="00E807F8" w:rsidP="00E807F8">
      <w:pPr>
        <w:pStyle w:val="ListParagraph"/>
        <w:jc w:val="both"/>
        <w:rPr>
          <w:rFonts w:asciiTheme="minorHAnsi" w:hAnsiTheme="minorHAnsi"/>
          <w:sz w:val="22"/>
          <w:lang w:val="en-GB"/>
        </w:rPr>
      </w:pPr>
    </w:p>
    <w:p w:rsidR="00CB0C52" w:rsidRPr="00EC4212" w:rsidRDefault="00E807F8" w:rsidP="00F23C29">
      <w:pPr>
        <w:pStyle w:val="ListParagraph"/>
        <w:numPr>
          <w:ilvl w:val="0"/>
          <w:numId w:val="16"/>
        </w:numPr>
        <w:ind w:left="720"/>
        <w:contextualSpacing w:val="0"/>
        <w:jc w:val="both"/>
        <w:rPr>
          <w:rFonts w:asciiTheme="minorHAnsi" w:hAnsiTheme="minorHAnsi"/>
          <w:sz w:val="22"/>
          <w:lang w:val="en-GB"/>
        </w:rPr>
      </w:pPr>
      <w:r w:rsidRPr="00EC4212">
        <w:rPr>
          <w:rFonts w:asciiTheme="minorHAnsi" w:hAnsiTheme="minorHAnsi"/>
          <w:sz w:val="22"/>
          <w:lang w:val="en-GB"/>
        </w:rPr>
        <w:t>Evaluation - Pursuant to Thermal Energy Pricing Rule, bad debt cost is calculated as a justifiable share of the enterprise revenues (i.e. the billing value from heating sale). This “justifiable share” shall be appointed in a manner to stimulate the enterprise for increasing their efforts in enhancing the share of payment collection by customers but at the same time taking into consideration the fact that a considerable amount cannot objectively be collected, therefore it shall remain a debt that actually will not be realized. From what was stated above, ERO’s opinion is that the share of 5% of the bad debt is justifiable and therefore allows the</w:t>
      </w:r>
      <w:r w:rsidRPr="00EC4212">
        <w:rPr>
          <w:rFonts w:asciiTheme="minorHAnsi" w:hAnsiTheme="minorHAnsi"/>
          <w:b/>
          <w:bCs/>
          <w:sz w:val="22"/>
          <w:lang w:val="en-GB"/>
        </w:rPr>
        <w:t xml:space="preserve"> bad debt cost</w:t>
      </w:r>
      <w:r w:rsidRPr="00EC4212">
        <w:rPr>
          <w:rFonts w:asciiTheme="minorHAnsi" w:hAnsiTheme="minorHAnsi"/>
          <w:sz w:val="22"/>
          <w:lang w:val="en-GB"/>
        </w:rPr>
        <w:t xml:space="preserve"> in the amount of € </w:t>
      </w:r>
      <w:r w:rsidRPr="00EC4212">
        <w:rPr>
          <w:rFonts w:asciiTheme="minorHAnsi" w:hAnsiTheme="minorHAnsi"/>
          <w:b/>
          <w:sz w:val="22"/>
          <w:lang w:val="en-GB"/>
        </w:rPr>
        <w:t>319,090.</w:t>
      </w:r>
      <w:r w:rsidRPr="00EC4212">
        <w:rPr>
          <w:rFonts w:asciiTheme="minorHAnsi" w:hAnsiTheme="minorHAnsi"/>
          <w:sz w:val="22"/>
          <w:lang w:val="en-GB"/>
        </w:rPr>
        <w:t xml:space="preserve"> </w:t>
      </w:r>
    </w:p>
    <w:p w:rsidR="00E807F8" w:rsidRPr="00EC4212" w:rsidRDefault="00FA3F18" w:rsidP="00CB0C52">
      <w:pPr>
        <w:pStyle w:val="ListParagraph"/>
        <w:contextualSpacing w:val="0"/>
        <w:jc w:val="both"/>
        <w:rPr>
          <w:rFonts w:asciiTheme="minorHAnsi" w:hAnsiTheme="minorHAnsi"/>
          <w:sz w:val="22"/>
          <w:lang w:val="en-GB"/>
        </w:rPr>
      </w:pPr>
      <w:r w:rsidRPr="00EC4212">
        <w:rPr>
          <w:rFonts w:asciiTheme="minorHAnsi" w:hAnsiTheme="minorHAnsi"/>
          <w:sz w:val="22"/>
          <w:lang w:val="en-GB"/>
        </w:rPr>
        <w:t>Regarding the licensing fee, it is calculated based on the planned amount of own production 6,820 MWh</w:t>
      </w:r>
      <w:r w:rsidRPr="00EC4212">
        <w:rPr>
          <w:rFonts w:asciiTheme="minorHAnsi" w:hAnsiTheme="minorHAnsi"/>
          <w:sz w:val="22"/>
          <w:vertAlign w:val="subscript"/>
          <w:lang w:val="en-GB"/>
        </w:rPr>
        <w:t>TH</w:t>
      </w:r>
      <w:r w:rsidRPr="00EC4212">
        <w:rPr>
          <w:rFonts w:asciiTheme="minorHAnsi" w:hAnsiTheme="minorHAnsi"/>
          <w:sz w:val="22"/>
          <w:lang w:val="en-GB"/>
        </w:rPr>
        <w:t xml:space="preserve"> and the annual fee of 0.20 €/MWh</w:t>
      </w:r>
      <w:r w:rsidRPr="00EC4212">
        <w:rPr>
          <w:rFonts w:asciiTheme="minorHAnsi" w:hAnsiTheme="minorHAnsi"/>
          <w:sz w:val="22"/>
          <w:vertAlign w:val="subscript"/>
          <w:lang w:val="en-GB"/>
        </w:rPr>
        <w:t>TH</w:t>
      </w:r>
      <w:r w:rsidRPr="00EC4212">
        <w:rPr>
          <w:rFonts w:asciiTheme="minorHAnsi" w:hAnsiTheme="minorHAnsi"/>
          <w:sz w:val="22"/>
          <w:lang w:val="en-GB"/>
        </w:rPr>
        <w:t xml:space="preserve"> according to the Rule on Fees issued by ERO, which results in the amount of </w:t>
      </w:r>
      <w:r w:rsidRPr="00EC4212">
        <w:rPr>
          <w:rFonts w:asciiTheme="minorHAnsi" w:hAnsiTheme="minorHAnsi"/>
          <w:b/>
          <w:sz w:val="22"/>
          <w:lang w:val="en-GB"/>
        </w:rPr>
        <w:t>€ 1,364.</w:t>
      </w:r>
      <w:r w:rsidRPr="00EC4212">
        <w:rPr>
          <w:rFonts w:asciiTheme="minorHAnsi" w:hAnsiTheme="minorHAnsi"/>
          <w:sz w:val="22"/>
          <w:lang w:val="en-GB"/>
        </w:rPr>
        <w:t xml:space="preserve">  </w:t>
      </w:r>
    </w:p>
    <w:p w:rsidR="00E807F8" w:rsidRPr="00EC4212" w:rsidRDefault="00E807F8" w:rsidP="00E807F8">
      <w:pPr>
        <w:pStyle w:val="ListParagraph"/>
        <w:jc w:val="both"/>
        <w:rPr>
          <w:rFonts w:asciiTheme="minorHAnsi" w:hAnsiTheme="minorHAnsi"/>
          <w:sz w:val="22"/>
          <w:lang w:val="en-GB"/>
        </w:rPr>
      </w:pPr>
    </w:p>
    <w:p w:rsidR="00E807F8" w:rsidRPr="00EC4212" w:rsidRDefault="00E807F8" w:rsidP="00E807F8">
      <w:pPr>
        <w:jc w:val="both"/>
        <w:rPr>
          <w:rFonts w:asciiTheme="minorHAnsi" w:hAnsiTheme="minorHAnsi"/>
          <w:b/>
          <w:sz w:val="22"/>
          <w:lang w:val="en-GB"/>
        </w:rPr>
      </w:pPr>
      <w:r w:rsidRPr="00EC4212">
        <w:rPr>
          <w:rFonts w:asciiTheme="minorHAnsi" w:hAnsiTheme="minorHAnsi"/>
          <w:sz w:val="22"/>
          <w:lang w:val="en-GB"/>
        </w:rPr>
        <w:t xml:space="preserve">In the light of foregoing, it results that the </w:t>
      </w:r>
      <w:r w:rsidRPr="00EC4212">
        <w:rPr>
          <w:rFonts w:asciiTheme="minorHAnsi" w:hAnsiTheme="minorHAnsi"/>
          <w:b/>
          <w:sz w:val="22"/>
          <w:lang w:val="en-GB"/>
        </w:rPr>
        <w:t>Variable Costs</w:t>
      </w:r>
      <w:r w:rsidRPr="00EC4212">
        <w:rPr>
          <w:rFonts w:asciiTheme="minorHAnsi" w:hAnsiTheme="minorHAnsi"/>
          <w:sz w:val="22"/>
          <w:lang w:val="en-GB"/>
        </w:rPr>
        <w:t xml:space="preserve"> </w:t>
      </w:r>
      <w:r w:rsidR="00467E86">
        <w:rPr>
          <w:rFonts w:asciiTheme="minorHAnsi" w:hAnsiTheme="minorHAnsi"/>
          <w:sz w:val="22"/>
          <w:lang w:val="en-GB"/>
        </w:rPr>
        <w:t xml:space="preserve">allowed by </w:t>
      </w:r>
      <w:r w:rsidRPr="00EC4212">
        <w:rPr>
          <w:rFonts w:asciiTheme="minorHAnsi" w:hAnsiTheme="minorHAnsi"/>
          <w:sz w:val="22"/>
          <w:lang w:val="en-GB"/>
        </w:rPr>
        <w:t xml:space="preserve">ERO are set at </w:t>
      </w:r>
      <w:r w:rsidRPr="00EC4212">
        <w:rPr>
          <w:rFonts w:asciiTheme="minorHAnsi" w:hAnsiTheme="minorHAnsi"/>
          <w:b/>
          <w:sz w:val="22"/>
          <w:szCs w:val="22"/>
          <w:lang w:val="en-GB"/>
        </w:rPr>
        <w:t>€ 2,599,468.</w:t>
      </w:r>
    </w:p>
    <w:p w:rsidR="00E807F8" w:rsidRPr="00EC4212" w:rsidRDefault="00E807F8" w:rsidP="00E807F8">
      <w:pPr>
        <w:jc w:val="both"/>
        <w:rPr>
          <w:rFonts w:asciiTheme="minorHAnsi" w:hAnsiTheme="minorHAnsi"/>
          <w:b/>
          <w:sz w:val="22"/>
          <w:lang w:val="en-GB"/>
        </w:rPr>
      </w:pPr>
    </w:p>
    <w:p w:rsidR="004D35CB" w:rsidRPr="00EC4212" w:rsidRDefault="004D35CB" w:rsidP="00E807F8">
      <w:pPr>
        <w:jc w:val="both"/>
        <w:rPr>
          <w:rFonts w:asciiTheme="minorHAnsi" w:hAnsiTheme="minorHAnsi"/>
          <w:b/>
          <w:sz w:val="22"/>
          <w:lang w:val="en-GB"/>
        </w:rPr>
      </w:pPr>
    </w:p>
    <w:p w:rsidR="00E807F8" w:rsidRPr="00EC4212" w:rsidRDefault="00E807F8" w:rsidP="00E807F8">
      <w:pPr>
        <w:pStyle w:val="Heading9"/>
        <w:rPr>
          <w:rFonts w:asciiTheme="minorHAnsi" w:hAnsiTheme="minorHAnsi" w:cs="Calibri"/>
          <w:b w:val="0"/>
          <w:sz w:val="22"/>
          <w:szCs w:val="22"/>
          <w:u w:val="single"/>
          <w:lang w:val="en-GB"/>
        </w:rPr>
      </w:pPr>
      <w:r w:rsidRPr="00EC4212">
        <w:rPr>
          <w:rFonts w:asciiTheme="minorHAnsi" w:hAnsiTheme="minorHAnsi"/>
          <w:b w:val="0"/>
          <w:sz w:val="22"/>
          <w:szCs w:val="22"/>
          <w:u w:val="single"/>
          <w:lang w:val="en-GB"/>
        </w:rPr>
        <w:t>Fixed costs</w:t>
      </w:r>
    </w:p>
    <w:p w:rsidR="00E807F8" w:rsidRPr="00EC4212" w:rsidRDefault="00E807F8" w:rsidP="00E807F8">
      <w:pPr>
        <w:tabs>
          <w:tab w:val="left" w:pos="720"/>
        </w:tabs>
        <w:jc w:val="both"/>
        <w:rPr>
          <w:rFonts w:asciiTheme="minorHAnsi" w:hAnsiTheme="minorHAnsi"/>
          <w:sz w:val="22"/>
          <w:lang w:val="en-GB"/>
        </w:rPr>
      </w:pPr>
    </w:p>
    <w:p w:rsidR="00E807F8" w:rsidRPr="00EC4212" w:rsidRDefault="00E807F8" w:rsidP="00F23C29">
      <w:pPr>
        <w:numPr>
          <w:ilvl w:val="0"/>
          <w:numId w:val="8"/>
        </w:numPr>
        <w:tabs>
          <w:tab w:val="clear" w:pos="720"/>
          <w:tab w:val="num" w:pos="360"/>
        </w:tabs>
        <w:ind w:left="360"/>
        <w:jc w:val="both"/>
        <w:rPr>
          <w:rFonts w:asciiTheme="minorHAnsi" w:hAnsiTheme="minorHAnsi"/>
          <w:b/>
          <w:sz w:val="22"/>
          <w:lang w:val="en-GB"/>
        </w:rPr>
      </w:pPr>
      <w:r w:rsidRPr="00EC4212">
        <w:rPr>
          <w:rFonts w:asciiTheme="minorHAnsi" w:hAnsiTheme="minorHAnsi"/>
          <w:b/>
          <w:sz w:val="22"/>
          <w:lang w:val="en-GB"/>
        </w:rPr>
        <w:t xml:space="preserve">Cost: Repairs and Maintenance; </w:t>
      </w:r>
    </w:p>
    <w:p w:rsidR="00E807F8" w:rsidRPr="00EC4212" w:rsidRDefault="00E807F8" w:rsidP="00E807F8">
      <w:pPr>
        <w:ind w:left="360"/>
        <w:jc w:val="both"/>
        <w:rPr>
          <w:rFonts w:asciiTheme="minorHAnsi" w:hAnsiTheme="minorHAnsi"/>
          <w:b/>
          <w:sz w:val="22"/>
          <w:lang w:val="en-GB"/>
        </w:rPr>
      </w:pPr>
    </w:p>
    <w:p w:rsidR="00E807F8" w:rsidRPr="00EC4212" w:rsidRDefault="00E807F8" w:rsidP="00F23C29">
      <w:pPr>
        <w:numPr>
          <w:ilvl w:val="0"/>
          <w:numId w:val="11"/>
        </w:numPr>
        <w:ind w:left="720"/>
        <w:jc w:val="both"/>
        <w:rPr>
          <w:rFonts w:asciiTheme="minorHAnsi" w:hAnsiTheme="minorHAnsi"/>
          <w:sz w:val="22"/>
          <w:lang w:val="en-GB"/>
        </w:rPr>
      </w:pPr>
      <w:r w:rsidRPr="00EC4212">
        <w:rPr>
          <w:rFonts w:asciiTheme="minorHAnsi" w:hAnsiTheme="minorHAnsi"/>
          <w:sz w:val="22"/>
          <w:lang w:val="en-GB"/>
        </w:rPr>
        <w:t>DH Termokos for the cost of repairs and maintenance has planned the value of € 167,600 - an increase many times higher compared to the realization of this cost in the previous period/season 2019/2020 (€ 45,644). Also, this proposed value is approximately 100% higher than the value allowed in the previous consideration 2019/2020 (€ 85,000). DH Termokos has given a brief justification for this increase where the planned increase of this cost is principally justified by the increase of maintenance and repair works as a result of expansion of the network.</w:t>
      </w:r>
    </w:p>
    <w:p w:rsidR="00E807F8" w:rsidRPr="00EC4212" w:rsidRDefault="00E807F8" w:rsidP="00E807F8">
      <w:pPr>
        <w:ind w:left="720"/>
        <w:jc w:val="both"/>
        <w:rPr>
          <w:rFonts w:asciiTheme="minorHAnsi" w:hAnsiTheme="minorHAnsi"/>
          <w:sz w:val="22"/>
          <w:lang w:val="en-GB"/>
        </w:rPr>
      </w:pPr>
    </w:p>
    <w:p w:rsidR="00E807F8" w:rsidRPr="00EC4212" w:rsidRDefault="00E807F8" w:rsidP="00F23C29">
      <w:pPr>
        <w:numPr>
          <w:ilvl w:val="0"/>
          <w:numId w:val="11"/>
        </w:numPr>
        <w:ind w:left="720"/>
        <w:jc w:val="both"/>
        <w:rPr>
          <w:rFonts w:asciiTheme="minorHAnsi" w:hAnsiTheme="minorHAnsi"/>
          <w:sz w:val="22"/>
          <w:lang w:val="en-GB"/>
        </w:rPr>
      </w:pPr>
      <w:r w:rsidRPr="00EC4212">
        <w:rPr>
          <w:rFonts w:asciiTheme="minorHAnsi" w:hAnsiTheme="minorHAnsi"/>
          <w:sz w:val="22"/>
          <w:lang w:val="en-GB"/>
        </w:rPr>
        <w:t xml:space="preserve">Evaluation - As the realizations in the previous seasons have been significantly smaller for the position 'maintenance and repairs', and also the increase of the maintenance cost is disproportionate to the increase of expected works related to </w:t>
      </w:r>
      <w:r w:rsidR="00F80936">
        <w:rPr>
          <w:rFonts w:asciiTheme="minorHAnsi" w:hAnsiTheme="minorHAnsi"/>
          <w:sz w:val="22"/>
          <w:lang w:val="en-GB"/>
        </w:rPr>
        <w:t xml:space="preserve">the </w:t>
      </w:r>
      <w:r w:rsidRPr="00EC4212">
        <w:rPr>
          <w:rFonts w:asciiTheme="minorHAnsi" w:hAnsiTheme="minorHAnsi"/>
          <w:sz w:val="22"/>
          <w:lang w:val="en-GB"/>
        </w:rPr>
        <w:t xml:space="preserve">expansion of the network, ERO estimates that the proposed value is unreasonable and does not reflect the usual repair and maintenance costs incurred by the enterprise. However, taking into account in part the above reasoning, as well as the need to ensure stable operation of facilities, equipment and network that enables a quality supply, ERO allows a significant increase in the </w:t>
      </w:r>
      <w:r w:rsidRPr="00EC4212">
        <w:rPr>
          <w:rFonts w:asciiTheme="minorHAnsi" w:hAnsiTheme="minorHAnsi"/>
          <w:b/>
          <w:sz w:val="22"/>
          <w:lang w:val="en-GB"/>
        </w:rPr>
        <w:t>cost of repairs and maintenance</w:t>
      </w:r>
      <w:r w:rsidRPr="00EC4212">
        <w:rPr>
          <w:rFonts w:asciiTheme="minorHAnsi" w:hAnsiTheme="minorHAnsi"/>
          <w:sz w:val="22"/>
          <w:lang w:val="en-GB"/>
        </w:rPr>
        <w:t xml:space="preserve"> in the amount of </w:t>
      </w:r>
      <w:r w:rsidRPr="00EC4212">
        <w:rPr>
          <w:rFonts w:asciiTheme="minorHAnsi" w:hAnsiTheme="minorHAnsi"/>
          <w:b/>
          <w:sz w:val="22"/>
          <w:lang w:val="en-GB"/>
        </w:rPr>
        <w:t>€ 85,000.</w:t>
      </w:r>
      <w:r w:rsidRPr="00EC4212">
        <w:rPr>
          <w:rFonts w:asciiTheme="minorHAnsi" w:hAnsiTheme="minorHAnsi"/>
          <w:sz w:val="22"/>
          <w:lang w:val="en-GB"/>
        </w:rPr>
        <w:t xml:space="preserve"> </w:t>
      </w:r>
    </w:p>
    <w:p w:rsidR="00E807F8" w:rsidRPr="00EC4212" w:rsidRDefault="00E807F8" w:rsidP="00E807F8">
      <w:pPr>
        <w:jc w:val="both"/>
        <w:rPr>
          <w:rFonts w:asciiTheme="minorHAnsi" w:hAnsiTheme="minorHAnsi"/>
          <w:sz w:val="22"/>
          <w:lang w:val="en-GB"/>
        </w:rPr>
      </w:pPr>
    </w:p>
    <w:p w:rsidR="00E807F8" w:rsidRPr="00EC4212" w:rsidRDefault="00E807F8" w:rsidP="00F23C29">
      <w:pPr>
        <w:numPr>
          <w:ilvl w:val="0"/>
          <w:numId w:val="8"/>
        </w:numPr>
        <w:tabs>
          <w:tab w:val="clear" w:pos="720"/>
          <w:tab w:val="num" w:pos="360"/>
        </w:tabs>
        <w:ind w:left="360"/>
        <w:jc w:val="both"/>
        <w:rPr>
          <w:rFonts w:asciiTheme="minorHAnsi" w:hAnsiTheme="minorHAnsi"/>
          <w:b/>
          <w:sz w:val="22"/>
          <w:lang w:val="en-GB"/>
        </w:rPr>
      </w:pPr>
      <w:r w:rsidRPr="00EC4212">
        <w:rPr>
          <w:rFonts w:asciiTheme="minorHAnsi" w:hAnsiTheme="minorHAnsi"/>
          <w:b/>
          <w:sz w:val="22"/>
          <w:lang w:val="en-GB"/>
        </w:rPr>
        <w:t>Cost: Materials and Services:</w:t>
      </w:r>
    </w:p>
    <w:p w:rsidR="00E807F8" w:rsidRPr="00EC4212" w:rsidRDefault="00E807F8" w:rsidP="00E807F8">
      <w:pPr>
        <w:tabs>
          <w:tab w:val="left" w:pos="720"/>
        </w:tabs>
        <w:ind w:left="720"/>
        <w:jc w:val="both"/>
        <w:rPr>
          <w:rFonts w:asciiTheme="minorHAnsi" w:hAnsiTheme="minorHAnsi"/>
          <w:sz w:val="22"/>
          <w:lang w:val="en-GB"/>
        </w:rPr>
      </w:pPr>
    </w:p>
    <w:p w:rsidR="00E807F8" w:rsidRPr="00EC4212" w:rsidRDefault="00E807F8" w:rsidP="00F23C29">
      <w:pPr>
        <w:numPr>
          <w:ilvl w:val="0"/>
          <w:numId w:val="10"/>
        </w:numPr>
        <w:tabs>
          <w:tab w:val="left" w:pos="720"/>
        </w:tabs>
        <w:ind w:left="720"/>
        <w:jc w:val="both"/>
        <w:rPr>
          <w:rFonts w:asciiTheme="minorHAnsi" w:hAnsiTheme="minorHAnsi"/>
          <w:sz w:val="22"/>
          <w:lang w:val="en-GB"/>
        </w:rPr>
      </w:pPr>
      <w:r w:rsidRPr="00EC4212">
        <w:rPr>
          <w:rFonts w:asciiTheme="minorHAnsi" w:hAnsiTheme="minorHAnsi"/>
          <w:sz w:val="22"/>
          <w:lang w:val="en-GB"/>
        </w:rPr>
        <w:t xml:space="preserve">The value of € 116,000 has been proposed for this position by DH Termokos; this value represents an increase of about 34% from the value allowed in the tariff review of the previous season (€ 86,500), respectively about 44% higher compared to the realization of this cost in the previous period - season 2019/2020 (€ 80,572). </w:t>
      </w:r>
    </w:p>
    <w:p w:rsidR="00E807F8" w:rsidRPr="00EC4212" w:rsidRDefault="00E807F8" w:rsidP="00E807F8">
      <w:pPr>
        <w:tabs>
          <w:tab w:val="left" w:pos="720"/>
        </w:tabs>
        <w:ind w:left="720"/>
        <w:jc w:val="both"/>
        <w:rPr>
          <w:rFonts w:asciiTheme="minorHAnsi" w:hAnsiTheme="minorHAnsi"/>
          <w:sz w:val="22"/>
          <w:lang w:val="en-GB"/>
        </w:rPr>
      </w:pPr>
    </w:p>
    <w:p w:rsidR="00E807F8" w:rsidRPr="00EC4212" w:rsidRDefault="00E807F8" w:rsidP="00EF1A8F">
      <w:pPr>
        <w:numPr>
          <w:ilvl w:val="0"/>
          <w:numId w:val="10"/>
        </w:numPr>
        <w:tabs>
          <w:tab w:val="left" w:pos="720"/>
        </w:tabs>
        <w:spacing w:after="120"/>
        <w:ind w:left="720"/>
        <w:jc w:val="both"/>
        <w:rPr>
          <w:rFonts w:asciiTheme="minorHAnsi" w:hAnsiTheme="minorHAnsi"/>
          <w:sz w:val="22"/>
          <w:lang w:val="en-GB"/>
        </w:rPr>
      </w:pPr>
      <w:r w:rsidRPr="00EC4212">
        <w:rPr>
          <w:rFonts w:asciiTheme="minorHAnsi" w:hAnsiTheme="minorHAnsi"/>
          <w:sz w:val="22"/>
          <w:lang w:val="en-GB"/>
        </w:rPr>
        <w:lastRenderedPageBreak/>
        <w:t xml:space="preserve">Evaluation - Considering that this cost is closely related to the cost of repairs and maintenance, and based on the above comparisons it is estimated that the increase proposed by DH Termokos significantly exceeds the costs incurred in previous seasons, and also does not reflect proportionally the increase of materials and services as a result of </w:t>
      </w:r>
      <w:r w:rsidR="00F80936">
        <w:rPr>
          <w:rFonts w:asciiTheme="minorHAnsi" w:hAnsiTheme="minorHAnsi"/>
          <w:sz w:val="22"/>
          <w:lang w:val="en-GB"/>
        </w:rPr>
        <w:t xml:space="preserve">the </w:t>
      </w:r>
      <w:r w:rsidRPr="00EC4212">
        <w:rPr>
          <w:rFonts w:asciiTheme="minorHAnsi" w:hAnsiTheme="minorHAnsi"/>
          <w:sz w:val="22"/>
          <w:lang w:val="en-GB"/>
        </w:rPr>
        <w:t xml:space="preserve">planned expansion of the network. Consequently, ERO allows the cost of </w:t>
      </w:r>
      <w:r w:rsidRPr="00EC4212">
        <w:rPr>
          <w:rFonts w:asciiTheme="minorHAnsi" w:hAnsiTheme="minorHAnsi"/>
          <w:b/>
          <w:sz w:val="22"/>
          <w:lang w:val="en-GB"/>
        </w:rPr>
        <w:t>'Materials and Services'</w:t>
      </w:r>
      <w:r w:rsidRPr="00EC4212">
        <w:rPr>
          <w:rFonts w:asciiTheme="minorHAnsi" w:hAnsiTheme="minorHAnsi"/>
          <w:sz w:val="22"/>
          <w:lang w:val="en-GB"/>
        </w:rPr>
        <w:t xml:space="preserve"> in the amount of </w:t>
      </w:r>
      <w:r w:rsidRPr="00EC4212">
        <w:rPr>
          <w:rFonts w:asciiTheme="minorHAnsi" w:hAnsiTheme="minorHAnsi"/>
          <w:b/>
          <w:sz w:val="22"/>
          <w:lang w:val="en-GB"/>
        </w:rPr>
        <w:t>€ 86,500.</w:t>
      </w:r>
      <w:r w:rsidRPr="00EC4212">
        <w:rPr>
          <w:rFonts w:asciiTheme="minorHAnsi" w:hAnsiTheme="minorHAnsi"/>
          <w:sz w:val="22"/>
          <w:lang w:val="en-GB"/>
        </w:rPr>
        <w:t xml:space="preserve">  </w:t>
      </w:r>
    </w:p>
    <w:p w:rsidR="00E807F8" w:rsidRPr="00EC4212" w:rsidRDefault="00E807F8" w:rsidP="00F23C29">
      <w:pPr>
        <w:pStyle w:val="ListParagraph"/>
        <w:numPr>
          <w:ilvl w:val="0"/>
          <w:numId w:val="8"/>
        </w:numPr>
        <w:tabs>
          <w:tab w:val="clear" w:pos="720"/>
          <w:tab w:val="num" w:pos="360"/>
        </w:tabs>
        <w:ind w:left="360"/>
        <w:contextualSpacing w:val="0"/>
        <w:jc w:val="both"/>
        <w:rPr>
          <w:rFonts w:asciiTheme="minorHAnsi" w:hAnsiTheme="minorHAnsi" w:cs="Calibri"/>
          <w:b/>
          <w:color w:val="FF0000"/>
          <w:lang w:val="en-GB"/>
        </w:rPr>
      </w:pPr>
      <w:r w:rsidRPr="00EC4212">
        <w:rPr>
          <w:rFonts w:asciiTheme="minorHAnsi" w:hAnsiTheme="minorHAnsi"/>
          <w:b/>
          <w:sz w:val="22"/>
          <w:lang w:val="en-GB"/>
        </w:rPr>
        <w:t xml:space="preserve">Cost of thermal energy purchase from cogeneration of TPP Kosova B - fixed payment component for reserved capacity </w:t>
      </w:r>
    </w:p>
    <w:p w:rsidR="00E807F8" w:rsidRPr="00EC4212" w:rsidRDefault="00E807F8" w:rsidP="00E807F8">
      <w:pPr>
        <w:pStyle w:val="ListParagraph"/>
        <w:ind w:left="360"/>
        <w:jc w:val="both"/>
        <w:rPr>
          <w:rFonts w:asciiTheme="minorHAnsi" w:hAnsiTheme="minorHAnsi" w:cs="Calibri"/>
          <w:b/>
          <w:color w:val="FF0000"/>
          <w:lang w:val="en-GB"/>
        </w:rPr>
      </w:pPr>
    </w:p>
    <w:p w:rsidR="00E807F8" w:rsidRPr="00EC4212" w:rsidRDefault="00E807F8" w:rsidP="00F23C29">
      <w:pPr>
        <w:pStyle w:val="ListParagraph"/>
        <w:numPr>
          <w:ilvl w:val="0"/>
          <w:numId w:val="19"/>
        </w:numPr>
        <w:ind w:left="720"/>
        <w:contextualSpacing w:val="0"/>
        <w:jc w:val="both"/>
        <w:rPr>
          <w:rFonts w:asciiTheme="minorHAnsi" w:hAnsiTheme="minorHAnsi" w:cs="Calibri"/>
          <w:b/>
          <w:color w:val="FF0000"/>
          <w:lang w:val="en-GB"/>
        </w:rPr>
      </w:pPr>
      <w:r w:rsidRPr="00EC4212">
        <w:rPr>
          <w:rFonts w:asciiTheme="minorHAnsi" w:hAnsiTheme="minorHAnsi"/>
          <w:sz w:val="22"/>
          <w:lang w:val="en-GB"/>
        </w:rPr>
        <w:t>The payment component for reserved capacity proposed by DH Termokos is based on the reserved electric capacity: 40,800 MWh</w:t>
      </w:r>
      <w:r w:rsidRPr="00EC4212">
        <w:rPr>
          <w:rFonts w:asciiTheme="minorHAnsi" w:hAnsiTheme="minorHAnsi"/>
          <w:sz w:val="22"/>
          <w:vertAlign w:val="subscript"/>
          <w:lang w:val="en-GB"/>
        </w:rPr>
        <w:t>EL</w:t>
      </w:r>
      <w:r w:rsidRPr="00EC4212">
        <w:rPr>
          <w:rFonts w:asciiTheme="minorHAnsi" w:hAnsiTheme="minorHAnsi"/>
          <w:sz w:val="22"/>
          <w:lang w:val="en-GB"/>
        </w:rPr>
        <w:t>/h and the respective charge</w:t>
      </w:r>
      <w:r w:rsidR="00804CC5">
        <w:rPr>
          <w:rFonts w:asciiTheme="minorHAnsi" w:hAnsiTheme="minorHAnsi"/>
          <w:sz w:val="22"/>
          <w:lang w:val="en-GB"/>
        </w:rPr>
        <w:t xml:space="preserve"> </w:t>
      </w:r>
      <w:r w:rsidRPr="00EC4212">
        <w:rPr>
          <w:rFonts w:asciiTheme="minorHAnsi" w:hAnsiTheme="minorHAnsi"/>
          <w:sz w:val="22"/>
          <w:lang w:val="en-GB"/>
        </w:rPr>
        <w:t>(price): 20.65 €/MWh</w:t>
      </w:r>
      <w:r w:rsidRPr="00EC4212">
        <w:rPr>
          <w:rFonts w:asciiTheme="minorHAnsi" w:hAnsiTheme="minorHAnsi"/>
          <w:sz w:val="22"/>
          <w:vertAlign w:val="subscript"/>
          <w:lang w:val="en-GB"/>
        </w:rPr>
        <w:t>EL</w:t>
      </w:r>
      <w:r w:rsidRPr="00EC4212">
        <w:rPr>
          <w:rFonts w:asciiTheme="minorHAnsi" w:hAnsiTheme="minorHAnsi"/>
          <w:sz w:val="22"/>
          <w:lang w:val="en-GB"/>
        </w:rPr>
        <w:t>/h;</w:t>
      </w:r>
    </w:p>
    <w:p w:rsidR="00E807F8" w:rsidRPr="00EC4212" w:rsidRDefault="00E807F8" w:rsidP="00F23C29">
      <w:pPr>
        <w:pStyle w:val="ListParagraph"/>
        <w:numPr>
          <w:ilvl w:val="0"/>
          <w:numId w:val="13"/>
        </w:numPr>
        <w:ind w:left="720"/>
        <w:contextualSpacing w:val="0"/>
        <w:jc w:val="both"/>
        <w:rPr>
          <w:rFonts w:asciiTheme="minorHAnsi" w:hAnsiTheme="minorHAnsi"/>
          <w:sz w:val="22"/>
          <w:lang w:val="en-GB"/>
        </w:rPr>
      </w:pPr>
      <w:r w:rsidRPr="00EC4212">
        <w:rPr>
          <w:rFonts w:asciiTheme="minorHAnsi" w:hAnsiTheme="minorHAnsi"/>
          <w:sz w:val="22"/>
          <w:lang w:val="en-GB"/>
        </w:rPr>
        <w:t>Evaluation - The proposal of DH Termokos for reserved capacity is evaluated as real and grounded on Energy Balances; from the calculations</w:t>
      </w:r>
      <w:r w:rsidR="00F80936">
        <w:rPr>
          <w:rFonts w:asciiTheme="minorHAnsi" w:hAnsiTheme="minorHAnsi"/>
          <w:sz w:val="22"/>
          <w:lang w:val="en-GB"/>
        </w:rPr>
        <w:t>,</w:t>
      </w:r>
      <w:r w:rsidRPr="00EC4212">
        <w:rPr>
          <w:rFonts w:asciiTheme="minorHAnsi" w:hAnsiTheme="minorHAnsi"/>
          <w:sz w:val="22"/>
          <w:lang w:val="en-GB"/>
        </w:rPr>
        <w:t xml:space="preserve"> it results that the </w:t>
      </w:r>
      <w:r w:rsidRPr="00EC4212">
        <w:rPr>
          <w:rFonts w:asciiTheme="minorHAnsi" w:hAnsiTheme="minorHAnsi"/>
          <w:b/>
          <w:sz w:val="22"/>
          <w:lang w:val="en-GB"/>
        </w:rPr>
        <w:t>payment</w:t>
      </w:r>
      <w:r w:rsidRPr="00EC4212">
        <w:rPr>
          <w:rFonts w:asciiTheme="minorHAnsi" w:hAnsiTheme="minorHAnsi"/>
          <w:sz w:val="22"/>
          <w:lang w:val="en-GB"/>
        </w:rPr>
        <w:t xml:space="preserve"> component </w:t>
      </w:r>
      <w:r w:rsidRPr="00EC4212">
        <w:rPr>
          <w:rFonts w:asciiTheme="minorHAnsi" w:hAnsiTheme="minorHAnsi"/>
          <w:b/>
          <w:sz w:val="22"/>
          <w:lang w:val="en-GB"/>
        </w:rPr>
        <w:t>for reserved capacity</w:t>
      </w:r>
      <w:r w:rsidRPr="00EC4212">
        <w:rPr>
          <w:rFonts w:asciiTheme="minorHAnsi" w:hAnsiTheme="minorHAnsi"/>
          <w:sz w:val="22"/>
          <w:lang w:val="en-GB"/>
        </w:rPr>
        <w:t xml:space="preserve"> is </w:t>
      </w:r>
      <w:r w:rsidRPr="00EC4212">
        <w:rPr>
          <w:rFonts w:asciiTheme="minorHAnsi" w:hAnsiTheme="minorHAnsi"/>
          <w:b/>
          <w:sz w:val="22"/>
          <w:lang w:val="en-GB"/>
        </w:rPr>
        <w:t>€ 842,520;</w:t>
      </w:r>
    </w:p>
    <w:p w:rsidR="00E807F8" w:rsidRPr="00EC4212" w:rsidRDefault="00E807F8" w:rsidP="00E807F8">
      <w:pPr>
        <w:pStyle w:val="ListParagraph"/>
        <w:jc w:val="both"/>
        <w:rPr>
          <w:rFonts w:asciiTheme="minorHAnsi" w:hAnsiTheme="minorHAnsi" w:cs="Calibri"/>
          <w:b/>
          <w:color w:val="FF0000"/>
          <w:lang w:val="en-GB"/>
        </w:rPr>
      </w:pPr>
    </w:p>
    <w:p w:rsidR="00E807F8" w:rsidRPr="00EC4212" w:rsidRDefault="00804CC5" w:rsidP="00F23C29">
      <w:pPr>
        <w:numPr>
          <w:ilvl w:val="2"/>
          <w:numId w:val="8"/>
        </w:numPr>
        <w:tabs>
          <w:tab w:val="clear" w:pos="2160"/>
          <w:tab w:val="num" w:pos="360"/>
        </w:tabs>
        <w:ind w:left="360"/>
        <w:jc w:val="both"/>
        <w:rPr>
          <w:rFonts w:asciiTheme="minorHAnsi" w:hAnsiTheme="minorHAnsi"/>
          <w:b/>
          <w:sz w:val="22"/>
          <w:lang w:val="en-GB"/>
        </w:rPr>
      </w:pPr>
      <w:r>
        <w:rPr>
          <w:rFonts w:asciiTheme="minorHAnsi" w:hAnsiTheme="minorHAnsi"/>
          <w:b/>
          <w:sz w:val="22"/>
          <w:lang w:val="en-GB"/>
        </w:rPr>
        <w:t>Administration</w:t>
      </w:r>
      <w:r w:rsidR="00E807F8" w:rsidRPr="00EC4212">
        <w:rPr>
          <w:rFonts w:asciiTheme="minorHAnsi" w:hAnsiTheme="minorHAnsi"/>
          <w:b/>
          <w:sz w:val="22"/>
          <w:lang w:val="en-GB"/>
        </w:rPr>
        <w:t xml:space="preserve"> Costs:</w:t>
      </w:r>
    </w:p>
    <w:p w:rsidR="00E807F8" w:rsidRPr="00EC4212" w:rsidRDefault="00E807F8" w:rsidP="00E807F8">
      <w:pPr>
        <w:tabs>
          <w:tab w:val="left" w:pos="720"/>
        </w:tabs>
        <w:ind w:left="720"/>
        <w:jc w:val="both"/>
        <w:rPr>
          <w:rFonts w:asciiTheme="minorHAnsi" w:hAnsiTheme="minorHAnsi"/>
          <w:sz w:val="22"/>
          <w:lang w:val="en-GB"/>
        </w:rPr>
      </w:pPr>
      <w:r w:rsidRPr="00EC4212">
        <w:rPr>
          <w:rFonts w:asciiTheme="minorHAnsi" w:hAnsiTheme="minorHAnsi"/>
          <w:sz w:val="22"/>
          <w:lang w:val="en-GB"/>
        </w:rPr>
        <w:t xml:space="preserve"> </w:t>
      </w:r>
    </w:p>
    <w:p w:rsidR="00E807F8" w:rsidRPr="00EC4212" w:rsidRDefault="00E807F8" w:rsidP="00F23C29">
      <w:pPr>
        <w:numPr>
          <w:ilvl w:val="0"/>
          <w:numId w:val="12"/>
        </w:numPr>
        <w:tabs>
          <w:tab w:val="left" w:pos="720"/>
        </w:tabs>
        <w:jc w:val="both"/>
        <w:rPr>
          <w:rFonts w:asciiTheme="minorHAnsi" w:hAnsiTheme="minorHAnsi"/>
          <w:sz w:val="22"/>
          <w:lang w:val="en-GB"/>
        </w:rPr>
      </w:pPr>
      <w:r w:rsidRPr="00EC4212">
        <w:rPr>
          <w:rFonts w:asciiTheme="minorHAnsi" w:hAnsiTheme="minorHAnsi"/>
          <w:sz w:val="22"/>
          <w:lang w:val="en-GB"/>
        </w:rPr>
        <w:t>DH Ter</w:t>
      </w:r>
      <w:r w:rsidR="00804CC5">
        <w:rPr>
          <w:rFonts w:asciiTheme="minorHAnsi" w:hAnsiTheme="minorHAnsi"/>
          <w:sz w:val="22"/>
          <w:lang w:val="en-GB"/>
        </w:rPr>
        <w:t xml:space="preserve">mokos has proposed administration </w:t>
      </w:r>
      <w:r w:rsidRPr="00EC4212">
        <w:rPr>
          <w:rFonts w:asciiTheme="minorHAnsi" w:hAnsiTheme="minorHAnsi"/>
          <w:sz w:val="22"/>
          <w:lang w:val="en-GB"/>
        </w:rPr>
        <w:t xml:space="preserve">cost in the amount of € 111,090 providing the relevant details. The proposed value shows an increase of 56% compared to the value realized in the previous period (€ 71,257).  </w:t>
      </w:r>
    </w:p>
    <w:p w:rsidR="00E807F8" w:rsidRPr="00EC4212" w:rsidRDefault="00E807F8" w:rsidP="00F23C29">
      <w:pPr>
        <w:numPr>
          <w:ilvl w:val="0"/>
          <w:numId w:val="12"/>
        </w:numPr>
        <w:tabs>
          <w:tab w:val="left" w:pos="720"/>
        </w:tabs>
        <w:jc w:val="both"/>
        <w:rPr>
          <w:rFonts w:asciiTheme="minorHAnsi" w:hAnsiTheme="minorHAnsi"/>
          <w:sz w:val="22"/>
          <w:lang w:val="en-GB"/>
        </w:rPr>
      </w:pPr>
      <w:r w:rsidRPr="00EC4212">
        <w:rPr>
          <w:rFonts w:asciiTheme="minorHAnsi" w:hAnsiTheme="minorHAnsi"/>
          <w:sz w:val="22"/>
          <w:lang w:val="en-GB"/>
        </w:rPr>
        <w:t xml:space="preserve">Evaluation - Based on the foregoing and to allow the improvement of services of the enterprise and especially the customer service, ERO decides to allow a small increase (about 8%) from realization in the previous period and fixes this cost </w:t>
      </w:r>
      <w:r w:rsidR="00804CC5">
        <w:rPr>
          <w:rFonts w:asciiTheme="minorHAnsi" w:hAnsiTheme="minorHAnsi"/>
          <w:sz w:val="22"/>
          <w:lang w:val="en-GB"/>
        </w:rPr>
        <w:t>at a</w:t>
      </w:r>
      <w:r w:rsidRPr="00EC4212">
        <w:rPr>
          <w:rFonts w:asciiTheme="minorHAnsi" w:hAnsiTheme="minorHAnsi"/>
          <w:sz w:val="22"/>
          <w:lang w:val="en-GB"/>
        </w:rPr>
        <w:t xml:space="preserve"> value of </w:t>
      </w:r>
      <w:r w:rsidRPr="00EC4212">
        <w:rPr>
          <w:rFonts w:asciiTheme="minorHAnsi" w:hAnsiTheme="minorHAnsi"/>
          <w:b/>
          <w:sz w:val="22"/>
          <w:lang w:val="en-GB"/>
        </w:rPr>
        <w:t>€ 82,000.</w:t>
      </w:r>
      <w:r w:rsidRPr="00EC4212">
        <w:rPr>
          <w:rFonts w:asciiTheme="minorHAnsi" w:hAnsiTheme="minorHAnsi"/>
          <w:sz w:val="22"/>
          <w:lang w:val="en-GB"/>
        </w:rPr>
        <w:t xml:space="preserve"> </w:t>
      </w:r>
    </w:p>
    <w:p w:rsidR="00923408" w:rsidRPr="00EC4212" w:rsidRDefault="00923408" w:rsidP="00E807F8">
      <w:pPr>
        <w:tabs>
          <w:tab w:val="left" w:pos="720"/>
        </w:tabs>
        <w:ind w:left="720"/>
        <w:jc w:val="both"/>
        <w:rPr>
          <w:rFonts w:asciiTheme="minorHAnsi" w:hAnsiTheme="minorHAnsi"/>
          <w:sz w:val="22"/>
          <w:lang w:val="en-GB"/>
        </w:rPr>
      </w:pPr>
    </w:p>
    <w:p w:rsidR="00E807F8" w:rsidRPr="00EC4212" w:rsidRDefault="00E807F8" w:rsidP="00F23C29">
      <w:pPr>
        <w:numPr>
          <w:ilvl w:val="2"/>
          <w:numId w:val="8"/>
        </w:numPr>
        <w:tabs>
          <w:tab w:val="clear" w:pos="2160"/>
          <w:tab w:val="num" w:pos="360"/>
        </w:tabs>
        <w:ind w:left="360"/>
        <w:jc w:val="both"/>
        <w:rPr>
          <w:rFonts w:asciiTheme="minorHAnsi" w:hAnsiTheme="minorHAnsi"/>
          <w:b/>
          <w:sz w:val="22"/>
          <w:lang w:val="en-GB"/>
        </w:rPr>
      </w:pPr>
      <w:r w:rsidRPr="00EC4212">
        <w:rPr>
          <w:rFonts w:asciiTheme="minorHAnsi" w:hAnsiTheme="minorHAnsi"/>
          <w:b/>
          <w:sz w:val="22"/>
          <w:lang w:val="en-GB"/>
        </w:rPr>
        <w:t>Staff Cost ('different from direct labour')</w:t>
      </w:r>
    </w:p>
    <w:p w:rsidR="00E807F8" w:rsidRPr="00EC4212" w:rsidRDefault="00E807F8" w:rsidP="00E807F8">
      <w:pPr>
        <w:ind w:left="720"/>
        <w:jc w:val="both"/>
        <w:rPr>
          <w:rFonts w:asciiTheme="minorHAnsi" w:hAnsiTheme="minorHAnsi"/>
          <w:sz w:val="22"/>
          <w:lang w:val="en-GB"/>
        </w:rPr>
      </w:pPr>
    </w:p>
    <w:p w:rsidR="00E807F8" w:rsidRPr="00EC4212" w:rsidRDefault="00E807F8" w:rsidP="00F23C29">
      <w:pPr>
        <w:numPr>
          <w:ilvl w:val="3"/>
          <w:numId w:val="8"/>
        </w:numPr>
        <w:tabs>
          <w:tab w:val="clear" w:pos="2880"/>
          <w:tab w:val="num" w:pos="720"/>
        </w:tabs>
        <w:ind w:left="720"/>
        <w:jc w:val="both"/>
        <w:rPr>
          <w:rFonts w:asciiTheme="minorHAnsi" w:hAnsiTheme="minorHAnsi"/>
          <w:sz w:val="22"/>
          <w:lang w:val="en-GB"/>
        </w:rPr>
      </w:pPr>
      <w:r w:rsidRPr="00EC4212">
        <w:rPr>
          <w:rFonts w:asciiTheme="minorHAnsi" w:hAnsiTheme="minorHAnsi"/>
          <w:sz w:val="22"/>
          <w:lang w:val="en-GB"/>
        </w:rPr>
        <w:t>For the cost of administration staff and other supporting services, DH Termokos has proposed the value of € 1,174,450 - an increase of 34% compared to the realization of this cost last season (€ 871,930), while it is also an increase of about 56% compared to the allowed value for this cost in last season consideration (€ 749,608). As for the cost of staff 'direct labour', this increase is justified by the planned increase in the number of staff according to the Regulation on Organization and Systematization o</w:t>
      </w:r>
      <w:r w:rsidR="00804CC5">
        <w:rPr>
          <w:rFonts w:asciiTheme="minorHAnsi" w:hAnsiTheme="minorHAnsi"/>
          <w:sz w:val="22"/>
          <w:lang w:val="en-GB"/>
        </w:rPr>
        <w:t>f Jobs issued by the Board of P</w:t>
      </w:r>
      <w:r w:rsidRPr="00EC4212">
        <w:rPr>
          <w:rFonts w:asciiTheme="minorHAnsi" w:hAnsiTheme="minorHAnsi"/>
          <w:sz w:val="22"/>
          <w:lang w:val="en-GB"/>
        </w:rPr>
        <w:t>E</w:t>
      </w:r>
      <w:r w:rsidR="00804CC5">
        <w:rPr>
          <w:rFonts w:asciiTheme="minorHAnsi" w:hAnsiTheme="minorHAnsi"/>
          <w:sz w:val="22"/>
          <w:lang w:val="en-GB"/>
        </w:rPr>
        <w:t xml:space="preserve"> </w:t>
      </w:r>
      <w:r w:rsidRPr="00EC4212">
        <w:rPr>
          <w:rFonts w:asciiTheme="minorHAnsi" w:hAnsiTheme="minorHAnsi"/>
          <w:sz w:val="22"/>
          <w:lang w:val="en-GB"/>
        </w:rPr>
        <w:t>Termokos at the end of 2019. According to this Regulation, among others, it is foreseen to increase the number of employees (from currently 203 to 248), as well as the addition of some new organizational units, such as. The Legal Department and the Capital Development and Investment Department, which are expected to have 24 employees. According to the new organizational chart, an increase in the number of employees in the Distribution Department is foreseen due to expansion of the network in other districts (neighbo</w:t>
      </w:r>
      <w:r w:rsidR="00F80936">
        <w:rPr>
          <w:rFonts w:asciiTheme="minorHAnsi" w:hAnsiTheme="minorHAnsi"/>
          <w:sz w:val="22"/>
          <w:lang w:val="en-GB"/>
        </w:rPr>
        <w:t>u</w:t>
      </w:r>
      <w:r w:rsidRPr="00EC4212">
        <w:rPr>
          <w:rFonts w:asciiTheme="minorHAnsi" w:hAnsiTheme="minorHAnsi"/>
          <w:sz w:val="22"/>
          <w:lang w:val="en-GB"/>
        </w:rPr>
        <w:t xml:space="preserve">rhoods) of the city, within the ongoing or planned projects. Regarding the planned increase in the number of employees, it should be noted that, according to information from POE Termokos, new jobs have not yet been filled in both existing and new departments. Also, POE Termokos has not provided any recruitment plan for new staff to fill new positions.   </w:t>
      </w:r>
    </w:p>
    <w:p w:rsidR="00E807F8" w:rsidRPr="00EC4212" w:rsidRDefault="00E807F8" w:rsidP="00E807F8">
      <w:pPr>
        <w:ind w:left="720"/>
        <w:jc w:val="both"/>
        <w:rPr>
          <w:rFonts w:asciiTheme="minorHAnsi" w:hAnsiTheme="minorHAnsi"/>
          <w:sz w:val="22"/>
          <w:lang w:val="en-GB"/>
        </w:rPr>
      </w:pPr>
      <w:r w:rsidRPr="00EC4212">
        <w:rPr>
          <w:rFonts w:asciiTheme="minorHAnsi" w:hAnsiTheme="minorHAnsi"/>
          <w:sz w:val="22"/>
          <w:lang w:val="en-GB"/>
        </w:rPr>
        <w:t xml:space="preserve"> </w:t>
      </w:r>
    </w:p>
    <w:p w:rsidR="00077F47" w:rsidRPr="00EC4212" w:rsidRDefault="00077F47" w:rsidP="00077F47">
      <w:pPr>
        <w:numPr>
          <w:ilvl w:val="5"/>
          <w:numId w:val="7"/>
        </w:numPr>
        <w:tabs>
          <w:tab w:val="clear" w:pos="4320"/>
          <w:tab w:val="num" w:pos="720"/>
        </w:tabs>
        <w:ind w:left="720"/>
        <w:jc w:val="both"/>
        <w:rPr>
          <w:rFonts w:asciiTheme="minorHAnsi" w:hAnsiTheme="minorHAnsi"/>
          <w:sz w:val="22"/>
          <w:lang w:val="en-GB"/>
        </w:rPr>
      </w:pPr>
      <w:r w:rsidRPr="00EC4212">
        <w:rPr>
          <w:rFonts w:asciiTheme="minorHAnsi" w:hAnsiTheme="minorHAnsi"/>
          <w:sz w:val="22"/>
          <w:lang w:val="en-GB"/>
        </w:rPr>
        <w:t xml:space="preserve">Evaluation - ERO, without wanting to give estimates </w:t>
      </w:r>
      <w:r w:rsidR="00804CC5">
        <w:rPr>
          <w:rFonts w:asciiTheme="minorHAnsi" w:hAnsiTheme="minorHAnsi"/>
          <w:sz w:val="22"/>
          <w:lang w:val="en-GB"/>
        </w:rPr>
        <w:t>to</w:t>
      </w:r>
      <w:r w:rsidRPr="00EC4212">
        <w:rPr>
          <w:rFonts w:asciiTheme="minorHAnsi" w:hAnsiTheme="minorHAnsi"/>
          <w:sz w:val="22"/>
          <w:lang w:val="en-GB"/>
        </w:rPr>
        <w:t xml:space="preserve"> the significant increase in the number of employees planned by the new Regulation, which is an exclusi</w:t>
      </w:r>
      <w:r w:rsidR="00804CC5">
        <w:rPr>
          <w:rFonts w:asciiTheme="minorHAnsi" w:hAnsiTheme="minorHAnsi"/>
          <w:sz w:val="22"/>
          <w:lang w:val="en-GB"/>
        </w:rPr>
        <w:t>ve competence of the Board of P</w:t>
      </w:r>
      <w:r w:rsidRPr="00EC4212">
        <w:rPr>
          <w:rFonts w:asciiTheme="minorHAnsi" w:hAnsiTheme="minorHAnsi"/>
          <w:sz w:val="22"/>
          <w:lang w:val="en-GB"/>
        </w:rPr>
        <w:t xml:space="preserve">E Termokos, emphasizes that the addition of new jobs should be a process that reflects </w:t>
      </w:r>
      <w:r w:rsidR="00F80936">
        <w:rPr>
          <w:rFonts w:asciiTheme="minorHAnsi" w:hAnsiTheme="minorHAnsi"/>
          <w:sz w:val="22"/>
          <w:lang w:val="en-GB"/>
        </w:rPr>
        <w:t xml:space="preserve">a </w:t>
      </w:r>
      <w:r w:rsidRPr="00EC4212">
        <w:rPr>
          <w:rFonts w:asciiTheme="minorHAnsi" w:hAnsiTheme="minorHAnsi"/>
          <w:sz w:val="22"/>
          <w:lang w:val="en-GB"/>
        </w:rPr>
        <w:t xml:space="preserve">significant increase in enterprise operations, as well as considering cost-effectiveness and related benefits. </w:t>
      </w:r>
    </w:p>
    <w:p w:rsidR="00077F47" w:rsidRPr="00EC4212" w:rsidRDefault="00077F47" w:rsidP="00077F47">
      <w:pPr>
        <w:pStyle w:val="ListParagraph"/>
        <w:rPr>
          <w:rFonts w:asciiTheme="minorHAnsi" w:hAnsiTheme="minorHAnsi"/>
          <w:sz w:val="22"/>
          <w:lang w:val="en-GB"/>
        </w:rPr>
      </w:pPr>
    </w:p>
    <w:p w:rsidR="00F43BE6" w:rsidRPr="00EC4212" w:rsidRDefault="00077F47" w:rsidP="00077F47">
      <w:pPr>
        <w:pStyle w:val="ListParagraph"/>
        <w:jc w:val="both"/>
        <w:rPr>
          <w:rFonts w:asciiTheme="minorHAnsi" w:hAnsiTheme="minorHAnsi"/>
          <w:sz w:val="22"/>
          <w:lang w:val="en-GB"/>
        </w:rPr>
      </w:pPr>
      <w:r w:rsidRPr="00EC4212">
        <w:rPr>
          <w:rFonts w:asciiTheme="minorHAnsi" w:hAnsiTheme="minorHAnsi"/>
          <w:sz w:val="22"/>
          <w:lang w:val="en-GB"/>
        </w:rPr>
        <w:t>From the review of the information provided and the Regulation concerned, it is estimated that, a</w:t>
      </w:r>
      <w:r w:rsidR="00804CC5">
        <w:rPr>
          <w:rFonts w:asciiTheme="minorHAnsi" w:hAnsiTheme="minorHAnsi"/>
          <w:sz w:val="22"/>
          <w:lang w:val="en-GB"/>
        </w:rPr>
        <w:t>ccording to the new organizational chart</w:t>
      </w:r>
      <w:r w:rsidRPr="00EC4212">
        <w:rPr>
          <w:rFonts w:asciiTheme="minorHAnsi" w:hAnsiTheme="minorHAnsi"/>
          <w:sz w:val="22"/>
          <w:lang w:val="en-GB"/>
        </w:rPr>
        <w:t xml:space="preserve">, it is foreseen the establishment of 2 new departments (each with 12 positions) which have not yet been filled in - so the relevant staff has not been recruited, as the other positions planned with the new organizational chart have not been filled in either. Considering these facts and considering that filling of new jobs is a process that requires time for the recruitment of professional staff and </w:t>
      </w:r>
      <w:r w:rsidR="00804CC5">
        <w:rPr>
          <w:rFonts w:asciiTheme="minorHAnsi" w:hAnsiTheme="minorHAnsi"/>
          <w:sz w:val="22"/>
          <w:lang w:val="en-GB"/>
        </w:rPr>
        <w:t>which</w:t>
      </w:r>
      <w:r w:rsidRPr="00EC4212">
        <w:rPr>
          <w:rFonts w:asciiTheme="minorHAnsi" w:hAnsiTheme="minorHAnsi"/>
          <w:sz w:val="22"/>
          <w:lang w:val="en-GB"/>
        </w:rPr>
        <w:t xml:space="preserve"> should be undertaken in accordance with the gradual expansion of the enterprise operations, it is considered that the proposed increase is not realistic and allows an increase of 2.8% of this cost compared to allowances for the previous season 2019/2020; consequently</w:t>
      </w:r>
      <w:r w:rsidR="00F80936">
        <w:rPr>
          <w:rFonts w:asciiTheme="minorHAnsi" w:hAnsiTheme="minorHAnsi"/>
          <w:sz w:val="22"/>
          <w:lang w:val="en-GB"/>
        </w:rPr>
        <w:t>,</w:t>
      </w:r>
      <w:r w:rsidRPr="00EC4212">
        <w:rPr>
          <w:rFonts w:asciiTheme="minorHAnsi" w:hAnsiTheme="minorHAnsi"/>
          <w:sz w:val="22"/>
          <w:lang w:val="en-GB"/>
        </w:rPr>
        <w:t xml:space="preserve"> ERO allows </w:t>
      </w:r>
      <w:r w:rsidRPr="00EC4212">
        <w:rPr>
          <w:rFonts w:asciiTheme="minorHAnsi" w:hAnsiTheme="minorHAnsi"/>
          <w:b/>
          <w:sz w:val="22"/>
          <w:lang w:val="en-GB"/>
        </w:rPr>
        <w:t>Staff Cost - 'Direct Labour'</w:t>
      </w:r>
      <w:r w:rsidRPr="00EC4212">
        <w:rPr>
          <w:rFonts w:asciiTheme="minorHAnsi" w:hAnsiTheme="minorHAnsi"/>
          <w:sz w:val="22"/>
          <w:lang w:val="en-GB"/>
        </w:rPr>
        <w:t xml:space="preserve"> in the amount of </w:t>
      </w:r>
      <w:r w:rsidRPr="00EC4212">
        <w:rPr>
          <w:rFonts w:asciiTheme="minorHAnsi" w:hAnsiTheme="minorHAnsi"/>
          <w:b/>
          <w:sz w:val="22"/>
          <w:lang w:val="en-GB"/>
        </w:rPr>
        <w:t>€ 767,513.</w:t>
      </w:r>
      <w:r w:rsidRPr="00EC4212">
        <w:rPr>
          <w:rFonts w:asciiTheme="minorHAnsi" w:hAnsiTheme="minorHAnsi"/>
          <w:sz w:val="22"/>
          <w:lang w:val="en-GB"/>
        </w:rPr>
        <w:t xml:space="preserve"> </w:t>
      </w:r>
    </w:p>
    <w:p w:rsidR="00F43BE6" w:rsidRPr="00EC4212" w:rsidRDefault="00F43BE6" w:rsidP="00077F47">
      <w:pPr>
        <w:pStyle w:val="ListParagraph"/>
        <w:jc w:val="both"/>
        <w:rPr>
          <w:rFonts w:asciiTheme="minorHAnsi" w:hAnsiTheme="minorHAnsi"/>
          <w:sz w:val="22"/>
          <w:lang w:val="en-GB"/>
        </w:rPr>
      </w:pPr>
    </w:p>
    <w:p w:rsidR="00F43BE6" w:rsidRPr="00EC4212" w:rsidRDefault="00F43BE6" w:rsidP="00F43BE6">
      <w:pPr>
        <w:pStyle w:val="ListParagraph"/>
        <w:jc w:val="both"/>
        <w:rPr>
          <w:rFonts w:asciiTheme="minorHAnsi" w:hAnsiTheme="minorHAnsi"/>
          <w:sz w:val="22"/>
          <w:lang w:val="en-GB"/>
        </w:rPr>
      </w:pPr>
      <w:r w:rsidRPr="00EC4212">
        <w:rPr>
          <w:rFonts w:asciiTheme="minorHAnsi" w:hAnsiTheme="minorHAnsi"/>
          <w:sz w:val="22"/>
          <w:lang w:val="en-GB"/>
        </w:rPr>
        <w:t>The increase of 2.8% reflects the economic growth nationwide for the tariff review period October 2020 - October 2021. According to estimates and projections of the World Bank (</w:t>
      </w:r>
      <w:hyperlink r:id="rId16" w:history="1">
        <w:r w:rsidRPr="00EC4212">
          <w:rPr>
            <w:rStyle w:val="Hyperlink"/>
            <w:rFonts w:asciiTheme="minorHAnsi" w:hAnsiTheme="minorHAnsi"/>
            <w:sz w:val="22"/>
            <w:lang w:val="en-GB"/>
          </w:rPr>
          <w:t>https://dataworldbank.org/country/kosovo</w:t>
        </w:r>
      </w:hyperlink>
      <w:r w:rsidRPr="00EC4212">
        <w:rPr>
          <w:rStyle w:val="Hyperlink"/>
          <w:rFonts w:asciiTheme="minorHAnsi" w:hAnsiTheme="minorHAnsi"/>
          <w:color w:val="auto"/>
          <w:sz w:val="22"/>
          <w:lang w:val="en-GB"/>
        </w:rPr>
        <w:t xml:space="preserve">) </w:t>
      </w:r>
      <w:r w:rsidRPr="00EC4212">
        <w:rPr>
          <w:rStyle w:val="Hyperlink"/>
          <w:rFonts w:asciiTheme="minorHAnsi" w:hAnsiTheme="minorHAnsi"/>
          <w:color w:val="auto"/>
          <w:sz w:val="22"/>
          <w:u w:val="none"/>
          <w:lang w:val="en-GB"/>
        </w:rPr>
        <w:t>for 2020</w:t>
      </w:r>
      <w:r w:rsidR="00F80936">
        <w:rPr>
          <w:rStyle w:val="Hyperlink"/>
          <w:rFonts w:asciiTheme="minorHAnsi" w:hAnsiTheme="minorHAnsi"/>
          <w:color w:val="auto"/>
          <w:sz w:val="22"/>
          <w:u w:val="none"/>
          <w:lang w:val="en-GB"/>
        </w:rPr>
        <w:t>,</w:t>
      </w:r>
      <w:r w:rsidRPr="00EC4212">
        <w:rPr>
          <w:rStyle w:val="Hyperlink"/>
          <w:rFonts w:asciiTheme="minorHAnsi" w:hAnsiTheme="minorHAnsi"/>
          <w:color w:val="auto"/>
          <w:sz w:val="22"/>
          <w:u w:val="none"/>
          <w:lang w:val="en-GB"/>
        </w:rPr>
        <w:t xml:space="preserve"> it is estimated that there has been a recession, i.e. a negative GDP growth of -4/5% (due to the COVID19 pandemic), while the projection of GDP growth</w:t>
      </w:r>
      <w:r w:rsidRPr="00EC4212">
        <w:rPr>
          <w:rFonts w:asciiTheme="minorHAnsi" w:hAnsiTheme="minorHAnsi"/>
          <w:sz w:val="22"/>
          <w:lang w:val="en-GB"/>
        </w:rPr>
        <w:t xml:space="preserve"> </w:t>
      </w:r>
      <w:r w:rsidRPr="00EC4212">
        <w:rPr>
          <w:rFonts w:asciiTheme="minorHAnsi" w:hAnsiTheme="minorHAnsi"/>
          <w:sz w:val="22"/>
          <w:szCs w:val="22"/>
          <w:lang w:val="en-GB"/>
        </w:rPr>
        <w:t xml:space="preserve">for 2021 is 5.2%. The weighted average (which includes 3 months of 2020 and 9 months of 2021) results in 2.8%.  </w:t>
      </w:r>
      <w:r w:rsidRPr="00EC4212">
        <w:rPr>
          <w:lang w:val="en-GB"/>
        </w:rPr>
        <w:t xml:space="preserve">   </w:t>
      </w:r>
      <w:r w:rsidRPr="00EC4212">
        <w:rPr>
          <w:rFonts w:asciiTheme="minorHAnsi" w:hAnsiTheme="minorHAnsi"/>
          <w:sz w:val="22"/>
          <w:lang w:val="en-GB"/>
        </w:rPr>
        <w:t xml:space="preserve">   </w:t>
      </w:r>
    </w:p>
    <w:p w:rsidR="00077F47" w:rsidRPr="00EC4212" w:rsidRDefault="00077F47" w:rsidP="00077F47">
      <w:pPr>
        <w:pStyle w:val="ListParagraph"/>
        <w:jc w:val="both"/>
        <w:rPr>
          <w:rFonts w:asciiTheme="minorHAnsi" w:hAnsiTheme="minorHAnsi"/>
          <w:sz w:val="22"/>
          <w:lang w:val="en-GB"/>
        </w:rPr>
      </w:pPr>
      <w:r w:rsidRPr="00EC4212">
        <w:rPr>
          <w:rFonts w:asciiTheme="minorHAnsi" w:hAnsiTheme="minorHAnsi"/>
          <w:sz w:val="22"/>
          <w:lang w:val="en-GB"/>
        </w:rPr>
        <w:t xml:space="preserve"> </w:t>
      </w:r>
    </w:p>
    <w:p w:rsidR="00E807F8" w:rsidRPr="00EC4212" w:rsidRDefault="00E807F8" w:rsidP="007B1C78">
      <w:pPr>
        <w:jc w:val="both"/>
        <w:rPr>
          <w:rFonts w:asciiTheme="minorHAnsi" w:hAnsiTheme="minorHAnsi"/>
          <w:sz w:val="22"/>
          <w:lang w:val="en-GB"/>
        </w:rPr>
      </w:pPr>
      <w:r w:rsidRPr="00EC4212">
        <w:rPr>
          <w:rFonts w:asciiTheme="minorHAnsi" w:hAnsiTheme="minorHAnsi"/>
          <w:sz w:val="22"/>
          <w:lang w:val="en-GB"/>
        </w:rPr>
        <w:t xml:space="preserve">   </w:t>
      </w:r>
    </w:p>
    <w:p w:rsidR="00E807F8" w:rsidRPr="00EC4212" w:rsidRDefault="00E807F8" w:rsidP="00F23C29">
      <w:pPr>
        <w:numPr>
          <w:ilvl w:val="0"/>
          <w:numId w:val="9"/>
        </w:numPr>
        <w:tabs>
          <w:tab w:val="clear" w:pos="720"/>
          <w:tab w:val="num" w:pos="360"/>
        </w:tabs>
        <w:ind w:left="360"/>
        <w:jc w:val="both"/>
        <w:rPr>
          <w:rFonts w:asciiTheme="minorHAnsi" w:hAnsiTheme="minorHAnsi"/>
          <w:b/>
          <w:sz w:val="22"/>
          <w:szCs w:val="22"/>
          <w:lang w:val="en-GB"/>
        </w:rPr>
      </w:pPr>
      <w:r w:rsidRPr="00EC4212">
        <w:rPr>
          <w:rFonts w:asciiTheme="minorHAnsi" w:hAnsiTheme="minorHAnsi"/>
          <w:b/>
          <w:sz w:val="22"/>
          <w:szCs w:val="22"/>
          <w:lang w:val="en-GB"/>
        </w:rPr>
        <w:t>Sales and other administrative costs</w:t>
      </w:r>
    </w:p>
    <w:p w:rsidR="00E807F8" w:rsidRPr="00EC4212" w:rsidRDefault="00E807F8" w:rsidP="00E807F8">
      <w:pPr>
        <w:ind w:left="720"/>
        <w:jc w:val="both"/>
        <w:rPr>
          <w:rFonts w:asciiTheme="minorHAnsi" w:hAnsiTheme="minorHAnsi"/>
          <w:sz w:val="22"/>
          <w:szCs w:val="22"/>
          <w:lang w:val="en-GB"/>
        </w:rPr>
      </w:pPr>
    </w:p>
    <w:p w:rsidR="00E807F8" w:rsidRPr="00EC4212" w:rsidRDefault="00E807F8" w:rsidP="00F23C29">
      <w:pPr>
        <w:numPr>
          <w:ilvl w:val="1"/>
          <w:numId w:val="9"/>
        </w:numPr>
        <w:tabs>
          <w:tab w:val="clear" w:pos="1440"/>
          <w:tab w:val="num" w:pos="720"/>
        </w:tabs>
        <w:ind w:left="720"/>
        <w:jc w:val="both"/>
        <w:rPr>
          <w:rFonts w:asciiTheme="minorHAnsi" w:hAnsiTheme="minorHAnsi"/>
          <w:sz w:val="22"/>
          <w:szCs w:val="22"/>
          <w:lang w:val="en-GB"/>
        </w:rPr>
      </w:pPr>
      <w:r w:rsidRPr="00EC4212">
        <w:rPr>
          <w:rFonts w:asciiTheme="minorHAnsi" w:hAnsiTheme="minorHAnsi"/>
          <w:sz w:val="22"/>
          <w:szCs w:val="22"/>
          <w:lang w:val="en-GB"/>
        </w:rPr>
        <w:t xml:space="preserve">This cost was proposed by DH Termokos in an extremely high amount of € 1,022,156; </w:t>
      </w:r>
      <w:r w:rsidR="00804CC5" w:rsidRPr="00EC4212">
        <w:rPr>
          <w:rFonts w:asciiTheme="minorHAnsi" w:hAnsiTheme="minorHAnsi"/>
          <w:sz w:val="22"/>
          <w:szCs w:val="22"/>
          <w:lang w:val="en-GB"/>
        </w:rPr>
        <w:t>from</w:t>
      </w:r>
      <w:r w:rsidRPr="00EC4212">
        <w:rPr>
          <w:rFonts w:asciiTheme="minorHAnsi" w:hAnsiTheme="minorHAnsi"/>
          <w:sz w:val="22"/>
          <w:szCs w:val="22"/>
          <w:lang w:val="en-GB"/>
        </w:rPr>
        <w:t xml:space="preserve"> the details provided, it</w:t>
      </w:r>
      <w:r w:rsidRPr="00EC4212">
        <w:rPr>
          <w:rFonts w:asciiTheme="minorHAnsi" w:hAnsiTheme="minorHAnsi"/>
          <w:szCs w:val="22"/>
          <w:lang w:val="en-GB"/>
        </w:rPr>
        <w:t xml:space="preserve"> </w:t>
      </w:r>
      <w:r w:rsidRPr="00EC4212">
        <w:rPr>
          <w:rStyle w:val="HeaderChar"/>
          <w:rFonts w:asciiTheme="minorHAnsi" w:hAnsiTheme="minorHAnsi"/>
          <w:szCs w:val="22"/>
          <w:lang w:val="en-GB"/>
        </w:rPr>
        <w:t>can be seen that the main part belongs to the sub-component “costs related to the provision of accounts receivable</w:t>
      </w:r>
      <w:r w:rsidRPr="00EC4212">
        <w:rPr>
          <w:rFonts w:asciiTheme="minorHAnsi" w:hAnsiTheme="minorHAnsi"/>
          <w:sz w:val="22"/>
          <w:szCs w:val="22"/>
          <w:lang w:val="en-GB"/>
        </w:rPr>
        <w:t>” in the amount of € 682,888. Also, the details show the sub-component “pension insurance contributions” where a very large amount of € 107,624 is presented, as well as “annual license fee costs (cogeneration and own production)” in the amount of € 28,129.</w:t>
      </w:r>
    </w:p>
    <w:p w:rsidR="001E38F4" w:rsidRPr="00EC4212" w:rsidRDefault="001E38F4" w:rsidP="001E38F4">
      <w:pPr>
        <w:ind w:left="720"/>
        <w:jc w:val="both"/>
        <w:rPr>
          <w:rFonts w:asciiTheme="minorHAnsi" w:hAnsiTheme="minorHAnsi"/>
          <w:sz w:val="22"/>
          <w:szCs w:val="22"/>
          <w:lang w:val="en-GB"/>
        </w:rPr>
      </w:pPr>
    </w:p>
    <w:p w:rsidR="002050CB" w:rsidRPr="00EC4212" w:rsidRDefault="00804CC5" w:rsidP="00F23C29">
      <w:pPr>
        <w:numPr>
          <w:ilvl w:val="1"/>
          <w:numId w:val="9"/>
        </w:numPr>
        <w:tabs>
          <w:tab w:val="clear" w:pos="1440"/>
          <w:tab w:val="num" w:pos="720"/>
        </w:tabs>
        <w:ind w:left="720"/>
        <w:jc w:val="both"/>
        <w:rPr>
          <w:rFonts w:asciiTheme="minorHAnsi" w:hAnsiTheme="minorHAnsi"/>
          <w:sz w:val="22"/>
          <w:szCs w:val="22"/>
          <w:lang w:val="en-GB"/>
        </w:rPr>
      </w:pPr>
      <w:r>
        <w:rPr>
          <w:rFonts w:asciiTheme="minorHAnsi" w:hAnsiTheme="minorHAnsi"/>
          <w:sz w:val="22"/>
          <w:szCs w:val="22"/>
          <w:lang w:val="en-GB"/>
        </w:rPr>
        <w:t>Eva</w:t>
      </w:r>
      <w:r w:rsidR="00E807F8" w:rsidRPr="00EC4212">
        <w:rPr>
          <w:rFonts w:asciiTheme="minorHAnsi" w:hAnsiTheme="minorHAnsi"/>
          <w:sz w:val="22"/>
          <w:szCs w:val="22"/>
          <w:lang w:val="en-GB"/>
        </w:rPr>
        <w:t>luation - As the</w:t>
      </w:r>
      <w:r w:rsidR="00E807F8" w:rsidRPr="00EC4212">
        <w:rPr>
          <w:rFonts w:asciiTheme="minorHAnsi" w:hAnsiTheme="minorHAnsi"/>
          <w:szCs w:val="22"/>
          <w:lang w:val="en-GB"/>
        </w:rPr>
        <w:t xml:space="preserve"> </w:t>
      </w:r>
      <w:r w:rsidR="00E807F8" w:rsidRPr="00EC4212">
        <w:rPr>
          <w:rFonts w:asciiTheme="minorHAnsi" w:hAnsiTheme="minorHAnsi"/>
          <w:sz w:val="22"/>
          <w:szCs w:val="22"/>
          <w:lang w:val="en-GB"/>
        </w:rPr>
        <w:t>item “</w:t>
      </w:r>
      <w:r w:rsidR="00E807F8" w:rsidRPr="00EC4212">
        <w:rPr>
          <w:rStyle w:val="HeaderChar"/>
          <w:rFonts w:asciiTheme="minorHAnsi" w:hAnsiTheme="minorHAnsi"/>
          <w:szCs w:val="22"/>
          <w:lang w:val="en-GB"/>
        </w:rPr>
        <w:t>costs related to the provision of accounts receivables</w:t>
      </w:r>
      <w:r w:rsidR="00E807F8" w:rsidRPr="00EC4212">
        <w:rPr>
          <w:rFonts w:asciiTheme="minorHAnsi" w:hAnsiTheme="minorHAnsi"/>
          <w:sz w:val="22"/>
          <w:szCs w:val="22"/>
          <w:lang w:val="en-GB"/>
        </w:rPr>
        <w:t xml:space="preserve">” is related to accounts receivable or customer debts, this is </w:t>
      </w:r>
      <w:r w:rsidR="00E807F8" w:rsidRPr="00EC4212">
        <w:rPr>
          <w:rFonts w:asciiTheme="minorHAnsi" w:hAnsiTheme="minorHAnsi"/>
          <w:bCs/>
          <w:sz w:val="22"/>
          <w:szCs w:val="22"/>
          <w:lang w:val="en-GB"/>
        </w:rPr>
        <w:t>a necessary accounting operation to reflect the current non-collection ratio and collection of past debts. In this regard, it should be noted that ERO does not consider these costs as subject to</w:t>
      </w:r>
      <w:r w:rsidR="00E807F8" w:rsidRPr="00EC4212">
        <w:rPr>
          <w:rFonts w:asciiTheme="minorHAnsi" w:hAnsiTheme="minorHAnsi"/>
          <w:sz w:val="22"/>
          <w:szCs w:val="22"/>
          <w:lang w:val="en-GB"/>
        </w:rPr>
        <w:t xml:space="preserve"> </w:t>
      </w:r>
      <w:r w:rsidR="00E807F8" w:rsidRPr="00EC4212">
        <w:rPr>
          <w:rFonts w:asciiTheme="minorHAnsi" w:hAnsiTheme="minorHAnsi"/>
          <w:bCs/>
          <w:sz w:val="22"/>
          <w:szCs w:val="22"/>
          <w:lang w:val="en-GB"/>
        </w:rPr>
        <w:t>tariff review, due to the fact that</w:t>
      </w:r>
      <w:r w:rsidR="00E807F8" w:rsidRPr="00EC4212">
        <w:rPr>
          <w:rFonts w:asciiTheme="minorHAnsi" w:hAnsiTheme="minorHAnsi"/>
          <w:sz w:val="22"/>
          <w:szCs w:val="22"/>
          <w:lang w:val="en-GB"/>
        </w:rPr>
        <w:t xml:space="preserve"> in accordance with provisions of provisions of Thermal Energy Pricing Rule, ERO determines/allows a justifiable share of the bad debts share, which is categorized under variable costs as bad debt cost.</w:t>
      </w:r>
    </w:p>
    <w:p w:rsidR="001E38F4" w:rsidRPr="00EC4212" w:rsidRDefault="00BC2F2A" w:rsidP="002050CB">
      <w:pPr>
        <w:ind w:left="720"/>
        <w:jc w:val="both"/>
        <w:rPr>
          <w:rFonts w:asciiTheme="minorHAnsi" w:hAnsiTheme="minorHAnsi"/>
          <w:sz w:val="22"/>
          <w:szCs w:val="22"/>
          <w:lang w:val="en-GB"/>
        </w:rPr>
      </w:pPr>
      <w:r w:rsidRPr="00EC4212">
        <w:rPr>
          <w:rFonts w:asciiTheme="minorHAnsi" w:hAnsiTheme="minorHAnsi"/>
          <w:sz w:val="22"/>
          <w:szCs w:val="22"/>
          <w:lang w:val="en-GB"/>
        </w:rPr>
        <w:t xml:space="preserve">As for the component "pension insurance contributions", ERO considers that this value belongs to and is allocated to the 'staff cost'. </w:t>
      </w:r>
    </w:p>
    <w:p w:rsidR="00BC2F2A" w:rsidRPr="00EC4212" w:rsidRDefault="001E38F4" w:rsidP="002050CB">
      <w:pPr>
        <w:ind w:left="720"/>
        <w:jc w:val="both"/>
        <w:rPr>
          <w:rFonts w:asciiTheme="minorHAnsi" w:hAnsiTheme="minorHAnsi"/>
          <w:sz w:val="22"/>
          <w:szCs w:val="22"/>
          <w:lang w:val="en-GB"/>
        </w:rPr>
      </w:pPr>
      <w:r w:rsidRPr="00EC4212">
        <w:rPr>
          <w:rFonts w:asciiTheme="minorHAnsi" w:hAnsiTheme="minorHAnsi"/>
          <w:sz w:val="22"/>
          <w:szCs w:val="22"/>
          <w:lang w:val="en-GB"/>
        </w:rPr>
        <w:t>For the licensing fee component it should be noted that the payment of licensing fee for thermal energy from cogeneration is calculated in the variable component of the cost of thermal energy from cogeneration (see p.9), as well as the annual licensing fee for the production of thermal energy in the heating plant is allocated under 'variable costs' (see p.10).</w:t>
      </w:r>
    </w:p>
    <w:p w:rsidR="00E807F8" w:rsidRPr="00EC4212" w:rsidRDefault="00E807F8" w:rsidP="00F23C29">
      <w:pPr>
        <w:numPr>
          <w:ilvl w:val="1"/>
          <w:numId w:val="9"/>
        </w:numPr>
        <w:tabs>
          <w:tab w:val="clear" w:pos="1440"/>
          <w:tab w:val="num" w:pos="720"/>
        </w:tabs>
        <w:ind w:left="720"/>
        <w:jc w:val="both"/>
        <w:rPr>
          <w:rFonts w:asciiTheme="minorHAnsi" w:hAnsiTheme="minorHAnsi"/>
          <w:sz w:val="22"/>
          <w:szCs w:val="22"/>
          <w:lang w:val="en-GB"/>
        </w:rPr>
      </w:pPr>
      <w:r w:rsidRPr="00EC4212">
        <w:rPr>
          <w:rFonts w:asciiTheme="minorHAnsi" w:hAnsiTheme="minorHAnsi"/>
          <w:sz w:val="22"/>
          <w:szCs w:val="22"/>
          <w:lang w:val="en-GB"/>
        </w:rPr>
        <w:t xml:space="preserve">In the light of foregoing, ERO has assigned the amount of </w:t>
      </w:r>
      <w:r w:rsidRPr="00EC4212">
        <w:rPr>
          <w:rFonts w:asciiTheme="minorHAnsi" w:hAnsiTheme="minorHAnsi"/>
          <w:b/>
          <w:sz w:val="22"/>
          <w:szCs w:val="22"/>
          <w:lang w:val="en-GB"/>
        </w:rPr>
        <w:t>€ 203,515,</w:t>
      </w:r>
      <w:r w:rsidRPr="00EC4212">
        <w:rPr>
          <w:rFonts w:asciiTheme="minorHAnsi" w:hAnsiTheme="minorHAnsi"/>
          <w:sz w:val="22"/>
          <w:szCs w:val="22"/>
          <w:lang w:val="en-GB"/>
        </w:rPr>
        <w:t xml:space="preserve"> which does not include the above-mentioned components, as the allowed value for Sales and other administrative costs. </w:t>
      </w:r>
    </w:p>
    <w:p w:rsidR="00E807F8" w:rsidRPr="00EC4212" w:rsidRDefault="00E807F8" w:rsidP="00E807F8">
      <w:pPr>
        <w:ind w:left="720"/>
        <w:jc w:val="both"/>
        <w:rPr>
          <w:rFonts w:asciiTheme="minorHAnsi" w:hAnsiTheme="minorHAnsi"/>
          <w:sz w:val="22"/>
          <w:szCs w:val="22"/>
          <w:lang w:val="en-GB"/>
        </w:rPr>
      </w:pPr>
    </w:p>
    <w:p w:rsidR="00E807F8" w:rsidRPr="00EC4212" w:rsidRDefault="00E807F8" w:rsidP="00E807F8">
      <w:pPr>
        <w:jc w:val="both"/>
        <w:rPr>
          <w:rFonts w:asciiTheme="minorHAnsi" w:hAnsiTheme="minorHAnsi"/>
          <w:sz w:val="22"/>
          <w:szCs w:val="22"/>
          <w:lang w:val="en-GB"/>
        </w:rPr>
      </w:pPr>
      <w:r w:rsidRPr="00EC4212">
        <w:rPr>
          <w:rFonts w:asciiTheme="minorHAnsi" w:hAnsiTheme="minorHAnsi"/>
          <w:sz w:val="22"/>
          <w:szCs w:val="22"/>
          <w:lang w:val="en-GB"/>
        </w:rPr>
        <w:t xml:space="preserve">From what was stated above, it results that the </w:t>
      </w:r>
      <w:r w:rsidRPr="00EC4212">
        <w:rPr>
          <w:rFonts w:asciiTheme="minorHAnsi" w:hAnsiTheme="minorHAnsi"/>
          <w:b/>
          <w:sz w:val="22"/>
          <w:szCs w:val="22"/>
          <w:lang w:val="en-GB"/>
        </w:rPr>
        <w:t>Fixed Costs</w:t>
      </w:r>
      <w:r w:rsidRPr="00EC4212">
        <w:rPr>
          <w:rFonts w:asciiTheme="minorHAnsi" w:hAnsiTheme="minorHAnsi"/>
          <w:sz w:val="22"/>
          <w:szCs w:val="22"/>
          <w:lang w:val="en-GB"/>
        </w:rPr>
        <w:t xml:space="preserve"> allowed from ERO, are determined in the amount of </w:t>
      </w:r>
      <w:r w:rsidRPr="00EC4212">
        <w:rPr>
          <w:rFonts w:asciiTheme="minorHAnsi" w:hAnsiTheme="minorHAnsi"/>
          <w:b/>
          <w:sz w:val="22"/>
          <w:szCs w:val="22"/>
          <w:lang w:val="en-GB"/>
        </w:rPr>
        <w:t>€ 2,067,048.</w:t>
      </w:r>
    </w:p>
    <w:p w:rsidR="00E807F8" w:rsidRPr="00EC4212" w:rsidRDefault="00E807F8" w:rsidP="00E807F8">
      <w:pPr>
        <w:jc w:val="both"/>
        <w:rPr>
          <w:rFonts w:asciiTheme="minorHAnsi" w:hAnsiTheme="minorHAnsi"/>
          <w:b/>
          <w:color w:val="FF0000"/>
          <w:sz w:val="22"/>
          <w:szCs w:val="22"/>
          <w:highlight w:val="yellow"/>
          <w:lang w:val="en-GB"/>
        </w:rPr>
      </w:pPr>
    </w:p>
    <w:p w:rsidR="004D35CB" w:rsidRPr="00EC4212" w:rsidRDefault="004D35CB" w:rsidP="00E807F8">
      <w:pPr>
        <w:jc w:val="both"/>
        <w:rPr>
          <w:rFonts w:asciiTheme="minorHAnsi" w:hAnsiTheme="minorHAnsi"/>
          <w:b/>
          <w:color w:val="FF0000"/>
          <w:sz w:val="22"/>
          <w:szCs w:val="22"/>
          <w:highlight w:val="yellow"/>
          <w:lang w:val="en-GB"/>
        </w:rPr>
      </w:pPr>
    </w:p>
    <w:p w:rsidR="00B553B1" w:rsidRPr="00EC4212" w:rsidRDefault="00B553B1" w:rsidP="00E807F8">
      <w:pPr>
        <w:jc w:val="both"/>
        <w:rPr>
          <w:rFonts w:asciiTheme="minorHAnsi" w:hAnsiTheme="minorHAnsi"/>
          <w:b/>
          <w:color w:val="FF0000"/>
          <w:sz w:val="22"/>
          <w:szCs w:val="22"/>
          <w:highlight w:val="yellow"/>
          <w:lang w:val="en-GB"/>
        </w:rPr>
      </w:pPr>
    </w:p>
    <w:p w:rsidR="00E807F8" w:rsidRPr="00EC4212" w:rsidRDefault="00E807F8" w:rsidP="00E807F8">
      <w:pPr>
        <w:jc w:val="both"/>
        <w:rPr>
          <w:rFonts w:asciiTheme="minorHAnsi" w:hAnsiTheme="minorHAnsi"/>
          <w:sz w:val="22"/>
          <w:szCs w:val="22"/>
          <w:u w:val="single"/>
          <w:lang w:val="en-GB"/>
        </w:rPr>
      </w:pPr>
      <w:r w:rsidRPr="00EC4212">
        <w:rPr>
          <w:rFonts w:asciiTheme="minorHAnsi" w:hAnsiTheme="minorHAnsi"/>
          <w:sz w:val="22"/>
          <w:szCs w:val="22"/>
          <w:lang w:val="en-GB"/>
        </w:rPr>
        <w:t xml:space="preserve">- </w:t>
      </w:r>
      <w:r w:rsidRPr="00EC4212">
        <w:rPr>
          <w:rFonts w:asciiTheme="minorHAnsi" w:hAnsiTheme="minorHAnsi"/>
          <w:sz w:val="22"/>
          <w:szCs w:val="22"/>
          <w:u w:val="single"/>
          <w:lang w:val="en-GB"/>
        </w:rPr>
        <w:t xml:space="preserve">Total allowed operational costs for the season 2020/2021 </w:t>
      </w:r>
    </w:p>
    <w:p w:rsidR="00E807F8" w:rsidRPr="00EC4212" w:rsidRDefault="00E807F8" w:rsidP="00E807F8">
      <w:pPr>
        <w:jc w:val="both"/>
        <w:rPr>
          <w:rFonts w:asciiTheme="minorHAnsi" w:hAnsiTheme="minorHAnsi"/>
          <w:sz w:val="22"/>
          <w:szCs w:val="22"/>
          <w:highlight w:val="yellow"/>
          <w:lang w:val="en-GB"/>
        </w:rPr>
      </w:pPr>
    </w:p>
    <w:p w:rsidR="00E807F8" w:rsidRPr="00EC4212" w:rsidRDefault="00E807F8" w:rsidP="00E807F8">
      <w:pPr>
        <w:jc w:val="both"/>
        <w:rPr>
          <w:rFonts w:asciiTheme="minorHAnsi" w:hAnsiTheme="minorHAnsi"/>
          <w:sz w:val="22"/>
          <w:szCs w:val="22"/>
          <w:lang w:val="en-GB"/>
        </w:rPr>
      </w:pPr>
      <w:r w:rsidRPr="00EC4212">
        <w:rPr>
          <w:rFonts w:asciiTheme="minorHAnsi" w:hAnsiTheme="minorHAnsi"/>
          <w:sz w:val="22"/>
          <w:szCs w:val="22"/>
          <w:lang w:val="en-GB"/>
        </w:rPr>
        <w:t xml:space="preserve">Allowed operational costs consist of the sum of the fixed and variable costs and are calculated according to the formula written below:  </w:t>
      </w:r>
    </w:p>
    <w:p w:rsidR="00E807F8" w:rsidRPr="00EC4212" w:rsidRDefault="00E807F8" w:rsidP="00E807F8">
      <w:pPr>
        <w:jc w:val="both"/>
        <w:rPr>
          <w:rFonts w:asciiTheme="minorHAnsi" w:hAnsiTheme="minorHAnsi"/>
          <w:sz w:val="22"/>
          <w:szCs w:val="22"/>
          <w:lang w:val="en-GB"/>
        </w:rPr>
      </w:pPr>
    </w:p>
    <w:p w:rsidR="00E807F8" w:rsidRPr="00EC4212" w:rsidRDefault="00E807F8" w:rsidP="00E807F8">
      <w:pPr>
        <w:jc w:val="both"/>
        <w:rPr>
          <w:rFonts w:asciiTheme="minorHAnsi" w:hAnsiTheme="minorHAnsi"/>
          <w:b/>
          <w:lang w:val="en-GB"/>
        </w:rPr>
      </w:pPr>
      <w:r w:rsidRPr="00EC4212">
        <w:rPr>
          <w:rFonts w:asciiTheme="minorHAnsi" w:hAnsiTheme="minorHAnsi"/>
          <w:b/>
          <w:lang w:val="en-GB"/>
        </w:rPr>
        <w:t xml:space="preserve">OC = Variable Costs + Fixed Costs </w:t>
      </w:r>
    </w:p>
    <w:p w:rsidR="00E807F8" w:rsidRPr="00EC4212" w:rsidRDefault="00E807F8" w:rsidP="00E807F8">
      <w:pPr>
        <w:jc w:val="both"/>
        <w:rPr>
          <w:rFonts w:asciiTheme="minorHAnsi" w:hAnsiTheme="minorHAnsi"/>
          <w:sz w:val="22"/>
          <w:szCs w:val="22"/>
          <w:lang w:val="en-GB"/>
        </w:rPr>
      </w:pPr>
    </w:p>
    <w:p w:rsidR="00E807F8" w:rsidRPr="00EC4212" w:rsidRDefault="00E807F8" w:rsidP="00E807F8">
      <w:pPr>
        <w:jc w:val="both"/>
        <w:rPr>
          <w:rFonts w:asciiTheme="minorHAnsi" w:hAnsiTheme="minorHAnsi"/>
          <w:sz w:val="22"/>
          <w:szCs w:val="22"/>
          <w:lang w:val="en-GB"/>
        </w:rPr>
      </w:pPr>
      <w:r w:rsidRPr="00EC4212">
        <w:rPr>
          <w:rFonts w:asciiTheme="minorHAnsi" w:hAnsiTheme="minorHAnsi"/>
          <w:sz w:val="22"/>
          <w:szCs w:val="22"/>
          <w:lang w:val="en-GB"/>
        </w:rPr>
        <w:t>From the formula it is calculated:</w:t>
      </w:r>
    </w:p>
    <w:p w:rsidR="00E807F8" w:rsidRPr="00EC4212" w:rsidRDefault="00E807F8" w:rsidP="00E807F8">
      <w:pPr>
        <w:jc w:val="both"/>
        <w:rPr>
          <w:rFonts w:asciiTheme="minorHAnsi" w:hAnsiTheme="minorHAnsi"/>
          <w:b/>
          <w:sz w:val="22"/>
          <w:szCs w:val="22"/>
          <w:lang w:val="en-GB"/>
        </w:rPr>
      </w:pPr>
    </w:p>
    <w:p w:rsidR="00E807F8" w:rsidRPr="00EC4212" w:rsidRDefault="00E807F8" w:rsidP="00E807F8">
      <w:pPr>
        <w:jc w:val="both"/>
        <w:rPr>
          <w:rFonts w:asciiTheme="minorHAnsi" w:hAnsiTheme="minorHAnsi"/>
          <w:b/>
          <w:lang w:val="en-GB"/>
        </w:rPr>
      </w:pPr>
      <w:r w:rsidRPr="00EC4212">
        <w:rPr>
          <w:rFonts w:asciiTheme="minorHAnsi" w:hAnsiTheme="minorHAnsi"/>
          <w:b/>
          <w:lang w:val="en-GB"/>
        </w:rPr>
        <w:t>Allowed operational costs</w:t>
      </w:r>
      <w:r w:rsidRPr="00EC4212">
        <w:rPr>
          <w:rFonts w:asciiTheme="minorHAnsi" w:hAnsiTheme="minorHAnsi"/>
          <w:lang w:val="en-GB"/>
        </w:rPr>
        <w:t xml:space="preserve"> in the amount of </w:t>
      </w:r>
      <w:r w:rsidRPr="00EC4212">
        <w:rPr>
          <w:rFonts w:asciiTheme="minorHAnsi" w:hAnsiTheme="minorHAnsi"/>
          <w:b/>
          <w:lang w:val="en-GB"/>
        </w:rPr>
        <w:t>€ 4,666,516</w:t>
      </w:r>
    </w:p>
    <w:p w:rsidR="00E807F8" w:rsidRPr="00EC4212" w:rsidRDefault="00E807F8" w:rsidP="00382204">
      <w:pPr>
        <w:spacing w:after="120"/>
        <w:rPr>
          <w:rFonts w:asciiTheme="minorHAnsi" w:hAnsiTheme="minorHAnsi"/>
          <w:lang w:val="en-GB"/>
        </w:rPr>
      </w:pPr>
    </w:p>
    <w:p w:rsidR="00E807F8" w:rsidRPr="00EC4212" w:rsidRDefault="00954DC8" w:rsidP="00080A99">
      <w:pPr>
        <w:pStyle w:val="Heading2"/>
        <w:rPr>
          <w:color w:val="000000" w:themeColor="text1"/>
          <w:lang w:val="en-GB"/>
        </w:rPr>
      </w:pPr>
      <w:bookmarkStart w:id="53" w:name="_Toc339538668"/>
      <w:bookmarkStart w:id="54" w:name="_Toc339539122"/>
      <w:r w:rsidRPr="00EC4212">
        <w:rPr>
          <w:color w:val="000000" w:themeColor="text1"/>
          <w:lang w:val="en-GB"/>
        </w:rPr>
        <w:t xml:space="preserve">  </w:t>
      </w:r>
      <w:bookmarkStart w:id="55" w:name="_Toc21513546"/>
      <w:bookmarkStart w:id="56" w:name="_Toc21514372"/>
      <w:bookmarkStart w:id="57" w:name="_Toc21514856"/>
      <w:bookmarkStart w:id="58" w:name="_Toc21515556"/>
      <w:bookmarkStart w:id="59" w:name="_Toc52186228"/>
      <w:r w:rsidRPr="00EC4212">
        <w:rPr>
          <w:color w:val="000000" w:themeColor="text1"/>
          <w:lang w:val="en-GB"/>
        </w:rPr>
        <w:t>Determination of the Regulatory Asset Base (RAB)</w:t>
      </w:r>
      <w:bookmarkEnd w:id="55"/>
      <w:bookmarkEnd w:id="56"/>
      <w:bookmarkEnd w:id="57"/>
      <w:bookmarkEnd w:id="58"/>
      <w:bookmarkEnd w:id="59"/>
    </w:p>
    <w:p w:rsidR="00E807F8" w:rsidRPr="00EC4212" w:rsidRDefault="00E807F8" w:rsidP="00E807F8">
      <w:pPr>
        <w:rPr>
          <w:rFonts w:asciiTheme="minorHAnsi" w:hAnsiTheme="minorHAnsi"/>
          <w:sz w:val="22"/>
          <w:szCs w:val="22"/>
          <w:lang w:val="en-GB"/>
        </w:rPr>
      </w:pPr>
    </w:p>
    <w:p w:rsidR="00E807F8" w:rsidRPr="00EC4212" w:rsidRDefault="00E807F8" w:rsidP="00E807F8">
      <w:pPr>
        <w:rPr>
          <w:rFonts w:asciiTheme="minorHAnsi" w:hAnsiTheme="minorHAnsi" w:cs="Calibri"/>
          <w:sz w:val="22"/>
          <w:szCs w:val="22"/>
          <w:lang w:val="en-GB"/>
        </w:rPr>
      </w:pPr>
      <w:r w:rsidRPr="00EC4212">
        <w:rPr>
          <w:rFonts w:asciiTheme="minorHAnsi" w:hAnsiTheme="minorHAnsi"/>
          <w:sz w:val="22"/>
          <w:szCs w:val="22"/>
          <w:lang w:val="en-GB"/>
        </w:rPr>
        <w:t xml:space="preserve">Determination of RAB is the main factor for calculating the Annual Depreciation and Allowed Return on Assets, which in fact represents the allowed profit from the regulated business activity. </w:t>
      </w:r>
    </w:p>
    <w:p w:rsidR="00E807F8" w:rsidRPr="00EC4212" w:rsidRDefault="00E807F8" w:rsidP="00E807F8">
      <w:pPr>
        <w:jc w:val="both"/>
        <w:rPr>
          <w:rFonts w:asciiTheme="minorHAnsi" w:hAnsiTheme="minorHAnsi"/>
          <w:sz w:val="22"/>
          <w:lang w:val="en-GB"/>
        </w:rPr>
      </w:pPr>
    </w:p>
    <w:p w:rsidR="00E807F8" w:rsidRPr="00EC4212" w:rsidRDefault="00E807F8" w:rsidP="00E807F8">
      <w:pPr>
        <w:jc w:val="both"/>
        <w:rPr>
          <w:rFonts w:asciiTheme="minorHAnsi" w:hAnsiTheme="minorHAnsi"/>
          <w:sz w:val="22"/>
          <w:lang w:val="en-GB"/>
        </w:rPr>
      </w:pPr>
      <w:r w:rsidRPr="00EC4212">
        <w:rPr>
          <w:rFonts w:asciiTheme="minorHAnsi" w:hAnsiTheme="minorHAnsi"/>
          <w:sz w:val="22"/>
          <w:lang w:val="en-GB"/>
        </w:rPr>
        <w:t>The Regulatory Asset Base</w:t>
      </w:r>
      <w:r w:rsidR="00804CC5">
        <w:rPr>
          <w:rFonts w:asciiTheme="minorHAnsi" w:hAnsiTheme="minorHAnsi"/>
          <w:sz w:val="22"/>
          <w:lang w:val="en-GB"/>
        </w:rPr>
        <w:t xml:space="preserve"> </w:t>
      </w:r>
      <w:r w:rsidRPr="00EC4212">
        <w:rPr>
          <w:rFonts w:asciiTheme="minorHAnsi" w:hAnsiTheme="minorHAnsi"/>
          <w:sz w:val="22"/>
          <w:lang w:val="en-GB"/>
        </w:rPr>
        <w:t>- RAB, pursuant to Annex 2 of Thermal Energy Pricing Rule, is calculated according to the following formula:</w:t>
      </w:r>
    </w:p>
    <w:p w:rsidR="00E807F8" w:rsidRPr="00EC4212" w:rsidRDefault="00E807F8" w:rsidP="00E807F8">
      <w:pPr>
        <w:jc w:val="both"/>
        <w:rPr>
          <w:rFonts w:asciiTheme="minorHAnsi" w:hAnsiTheme="minorHAnsi"/>
          <w:sz w:val="22"/>
          <w:lang w:val="en-GB"/>
        </w:rPr>
      </w:pPr>
    </w:p>
    <w:p w:rsidR="00E807F8" w:rsidRPr="00EC4212" w:rsidRDefault="00E807F8" w:rsidP="00E807F8">
      <w:pPr>
        <w:rPr>
          <w:rFonts w:asciiTheme="minorHAnsi" w:hAnsiTheme="minorHAnsi" w:cs="Calibri"/>
          <w:b/>
          <w:noProof/>
          <w:color w:val="000000"/>
          <w:sz w:val="26"/>
          <w:szCs w:val="26"/>
          <w:vertAlign w:val="subscript"/>
          <w:lang w:val="en-GB"/>
        </w:rPr>
      </w:pPr>
      <w:r w:rsidRPr="00EC4212">
        <w:rPr>
          <w:rFonts w:asciiTheme="minorHAnsi" w:hAnsiTheme="minorHAnsi"/>
          <w:b/>
          <w:color w:val="000000"/>
          <w:sz w:val="26"/>
          <w:szCs w:val="26"/>
          <w:lang w:val="en-GB"/>
        </w:rPr>
        <w:t>RAB</w:t>
      </w:r>
      <w:r w:rsidRPr="00EC4212">
        <w:rPr>
          <w:rFonts w:asciiTheme="minorHAnsi" w:hAnsiTheme="minorHAnsi"/>
          <w:b/>
          <w:color w:val="000000"/>
          <w:sz w:val="26"/>
          <w:szCs w:val="26"/>
          <w:vertAlign w:val="subscript"/>
          <w:lang w:val="en-GB"/>
        </w:rPr>
        <w:t>n</w:t>
      </w:r>
      <w:r w:rsidRPr="00EC4212">
        <w:rPr>
          <w:rFonts w:asciiTheme="minorHAnsi" w:hAnsiTheme="minorHAnsi"/>
          <w:b/>
          <w:color w:val="000000"/>
          <w:sz w:val="26"/>
          <w:szCs w:val="26"/>
          <w:vertAlign w:val="superscript"/>
          <w:lang w:val="en-GB"/>
        </w:rPr>
        <w:t xml:space="preserve">end </w:t>
      </w:r>
      <w:r w:rsidRPr="00EC4212">
        <w:rPr>
          <w:rFonts w:asciiTheme="minorHAnsi" w:hAnsiTheme="minorHAnsi"/>
          <w:b/>
          <w:color w:val="000000"/>
          <w:sz w:val="26"/>
          <w:szCs w:val="26"/>
          <w:lang w:val="en-GB"/>
        </w:rPr>
        <w:t>= RAB</w:t>
      </w:r>
      <w:r w:rsidRPr="00EC4212">
        <w:rPr>
          <w:rFonts w:asciiTheme="minorHAnsi" w:hAnsiTheme="minorHAnsi"/>
          <w:b/>
          <w:color w:val="000000"/>
          <w:sz w:val="26"/>
          <w:szCs w:val="26"/>
          <w:vertAlign w:val="subscript"/>
          <w:lang w:val="en-GB"/>
        </w:rPr>
        <w:t>n</w:t>
      </w:r>
      <w:r w:rsidRPr="00EC4212">
        <w:rPr>
          <w:rFonts w:asciiTheme="minorHAnsi" w:hAnsiTheme="minorHAnsi"/>
          <w:b/>
          <w:color w:val="000000"/>
          <w:sz w:val="26"/>
          <w:szCs w:val="26"/>
          <w:vertAlign w:val="superscript"/>
          <w:lang w:val="en-GB"/>
        </w:rPr>
        <w:t>start</w:t>
      </w:r>
      <w:r w:rsidRPr="00EC4212">
        <w:rPr>
          <w:rFonts w:asciiTheme="minorHAnsi" w:hAnsiTheme="minorHAnsi"/>
          <w:b/>
          <w:color w:val="000000"/>
          <w:sz w:val="26"/>
          <w:szCs w:val="26"/>
          <w:lang w:val="en-GB"/>
        </w:rPr>
        <w:t xml:space="preserve"> + INV</w:t>
      </w:r>
      <w:r w:rsidRPr="00EC4212">
        <w:rPr>
          <w:rFonts w:asciiTheme="minorHAnsi" w:hAnsiTheme="minorHAnsi"/>
          <w:b/>
          <w:color w:val="000000"/>
          <w:sz w:val="26"/>
          <w:szCs w:val="26"/>
          <w:vertAlign w:val="subscript"/>
          <w:lang w:val="en-GB"/>
        </w:rPr>
        <w:t>n</w:t>
      </w:r>
      <w:r w:rsidRPr="00EC4212">
        <w:rPr>
          <w:rFonts w:asciiTheme="minorHAnsi" w:hAnsiTheme="minorHAnsi"/>
          <w:b/>
          <w:color w:val="000000"/>
          <w:sz w:val="26"/>
          <w:szCs w:val="26"/>
          <w:lang w:val="en-GB"/>
        </w:rPr>
        <w:t xml:space="preserve"> + WC</w:t>
      </w:r>
      <w:r w:rsidRPr="00EC4212">
        <w:rPr>
          <w:rFonts w:asciiTheme="minorHAnsi" w:hAnsiTheme="minorHAnsi"/>
          <w:b/>
          <w:color w:val="000000"/>
          <w:sz w:val="26"/>
          <w:szCs w:val="26"/>
          <w:vertAlign w:val="subscript"/>
          <w:lang w:val="en-GB"/>
        </w:rPr>
        <w:t>n</w:t>
      </w:r>
      <w:r w:rsidRPr="00EC4212">
        <w:rPr>
          <w:rFonts w:asciiTheme="minorHAnsi" w:hAnsiTheme="minorHAnsi"/>
          <w:b/>
          <w:color w:val="000000"/>
          <w:sz w:val="26"/>
          <w:szCs w:val="26"/>
          <w:lang w:val="en-GB"/>
        </w:rPr>
        <w:t xml:space="preserve"> - DEP</w:t>
      </w:r>
      <w:r w:rsidRPr="00EC4212">
        <w:rPr>
          <w:rFonts w:asciiTheme="minorHAnsi" w:hAnsiTheme="minorHAnsi"/>
          <w:b/>
          <w:color w:val="000000"/>
          <w:sz w:val="26"/>
          <w:szCs w:val="26"/>
          <w:vertAlign w:val="subscript"/>
          <w:lang w:val="en-GB"/>
        </w:rPr>
        <w:t>n-1</w:t>
      </w:r>
      <w:r w:rsidRPr="00EC4212">
        <w:rPr>
          <w:rFonts w:asciiTheme="minorHAnsi" w:hAnsiTheme="minorHAnsi"/>
          <w:b/>
          <w:color w:val="000000"/>
          <w:sz w:val="26"/>
          <w:szCs w:val="26"/>
          <w:lang w:val="en-GB"/>
        </w:rPr>
        <w:t xml:space="preserve"> - DIS</w:t>
      </w:r>
      <w:r w:rsidRPr="00EC4212">
        <w:rPr>
          <w:rFonts w:asciiTheme="minorHAnsi" w:hAnsiTheme="minorHAnsi"/>
          <w:b/>
          <w:color w:val="000000"/>
          <w:sz w:val="26"/>
          <w:szCs w:val="26"/>
          <w:vertAlign w:val="subscript"/>
          <w:lang w:val="en-GB"/>
        </w:rPr>
        <w:t>n-1</w:t>
      </w:r>
    </w:p>
    <w:p w:rsidR="00E807F8" w:rsidRPr="00EC4212" w:rsidRDefault="00E807F8" w:rsidP="00E807F8">
      <w:pPr>
        <w:rPr>
          <w:rFonts w:asciiTheme="minorHAnsi" w:hAnsiTheme="minorHAnsi" w:cs="Calibri"/>
          <w:noProof/>
          <w:sz w:val="22"/>
          <w:szCs w:val="22"/>
          <w:lang w:val="en-GB"/>
        </w:rPr>
      </w:pPr>
    </w:p>
    <w:p w:rsidR="00E807F8" w:rsidRPr="00EC4212" w:rsidRDefault="00804CC5" w:rsidP="00E807F8">
      <w:pPr>
        <w:rPr>
          <w:rFonts w:asciiTheme="minorHAnsi" w:hAnsiTheme="minorHAnsi" w:cs="Calibri"/>
          <w:noProof/>
          <w:sz w:val="22"/>
          <w:szCs w:val="22"/>
          <w:lang w:val="en-GB"/>
        </w:rPr>
      </w:pPr>
      <w:r w:rsidRPr="00EC4212">
        <w:rPr>
          <w:rFonts w:asciiTheme="minorHAnsi" w:hAnsiTheme="minorHAnsi"/>
          <w:sz w:val="22"/>
          <w:szCs w:val="22"/>
          <w:lang w:val="en-GB"/>
        </w:rPr>
        <w:t>where</w:t>
      </w:r>
      <w:r w:rsidR="00E807F8" w:rsidRPr="00EC4212">
        <w:rPr>
          <w:rFonts w:asciiTheme="minorHAnsi" w:hAnsiTheme="minorHAnsi"/>
          <w:sz w:val="22"/>
          <w:szCs w:val="22"/>
          <w:lang w:val="en-GB"/>
        </w:rPr>
        <w:t xml:space="preserve">:   </w:t>
      </w:r>
    </w:p>
    <w:p w:rsidR="00E807F8" w:rsidRPr="00EC4212" w:rsidRDefault="00E807F8" w:rsidP="00E807F8">
      <w:pPr>
        <w:pStyle w:val="BodyText"/>
        <w:jc w:val="both"/>
        <w:rPr>
          <w:rFonts w:asciiTheme="minorHAnsi" w:hAnsiTheme="minorHAnsi"/>
          <w:noProof/>
          <w:lang w:val="en-GB"/>
        </w:rPr>
      </w:pPr>
    </w:p>
    <w:p w:rsidR="00E807F8" w:rsidRPr="00EC4212" w:rsidRDefault="00E807F8" w:rsidP="00E807F8">
      <w:pPr>
        <w:pStyle w:val="BodyText"/>
        <w:jc w:val="both"/>
        <w:rPr>
          <w:rFonts w:asciiTheme="minorHAnsi" w:hAnsiTheme="minorHAnsi"/>
          <w:b/>
          <w:noProof/>
          <w:sz w:val="22"/>
          <w:lang w:val="en-GB"/>
        </w:rPr>
      </w:pPr>
      <w:r w:rsidRPr="00EC4212">
        <w:rPr>
          <w:rFonts w:asciiTheme="minorHAnsi" w:hAnsiTheme="minorHAnsi"/>
          <w:color w:val="000000"/>
          <w:sz w:val="22"/>
          <w:szCs w:val="22"/>
          <w:lang w:val="en-GB"/>
        </w:rPr>
        <w:t>RAB</w:t>
      </w:r>
      <w:r w:rsidRPr="00EC4212">
        <w:rPr>
          <w:rFonts w:asciiTheme="minorHAnsi" w:hAnsiTheme="minorHAnsi"/>
          <w:color w:val="000000"/>
          <w:sz w:val="22"/>
          <w:szCs w:val="22"/>
          <w:vertAlign w:val="subscript"/>
          <w:lang w:val="en-GB"/>
        </w:rPr>
        <w:t>n</w:t>
      </w:r>
      <w:r w:rsidRPr="00EC4212">
        <w:rPr>
          <w:rFonts w:asciiTheme="minorHAnsi" w:hAnsiTheme="minorHAnsi"/>
          <w:color w:val="000000"/>
          <w:sz w:val="22"/>
          <w:szCs w:val="22"/>
          <w:vertAlign w:val="superscript"/>
          <w:lang w:val="en-GB"/>
        </w:rPr>
        <w:t>end</w:t>
      </w:r>
      <w:r w:rsidRPr="00EC4212">
        <w:rPr>
          <w:rFonts w:asciiTheme="minorHAnsi" w:hAnsiTheme="minorHAnsi"/>
          <w:color w:val="000000"/>
          <w:sz w:val="22"/>
          <w:szCs w:val="22"/>
          <w:lang w:val="en-GB"/>
        </w:rPr>
        <w:t xml:space="preserve"> - represents the assets</w:t>
      </w:r>
      <w:r w:rsidRPr="00EC4212">
        <w:rPr>
          <w:rFonts w:asciiTheme="minorHAnsi" w:hAnsiTheme="minorHAnsi"/>
          <w:sz w:val="22"/>
          <w:lang w:val="en-GB"/>
        </w:rPr>
        <w:t xml:space="preserve"> planned for the season 2020/21 ('n');</w:t>
      </w:r>
    </w:p>
    <w:p w:rsidR="00E807F8" w:rsidRPr="00EC4212" w:rsidRDefault="00804CC5" w:rsidP="00E807F8">
      <w:pPr>
        <w:pStyle w:val="BodyText"/>
        <w:jc w:val="both"/>
        <w:rPr>
          <w:rFonts w:asciiTheme="minorHAnsi" w:hAnsiTheme="minorHAnsi"/>
          <w:noProof/>
          <w:sz w:val="22"/>
          <w:lang w:val="en-GB"/>
        </w:rPr>
      </w:pPr>
      <w:r>
        <w:rPr>
          <w:rFonts w:asciiTheme="minorHAnsi" w:hAnsiTheme="minorHAnsi"/>
          <w:sz w:val="22"/>
          <w:lang w:val="en-GB"/>
        </w:rPr>
        <w:t>RA</w:t>
      </w:r>
      <w:r w:rsidR="00E807F8" w:rsidRPr="00EC4212">
        <w:rPr>
          <w:rFonts w:asciiTheme="minorHAnsi" w:hAnsiTheme="minorHAnsi"/>
          <w:sz w:val="22"/>
          <w:vertAlign w:val="subscript"/>
          <w:lang w:val="en-GB"/>
        </w:rPr>
        <w:t>n</w:t>
      </w:r>
      <w:r w:rsidR="00E807F8" w:rsidRPr="00EC4212">
        <w:rPr>
          <w:rFonts w:asciiTheme="minorHAnsi" w:hAnsiTheme="minorHAnsi"/>
          <w:sz w:val="22"/>
          <w:vertAlign w:val="superscript"/>
          <w:lang w:val="en-GB"/>
        </w:rPr>
        <w:t>start.</w:t>
      </w:r>
      <w:r w:rsidR="00E807F8" w:rsidRPr="00EC4212">
        <w:rPr>
          <w:rFonts w:asciiTheme="minorHAnsi" w:hAnsiTheme="minorHAnsi"/>
          <w:sz w:val="22"/>
          <w:lang w:val="en-GB"/>
        </w:rPr>
        <w:t xml:space="preserve"> - Regulatory Initial Asset Base, which actually represents the final RAB realized in the previous season 2019/20 ('n-1'); </w:t>
      </w:r>
    </w:p>
    <w:p w:rsidR="00E807F8" w:rsidRPr="00EC4212" w:rsidRDefault="00E807F8" w:rsidP="00E807F8">
      <w:pPr>
        <w:pStyle w:val="BodyText"/>
        <w:jc w:val="both"/>
        <w:rPr>
          <w:rFonts w:asciiTheme="minorHAnsi" w:hAnsiTheme="minorHAnsi"/>
          <w:b/>
          <w:noProof/>
          <w:sz w:val="22"/>
          <w:lang w:val="en-GB"/>
        </w:rPr>
      </w:pPr>
      <w:r w:rsidRPr="00EC4212">
        <w:rPr>
          <w:rFonts w:asciiTheme="minorHAnsi" w:hAnsiTheme="minorHAnsi"/>
          <w:color w:val="000000"/>
          <w:sz w:val="22"/>
          <w:szCs w:val="22"/>
          <w:lang w:val="en-GB"/>
        </w:rPr>
        <w:t>INV</w:t>
      </w:r>
      <w:r w:rsidRPr="00EC4212">
        <w:rPr>
          <w:rFonts w:asciiTheme="minorHAnsi" w:hAnsiTheme="minorHAnsi"/>
          <w:color w:val="000000"/>
          <w:sz w:val="22"/>
          <w:szCs w:val="22"/>
          <w:vertAlign w:val="subscript"/>
          <w:lang w:val="en-GB"/>
        </w:rPr>
        <w:t>n</w:t>
      </w:r>
      <w:r w:rsidRPr="00EC4212">
        <w:rPr>
          <w:rFonts w:asciiTheme="minorHAnsi" w:hAnsiTheme="minorHAnsi"/>
          <w:color w:val="000000"/>
          <w:sz w:val="22"/>
          <w:szCs w:val="22"/>
          <w:lang w:val="en-GB"/>
        </w:rPr>
        <w:t xml:space="preserve"> -</w:t>
      </w:r>
      <w:r w:rsidRPr="00EC4212">
        <w:rPr>
          <w:rFonts w:asciiTheme="minorHAnsi" w:hAnsiTheme="minorHAnsi"/>
          <w:sz w:val="22"/>
          <w:lang w:val="en-GB"/>
        </w:rPr>
        <w:t xml:space="preserve"> New investments planned and approved by the regulator for the one</w:t>
      </w:r>
      <w:r w:rsidR="00F80936">
        <w:rPr>
          <w:rFonts w:asciiTheme="minorHAnsi" w:hAnsiTheme="minorHAnsi"/>
          <w:sz w:val="22"/>
          <w:lang w:val="en-GB"/>
        </w:rPr>
        <w:t xml:space="preserve"> year</w:t>
      </w:r>
      <w:r w:rsidRPr="00EC4212">
        <w:rPr>
          <w:rFonts w:asciiTheme="minorHAnsi" w:hAnsiTheme="minorHAnsi"/>
          <w:sz w:val="22"/>
          <w:lang w:val="en-GB"/>
        </w:rPr>
        <w:t xml:space="preserve"> including the heating season 2020/2021;</w:t>
      </w:r>
    </w:p>
    <w:p w:rsidR="00E807F8" w:rsidRPr="00EC4212" w:rsidRDefault="00E807F8" w:rsidP="00E807F8">
      <w:pPr>
        <w:pStyle w:val="BodyText"/>
        <w:jc w:val="both"/>
        <w:rPr>
          <w:rFonts w:asciiTheme="minorHAnsi" w:hAnsiTheme="minorHAnsi"/>
          <w:b/>
          <w:noProof/>
          <w:sz w:val="22"/>
          <w:lang w:val="en-GB"/>
        </w:rPr>
      </w:pPr>
      <w:r w:rsidRPr="00EC4212">
        <w:rPr>
          <w:rFonts w:asciiTheme="minorHAnsi" w:hAnsiTheme="minorHAnsi"/>
          <w:color w:val="000000"/>
          <w:sz w:val="22"/>
          <w:szCs w:val="22"/>
          <w:lang w:val="en-GB"/>
        </w:rPr>
        <w:t>WC</w:t>
      </w:r>
      <w:r w:rsidRPr="00EC4212">
        <w:rPr>
          <w:rFonts w:asciiTheme="minorHAnsi" w:hAnsiTheme="minorHAnsi"/>
          <w:color w:val="000000"/>
          <w:sz w:val="22"/>
          <w:szCs w:val="22"/>
          <w:vertAlign w:val="subscript"/>
          <w:lang w:val="en-GB"/>
        </w:rPr>
        <w:t>n</w:t>
      </w:r>
      <w:r w:rsidRPr="00EC4212">
        <w:rPr>
          <w:rFonts w:asciiTheme="minorHAnsi" w:hAnsiTheme="minorHAnsi"/>
          <w:sz w:val="22"/>
          <w:lang w:val="en-GB"/>
        </w:rPr>
        <w:t xml:space="preserve"> - Sufficient working capital for the company to carry out its activities; </w:t>
      </w:r>
    </w:p>
    <w:p w:rsidR="00E807F8" w:rsidRPr="00EC4212" w:rsidRDefault="00E807F8" w:rsidP="00E807F8">
      <w:pPr>
        <w:pStyle w:val="BodyText"/>
        <w:jc w:val="both"/>
        <w:rPr>
          <w:rFonts w:asciiTheme="minorHAnsi" w:hAnsiTheme="minorHAnsi"/>
          <w:b/>
          <w:noProof/>
          <w:sz w:val="22"/>
          <w:lang w:val="en-GB"/>
        </w:rPr>
      </w:pPr>
      <w:r w:rsidRPr="00EC4212">
        <w:rPr>
          <w:rFonts w:asciiTheme="minorHAnsi" w:hAnsiTheme="minorHAnsi"/>
          <w:color w:val="000000"/>
          <w:sz w:val="22"/>
          <w:szCs w:val="22"/>
          <w:lang w:val="en-GB"/>
        </w:rPr>
        <w:t>DEP</w:t>
      </w:r>
      <w:r w:rsidRPr="00EC4212">
        <w:rPr>
          <w:rFonts w:asciiTheme="minorHAnsi" w:hAnsiTheme="minorHAnsi"/>
          <w:color w:val="000000"/>
          <w:sz w:val="22"/>
          <w:szCs w:val="22"/>
          <w:vertAlign w:val="subscript"/>
          <w:lang w:val="en-GB"/>
        </w:rPr>
        <w:t>n-1</w:t>
      </w:r>
      <w:r w:rsidRPr="00EC4212">
        <w:rPr>
          <w:rFonts w:asciiTheme="minorHAnsi" w:hAnsiTheme="minorHAnsi"/>
          <w:color w:val="000000"/>
          <w:sz w:val="22"/>
          <w:szCs w:val="22"/>
          <w:lang w:val="en-GB"/>
        </w:rPr>
        <w:t xml:space="preserve"> -</w:t>
      </w:r>
      <w:r w:rsidRPr="00EC4212">
        <w:rPr>
          <w:rFonts w:asciiTheme="minorHAnsi" w:hAnsiTheme="minorHAnsi"/>
          <w:sz w:val="22"/>
          <w:lang w:val="en-GB"/>
        </w:rPr>
        <w:t xml:space="preserve"> Depreciation of assets realized in the previous season 2019/20 ('n-1');</w:t>
      </w:r>
      <w:r w:rsidRPr="00EC4212">
        <w:rPr>
          <w:rFonts w:asciiTheme="minorHAnsi" w:hAnsiTheme="minorHAnsi"/>
          <w:lang w:val="en-GB"/>
        </w:rPr>
        <w:t xml:space="preserve"> </w:t>
      </w:r>
      <w:r w:rsidRPr="00EC4212">
        <w:rPr>
          <w:rFonts w:asciiTheme="minorHAnsi" w:hAnsiTheme="minorHAnsi"/>
          <w:sz w:val="22"/>
          <w:lang w:val="en-GB"/>
        </w:rPr>
        <w:t xml:space="preserve">and </w:t>
      </w:r>
    </w:p>
    <w:p w:rsidR="00E807F8" w:rsidRPr="00EC4212" w:rsidRDefault="00E807F8" w:rsidP="00E807F8">
      <w:pPr>
        <w:pStyle w:val="BodyText"/>
        <w:jc w:val="both"/>
        <w:rPr>
          <w:rFonts w:asciiTheme="minorHAnsi" w:hAnsiTheme="minorHAnsi"/>
          <w:b/>
          <w:noProof/>
          <w:sz w:val="22"/>
          <w:lang w:val="en-GB"/>
        </w:rPr>
      </w:pPr>
      <w:r w:rsidRPr="00EC4212">
        <w:rPr>
          <w:rFonts w:asciiTheme="minorHAnsi" w:hAnsiTheme="minorHAnsi"/>
          <w:color w:val="000000"/>
          <w:sz w:val="22"/>
          <w:szCs w:val="22"/>
          <w:lang w:val="en-GB"/>
        </w:rPr>
        <w:t>DIS</w:t>
      </w:r>
      <w:r w:rsidRPr="00EC4212">
        <w:rPr>
          <w:rFonts w:asciiTheme="minorHAnsi" w:hAnsiTheme="minorHAnsi"/>
          <w:color w:val="000000"/>
          <w:sz w:val="22"/>
          <w:szCs w:val="22"/>
          <w:vertAlign w:val="subscript"/>
          <w:lang w:val="en-GB"/>
        </w:rPr>
        <w:t>n-1</w:t>
      </w:r>
      <w:r w:rsidRPr="00EC4212">
        <w:rPr>
          <w:rFonts w:asciiTheme="minorHAnsi" w:hAnsiTheme="minorHAnsi"/>
          <w:color w:val="000000"/>
          <w:sz w:val="22"/>
          <w:szCs w:val="22"/>
          <w:lang w:val="en-GB"/>
        </w:rPr>
        <w:t xml:space="preserve"> -</w:t>
      </w:r>
      <w:r w:rsidRPr="00EC4212">
        <w:rPr>
          <w:rFonts w:asciiTheme="minorHAnsi" w:hAnsiTheme="minorHAnsi"/>
          <w:sz w:val="22"/>
          <w:lang w:val="en-GB"/>
        </w:rPr>
        <w:t xml:space="preserve"> Assets disposed in the previous season 2019/2020 ('n-1'). </w:t>
      </w:r>
    </w:p>
    <w:p w:rsidR="00E807F8" w:rsidRPr="00EC4212" w:rsidRDefault="00E807F8" w:rsidP="006122E6">
      <w:pPr>
        <w:pStyle w:val="Heading3"/>
        <w:rPr>
          <w:lang w:val="en-GB"/>
        </w:rPr>
      </w:pPr>
    </w:p>
    <w:p w:rsidR="00E807F8" w:rsidRPr="00EC4212" w:rsidRDefault="006F0801" w:rsidP="006122E6">
      <w:pPr>
        <w:pStyle w:val="Heading3"/>
        <w:rPr>
          <w:lang w:val="en-GB"/>
        </w:rPr>
      </w:pPr>
      <w:bookmarkStart w:id="60" w:name="_Toc526514485"/>
      <w:r w:rsidRPr="00EC4212">
        <w:rPr>
          <w:lang w:val="en-GB"/>
        </w:rPr>
        <w:t xml:space="preserve"> </w:t>
      </w:r>
      <w:bookmarkStart w:id="61" w:name="_Toc21513547"/>
      <w:bookmarkStart w:id="62" w:name="_Toc21514373"/>
      <w:bookmarkStart w:id="63" w:name="_Toc21514857"/>
      <w:bookmarkStart w:id="64" w:name="_Toc21515557"/>
      <w:bookmarkStart w:id="65" w:name="_Toc52186229"/>
      <w:r w:rsidRPr="00EC4212">
        <w:rPr>
          <w:lang w:val="en-GB"/>
        </w:rPr>
        <w:t>3.2.1 Determination of the Regulatory Initial Asset Base (RAB</w:t>
      </w:r>
      <w:r w:rsidR="00B3191F">
        <w:rPr>
          <w:lang w:val="en-GB"/>
        </w:rPr>
        <w:t>nstart</w:t>
      </w:r>
      <w:r w:rsidRPr="00EC4212">
        <w:rPr>
          <w:lang w:val="en-GB"/>
        </w:rPr>
        <w:t>)</w:t>
      </w:r>
      <w:bookmarkEnd w:id="60"/>
      <w:bookmarkEnd w:id="61"/>
      <w:bookmarkEnd w:id="62"/>
      <w:bookmarkEnd w:id="63"/>
      <w:bookmarkEnd w:id="64"/>
      <w:bookmarkEnd w:id="65"/>
    </w:p>
    <w:p w:rsidR="00B42597" w:rsidRPr="00EC4212" w:rsidRDefault="00B42597" w:rsidP="00E807F8">
      <w:pPr>
        <w:pStyle w:val="BodyText"/>
        <w:jc w:val="both"/>
        <w:rPr>
          <w:rFonts w:asciiTheme="minorHAnsi" w:hAnsiTheme="minorHAnsi"/>
          <w:sz w:val="22"/>
          <w:lang w:val="en-GB"/>
        </w:rPr>
      </w:pPr>
    </w:p>
    <w:p w:rsidR="00E807F8" w:rsidRPr="00EC4212" w:rsidRDefault="00E807F8" w:rsidP="00E807F8">
      <w:pPr>
        <w:pStyle w:val="BodyText"/>
        <w:jc w:val="both"/>
        <w:rPr>
          <w:rFonts w:asciiTheme="minorHAnsi" w:hAnsiTheme="minorHAnsi"/>
          <w:b/>
          <w:sz w:val="22"/>
          <w:lang w:val="en-GB"/>
        </w:rPr>
      </w:pPr>
      <w:r w:rsidRPr="00EC4212">
        <w:rPr>
          <w:rFonts w:asciiTheme="minorHAnsi" w:hAnsiTheme="minorHAnsi"/>
          <w:sz w:val="22"/>
          <w:lang w:val="en-GB"/>
        </w:rPr>
        <w:t>RAB</w:t>
      </w:r>
      <w:r w:rsidRPr="00EC4212">
        <w:rPr>
          <w:rFonts w:asciiTheme="minorHAnsi" w:hAnsiTheme="minorHAnsi"/>
          <w:sz w:val="22"/>
          <w:vertAlign w:val="subscript"/>
          <w:lang w:val="en-GB"/>
        </w:rPr>
        <w:t>n</w:t>
      </w:r>
      <w:r w:rsidRPr="00EC4212">
        <w:rPr>
          <w:rFonts w:asciiTheme="minorHAnsi" w:hAnsiTheme="minorHAnsi"/>
          <w:sz w:val="22"/>
          <w:vertAlign w:val="superscript"/>
          <w:lang w:val="en-GB"/>
        </w:rPr>
        <w:t>start</w:t>
      </w:r>
      <w:r w:rsidRPr="00EC4212">
        <w:rPr>
          <w:rFonts w:asciiTheme="minorHAnsi" w:hAnsiTheme="minorHAnsi"/>
          <w:sz w:val="22"/>
          <w:lang w:val="en-GB"/>
        </w:rPr>
        <w:t xml:space="preserve"> represents the initial basis for </w:t>
      </w:r>
      <w:r w:rsidR="00B3191F">
        <w:rPr>
          <w:rFonts w:asciiTheme="minorHAnsi" w:hAnsiTheme="minorHAnsi"/>
          <w:sz w:val="22"/>
          <w:lang w:val="en-GB"/>
        </w:rPr>
        <w:t>determination of</w:t>
      </w:r>
      <w:r w:rsidRPr="00EC4212">
        <w:rPr>
          <w:rFonts w:asciiTheme="minorHAnsi" w:hAnsiTheme="minorHAnsi"/>
          <w:sz w:val="22"/>
          <w:lang w:val="en-GB"/>
        </w:rPr>
        <w:t xml:space="preserve"> RAB planned for the season 'n' - 2020/21, which, </w:t>
      </w:r>
      <w:r w:rsidRPr="00EC4212">
        <w:rPr>
          <w:rFonts w:asciiTheme="minorHAnsi" w:hAnsiTheme="minorHAnsi"/>
          <w:sz w:val="22"/>
          <w:szCs w:val="22"/>
          <w:lang w:val="en-GB"/>
        </w:rPr>
        <w:t>as noted above,</w:t>
      </w:r>
      <w:r w:rsidRPr="00EC4212">
        <w:rPr>
          <w:rFonts w:asciiTheme="minorHAnsi" w:hAnsiTheme="minorHAnsi"/>
          <w:sz w:val="22"/>
          <w:lang w:val="en-GB"/>
        </w:rPr>
        <w:t xml:space="preserve"> is actually the final RAB realized in the previous season 'n-1' - 2019/20.</w:t>
      </w:r>
    </w:p>
    <w:p w:rsidR="00E807F8" w:rsidRPr="00EC4212" w:rsidRDefault="00E807F8" w:rsidP="00E807F8">
      <w:pPr>
        <w:pStyle w:val="BodyText"/>
        <w:jc w:val="both"/>
        <w:rPr>
          <w:rFonts w:asciiTheme="minorHAnsi" w:hAnsiTheme="minorHAnsi"/>
          <w:b/>
          <w:sz w:val="22"/>
          <w:lang w:val="en-GB"/>
        </w:rPr>
      </w:pPr>
    </w:p>
    <w:p w:rsidR="00E807F8" w:rsidRPr="00EC4212" w:rsidRDefault="00E807F8" w:rsidP="00E807F8">
      <w:pPr>
        <w:pStyle w:val="BodyText"/>
        <w:jc w:val="both"/>
        <w:rPr>
          <w:rFonts w:asciiTheme="minorHAnsi" w:hAnsiTheme="minorHAnsi"/>
          <w:b/>
          <w:sz w:val="22"/>
          <w:szCs w:val="22"/>
          <w:lang w:val="en-GB"/>
        </w:rPr>
      </w:pPr>
      <w:r w:rsidRPr="00EC4212">
        <w:rPr>
          <w:rFonts w:asciiTheme="minorHAnsi" w:hAnsiTheme="minorHAnsi"/>
          <w:sz w:val="22"/>
          <w:lang w:val="en-GB"/>
        </w:rPr>
        <w:t xml:space="preserve">From the regular monitoring of realizations, focusing mainly on the monitoring of realization of investments in relation to those planned (Realization Monitoring Report for the season 2019/2020), are ascertained the values realized from which is calculated the final RAB realized in the season 'n-1' - 2019/20 in the amount of </w:t>
      </w:r>
      <w:r w:rsidRPr="00EC4212">
        <w:rPr>
          <w:rFonts w:asciiTheme="minorHAnsi" w:hAnsiTheme="minorHAnsi"/>
          <w:b/>
          <w:sz w:val="22"/>
          <w:lang w:val="en-GB"/>
        </w:rPr>
        <w:t>€ 45,487,794</w:t>
      </w:r>
      <w:r w:rsidRPr="00EC4212">
        <w:rPr>
          <w:rFonts w:asciiTheme="minorHAnsi" w:hAnsiTheme="minorHAnsi"/>
          <w:sz w:val="22"/>
          <w:lang w:val="en-GB"/>
        </w:rPr>
        <w:t xml:space="preserve">, which also represents the initial RAB for the season 'n' -2020/21.      </w:t>
      </w:r>
    </w:p>
    <w:p w:rsidR="00B553B1" w:rsidRPr="00EC4212" w:rsidRDefault="00B553B1" w:rsidP="00E807F8">
      <w:pPr>
        <w:jc w:val="both"/>
        <w:rPr>
          <w:rFonts w:asciiTheme="minorHAnsi" w:hAnsiTheme="minorHAnsi" w:cs="Calibri"/>
          <w:sz w:val="22"/>
          <w:szCs w:val="22"/>
          <w:lang w:val="en-GB"/>
        </w:rPr>
      </w:pPr>
    </w:p>
    <w:p w:rsidR="00E807F8" w:rsidRPr="00EC4212" w:rsidRDefault="00382204" w:rsidP="006122E6">
      <w:pPr>
        <w:pStyle w:val="Style5"/>
        <w:rPr>
          <w:lang w:val="en-GB"/>
        </w:rPr>
      </w:pPr>
      <w:bookmarkStart w:id="66" w:name="_Toc526514486"/>
      <w:bookmarkStart w:id="67" w:name="_Toc21513548"/>
      <w:bookmarkStart w:id="68" w:name="_Toc21514374"/>
      <w:bookmarkStart w:id="69" w:name="_Toc52186230"/>
      <w:r w:rsidRPr="00EC4212">
        <w:rPr>
          <w:lang w:val="en-GB"/>
        </w:rPr>
        <w:t>3.2.2 Determination of new allowed investments</w:t>
      </w:r>
      <w:bookmarkEnd w:id="66"/>
      <w:bookmarkEnd w:id="67"/>
      <w:bookmarkEnd w:id="68"/>
      <w:bookmarkEnd w:id="69"/>
    </w:p>
    <w:p w:rsidR="007B437F" w:rsidRPr="00EC4212" w:rsidRDefault="007B437F" w:rsidP="00E807F8">
      <w:pPr>
        <w:jc w:val="both"/>
        <w:rPr>
          <w:rFonts w:asciiTheme="minorHAnsi" w:hAnsiTheme="minorHAnsi" w:cs="Calibri"/>
          <w:sz w:val="22"/>
          <w:szCs w:val="22"/>
          <w:lang w:val="en-GB"/>
        </w:rPr>
      </w:pPr>
    </w:p>
    <w:p w:rsidR="00DD31C6" w:rsidRPr="00EC4212" w:rsidRDefault="00E807F8" w:rsidP="00E807F8">
      <w:pPr>
        <w:jc w:val="both"/>
        <w:rPr>
          <w:rFonts w:asciiTheme="minorHAnsi" w:hAnsiTheme="minorHAnsi" w:cs="Calibri"/>
          <w:sz w:val="22"/>
          <w:szCs w:val="22"/>
          <w:lang w:val="en-GB"/>
        </w:rPr>
      </w:pPr>
      <w:r w:rsidRPr="00EC4212">
        <w:rPr>
          <w:rFonts w:asciiTheme="minorHAnsi" w:hAnsiTheme="minorHAnsi"/>
          <w:sz w:val="22"/>
          <w:szCs w:val="22"/>
          <w:lang w:val="en-GB"/>
        </w:rPr>
        <w:t xml:space="preserve">Regarding the new investments planned for the tariff review period: October 2020 - October 2021, it should initially be noted that these investments mainly belong to the rehabilitation of the network and substations, as well as </w:t>
      </w:r>
      <w:r w:rsidR="00F80936">
        <w:rPr>
          <w:rFonts w:asciiTheme="minorHAnsi" w:hAnsiTheme="minorHAnsi"/>
          <w:sz w:val="22"/>
          <w:szCs w:val="22"/>
          <w:lang w:val="en-GB"/>
        </w:rPr>
        <w:t xml:space="preserve">the </w:t>
      </w:r>
      <w:r w:rsidRPr="00EC4212">
        <w:rPr>
          <w:rFonts w:asciiTheme="minorHAnsi" w:hAnsiTheme="minorHAnsi"/>
          <w:sz w:val="22"/>
          <w:szCs w:val="22"/>
          <w:lang w:val="en-GB"/>
        </w:rPr>
        <w:t xml:space="preserve">expansion of the network and new substations; DH Termokos presented the </w:t>
      </w:r>
      <w:r w:rsidRPr="00EC4212">
        <w:rPr>
          <w:rFonts w:asciiTheme="minorHAnsi" w:hAnsiTheme="minorHAnsi"/>
          <w:sz w:val="22"/>
          <w:szCs w:val="22"/>
          <w:lang w:val="en-GB"/>
        </w:rPr>
        <w:lastRenderedPageBreak/>
        <w:t xml:space="preserve">total value of </w:t>
      </w:r>
      <w:r w:rsidRPr="00EC4212">
        <w:rPr>
          <w:rFonts w:asciiTheme="minorHAnsi" w:hAnsiTheme="minorHAnsi"/>
          <w:b/>
          <w:sz w:val="22"/>
          <w:szCs w:val="22"/>
          <w:lang w:val="en-GB"/>
        </w:rPr>
        <w:t>new planned investments</w:t>
      </w:r>
      <w:r w:rsidRPr="00EC4212">
        <w:rPr>
          <w:rFonts w:asciiTheme="minorHAnsi" w:hAnsiTheme="minorHAnsi"/>
          <w:sz w:val="22"/>
          <w:szCs w:val="22"/>
          <w:lang w:val="en-GB"/>
        </w:rPr>
        <w:t xml:space="preserve"> </w:t>
      </w:r>
      <w:r w:rsidRPr="00EC4212">
        <w:rPr>
          <w:rFonts w:asciiTheme="minorHAnsi" w:hAnsiTheme="minorHAnsi"/>
          <w:b/>
          <w:bCs/>
          <w:sz w:val="22"/>
          <w:szCs w:val="22"/>
          <w:lang w:val="en-GB"/>
        </w:rPr>
        <w:t>of</w:t>
      </w:r>
      <w:r w:rsidRPr="00EC4212">
        <w:rPr>
          <w:rFonts w:asciiTheme="minorHAnsi" w:hAnsiTheme="minorHAnsi"/>
          <w:sz w:val="22"/>
          <w:szCs w:val="22"/>
          <w:lang w:val="en-GB"/>
        </w:rPr>
        <w:t xml:space="preserve"> </w:t>
      </w:r>
      <w:r w:rsidRPr="00EC4212">
        <w:rPr>
          <w:rFonts w:asciiTheme="minorHAnsi" w:hAnsiTheme="minorHAnsi"/>
          <w:b/>
          <w:sz w:val="22"/>
          <w:szCs w:val="22"/>
          <w:lang w:val="en-GB"/>
        </w:rPr>
        <w:t>€ 9,282,000</w:t>
      </w:r>
      <w:r w:rsidRPr="00EC4212">
        <w:rPr>
          <w:rFonts w:asciiTheme="minorHAnsi" w:hAnsiTheme="minorHAnsi"/>
          <w:sz w:val="22"/>
          <w:szCs w:val="22"/>
          <w:lang w:val="en-GB"/>
        </w:rPr>
        <w:t>; this amount includes investments from donations and self-financing investments.</w:t>
      </w:r>
    </w:p>
    <w:p w:rsidR="002021F3" w:rsidRPr="00EC4212" w:rsidRDefault="002021F3" w:rsidP="002021F3">
      <w:pPr>
        <w:jc w:val="both"/>
        <w:rPr>
          <w:rFonts w:asciiTheme="minorHAnsi" w:hAnsiTheme="minorHAnsi" w:cs="Calibri"/>
          <w:sz w:val="22"/>
          <w:szCs w:val="22"/>
          <w:u w:val="single"/>
          <w:lang w:val="en-GB"/>
        </w:rPr>
      </w:pPr>
    </w:p>
    <w:p w:rsidR="00DD31C6" w:rsidRPr="00EC4212" w:rsidRDefault="00DD31C6" w:rsidP="00F5721A">
      <w:pPr>
        <w:spacing w:after="200"/>
        <w:jc w:val="both"/>
        <w:rPr>
          <w:rFonts w:asciiTheme="minorHAnsi" w:hAnsiTheme="minorHAnsi" w:cs="Calibri"/>
          <w:sz w:val="22"/>
          <w:szCs w:val="22"/>
          <w:u w:val="single"/>
          <w:lang w:val="en-GB"/>
        </w:rPr>
      </w:pPr>
      <w:r w:rsidRPr="00EC4212">
        <w:rPr>
          <w:rFonts w:asciiTheme="minorHAnsi" w:hAnsiTheme="minorHAnsi"/>
          <w:sz w:val="22"/>
          <w:szCs w:val="22"/>
          <w:u w:val="single"/>
          <w:lang w:val="en-GB"/>
        </w:rPr>
        <w:t>Investments from donations</w:t>
      </w:r>
    </w:p>
    <w:p w:rsidR="00E807F8" w:rsidRPr="00EC4212" w:rsidRDefault="00E04DA8" w:rsidP="00E807F8">
      <w:pPr>
        <w:jc w:val="both"/>
        <w:rPr>
          <w:rFonts w:asciiTheme="minorHAnsi" w:hAnsiTheme="minorHAnsi" w:cs="Calibri"/>
          <w:sz w:val="22"/>
          <w:szCs w:val="22"/>
          <w:lang w:val="en-GB"/>
        </w:rPr>
      </w:pPr>
      <w:r w:rsidRPr="00EC4212">
        <w:rPr>
          <w:rFonts w:asciiTheme="minorHAnsi" w:hAnsiTheme="minorHAnsi"/>
          <w:sz w:val="22"/>
          <w:szCs w:val="22"/>
          <w:lang w:val="en-GB"/>
        </w:rPr>
        <w:t xml:space="preserve">Investments under international donor projects such as KfW and MCC are presented in a total amount of </w:t>
      </w:r>
      <w:r w:rsidRPr="00EC4212">
        <w:rPr>
          <w:rFonts w:asciiTheme="minorHAnsi" w:hAnsiTheme="minorHAnsi"/>
          <w:b/>
          <w:sz w:val="22"/>
          <w:szCs w:val="22"/>
          <w:lang w:val="en-GB"/>
        </w:rPr>
        <w:t>€ 7,000,000</w:t>
      </w:r>
      <w:r w:rsidRPr="00EC4212">
        <w:rPr>
          <w:rFonts w:asciiTheme="minorHAnsi" w:hAnsiTheme="minorHAnsi"/>
          <w:sz w:val="22"/>
          <w:szCs w:val="22"/>
          <w:lang w:val="en-GB"/>
        </w:rPr>
        <w:t xml:space="preserve"> - so these projects are planned to be mostly funded by donations, while a small amount with self-financing - the following details:</w:t>
      </w:r>
    </w:p>
    <w:p w:rsidR="001F2843" w:rsidRPr="00EC4212" w:rsidRDefault="001F2843" w:rsidP="007E6998">
      <w:pPr>
        <w:jc w:val="both"/>
        <w:rPr>
          <w:rFonts w:asciiTheme="minorHAnsi" w:hAnsiTheme="minorHAnsi" w:cs="Calibri"/>
          <w:sz w:val="22"/>
          <w:szCs w:val="22"/>
          <w:lang w:val="en-GB"/>
        </w:rPr>
      </w:pPr>
    </w:p>
    <w:p w:rsidR="003E56E4" w:rsidRPr="00EC4212" w:rsidRDefault="003E56E4" w:rsidP="00667D9B">
      <w:pPr>
        <w:pStyle w:val="ListParagraph"/>
        <w:numPr>
          <w:ilvl w:val="0"/>
          <w:numId w:val="6"/>
        </w:numPr>
        <w:tabs>
          <w:tab w:val="clear" w:pos="720"/>
          <w:tab w:val="num" w:pos="360"/>
        </w:tabs>
        <w:spacing w:after="120"/>
        <w:ind w:left="360"/>
        <w:contextualSpacing w:val="0"/>
        <w:jc w:val="both"/>
        <w:rPr>
          <w:rFonts w:asciiTheme="minorHAnsi" w:hAnsiTheme="minorHAnsi" w:cs="Calibri"/>
          <w:sz w:val="22"/>
          <w:szCs w:val="22"/>
          <w:lang w:val="en-GB"/>
        </w:rPr>
      </w:pPr>
      <w:r w:rsidRPr="00EC4212">
        <w:rPr>
          <w:rFonts w:asciiTheme="minorHAnsi" w:hAnsiTheme="minorHAnsi"/>
          <w:sz w:val="22"/>
          <w:szCs w:val="22"/>
          <w:lang w:val="en-GB"/>
        </w:rPr>
        <w:t>KfW project: Rehabilitation of the network and substations, as well as expansion of the network and new thermal substations</w:t>
      </w:r>
      <w:r w:rsidR="00F80936">
        <w:rPr>
          <w:rFonts w:asciiTheme="minorHAnsi" w:hAnsiTheme="minorHAnsi"/>
          <w:sz w:val="22"/>
          <w:szCs w:val="22"/>
          <w:lang w:val="en-GB"/>
        </w:rPr>
        <w:t>,</w:t>
      </w:r>
      <w:r w:rsidRPr="00EC4212">
        <w:rPr>
          <w:rFonts w:asciiTheme="minorHAnsi" w:hAnsiTheme="minorHAnsi"/>
          <w:sz w:val="22"/>
          <w:szCs w:val="22"/>
          <w:lang w:val="en-GB"/>
        </w:rPr>
        <w:t xml:space="preserve"> is plan</w:t>
      </w:r>
      <w:r w:rsidR="00B3191F">
        <w:rPr>
          <w:rFonts w:asciiTheme="minorHAnsi" w:hAnsiTheme="minorHAnsi"/>
          <w:sz w:val="22"/>
          <w:szCs w:val="22"/>
          <w:lang w:val="en-GB"/>
        </w:rPr>
        <w:t xml:space="preserve">ned in a total amount of about </w:t>
      </w:r>
      <w:r w:rsidRPr="00EC4212">
        <w:rPr>
          <w:rFonts w:asciiTheme="minorHAnsi" w:hAnsiTheme="minorHAnsi"/>
          <w:sz w:val="22"/>
          <w:szCs w:val="22"/>
          <w:lang w:val="en-GB"/>
        </w:rPr>
        <w:t>€ 14 million, of which many during the period 2018/19 were realized for the rehabilitation of some net</w:t>
      </w:r>
      <w:r w:rsidR="00B3191F">
        <w:rPr>
          <w:rFonts w:asciiTheme="minorHAnsi" w:hAnsiTheme="minorHAnsi"/>
          <w:sz w:val="22"/>
          <w:szCs w:val="22"/>
          <w:lang w:val="en-GB"/>
        </w:rPr>
        <w:t xml:space="preserve">work segments in the amount of </w:t>
      </w:r>
      <w:r w:rsidRPr="00EC4212">
        <w:rPr>
          <w:rFonts w:asciiTheme="minorHAnsi" w:hAnsiTheme="minorHAnsi"/>
          <w:sz w:val="22"/>
          <w:szCs w:val="22"/>
          <w:lang w:val="en-GB"/>
        </w:rPr>
        <w:t>€ 1.5 million. This project includes the following components:</w:t>
      </w:r>
    </w:p>
    <w:p w:rsidR="003E56E4" w:rsidRPr="00EC4212" w:rsidRDefault="003E56E4" w:rsidP="003E56E4">
      <w:pPr>
        <w:pStyle w:val="ListParagraph"/>
        <w:numPr>
          <w:ilvl w:val="0"/>
          <w:numId w:val="26"/>
        </w:numPr>
        <w:ind w:left="720"/>
        <w:contextualSpacing w:val="0"/>
        <w:jc w:val="both"/>
        <w:rPr>
          <w:rFonts w:asciiTheme="minorHAnsi" w:hAnsiTheme="minorHAnsi" w:cs="Calibri"/>
          <w:sz w:val="22"/>
          <w:szCs w:val="22"/>
          <w:lang w:val="en-GB"/>
        </w:rPr>
      </w:pPr>
      <w:r w:rsidRPr="00EC4212">
        <w:rPr>
          <w:rFonts w:asciiTheme="minorHAnsi" w:hAnsiTheme="minorHAnsi"/>
          <w:sz w:val="22"/>
          <w:szCs w:val="22"/>
          <w:lang w:val="en-GB"/>
        </w:rPr>
        <w:t xml:space="preserve">Rehabilitation of network and thermal substations; </w:t>
      </w:r>
    </w:p>
    <w:p w:rsidR="00667D9B" w:rsidRPr="00EC4212" w:rsidRDefault="003E56E4" w:rsidP="003E56E4">
      <w:pPr>
        <w:pStyle w:val="ListParagraph"/>
        <w:numPr>
          <w:ilvl w:val="0"/>
          <w:numId w:val="26"/>
        </w:numPr>
        <w:ind w:left="720"/>
        <w:contextualSpacing w:val="0"/>
        <w:jc w:val="both"/>
        <w:rPr>
          <w:rFonts w:asciiTheme="minorHAnsi" w:hAnsiTheme="minorHAnsi" w:cs="Calibri"/>
          <w:sz w:val="22"/>
          <w:szCs w:val="22"/>
          <w:lang w:val="en-GB"/>
        </w:rPr>
      </w:pPr>
      <w:r w:rsidRPr="00EC4212">
        <w:rPr>
          <w:rFonts w:asciiTheme="minorHAnsi" w:hAnsiTheme="minorHAnsi"/>
          <w:sz w:val="22"/>
          <w:szCs w:val="22"/>
          <w:lang w:val="en-GB"/>
        </w:rPr>
        <w:t>Network expansion and new thermal substations;</w:t>
      </w:r>
    </w:p>
    <w:p w:rsidR="00667D9B" w:rsidRPr="00EC4212" w:rsidRDefault="00667D9B" w:rsidP="00667D9B">
      <w:pPr>
        <w:pStyle w:val="ListParagraph"/>
        <w:numPr>
          <w:ilvl w:val="0"/>
          <w:numId w:val="26"/>
        </w:numPr>
        <w:spacing w:after="120"/>
        <w:ind w:left="720"/>
        <w:contextualSpacing w:val="0"/>
        <w:jc w:val="both"/>
        <w:rPr>
          <w:rFonts w:asciiTheme="minorHAnsi" w:hAnsiTheme="minorHAnsi" w:cs="Calibri"/>
          <w:sz w:val="22"/>
          <w:szCs w:val="22"/>
          <w:lang w:val="en-GB"/>
        </w:rPr>
      </w:pPr>
      <w:r w:rsidRPr="00EC4212">
        <w:rPr>
          <w:rFonts w:asciiTheme="minorHAnsi" w:hAnsiTheme="minorHAnsi"/>
          <w:sz w:val="22"/>
          <w:szCs w:val="22"/>
          <w:lang w:val="en-GB"/>
        </w:rPr>
        <w:t xml:space="preserve">Construction of Heat Reservoirs, as well as chemical water treatment equipment. </w:t>
      </w:r>
    </w:p>
    <w:p w:rsidR="00667D9B" w:rsidRPr="00EC4212" w:rsidRDefault="00ED2628" w:rsidP="00ED2628">
      <w:pPr>
        <w:jc w:val="both"/>
        <w:rPr>
          <w:rFonts w:asciiTheme="minorHAnsi" w:hAnsiTheme="minorHAnsi" w:cs="Calibri"/>
          <w:sz w:val="22"/>
          <w:szCs w:val="22"/>
          <w:lang w:val="en-GB"/>
        </w:rPr>
      </w:pPr>
      <w:r w:rsidRPr="00EC4212">
        <w:rPr>
          <w:rFonts w:asciiTheme="minorHAnsi" w:hAnsiTheme="minorHAnsi"/>
          <w:sz w:val="22"/>
          <w:szCs w:val="22"/>
          <w:lang w:val="en-GB"/>
        </w:rPr>
        <w:t>For the highly-described components</w:t>
      </w:r>
      <w:r w:rsidR="00F80936">
        <w:rPr>
          <w:rFonts w:asciiTheme="minorHAnsi" w:hAnsiTheme="minorHAnsi"/>
          <w:sz w:val="22"/>
          <w:szCs w:val="22"/>
          <w:lang w:val="en-GB"/>
        </w:rPr>
        <w:t>,</w:t>
      </w:r>
      <w:r w:rsidRPr="00EC4212">
        <w:rPr>
          <w:rFonts w:asciiTheme="minorHAnsi" w:hAnsiTheme="minorHAnsi"/>
          <w:sz w:val="22"/>
          <w:szCs w:val="22"/>
          <w:lang w:val="en-GB"/>
        </w:rPr>
        <w:t xml:space="preserve"> some preliminary details are given, where it should be noted that the project is currently in the tendering phase for the selection of contractors for execution of works and supervision. It is expected that selection or award of the contract will be completed by December 2020, where it will start with the detailed design phase and supply (purchase of materials), while the construction and installation works will start in April 2021. On the other hand, according to the project implementation plan, it is planned that the works will be completed in October 2022. </w:t>
      </w:r>
    </w:p>
    <w:p w:rsidR="00667D9B" w:rsidRPr="00EC4212" w:rsidRDefault="00667D9B" w:rsidP="00667D9B">
      <w:pPr>
        <w:ind w:left="360"/>
        <w:jc w:val="both"/>
        <w:rPr>
          <w:rFonts w:asciiTheme="minorHAnsi" w:hAnsiTheme="minorHAnsi" w:cs="Calibri"/>
          <w:sz w:val="22"/>
          <w:szCs w:val="22"/>
          <w:lang w:val="en-GB"/>
        </w:rPr>
      </w:pPr>
      <w:r w:rsidRPr="00EC4212">
        <w:rPr>
          <w:rFonts w:asciiTheme="minorHAnsi" w:hAnsiTheme="minorHAnsi"/>
          <w:sz w:val="22"/>
          <w:szCs w:val="22"/>
          <w:lang w:val="en-GB"/>
        </w:rPr>
        <w:t xml:space="preserve"> </w:t>
      </w:r>
    </w:p>
    <w:p w:rsidR="00E807F8" w:rsidRPr="00EC4212" w:rsidRDefault="001576C0" w:rsidP="007E6998">
      <w:pPr>
        <w:jc w:val="both"/>
        <w:rPr>
          <w:rFonts w:asciiTheme="minorHAnsi" w:hAnsiTheme="minorHAnsi" w:cs="Calibri"/>
          <w:b/>
          <w:sz w:val="22"/>
          <w:szCs w:val="22"/>
          <w:lang w:val="en-GB"/>
        </w:rPr>
      </w:pPr>
      <w:r w:rsidRPr="00EC4212">
        <w:rPr>
          <w:rFonts w:asciiTheme="minorHAnsi" w:hAnsiTheme="minorHAnsi"/>
          <w:sz w:val="22"/>
          <w:szCs w:val="22"/>
          <w:lang w:val="en-GB"/>
        </w:rPr>
        <w:t>In accordance with the implementation plan, during the tariff review period</w:t>
      </w:r>
      <w:r w:rsidR="00F80936">
        <w:rPr>
          <w:rFonts w:asciiTheme="minorHAnsi" w:hAnsiTheme="minorHAnsi"/>
          <w:sz w:val="22"/>
          <w:szCs w:val="22"/>
          <w:lang w:val="en-GB"/>
        </w:rPr>
        <w:t>,</w:t>
      </w:r>
      <w:r w:rsidRPr="00EC4212">
        <w:rPr>
          <w:rFonts w:asciiTheme="minorHAnsi" w:hAnsiTheme="minorHAnsi"/>
          <w:sz w:val="22"/>
          <w:szCs w:val="22"/>
          <w:lang w:val="en-GB"/>
        </w:rPr>
        <w:t xml:space="preserve"> it is planned the execution of works in the amount of € </w:t>
      </w:r>
      <w:r w:rsidRPr="00EC4212">
        <w:rPr>
          <w:rFonts w:asciiTheme="minorHAnsi" w:hAnsiTheme="minorHAnsi"/>
          <w:b/>
          <w:sz w:val="22"/>
          <w:szCs w:val="22"/>
          <w:lang w:val="en-GB"/>
        </w:rPr>
        <w:t xml:space="preserve">5.5 mil. </w:t>
      </w:r>
    </w:p>
    <w:p w:rsidR="007E6998" w:rsidRPr="00EC4212" w:rsidRDefault="007E6998" w:rsidP="007E6998">
      <w:pPr>
        <w:jc w:val="both"/>
        <w:rPr>
          <w:rFonts w:asciiTheme="minorHAnsi" w:hAnsiTheme="minorHAnsi" w:cs="Calibri"/>
          <w:sz w:val="22"/>
          <w:szCs w:val="22"/>
          <w:lang w:val="en-GB"/>
        </w:rPr>
      </w:pPr>
    </w:p>
    <w:p w:rsidR="001823C2" w:rsidRPr="00EC4212" w:rsidRDefault="00667D9B" w:rsidP="007E6998">
      <w:pPr>
        <w:pStyle w:val="ListParagraph"/>
        <w:numPr>
          <w:ilvl w:val="0"/>
          <w:numId w:val="27"/>
        </w:numPr>
        <w:spacing w:after="120"/>
        <w:ind w:left="270" w:hanging="270"/>
        <w:jc w:val="both"/>
        <w:rPr>
          <w:rFonts w:asciiTheme="minorHAnsi" w:hAnsiTheme="minorHAnsi" w:cstheme="minorHAnsi"/>
          <w:sz w:val="22"/>
          <w:szCs w:val="22"/>
          <w:lang w:val="en-GB"/>
        </w:rPr>
      </w:pPr>
      <w:r w:rsidRPr="00EC4212">
        <w:rPr>
          <w:rFonts w:asciiTheme="minorHAnsi" w:hAnsiTheme="minorHAnsi"/>
          <w:sz w:val="22"/>
          <w:szCs w:val="22"/>
          <w:lang w:val="en-GB"/>
        </w:rPr>
        <w:t>MCC Project: Installation of thermal energy meters - This project in the estimated value of $ 10.9 mil, as a donation from MCC - USA, contains:</w:t>
      </w:r>
    </w:p>
    <w:p w:rsidR="001823C2" w:rsidRPr="00EC4212" w:rsidRDefault="001823C2" w:rsidP="001823C2">
      <w:pPr>
        <w:pStyle w:val="ListParagraph"/>
        <w:numPr>
          <w:ilvl w:val="0"/>
          <w:numId w:val="29"/>
        </w:numPr>
        <w:spacing w:after="200" w:line="276" w:lineRule="auto"/>
        <w:jc w:val="both"/>
        <w:rPr>
          <w:rFonts w:asciiTheme="minorHAnsi" w:hAnsiTheme="minorHAnsi" w:cstheme="minorHAnsi"/>
          <w:sz w:val="22"/>
          <w:szCs w:val="22"/>
          <w:lang w:val="en-GB"/>
        </w:rPr>
      </w:pPr>
      <w:r w:rsidRPr="00EC4212">
        <w:rPr>
          <w:rFonts w:asciiTheme="minorHAnsi" w:hAnsiTheme="minorHAnsi"/>
          <w:sz w:val="22"/>
          <w:szCs w:val="22"/>
          <w:lang w:val="en-GB"/>
        </w:rPr>
        <w:t>Installation of individual thermal energy meters, respectively heat allocators;</w:t>
      </w:r>
    </w:p>
    <w:p w:rsidR="001823C2" w:rsidRPr="00EC4212" w:rsidRDefault="001823C2" w:rsidP="001823C2">
      <w:pPr>
        <w:pStyle w:val="ListParagraph"/>
        <w:numPr>
          <w:ilvl w:val="0"/>
          <w:numId w:val="29"/>
        </w:numPr>
        <w:spacing w:after="200" w:line="276" w:lineRule="auto"/>
        <w:jc w:val="both"/>
        <w:rPr>
          <w:rFonts w:asciiTheme="minorHAnsi" w:hAnsiTheme="minorHAnsi" w:cstheme="minorHAnsi"/>
          <w:sz w:val="22"/>
          <w:szCs w:val="22"/>
          <w:lang w:val="en-GB"/>
        </w:rPr>
      </w:pPr>
      <w:r w:rsidRPr="00EC4212">
        <w:rPr>
          <w:rFonts w:asciiTheme="minorHAnsi" w:hAnsiTheme="minorHAnsi"/>
          <w:sz w:val="22"/>
          <w:szCs w:val="22"/>
          <w:lang w:val="en-GB"/>
        </w:rPr>
        <w:t>Installation of thermostatic valves and circulating pumps;</w:t>
      </w:r>
    </w:p>
    <w:p w:rsidR="001823C2" w:rsidRPr="00EC4212" w:rsidRDefault="001823C2" w:rsidP="001823C2">
      <w:pPr>
        <w:pStyle w:val="ListParagraph"/>
        <w:numPr>
          <w:ilvl w:val="0"/>
          <w:numId w:val="29"/>
        </w:numPr>
        <w:spacing w:after="200" w:line="276" w:lineRule="auto"/>
        <w:jc w:val="both"/>
        <w:rPr>
          <w:rFonts w:asciiTheme="minorHAnsi" w:hAnsiTheme="minorHAnsi" w:cstheme="minorHAnsi"/>
          <w:sz w:val="22"/>
          <w:szCs w:val="22"/>
          <w:lang w:val="en-GB"/>
        </w:rPr>
      </w:pPr>
      <w:r w:rsidRPr="00EC4212">
        <w:rPr>
          <w:rFonts w:asciiTheme="minorHAnsi" w:hAnsiTheme="minorHAnsi"/>
          <w:sz w:val="22"/>
          <w:szCs w:val="22"/>
          <w:lang w:val="en-GB"/>
        </w:rPr>
        <w:t>Development of software for billing and reading of thermal energy consumption;</w:t>
      </w:r>
    </w:p>
    <w:p w:rsidR="001823C2" w:rsidRPr="00EC4212" w:rsidRDefault="001823C2" w:rsidP="001823C2">
      <w:pPr>
        <w:pStyle w:val="ListParagraph"/>
        <w:numPr>
          <w:ilvl w:val="0"/>
          <w:numId w:val="29"/>
        </w:numPr>
        <w:spacing w:after="200" w:line="276" w:lineRule="auto"/>
        <w:jc w:val="both"/>
        <w:rPr>
          <w:rFonts w:asciiTheme="minorHAnsi" w:hAnsiTheme="minorHAnsi" w:cstheme="minorHAnsi"/>
          <w:sz w:val="22"/>
          <w:szCs w:val="22"/>
          <w:lang w:val="en-GB"/>
        </w:rPr>
      </w:pPr>
      <w:r w:rsidRPr="00EC4212">
        <w:rPr>
          <w:rFonts w:asciiTheme="minorHAnsi" w:hAnsiTheme="minorHAnsi"/>
          <w:sz w:val="22"/>
          <w:szCs w:val="22"/>
          <w:lang w:val="en-GB"/>
        </w:rPr>
        <w:t>Assistance in improving billing services based on metered consumption.</w:t>
      </w:r>
    </w:p>
    <w:p w:rsidR="001823C2" w:rsidRPr="00EC4212" w:rsidRDefault="00277C1B" w:rsidP="00277C1B">
      <w:pPr>
        <w:spacing w:after="200" w:line="276" w:lineRule="auto"/>
        <w:jc w:val="both"/>
        <w:rPr>
          <w:rFonts w:asciiTheme="minorHAnsi" w:hAnsiTheme="minorHAnsi" w:cstheme="minorHAnsi"/>
          <w:sz w:val="22"/>
          <w:szCs w:val="22"/>
          <w:lang w:val="en-GB"/>
        </w:rPr>
      </w:pPr>
      <w:r w:rsidRPr="00EC4212">
        <w:rPr>
          <w:rFonts w:asciiTheme="minorHAnsi" w:hAnsiTheme="minorHAnsi"/>
          <w:sz w:val="22"/>
          <w:szCs w:val="22"/>
          <w:lang w:val="en-GB"/>
        </w:rPr>
        <w:t xml:space="preserve">Based on the project implementation plan, it is planned that during the tariff review period the works will be carried out in the amount of </w:t>
      </w:r>
      <w:r w:rsidRPr="00EC4212">
        <w:rPr>
          <w:rFonts w:asciiTheme="minorHAnsi" w:hAnsiTheme="minorHAnsi"/>
          <w:b/>
          <w:sz w:val="22"/>
          <w:szCs w:val="22"/>
          <w:lang w:val="en-GB"/>
        </w:rPr>
        <w:t>€ 1.5 million.</w:t>
      </w:r>
      <w:r w:rsidRPr="00EC4212">
        <w:rPr>
          <w:rFonts w:asciiTheme="minorHAnsi" w:hAnsiTheme="minorHAnsi"/>
          <w:sz w:val="22"/>
          <w:szCs w:val="22"/>
          <w:lang w:val="en-GB"/>
        </w:rPr>
        <w:t xml:space="preserve">  </w:t>
      </w:r>
    </w:p>
    <w:p w:rsidR="00F5721A" w:rsidRPr="00EC4212" w:rsidRDefault="00F5721A" w:rsidP="00E807F8">
      <w:pPr>
        <w:jc w:val="both"/>
        <w:rPr>
          <w:rFonts w:asciiTheme="minorHAnsi" w:hAnsiTheme="minorHAnsi" w:cs="Calibri"/>
          <w:sz w:val="22"/>
          <w:szCs w:val="22"/>
          <w:u w:val="single"/>
          <w:lang w:val="en-GB"/>
        </w:rPr>
      </w:pPr>
      <w:r w:rsidRPr="00EC4212">
        <w:rPr>
          <w:rFonts w:asciiTheme="minorHAnsi" w:hAnsiTheme="minorHAnsi"/>
          <w:sz w:val="22"/>
          <w:szCs w:val="22"/>
          <w:u w:val="single"/>
          <w:lang w:val="en-GB"/>
        </w:rPr>
        <w:t>Self-financing investments</w:t>
      </w:r>
    </w:p>
    <w:p w:rsidR="00F5721A" w:rsidRPr="00EC4212" w:rsidRDefault="00F5721A" w:rsidP="00E807F8">
      <w:pPr>
        <w:jc w:val="both"/>
        <w:rPr>
          <w:rFonts w:asciiTheme="minorHAnsi" w:hAnsiTheme="minorHAnsi" w:cs="Calibri"/>
          <w:sz w:val="22"/>
          <w:szCs w:val="22"/>
          <w:lang w:val="en-GB"/>
        </w:rPr>
      </w:pPr>
    </w:p>
    <w:p w:rsidR="00E807F8" w:rsidRPr="00EC4212" w:rsidRDefault="00E807F8" w:rsidP="00E807F8">
      <w:pPr>
        <w:jc w:val="both"/>
        <w:rPr>
          <w:rFonts w:asciiTheme="minorHAnsi" w:hAnsiTheme="minorHAnsi" w:cs="Calibri"/>
          <w:sz w:val="22"/>
          <w:szCs w:val="22"/>
          <w:lang w:val="en-GB"/>
        </w:rPr>
      </w:pPr>
      <w:r w:rsidRPr="00EC4212">
        <w:rPr>
          <w:rFonts w:asciiTheme="minorHAnsi" w:hAnsiTheme="minorHAnsi"/>
          <w:sz w:val="22"/>
          <w:szCs w:val="22"/>
          <w:lang w:val="en-GB"/>
        </w:rPr>
        <w:t xml:space="preserve">As mentioned above, DH Termokos also plans self-financing investments, where it has presented self-financing investments in the total amount of </w:t>
      </w:r>
      <w:r w:rsidRPr="00EC4212">
        <w:rPr>
          <w:rFonts w:asciiTheme="minorHAnsi" w:hAnsiTheme="minorHAnsi"/>
          <w:b/>
          <w:sz w:val="22"/>
          <w:szCs w:val="22"/>
          <w:lang w:val="en-GB"/>
        </w:rPr>
        <w:t>€ 2,282,000</w:t>
      </w:r>
      <w:r w:rsidRPr="00EC4212">
        <w:rPr>
          <w:rFonts w:asciiTheme="minorHAnsi" w:hAnsiTheme="minorHAnsi"/>
          <w:sz w:val="22"/>
          <w:szCs w:val="22"/>
          <w:lang w:val="en-GB"/>
        </w:rPr>
        <w:t>; some of these own investments are part of the above-mentioned rehabilitation projects while the rest are individual investments - the following details:</w:t>
      </w:r>
    </w:p>
    <w:p w:rsidR="00E807F8" w:rsidRPr="00EC4212" w:rsidRDefault="00E807F8" w:rsidP="00E807F8">
      <w:pPr>
        <w:jc w:val="both"/>
        <w:rPr>
          <w:rFonts w:asciiTheme="minorHAnsi" w:hAnsiTheme="minorHAnsi" w:cs="Calibri"/>
          <w:sz w:val="22"/>
          <w:szCs w:val="22"/>
          <w:lang w:val="en-GB"/>
        </w:rPr>
      </w:pPr>
    </w:p>
    <w:p w:rsidR="00E807F8" w:rsidRPr="00EC4212" w:rsidRDefault="00E807F8" w:rsidP="00F23C29">
      <w:pPr>
        <w:pStyle w:val="ListParagraph"/>
        <w:numPr>
          <w:ilvl w:val="0"/>
          <w:numId w:val="6"/>
        </w:numPr>
        <w:tabs>
          <w:tab w:val="clear" w:pos="720"/>
          <w:tab w:val="num" w:pos="360"/>
        </w:tabs>
        <w:ind w:left="360"/>
        <w:contextualSpacing w:val="0"/>
        <w:jc w:val="both"/>
        <w:rPr>
          <w:rFonts w:asciiTheme="minorHAnsi" w:hAnsiTheme="minorHAnsi" w:cs="Calibri"/>
          <w:sz w:val="22"/>
          <w:szCs w:val="22"/>
          <w:lang w:val="en-GB"/>
        </w:rPr>
      </w:pPr>
      <w:r w:rsidRPr="00EC4212">
        <w:rPr>
          <w:rFonts w:asciiTheme="minorHAnsi" w:hAnsiTheme="minorHAnsi"/>
          <w:sz w:val="22"/>
          <w:szCs w:val="22"/>
          <w:lang w:val="en-GB"/>
        </w:rPr>
        <w:t xml:space="preserve">Rehabilitation of the network and related equipment in the amount of € 630,000; </w:t>
      </w:r>
    </w:p>
    <w:p w:rsidR="00E807F8" w:rsidRPr="00EC4212" w:rsidRDefault="00E807F8" w:rsidP="00F23C29">
      <w:pPr>
        <w:pStyle w:val="ListParagraph"/>
        <w:numPr>
          <w:ilvl w:val="0"/>
          <w:numId w:val="6"/>
        </w:numPr>
        <w:tabs>
          <w:tab w:val="clear" w:pos="720"/>
          <w:tab w:val="num" w:pos="360"/>
        </w:tabs>
        <w:ind w:left="360"/>
        <w:contextualSpacing w:val="0"/>
        <w:jc w:val="both"/>
        <w:rPr>
          <w:rFonts w:asciiTheme="minorHAnsi" w:hAnsiTheme="minorHAnsi" w:cs="Calibri"/>
          <w:sz w:val="22"/>
          <w:szCs w:val="22"/>
          <w:lang w:val="en-GB"/>
        </w:rPr>
      </w:pPr>
      <w:r w:rsidRPr="00EC4212">
        <w:rPr>
          <w:rFonts w:asciiTheme="minorHAnsi" w:hAnsiTheme="minorHAnsi"/>
          <w:sz w:val="22"/>
          <w:szCs w:val="22"/>
          <w:lang w:val="en-GB"/>
        </w:rPr>
        <w:t xml:space="preserve">Equipment of generation plants respectively extraction and receiving stations of thermal energy (HES and HRS) in the amount of € 257,000; </w:t>
      </w:r>
    </w:p>
    <w:p w:rsidR="00E807F8" w:rsidRPr="00EC4212" w:rsidRDefault="00E807F8" w:rsidP="00F23C29">
      <w:pPr>
        <w:pStyle w:val="ListParagraph"/>
        <w:numPr>
          <w:ilvl w:val="0"/>
          <w:numId w:val="6"/>
        </w:numPr>
        <w:tabs>
          <w:tab w:val="clear" w:pos="720"/>
          <w:tab w:val="num" w:pos="360"/>
        </w:tabs>
        <w:ind w:left="360"/>
        <w:contextualSpacing w:val="0"/>
        <w:jc w:val="both"/>
        <w:rPr>
          <w:rFonts w:asciiTheme="minorHAnsi" w:hAnsiTheme="minorHAnsi" w:cs="Calibri"/>
          <w:sz w:val="22"/>
          <w:szCs w:val="22"/>
          <w:lang w:val="en-GB"/>
        </w:rPr>
      </w:pPr>
      <w:r w:rsidRPr="00EC4212">
        <w:rPr>
          <w:rFonts w:asciiTheme="minorHAnsi" w:hAnsiTheme="minorHAnsi"/>
          <w:sz w:val="22"/>
          <w:szCs w:val="22"/>
          <w:lang w:val="en-GB"/>
        </w:rPr>
        <w:t>Construction of the Administration Department Building in the amount of € 1,350,000; and</w:t>
      </w:r>
    </w:p>
    <w:p w:rsidR="00E807F8" w:rsidRPr="00EC4212" w:rsidRDefault="00E04DA8" w:rsidP="00277C1B">
      <w:pPr>
        <w:pStyle w:val="ListParagraph"/>
        <w:numPr>
          <w:ilvl w:val="0"/>
          <w:numId w:val="6"/>
        </w:numPr>
        <w:tabs>
          <w:tab w:val="clear" w:pos="720"/>
          <w:tab w:val="num" w:pos="360"/>
        </w:tabs>
        <w:ind w:left="360"/>
        <w:contextualSpacing w:val="0"/>
        <w:jc w:val="both"/>
        <w:rPr>
          <w:rFonts w:asciiTheme="minorHAnsi" w:hAnsiTheme="minorHAnsi" w:cs="Calibri"/>
          <w:sz w:val="22"/>
          <w:szCs w:val="22"/>
          <w:lang w:val="en-GB"/>
        </w:rPr>
      </w:pPr>
      <w:r w:rsidRPr="00EC4212">
        <w:rPr>
          <w:rFonts w:asciiTheme="minorHAnsi" w:hAnsiTheme="minorHAnsi"/>
          <w:sz w:val="22"/>
          <w:szCs w:val="22"/>
          <w:lang w:val="en-GB"/>
        </w:rPr>
        <w:t xml:space="preserve">Computer equipment and software in the amount of € 45,000.    </w:t>
      </w:r>
    </w:p>
    <w:p w:rsidR="002021F3" w:rsidRPr="00EC4212" w:rsidRDefault="002021F3" w:rsidP="00E807F8">
      <w:pPr>
        <w:jc w:val="both"/>
        <w:rPr>
          <w:rFonts w:asciiTheme="minorHAnsi" w:hAnsiTheme="minorHAnsi" w:cs="Calibri"/>
          <w:sz w:val="22"/>
          <w:szCs w:val="22"/>
          <w:u w:val="single"/>
          <w:lang w:val="en-GB"/>
        </w:rPr>
      </w:pPr>
    </w:p>
    <w:p w:rsidR="00E807F8" w:rsidRPr="00EC4212" w:rsidRDefault="00E807F8" w:rsidP="00E807F8">
      <w:pPr>
        <w:jc w:val="both"/>
        <w:rPr>
          <w:rFonts w:asciiTheme="minorHAnsi" w:hAnsiTheme="minorHAnsi" w:cs="Calibri"/>
          <w:sz w:val="22"/>
          <w:szCs w:val="22"/>
          <w:u w:val="single"/>
          <w:lang w:val="en-GB"/>
        </w:rPr>
      </w:pPr>
      <w:r w:rsidRPr="00EC4212">
        <w:rPr>
          <w:rFonts w:asciiTheme="minorHAnsi" w:hAnsiTheme="minorHAnsi"/>
          <w:sz w:val="22"/>
          <w:szCs w:val="22"/>
          <w:u w:val="single"/>
          <w:lang w:val="en-GB"/>
        </w:rPr>
        <w:lastRenderedPageBreak/>
        <w:t xml:space="preserve">Summary of new allowed investments </w:t>
      </w:r>
    </w:p>
    <w:p w:rsidR="00E807F8" w:rsidRPr="00EC4212" w:rsidRDefault="00E807F8" w:rsidP="00E807F8">
      <w:pPr>
        <w:jc w:val="both"/>
        <w:rPr>
          <w:rFonts w:asciiTheme="minorHAnsi" w:hAnsiTheme="minorHAnsi" w:cs="Calibri"/>
          <w:sz w:val="22"/>
          <w:szCs w:val="22"/>
          <w:lang w:val="en-GB"/>
        </w:rPr>
      </w:pPr>
    </w:p>
    <w:p w:rsidR="001A3657" w:rsidRPr="00EC4212" w:rsidRDefault="001A3657" w:rsidP="00E807F8">
      <w:pPr>
        <w:jc w:val="both"/>
        <w:rPr>
          <w:rFonts w:asciiTheme="minorHAnsi" w:hAnsiTheme="minorHAnsi" w:cs="Calibri"/>
          <w:b/>
          <w:sz w:val="22"/>
          <w:szCs w:val="22"/>
          <w:lang w:val="en-GB"/>
        </w:rPr>
      </w:pPr>
      <w:r w:rsidRPr="00EC4212">
        <w:rPr>
          <w:rFonts w:asciiTheme="minorHAnsi" w:hAnsiTheme="minorHAnsi"/>
          <w:b/>
          <w:sz w:val="22"/>
          <w:szCs w:val="22"/>
          <w:lang w:val="en-GB"/>
        </w:rPr>
        <w:t>Investments from donations</w:t>
      </w:r>
    </w:p>
    <w:p w:rsidR="001A3657" w:rsidRPr="00EC4212" w:rsidRDefault="001A3657" w:rsidP="00E807F8">
      <w:pPr>
        <w:jc w:val="both"/>
        <w:rPr>
          <w:rFonts w:asciiTheme="minorHAnsi" w:hAnsiTheme="minorHAnsi" w:cs="Calibri"/>
          <w:sz w:val="22"/>
          <w:szCs w:val="22"/>
          <w:lang w:val="en-GB"/>
        </w:rPr>
      </w:pPr>
    </w:p>
    <w:p w:rsidR="00011B9A" w:rsidRPr="00EC4212" w:rsidRDefault="00E807F8" w:rsidP="00E807F8">
      <w:pPr>
        <w:jc w:val="both"/>
        <w:rPr>
          <w:rFonts w:asciiTheme="minorHAnsi" w:hAnsiTheme="minorHAnsi" w:cs="Calibri"/>
          <w:sz w:val="22"/>
          <w:szCs w:val="22"/>
          <w:lang w:val="en-GB"/>
        </w:rPr>
      </w:pPr>
      <w:r w:rsidRPr="00EC4212">
        <w:rPr>
          <w:rFonts w:asciiTheme="minorHAnsi" w:hAnsiTheme="minorHAnsi"/>
          <w:sz w:val="22"/>
          <w:szCs w:val="22"/>
          <w:lang w:val="en-GB"/>
        </w:rPr>
        <w:t xml:space="preserve">ERO has continuously followed the development of these investment projects and in the framework of cooperation with the parties involved in these projects has been informed exactly of the details of these projects. It should be noted that all submitted projects are also included in the Development Plan 2019 - 2029 of DH Termokos, which has been approved by ERO. </w:t>
      </w:r>
    </w:p>
    <w:p w:rsidR="00011B9A" w:rsidRPr="00EC4212" w:rsidRDefault="00011B9A" w:rsidP="00E807F8">
      <w:pPr>
        <w:jc w:val="both"/>
        <w:rPr>
          <w:rFonts w:asciiTheme="minorHAnsi" w:hAnsiTheme="minorHAnsi" w:cs="Calibri"/>
          <w:sz w:val="22"/>
          <w:szCs w:val="22"/>
          <w:lang w:val="en-GB"/>
        </w:rPr>
      </w:pPr>
    </w:p>
    <w:p w:rsidR="00011B9A" w:rsidRPr="00EC4212" w:rsidRDefault="00011B9A" w:rsidP="00E807F8">
      <w:pPr>
        <w:jc w:val="both"/>
        <w:rPr>
          <w:rFonts w:asciiTheme="minorHAnsi" w:hAnsiTheme="minorHAnsi" w:cs="Calibri"/>
          <w:sz w:val="22"/>
          <w:szCs w:val="22"/>
          <w:lang w:val="en-GB"/>
        </w:rPr>
      </w:pPr>
      <w:r w:rsidRPr="00EC4212">
        <w:rPr>
          <w:rFonts w:asciiTheme="minorHAnsi" w:hAnsiTheme="minorHAnsi"/>
          <w:sz w:val="22"/>
          <w:szCs w:val="22"/>
          <w:lang w:val="en-GB"/>
        </w:rPr>
        <w:t>A number of these projects, especially donor projects, have a duration of over one year, so it was necessary to evaluate the works that are planned to be carried out within the tariff review period, which is estimated to have been mainly based on dynamic plans for the implementation of these projects. Therefore, for the tariff review period (October 2020 - October 2021), ERO evaluates the following:</w:t>
      </w:r>
    </w:p>
    <w:p w:rsidR="00277C1B" w:rsidRPr="00EC4212" w:rsidRDefault="00277C1B" w:rsidP="00E807F8">
      <w:pPr>
        <w:jc w:val="both"/>
        <w:rPr>
          <w:rFonts w:asciiTheme="minorHAnsi" w:hAnsiTheme="minorHAnsi" w:cs="Calibri"/>
          <w:sz w:val="22"/>
          <w:szCs w:val="22"/>
          <w:lang w:val="en-GB"/>
        </w:rPr>
      </w:pPr>
    </w:p>
    <w:p w:rsidR="00277C1B" w:rsidRPr="00EC4212" w:rsidRDefault="00277C1B" w:rsidP="00277C1B">
      <w:pPr>
        <w:pStyle w:val="ListParagraph"/>
        <w:numPr>
          <w:ilvl w:val="0"/>
          <w:numId w:val="6"/>
        </w:numPr>
        <w:tabs>
          <w:tab w:val="clear" w:pos="720"/>
          <w:tab w:val="num" w:pos="360"/>
        </w:tabs>
        <w:ind w:left="360"/>
        <w:jc w:val="both"/>
        <w:rPr>
          <w:rFonts w:asciiTheme="minorHAnsi" w:hAnsiTheme="minorHAnsi" w:cs="Calibri"/>
          <w:sz w:val="22"/>
          <w:szCs w:val="22"/>
          <w:lang w:val="en-GB"/>
        </w:rPr>
      </w:pPr>
      <w:r w:rsidRPr="00EC4212">
        <w:rPr>
          <w:rFonts w:asciiTheme="minorHAnsi" w:hAnsiTheme="minorHAnsi"/>
          <w:sz w:val="22"/>
          <w:szCs w:val="22"/>
          <w:lang w:val="en-GB"/>
        </w:rPr>
        <w:t xml:space="preserve">It allows the amount of </w:t>
      </w:r>
      <w:r w:rsidRPr="00EC4212">
        <w:rPr>
          <w:rFonts w:asciiTheme="minorHAnsi" w:hAnsiTheme="minorHAnsi"/>
          <w:b/>
          <w:sz w:val="22"/>
          <w:szCs w:val="22"/>
          <w:lang w:val="en-GB"/>
        </w:rPr>
        <w:t>€ 5,500,000</w:t>
      </w:r>
      <w:r w:rsidRPr="00EC4212">
        <w:rPr>
          <w:rFonts w:asciiTheme="minorHAnsi" w:hAnsiTheme="minorHAnsi"/>
          <w:sz w:val="22"/>
          <w:szCs w:val="22"/>
          <w:lang w:val="en-GB"/>
        </w:rPr>
        <w:t xml:space="preserve"> for the KfW project based on the updated implementation plan and the current status of the project described above. </w:t>
      </w:r>
    </w:p>
    <w:p w:rsidR="00277C1B" w:rsidRPr="00EC4212" w:rsidRDefault="00277C1B" w:rsidP="00277C1B">
      <w:pPr>
        <w:pStyle w:val="ListParagraph"/>
        <w:ind w:left="360"/>
        <w:jc w:val="both"/>
        <w:rPr>
          <w:rFonts w:asciiTheme="minorHAnsi" w:hAnsiTheme="minorHAnsi" w:cs="Calibri"/>
          <w:sz w:val="22"/>
          <w:szCs w:val="22"/>
          <w:lang w:val="en-GB"/>
        </w:rPr>
      </w:pPr>
    </w:p>
    <w:p w:rsidR="00277C1B" w:rsidRPr="00EC4212" w:rsidRDefault="00277C1B" w:rsidP="00277C1B">
      <w:pPr>
        <w:pStyle w:val="ListParagraph"/>
        <w:numPr>
          <w:ilvl w:val="0"/>
          <w:numId w:val="6"/>
        </w:numPr>
        <w:tabs>
          <w:tab w:val="clear" w:pos="720"/>
          <w:tab w:val="num" w:pos="360"/>
        </w:tabs>
        <w:ind w:left="360"/>
        <w:jc w:val="both"/>
        <w:rPr>
          <w:rFonts w:asciiTheme="minorHAnsi" w:hAnsiTheme="minorHAnsi" w:cs="Calibri"/>
          <w:sz w:val="22"/>
          <w:szCs w:val="22"/>
          <w:lang w:val="en-GB"/>
        </w:rPr>
      </w:pPr>
      <w:r w:rsidRPr="00EC4212">
        <w:rPr>
          <w:rFonts w:asciiTheme="minorHAnsi" w:hAnsiTheme="minorHAnsi"/>
          <w:sz w:val="22"/>
          <w:szCs w:val="22"/>
          <w:lang w:val="en-GB"/>
        </w:rPr>
        <w:t xml:space="preserve">It allows the amount of </w:t>
      </w:r>
      <w:r w:rsidRPr="00EC4212">
        <w:rPr>
          <w:rFonts w:asciiTheme="minorHAnsi" w:hAnsiTheme="minorHAnsi"/>
          <w:b/>
          <w:sz w:val="22"/>
          <w:szCs w:val="22"/>
          <w:lang w:val="en-GB"/>
        </w:rPr>
        <w:t>€ 1.5000,000</w:t>
      </w:r>
      <w:r w:rsidRPr="00EC4212">
        <w:rPr>
          <w:rFonts w:asciiTheme="minorHAnsi" w:hAnsiTheme="minorHAnsi"/>
          <w:sz w:val="22"/>
          <w:szCs w:val="22"/>
          <w:lang w:val="en-GB"/>
        </w:rPr>
        <w:t xml:space="preserve"> for the MCC project according to the implementation plan updated by MCC.  </w:t>
      </w:r>
    </w:p>
    <w:p w:rsidR="00FD671B" w:rsidRPr="00EC4212" w:rsidRDefault="00011B9A" w:rsidP="00FD671B">
      <w:pPr>
        <w:pStyle w:val="ListParagraph"/>
        <w:ind w:left="360"/>
        <w:jc w:val="both"/>
        <w:rPr>
          <w:rFonts w:asciiTheme="minorHAnsi" w:hAnsiTheme="minorHAnsi" w:cs="Calibri"/>
          <w:sz w:val="22"/>
          <w:szCs w:val="22"/>
          <w:lang w:val="en-GB"/>
        </w:rPr>
      </w:pPr>
      <w:r w:rsidRPr="00EC4212">
        <w:rPr>
          <w:rFonts w:asciiTheme="minorHAnsi" w:hAnsiTheme="minorHAnsi"/>
          <w:sz w:val="22"/>
          <w:szCs w:val="22"/>
          <w:lang w:val="en-GB"/>
        </w:rPr>
        <w:t xml:space="preserve"> </w:t>
      </w:r>
    </w:p>
    <w:p w:rsidR="001A3657" w:rsidRPr="00EC4212" w:rsidRDefault="001A3657" w:rsidP="00991172">
      <w:pPr>
        <w:jc w:val="both"/>
        <w:rPr>
          <w:rFonts w:ascii="Calibri" w:hAnsi="Calibri"/>
          <w:b/>
          <w:sz w:val="22"/>
          <w:szCs w:val="22"/>
          <w:lang w:val="en-GB"/>
        </w:rPr>
      </w:pPr>
      <w:r w:rsidRPr="00F80936">
        <w:rPr>
          <w:rFonts w:ascii="Calibri" w:hAnsi="Calibri"/>
          <w:b/>
          <w:sz w:val="22"/>
          <w:szCs w:val="22"/>
          <w:lang w:val="en-GB"/>
        </w:rPr>
        <w:t>New self-financing investments</w:t>
      </w:r>
    </w:p>
    <w:p w:rsidR="001A3657" w:rsidRPr="00EC4212" w:rsidRDefault="001A3657" w:rsidP="00991172">
      <w:pPr>
        <w:jc w:val="both"/>
        <w:rPr>
          <w:rFonts w:ascii="Calibri" w:hAnsi="Calibri"/>
          <w:sz w:val="22"/>
          <w:szCs w:val="22"/>
          <w:lang w:val="en-GB"/>
        </w:rPr>
      </w:pPr>
    </w:p>
    <w:bookmarkEnd w:id="53"/>
    <w:bookmarkEnd w:id="54"/>
    <w:p w:rsidR="0043466E" w:rsidRDefault="0043466E" w:rsidP="0043466E">
      <w:pPr>
        <w:jc w:val="both"/>
        <w:rPr>
          <w:rFonts w:ascii="Calibri" w:hAnsi="Calibri"/>
          <w:sz w:val="22"/>
          <w:szCs w:val="22"/>
          <w:lang w:val="en-GB"/>
        </w:rPr>
      </w:pPr>
      <w:r>
        <w:rPr>
          <w:rFonts w:ascii="Calibri" w:hAnsi="Calibri"/>
          <w:sz w:val="22"/>
          <w:szCs w:val="22"/>
          <w:lang w:val="en-GB"/>
        </w:rPr>
        <w:t>From the data and information provided by DH Termokos, ERO has estimated that the new planned self-financing investments are mainly real plans based on the continuous improvement of operations and sustainable supply. The following evaluations:</w:t>
      </w:r>
    </w:p>
    <w:p w:rsidR="0043466E" w:rsidRDefault="0043466E" w:rsidP="0043466E">
      <w:pPr>
        <w:jc w:val="both"/>
        <w:rPr>
          <w:rFonts w:ascii="Calibri" w:hAnsi="Calibri"/>
          <w:sz w:val="22"/>
          <w:szCs w:val="22"/>
          <w:lang w:val="en-GB"/>
        </w:rPr>
      </w:pPr>
    </w:p>
    <w:p w:rsidR="0043466E" w:rsidRDefault="0043466E" w:rsidP="0043466E">
      <w:pPr>
        <w:pStyle w:val="ListParagraph"/>
        <w:numPr>
          <w:ilvl w:val="0"/>
          <w:numId w:val="34"/>
        </w:numPr>
        <w:tabs>
          <w:tab w:val="num" w:pos="360"/>
        </w:tabs>
        <w:ind w:left="360"/>
        <w:jc w:val="both"/>
        <w:rPr>
          <w:rFonts w:ascii="Calibri" w:hAnsi="Calibri"/>
          <w:sz w:val="22"/>
          <w:szCs w:val="22"/>
          <w:lang w:val="en-GB"/>
        </w:rPr>
      </w:pPr>
      <w:r>
        <w:rPr>
          <w:rFonts w:ascii="Calibri" w:hAnsi="Calibri"/>
          <w:sz w:val="22"/>
          <w:szCs w:val="22"/>
          <w:lang w:val="en-GB"/>
        </w:rPr>
        <w:t xml:space="preserve">Planned investments in the distribution network include network rehabilitation - which specifically includes pipelines and associated equipment. Among other things, the new investments envisage modular substations and valves DN500 and DN600 (as co-financing with donor projects). As such, investments in the distribution network are fully allowed. In the framework of network investments, the drafting of a Conceptual Plan for </w:t>
      </w:r>
      <w:r w:rsidR="00F80936">
        <w:rPr>
          <w:rFonts w:ascii="Calibri" w:hAnsi="Calibri"/>
          <w:sz w:val="22"/>
          <w:szCs w:val="22"/>
          <w:lang w:val="en-GB"/>
        </w:rPr>
        <w:t xml:space="preserve">the </w:t>
      </w:r>
      <w:r>
        <w:rPr>
          <w:rFonts w:ascii="Calibri" w:hAnsi="Calibri"/>
          <w:sz w:val="22"/>
          <w:szCs w:val="22"/>
          <w:lang w:val="en-GB"/>
        </w:rPr>
        <w:t>study of the network in Kodra e Diellit in the amount of € 20,000 is also planned. For this feasibility plan, no concrete information and relevant details are provided regarding the project development, so in their absence</w:t>
      </w:r>
      <w:r w:rsidR="00F80936">
        <w:rPr>
          <w:rFonts w:ascii="Calibri" w:hAnsi="Calibri"/>
          <w:sz w:val="22"/>
          <w:szCs w:val="22"/>
          <w:lang w:val="en-GB"/>
        </w:rPr>
        <w:t>,</w:t>
      </w:r>
      <w:r>
        <w:rPr>
          <w:rFonts w:ascii="Calibri" w:hAnsi="Calibri"/>
          <w:sz w:val="22"/>
          <w:szCs w:val="22"/>
          <w:lang w:val="en-GB"/>
        </w:rPr>
        <w:t xml:space="preserve"> this investment is not allowed. Consequently, in the light of forgoing, own investments in the distribution network are allowed in the amount of </w:t>
      </w:r>
      <w:r>
        <w:rPr>
          <w:rFonts w:ascii="Calibri" w:hAnsi="Calibri"/>
          <w:b/>
          <w:sz w:val="22"/>
          <w:szCs w:val="22"/>
          <w:lang w:val="en-GB"/>
        </w:rPr>
        <w:t>€ 610,000.</w:t>
      </w:r>
    </w:p>
    <w:p w:rsidR="0043466E" w:rsidRDefault="0043466E" w:rsidP="0043466E">
      <w:pPr>
        <w:pStyle w:val="ListParagraph"/>
        <w:ind w:left="360"/>
        <w:jc w:val="both"/>
        <w:rPr>
          <w:rFonts w:ascii="Calibri" w:hAnsi="Calibri"/>
          <w:sz w:val="22"/>
          <w:szCs w:val="22"/>
          <w:lang w:val="en-GB"/>
        </w:rPr>
      </w:pPr>
    </w:p>
    <w:p w:rsidR="0043466E" w:rsidRDefault="0043466E" w:rsidP="0043466E">
      <w:pPr>
        <w:pStyle w:val="ListParagraph"/>
        <w:numPr>
          <w:ilvl w:val="0"/>
          <w:numId w:val="34"/>
        </w:numPr>
        <w:tabs>
          <w:tab w:val="num" w:pos="360"/>
        </w:tabs>
        <w:ind w:left="360"/>
        <w:jc w:val="both"/>
        <w:rPr>
          <w:rFonts w:ascii="Calibri" w:hAnsi="Calibri"/>
          <w:sz w:val="22"/>
          <w:szCs w:val="22"/>
          <w:lang w:val="en-GB"/>
        </w:rPr>
      </w:pPr>
      <w:r>
        <w:rPr>
          <w:rFonts w:ascii="Calibri" w:hAnsi="Calibri"/>
          <w:sz w:val="22"/>
          <w:szCs w:val="22"/>
          <w:lang w:val="en-GB"/>
        </w:rPr>
        <w:t xml:space="preserve">The planned investments in thermal power generation plants, respectively in cogeneration plants - HES and HRS, are within the regular investments to maintain the level of cogeneration operation and ensure quality supply of thermal energy. Therefore, ERO allows the presented investment amount of </w:t>
      </w:r>
      <w:r>
        <w:rPr>
          <w:rFonts w:ascii="Calibri" w:hAnsi="Calibri"/>
          <w:b/>
          <w:sz w:val="22"/>
          <w:szCs w:val="22"/>
          <w:lang w:val="en-GB"/>
        </w:rPr>
        <w:t>€ 257,000</w:t>
      </w:r>
      <w:r>
        <w:rPr>
          <w:rFonts w:ascii="Calibri" w:hAnsi="Calibri"/>
          <w:sz w:val="22"/>
          <w:szCs w:val="22"/>
          <w:lang w:val="en-GB"/>
        </w:rPr>
        <w:t>.</w:t>
      </w:r>
    </w:p>
    <w:p w:rsidR="0043466E" w:rsidRDefault="0043466E" w:rsidP="0043466E">
      <w:pPr>
        <w:pStyle w:val="ListParagraph"/>
        <w:rPr>
          <w:rFonts w:ascii="Calibri" w:hAnsi="Calibri"/>
          <w:sz w:val="22"/>
          <w:szCs w:val="22"/>
          <w:lang w:val="en-GB"/>
        </w:rPr>
      </w:pPr>
    </w:p>
    <w:p w:rsidR="0043466E" w:rsidRDefault="0043466E" w:rsidP="0043466E">
      <w:pPr>
        <w:pStyle w:val="ListParagraph"/>
        <w:numPr>
          <w:ilvl w:val="0"/>
          <w:numId w:val="34"/>
        </w:numPr>
        <w:tabs>
          <w:tab w:val="num" w:pos="360"/>
        </w:tabs>
        <w:ind w:left="360"/>
        <w:jc w:val="both"/>
        <w:rPr>
          <w:rFonts w:ascii="Calibri" w:hAnsi="Calibri"/>
          <w:sz w:val="22"/>
          <w:szCs w:val="22"/>
          <w:lang w:val="en-GB"/>
        </w:rPr>
      </w:pPr>
      <w:r>
        <w:rPr>
          <w:rFonts w:ascii="Calibri" w:hAnsi="Calibri"/>
          <w:sz w:val="22"/>
          <w:szCs w:val="22"/>
          <w:lang w:val="en-GB"/>
        </w:rPr>
        <w:t>In the new self-financing investments, among others, the construction of the building of the central administrative office of DH Termokos is planned. The presented amount of this investment is € 1,300,000 for execution of works and € 50,000 for supervision of the execution of works. In this regard, it should initially be noted that in previous seasons the amount of € 530,000 was presented for the construction of the building, which amount is also envisaged under the long-term Development Plan. Specifically, in the last review for the 2019/2020 season, ERO has allowed the investment in construction of the building in the amount of € 530,000, of which only € 67,980 (12.83%) were realized for the drafting of the Feasibility Study: Assessment of the situation and facilities of PE "Termokos" JSC and drafting of a detailed construction project. In the meantime, in July of this year, the Construction Permit and the Environmental Permit were obtained, while currently</w:t>
      </w:r>
      <w:r w:rsidR="00F80936">
        <w:rPr>
          <w:rFonts w:ascii="Calibri" w:hAnsi="Calibri"/>
          <w:sz w:val="22"/>
          <w:szCs w:val="22"/>
          <w:lang w:val="en-GB"/>
        </w:rPr>
        <w:t>,</w:t>
      </w:r>
      <w:r>
        <w:rPr>
          <w:rFonts w:ascii="Calibri" w:hAnsi="Calibri"/>
          <w:sz w:val="22"/>
          <w:szCs w:val="22"/>
          <w:lang w:val="en-GB"/>
        </w:rPr>
        <w:t xml:space="preserve"> the tendering procedures for the selection of the construction contractor and the construction supervision contractor are ongoing. Regarding the amount of the investment, it should be noted that with </w:t>
      </w:r>
      <w:r w:rsidR="00F80936">
        <w:rPr>
          <w:rFonts w:ascii="Calibri" w:hAnsi="Calibri"/>
          <w:sz w:val="22"/>
          <w:szCs w:val="22"/>
          <w:lang w:val="en-GB"/>
        </w:rPr>
        <w:t xml:space="preserve">the </w:t>
      </w:r>
      <w:r>
        <w:rPr>
          <w:rFonts w:ascii="Calibri" w:hAnsi="Calibri"/>
          <w:sz w:val="22"/>
          <w:szCs w:val="22"/>
          <w:lang w:val="en-GB"/>
        </w:rPr>
        <w:t xml:space="preserve">drafting of the detailed project, the concept of construction of the building has changed significantly increasing the size of the building and the number of floors, which of course has resulted in a significantly higher value than the initial value. In this regard, ERO would like to emphasize that any changes should be reflected in the update of the Development Plan, which means receiving approval by ERO, which has not been done by DH Termokos. Furthermore, the relevant pre-approved investment changes must be well reasoned and argued. Taking into account the foregoing, ERO decides to transfer the allowed investment amount in the previous review of € 530,000 to the current tariff review for the season 2020/2021, removing the amount of € 67,980 realized in the previous season, as well as increasing the partial amount for construction supervision of € 20,000. Consequently, for this one-year tariff review period, it allows the investment value for the construction of the new building amounting at </w:t>
      </w:r>
      <w:r>
        <w:rPr>
          <w:rFonts w:ascii="Calibri" w:hAnsi="Calibri"/>
          <w:b/>
          <w:sz w:val="22"/>
          <w:szCs w:val="22"/>
          <w:lang w:val="en-GB"/>
        </w:rPr>
        <w:t>€ 482,000.</w:t>
      </w:r>
    </w:p>
    <w:p w:rsidR="0043466E" w:rsidRDefault="0043466E" w:rsidP="0043466E">
      <w:pPr>
        <w:pStyle w:val="ListParagraph"/>
        <w:ind w:left="360"/>
        <w:jc w:val="both"/>
        <w:rPr>
          <w:rFonts w:ascii="Calibri" w:hAnsi="Calibri"/>
          <w:sz w:val="22"/>
          <w:szCs w:val="22"/>
          <w:lang w:val="en-GB"/>
        </w:rPr>
      </w:pPr>
      <w:r>
        <w:rPr>
          <w:rFonts w:ascii="Calibri" w:hAnsi="Calibri"/>
          <w:sz w:val="22"/>
          <w:szCs w:val="22"/>
          <w:lang w:val="en-GB"/>
        </w:rPr>
        <w:t xml:space="preserve">  </w:t>
      </w:r>
    </w:p>
    <w:p w:rsidR="0043466E" w:rsidRDefault="0043466E" w:rsidP="0043466E">
      <w:pPr>
        <w:pStyle w:val="ListParagraph"/>
        <w:numPr>
          <w:ilvl w:val="0"/>
          <w:numId w:val="34"/>
        </w:numPr>
        <w:tabs>
          <w:tab w:val="num" w:pos="360"/>
        </w:tabs>
        <w:ind w:left="360"/>
        <w:jc w:val="both"/>
        <w:rPr>
          <w:rFonts w:ascii="Calibri" w:hAnsi="Calibri"/>
          <w:sz w:val="22"/>
          <w:szCs w:val="22"/>
          <w:lang w:val="en-GB"/>
        </w:rPr>
      </w:pPr>
      <w:r>
        <w:rPr>
          <w:rFonts w:ascii="Calibri" w:hAnsi="Calibri"/>
          <w:sz w:val="22"/>
          <w:szCs w:val="22"/>
          <w:lang w:val="en-GB"/>
        </w:rPr>
        <w:t xml:space="preserve">In the framework of new investments in information technology equipment, ERO allows the proposed amount of </w:t>
      </w:r>
      <w:r>
        <w:rPr>
          <w:rFonts w:ascii="Calibri" w:hAnsi="Calibri"/>
          <w:b/>
          <w:sz w:val="22"/>
          <w:szCs w:val="22"/>
          <w:lang w:val="en-GB"/>
        </w:rPr>
        <w:t>€ 45,000</w:t>
      </w:r>
      <w:r>
        <w:rPr>
          <w:rFonts w:ascii="Calibri" w:hAnsi="Calibri"/>
          <w:sz w:val="22"/>
          <w:szCs w:val="22"/>
          <w:lang w:val="en-GB"/>
        </w:rPr>
        <w:t xml:space="preserve">.     </w:t>
      </w:r>
      <w:r>
        <w:rPr>
          <w:rFonts w:asciiTheme="minorHAnsi" w:hAnsiTheme="minorHAnsi"/>
          <w:sz w:val="22"/>
          <w:szCs w:val="22"/>
          <w:lang w:val="en-GB"/>
        </w:rPr>
        <w:t xml:space="preserve"> </w:t>
      </w:r>
    </w:p>
    <w:p w:rsidR="0043466E" w:rsidRDefault="0043466E" w:rsidP="0043466E">
      <w:pPr>
        <w:jc w:val="both"/>
        <w:rPr>
          <w:rFonts w:asciiTheme="minorHAnsi" w:hAnsiTheme="minorHAnsi" w:cs="Calibri"/>
          <w:sz w:val="22"/>
          <w:szCs w:val="22"/>
          <w:lang w:val="en-GB"/>
        </w:rPr>
      </w:pPr>
    </w:p>
    <w:p w:rsidR="0043466E" w:rsidRDefault="0043466E" w:rsidP="0043466E">
      <w:pPr>
        <w:jc w:val="both"/>
        <w:rPr>
          <w:rFonts w:asciiTheme="minorHAnsi" w:hAnsiTheme="minorHAnsi" w:cs="Calibri"/>
          <w:sz w:val="22"/>
          <w:szCs w:val="22"/>
          <w:lang w:val="en-GB"/>
        </w:rPr>
      </w:pPr>
      <w:r>
        <w:rPr>
          <w:rFonts w:asciiTheme="minorHAnsi" w:hAnsiTheme="minorHAnsi"/>
          <w:sz w:val="22"/>
          <w:szCs w:val="22"/>
          <w:lang w:val="en-GB"/>
        </w:rPr>
        <w:t xml:space="preserve">Based on the estimates presented above, ERO approves or allows new planned investments in the total amount of </w:t>
      </w:r>
      <w:r>
        <w:rPr>
          <w:rFonts w:asciiTheme="minorHAnsi" w:hAnsiTheme="minorHAnsi"/>
          <w:b/>
          <w:sz w:val="22"/>
          <w:szCs w:val="22"/>
          <w:lang w:val="en-GB"/>
        </w:rPr>
        <w:t>€ 8,394,000.</w:t>
      </w:r>
      <w:r>
        <w:rPr>
          <w:rFonts w:asciiTheme="minorHAnsi" w:hAnsiTheme="minorHAnsi"/>
          <w:sz w:val="22"/>
          <w:szCs w:val="22"/>
          <w:lang w:val="en-GB"/>
        </w:rPr>
        <w:t xml:space="preserve"> </w:t>
      </w:r>
    </w:p>
    <w:p w:rsidR="0043466E" w:rsidRDefault="0043466E" w:rsidP="0043466E">
      <w:pPr>
        <w:jc w:val="both"/>
        <w:rPr>
          <w:rFonts w:asciiTheme="minorHAnsi" w:hAnsiTheme="minorHAnsi" w:cs="Calibri"/>
          <w:sz w:val="22"/>
          <w:szCs w:val="22"/>
          <w:lang w:val="en-GB"/>
        </w:rPr>
      </w:pPr>
    </w:p>
    <w:p w:rsidR="0043466E" w:rsidRDefault="0043466E" w:rsidP="0043466E">
      <w:pPr>
        <w:jc w:val="both"/>
        <w:rPr>
          <w:rFonts w:asciiTheme="minorHAnsi" w:hAnsiTheme="minorHAnsi" w:cs="Calibri"/>
          <w:b/>
          <w:color w:val="000000"/>
          <w:sz w:val="22"/>
          <w:szCs w:val="22"/>
          <w:lang w:val="en-GB"/>
        </w:rPr>
      </w:pPr>
      <w:r>
        <w:rPr>
          <w:rFonts w:asciiTheme="minorHAnsi" w:hAnsiTheme="minorHAnsi"/>
          <w:b/>
          <w:color w:val="000000"/>
          <w:sz w:val="22"/>
          <w:szCs w:val="22"/>
          <w:lang w:val="en-GB"/>
        </w:rPr>
        <w:t>Division by the way of financing:</w:t>
      </w:r>
    </w:p>
    <w:p w:rsidR="0043466E" w:rsidRDefault="0043466E" w:rsidP="0043466E">
      <w:pPr>
        <w:jc w:val="both"/>
        <w:rPr>
          <w:rFonts w:asciiTheme="minorHAnsi" w:hAnsiTheme="minorHAnsi" w:cs="Calibri"/>
          <w:b/>
          <w:color w:val="000000"/>
          <w:sz w:val="22"/>
          <w:szCs w:val="22"/>
          <w:lang w:val="en-GB"/>
        </w:rPr>
      </w:pPr>
    </w:p>
    <w:p w:rsidR="0043466E" w:rsidRDefault="0043466E" w:rsidP="0043466E">
      <w:pPr>
        <w:jc w:val="both"/>
        <w:rPr>
          <w:rFonts w:asciiTheme="minorHAnsi" w:hAnsiTheme="minorHAnsi" w:cs="Calibri"/>
          <w:color w:val="000000"/>
          <w:sz w:val="22"/>
          <w:szCs w:val="22"/>
          <w:lang w:val="en-GB"/>
        </w:rPr>
      </w:pPr>
      <w:r>
        <w:rPr>
          <w:rFonts w:asciiTheme="minorHAnsi" w:hAnsiTheme="minorHAnsi"/>
          <w:color w:val="000000"/>
          <w:sz w:val="22"/>
          <w:szCs w:val="22"/>
          <w:lang w:val="en-GB"/>
        </w:rPr>
        <w:t>Referring to the financing details described above, the distribution of new allowed investments according to the way of financing is as follows:</w:t>
      </w:r>
    </w:p>
    <w:p w:rsidR="0043466E" w:rsidRDefault="0043466E" w:rsidP="0043466E">
      <w:pPr>
        <w:jc w:val="both"/>
        <w:rPr>
          <w:rFonts w:asciiTheme="minorHAnsi" w:hAnsiTheme="minorHAnsi" w:cs="Calibri"/>
          <w:color w:val="000000"/>
          <w:sz w:val="22"/>
          <w:szCs w:val="22"/>
          <w:lang w:val="en-GB"/>
        </w:rPr>
      </w:pPr>
    </w:p>
    <w:p w:rsidR="0043466E" w:rsidRDefault="0043466E" w:rsidP="0043466E">
      <w:pPr>
        <w:pStyle w:val="ListParagraph"/>
        <w:numPr>
          <w:ilvl w:val="0"/>
          <w:numId w:val="34"/>
        </w:numPr>
        <w:jc w:val="both"/>
        <w:rPr>
          <w:rFonts w:asciiTheme="minorHAnsi" w:hAnsiTheme="minorHAnsi" w:cs="Calibri"/>
          <w:sz w:val="22"/>
          <w:szCs w:val="22"/>
          <w:lang w:val="en-GB"/>
        </w:rPr>
      </w:pPr>
      <w:r>
        <w:rPr>
          <w:rFonts w:asciiTheme="minorHAnsi" w:hAnsiTheme="minorHAnsi"/>
          <w:sz w:val="22"/>
          <w:szCs w:val="22"/>
          <w:lang w:val="en-GB"/>
        </w:rPr>
        <w:t>(New allowed investments)</w:t>
      </w:r>
      <w:r>
        <w:rPr>
          <w:rFonts w:asciiTheme="minorHAnsi" w:hAnsiTheme="minorHAnsi"/>
          <w:sz w:val="22"/>
          <w:szCs w:val="22"/>
          <w:vertAlign w:val="subscript"/>
          <w:lang w:val="en-GB"/>
        </w:rPr>
        <w:t>DONATION</w:t>
      </w:r>
      <w:r>
        <w:rPr>
          <w:rFonts w:asciiTheme="minorHAnsi" w:hAnsiTheme="minorHAnsi"/>
          <w:sz w:val="22"/>
          <w:szCs w:val="22"/>
          <w:lang w:val="en-GB"/>
        </w:rPr>
        <w:t xml:space="preserve"> = € 7,000,000; and</w:t>
      </w:r>
    </w:p>
    <w:p w:rsidR="0043466E" w:rsidRDefault="0043466E" w:rsidP="0043466E">
      <w:pPr>
        <w:pStyle w:val="ListParagraph"/>
        <w:numPr>
          <w:ilvl w:val="0"/>
          <w:numId w:val="34"/>
        </w:numPr>
        <w:jc w:val="both"/>
        <w:rPr>
          <w:rFonts w:asciiTheme="minorHAnsi" w:hAnsiTheme="minorHAnsi" w:cs="Calibri"/>
          <w:sz w:val="22"/>
          <w:szCs w:val="22"/>
          <w:lang w:val="en-GB"/>
        </w:rPr>
      </w:pPr>
      <w:r>
        <w:rPr>
          <w:rFonts w:asciiTheme="minorHAnsi" w:hAnsiTheme="minorHAnsi"/>
          <w:sz w:val="22"/>
          <w:szCs w:val="22"/>
          <w:lang w:val="en-GB"/>
        </w:rPr>
        <w:t>(New allowed investments)</w:t>
      </w:r>
      <w:r>
        <w:rPr>
          <w:rFonts w:asciiTheme="minorHAnsi" w:hAnsiTheme="minorHAnsi"/>
          <w:sz w:val="22"/>
          <w:szCs w:val="22"/>
          <w:vertAlign w:val="subscript"/>
          <w:lang w:val="en-GB"/>
        </w:rPr>
        <w:t>SELF-FINANCING.</w:t>
      </w:r>
      <w:r>
        <w:rPr>
          <w:rFonts w:asciiTheme="minorHAnsi" w:hAnsiTheme="minorHAnsi"/>
          <w:sz w:val="22"/>
          <w:szCs w:val="22"/>
          <w:lang w:val="en-GB"/>
        </w:rPr>
        <w:t xml:space="preserve"> = € 1,394,000.</w:t>
      </w:r>
    </w:p>
    <w:p w:rsidR="0043466E" w:rsidRDefault="0043466E" w:rsidP="0043466E">
      <w:pPr>
        <w:pStyle w:val="Heading2"/>
        <w:numPr>
          <w:ilvl w:val="0"/>
          <w:numId w:val="0"/>
        </w:numPr>
        <w:tabs>
          <w:tab w:val="left" w:pos="720"/>
        </w:tabs>
        <w:ind w:left="720"/>
        <w:rPr>
          <w:lang w:val="en-GB"/>
        </w:rPr>
      </w:pPr>
      <w:r>
        <w:rPr>
          <w:color w:val="000000"/>
          <w:lang w:val="en-GB"/>
        </w:rPr>
        <w:t xml:space="preserve"> </w:t>
      </w:r>
    </w:p>
    <w:p w:rsidR="0043466E" w:rsidRDefault="0043466E" w:rsidP="0043466E">
      <w:pPr>
        <w:pStyle w:val="Heading3"/>
        <w:rPr>
          <w:lang w:val="en-GB"/>
        </w:rPr>
      </w:pPr>
      <w:bookmarkStart w:id="70" w:name="_Toc52186231"/>
      <w:bookmarkStart w:id="71" w:name="_Toc21515559"/>
      <w:bookmarkStart w:id="72" w:name="_Toc21514859"/>
      <w:bookmarkStart w:id="73" w:name="_Toc21514375"/>
      <w:bookmarkStart w:id="74" w:name="_Toc21513549"/>
      <w:bookmarkStart w:id="75" w:name="_Toc526514487"/>
      <w:r>
        <w:rPr>
          <w:lang w:val="en-GB"/>
        </w:rPr>
        <w:t>3.2.3 Determination of Working Capital</w:t>
      </w:r>
      <w:bookmarkEnd w:id="70"/>
      <w:bookmarkEnd w:id="71"/>
      <w:bookmarkEnd w:id="72"/>
      <w:bookmarkEnd w:id="73"/>
      <w:bookmarkEnd w:id="74"/>
      <w:bookmarkEnd w:id="75"/>
    </w:p>
    <w:p w:rsidR="0043466E" w:rsidRDefault="0043466E" w:rsidP="0043466E">
      <w:pPr>
        <w:pStyle w:val="BodyText"/>
        <w:jc w:val="both"/>
        <w:rPr>
          <w:rFonts w:asciiTheme="minorHAnsi" w:hAnsiTheme="minorHAnsi"/>
          <w:sz w:val="22"/>
          <w:szCs w:val="22"/>
          <w:lang w:val="en-GB"/>
        </w:rPr>
      </w:pPr>
    </w:p>
    <w:p w:rsidR="0043466E" w:rsidRDefault="0043466E" w:rsidP="0043466E">
      <w:pPr>
        <w:pStyle w:val="BodyText"/>
        <w:jc w:val="both"/>
        <w:rPr>
          <w:rFonts w:asciiTheme="minorHAnsi" w:hAnsiTheme="minorHAnsi"/>
          <w:b/>
          <w:sz w:val="22"/>
          <w:szCs w:val="22"/>
          <w:lang w:val="en-GB"/>
        </w:rPr>
      </w:pPr>
      <w:r>
        <w:rPr>
          <w:rFonts w:asciiTheme="minorHAnsi" w:hAnsiTheme="minorHAnsi"/>
          <w:sz w:val="22"/>
          <w:szCs w:val="22"/>
          <w:lang w:val="en-GB"/>
        </w:rPr>
        <w:t xml:space="preserve">According to respective provisions of Thermal Energy Pricing Rule-Annex 2, Working Capital is usually determined to allow circulating monetary means for a period no longer than a month, respectively the amount of average monthly revenues. Consequently, ERO determines the ratio 1/12 in the revenues from the sale of heat realized in the season 2019/2020 - € 6,381,802, and allows the </w:t>
      </w:r>
      <w:r>
        <w:rPr>
          <w:rFonts w:asciiTheme="minorHAnsi" w:hAnsiTheme="minorHAnsi"/>
          <w:b/>
          <w:sz w:val="22"/>
          <w:szCs w:val="22"/>
          <w:lang w:val="en-GB"/>
        </w:rPr>
        <w:t>Working Capital</w:t>
      </w:r>
      <w:r>
        <w:rPr>
          <w:rFonts w:asciiTheme="minorHAnsi" w:hAnsiTheme="minorHAnsi"/>
          <w:sz w:val="22"/>
          <w:szCs w:val="22"/>
          <w:lang w:val="en-GB"/>
        </w:rPr>
        <w:t xml:space="preserve"> in the amount of </w:t>
      </w:r>
      <w:r>
        <w:rPr>
          <w:rFonts w:asciiTheme="minorHAnsi" w:hAnsiTheme="minorHAnsi"/>
          <w:b/>
          <w:sz w:val="22"/>
          <w:szCs w:val="22"/>
          <w:lang w:val="en-GB"/>
        </w:rPr>
        <w:t>€ 531,817.</w:t>
      </w:r>
    </w:p>
    <w:p w:rsidR="0043466E" w:rsidRDefault="0043466E" w:rsidP="0043466E">
      <w:pPr>
        <w:pStyle w:val="BodyText"/>
        <w:jc w:val="both"/>
        <w:rPr>
          <w:rFonts w:asciiTheme="minorHAnsi" w:hAnsiTheme="minorHAnsi"/>
          <w:sz w:val="22"/>
          <w:szCs w:val="22"/>
          <w:lang w:val="en-GB"/>
        </w:rPr>
      </w:pPr>
    </w:p>
    <w:p w:rsidR="0043466E" w:rsidRDefault="0043466E" w:rsidP="0043466E">
      <w:pPr>
        <w:pStyle w:val="Heading3"/>
        <w:rPr>
          <w:lang w:val="en-GB"/>
        </w:rPr>
      </w:pPr>
      <w:bookmarkStart w:id="76" w:name="_Toc52186232"/>
      <w:bookmarkStart w:id="77" w:name="_Toc21515560"/>
      <w:bookmarkStart w:id="78" w:name="_Toc21514860"/>
      <w:bookmarkStart w:id="79" w:name="_Toc21514376"/>
      <w:bookmarkStart w:id="80" w:name="_Toc21513550"/>
      <w:bookmarkStart w:id="81" w:name="_Toc526514488"/>
      <w:r>
        <w:rPr>
          <w:lang w:val="en-GB"/>
        </w:rPr>
        <w:t>3.2.4 Annual Depreciation of Assets - realized in the season 2019/20 ('n-1')</w:t>
      </w:r>
      <w:bookmarkEnd w:id="76"/>
      <w:bookmarkEnd w:id="77"/>
      <w:bookmarkEnd w:id="78"/>
      <w:bookmarkEnd w:id="79"/>
      <w:bookmarkEnd w:id="80"/>
      <w:bookmarkEnd w:id="81"/>
    </w:p>
    <w:p w:rsidR="0043466E" w:rsidRDefault="0043466E" w:rsidP="0043466E">
      <w:pPr>
        <w:rPr>
          <w:rFonts w:asciiTheme="minorHAnsi" w:hAnsiTheme="minorHAnsi" w:cstheme="minorHAnsi"/>
          <w:sz w:val="22"/>
          <w:szCs w:val="22"/>
          <w:lang w:val="en-GB"/>
        </w:rPr>
      </w:pPr>
      <w:bookmarkStart w:id="82" w:name="_Toc526514489"/>
    </w:p>
    <w:p w:rsidR="0043466E" w:rsidRDefault="0043466E" w:rsidP="0043466E">
      <w:pPr>
        <w:jc w:val="both"/>
        <w:rPr>
          <w:rFonts w:asciiTheme="minorHAnsi" w:hAnsiTheme="minorHAnsi" w:cstheme="minorHAnsi"/>
          <w:sz w:val="22"/>
          <w:szCs w:val="22"/>
          <w:lang w:val="en-GB"/>
        </w:rPr>
      </w:pPr>
      <w:r>
        <w:rPr>
          <w:rFonts w:asciiTheme="minorHAnsi" w:hAnsiTheme="minorHAnsi"/>
          <w:sz w:val="22"/>
          <w:szCs w:val="22"/>
          <w:lang w:val="en-GB"/>
        </w:rPr>
        <w:t xml:space="preserve">The annual depreciation realized in the season 'n-1' - 2019/20 is calculated based on the Regulatory Asset Base (RAB) realized in that season and the weighted average depreciation rate; more specifically, from the Value of RAB realized in 2019/20 (€ 45,487,794) is deducted the value of realized working capital (€ 524,066), and the amount earned (€ 44,963,728) is multiplied by the weighted average depreciation rate (3.30%). Thus, from this it is calculated the </w:t>
      </w:r>
      <w:r>
        <w:rPr>
          <w:rFonts w:asciiTheme="minorHAnsi" w:hAnsiTheme="minorHAnsi"/>
          <w:b/>
          <w:sz w:val="22"/>
          <w:szCs w:val="22"/>
          <w:lang w:val="en-GB"/>
        </w:rPr>
        <w:t>Annual Depreciation realized in the season 2019/20</w:t>
      </w:r>
      <w:r>
        <w:rPr>
          <w:rFonts w:asciiTheme="minorHAnsi" w:hAnsiTheme="minorHAnsi"/>
          <w:sz w:val="22"/>
          <w:szCs w:val="22"/>
          <w:lang w:val="en-GB"/>
        </w:rPr>
        <w:t xml:space="preserve"> in the amount of </w:t>
      </w:r>
      <w:r>
        <w:rPr>
          <w:rFonts w:asciiTheme="minorHAnsi" w:hAnsiTheme="minorHAnsi"/>
          <w:b/>
          <w:sz w:val="22"/>
          <w:szCs w:val="22"/>
          <w:lang w:val="en-GB"/>
        </w:rPr>
        <w:t>€ 1,483,300.</w:t>
      </w:r>
      <w:bookmarkEnd w:id="82"/>
    </w:p>
    <w:p w:rsidR="0043466E" w:rsidRDefault="0043466E" w:rsidP="0043466E">
      <w:pPr>
        <w:rPr>
          <w:rFonts w:asciiTheme="minorHAnsi" w:hAnsiTheme="minorHAnsi"/>
          <w:lang w:val="en-GB"/>
        </w:rPr>
      </w:pPr>
    </w:p>
    <w:p w:rsidR="0043466E" w:rsidRDefault="0043466E" w:rsidP="0043466E">
      <w:pPr>
        <w:pStyle w:val="Heading3"/>
        <w:rPr>
          <w:lang w:val="en-GB"/>
        </w:rPr>
      </w:pPr>
      <w:bookmarkStart w:id="83" w:name="_Toc21515561"/>
      <w:bookmarkStart w:id="84" w:name="_Toc21514861"/>
      <w:bookmarkStart w:id="85" w:name="_Toc21514377"/>
      <w:bookmarkStart w:id="86" w:name="_Toc21513551"/>
      <w:bookmarkStart w:id="87" w:name="_Toc526514490"/>
      <w:r>
        <w:rPr>
          <w:lang w:val="en-GB"/>
        </w:rPr>
        <w:t xml:space="preserve">3.2.5 Disposals </w:t>
      </w:r>
      <w:bookmarkEnd w:id="83"/>
      <w:bookmarkEnd w:id="84"/>
      <w:bookmarkEnd w:id="85"/>
      <w:bookmarkEnd w:id="86"/>
      <w:bookmarkEnd w:id="87"/>
    </w:p>
    <w:p w:rsidR="0043466E" w:rsidRDefault="0043466E" w:rsidP="0043466E">
      <w:pPr>
        <w:pStyle w:val="BodyText"/>
        <w:jc w:val="both"/>
        <w:rPr>
          <w:rFonts w:asciiTheme="minorHAnsi" w:hAnsiTheme="minorHAnsi"/>
          <w:sz w:val="22"/>
          <w:szCs w:val="22"/>
          <w:lang w:val="en-GB"/>
        </w:rPr>
      </w:pPr>
    </w:p>
    <w:p w:rsidR="0043466E" w:rsidRDefault="0043466E" w:rsidP="0043466E">
      <w:pPr>
        <w:pStyle w:val="BodyText"/>
        <w:jc w:val="both"/>
        <w:rPr>
          <w:rFonts w:asciiTheme="minorHAnsi" w:hAnsiTheme="minorHAnsi"/>
          <w:b/>
          <w:sz w:val="22"/>
          <w:szCs w:val="22"/>
          <w:lang w:val="en-GB"/>
        </w:rPr>
      </w:pPr>
      <w:r>
        <w:rPr>
          <w:rFonts w:asciiTheme="minorHAnsi" w:hAnsiTheme="minorHAnsi"/>
          <w:sz w:val="22"/>
          <w:szCs w:val="22"/>
          <w:lang w:val="en-GB"/>
        </w:rPr>
        <w:t xml:space="preserve">Disposal means the assets that the regulated enterprise has removed from usage - the damaged assets that cannot be repaired in order to be reused again, the assets that have been sold/leased (when they were evaluated as unusable) etc. According to the formula given at the beginning of Chapter 3.2, the value of disposed assets is subtracted (minus). Given that for this tariff review no other disposal of assets was reported, the amount of disposals is € 0.     </w:t>
      </w:r>
    </w:p>
    <w:p w:rsidR="0043466E" w:rsidRDefault="0043466E" w:rsidP="0043466E">
      <w:pPr>
        <w:rPr>
          <w:rFonts w:asciiTheme="minorHAnsi" w:hAnsiTheme="minorHAnsi" w:cs="Calibri"/>
          <w:sz w:val="22"/>
          <w:szCs w:val="22"/>
          <w:u w:val="single"/>
          <w:lang w:val="en-GB"/>
        </w:rPr>
      </w:pPr>
    </w:p>
    <w:p w:rsidR="0043466E" w:rsidRDefault="0043466E" w:rsidP="0043466E">
      <w:pPr>
        <w:rPr>
          <w:rFonts w:asciiTheme="minorHAnsi" w:hAnsiTheme="minorHAnsi" w:cs="Calibri"/>
          <w:sz w:val="22"/>
          <w:szCs w:val="22"/>
          <w:u w:val="single"/>
          <w:lang w:val="en-GB"/>
        </w:rPr>
      </w:pPr>
      <w:r>
        <w:rPr>
          <w:rFonts w:asciiTheme="minorHAnsi" w:hAnsiTheme="minorHAnsi"/>
          <w:sz w:val="22"/>
          <w:szCs w:val="22"/>
          <w:u w:val="single"/>
          <w:lang w:val="en-GB"/>
        </w:rPr>
        <w:t>Summary of determination of RAB and RAB</w:t>
      </w:r>
      <w:r>
        <w:rPr>
          <w:rFonts w:asciiTheme="minorHAnsi" w:hAnsiTheme="minorHAnsi"/>
          <w:u w:val="single"/>
          <w:vertAlign w:val="subscript"/>
          <w:lang w:val="en-GB"/>
        </w:rPr>
        <w:t>f</w:t>
      </w:r>
      <w:r>
        <w:rPr>
          <w:rFonts w:asciiTheme="minorHAnsi" w:hAnsiTheme="minorHAnsi"/>
          <w:sz w:val="22"/>
          <w:szCs w:val="22"/>
          <w:u w:val="single"/>
          <w:lang w:val="en-GB"/>
        </w:rPr>
        <w:t xml:space="preserve"> </w:t>
      </w:r>
    </w:p>
    <w:p w:rsidR="0043466E" w:rsidRDefault="0043466E" w:rsidP="0043466E">
      <w:pPr>
        <w:rPr>
          <w:rFonts w:asciiTheme="minorHAnsi" w:hAnsiTheme="minorHAnsi" w:cs="Calibri"/>
          <w:sz w:val="22"/>
          <w:szCs w:val="22"/>
          <w:lang w:val="en-GB"/>
        </w:rPr>
      </w:pPr>
    </w:p>
    <w:p w:rsidR="0043466E" w:rsidRDefault="0043466E" w:rsidP="0043466E">
      <w:pPr>
        <w:jc w:val="both"/>
        <w:rPr>
          <w:rFonts w:asciiTheme="minorHAnsi" w:hAnsiTheme="minorHAnsi" w:cs="Calibri"/>
          <w:sz w:val="22"/>
          <w:szCs w:val="22"/>
          <w:lang w:val="en-GB"/>
        </w:rPr>
      </w:pPr>
      <w:r>
        <w:rPr>
          <w:rFonts w:asciiTheme="minorHAnsi" w:hAnsiTheme="minorHAnsi"/>
          <w:sz w:val="22"/>
          <w:szCs w:val="22"/>
          <w:lang w:val="en-GB"/>
        </w:rPr>
        <w:t>The following table presents the summarized integral components and respective amounts of Regulatory Asset Base (RAB) and the Regulatory Self-financed Asset Base of (RAB</w:t>
      </w:r>
      <w:r>
        <w:rPr>
          <w:rFonts w:asciiTheme="minorHAnsi" w:hAnsiTheme="minorHAnsi"/>
          <w:sz w:val="22"/>
          <w:szCs w:val="22"/>
          <w:vertAlign w:val="subscript"/>
          <w:lang w:val="en-GB"/>
        </w:rPr>
        <w:t>f</w:t>
      </w:r>
      <w:r>
        <w:rPr>
          <w:rFonts w:asciiTheme="minorHAnsi" w:hAnsiTheme="minorHAnsi"/>
          <w:sz w:val="22"/>
          <w:szCs w:val="22"/>
          <w:lang w:val="en-GB"/>
        </w:rPr>
        <w:t>)</w:t>
      </w:r>
    </w:p>
    <w:p w:rsidR="0043466E" w:rsidRDefault="0043466E" w:rsidP="0043466E">
      <w:pPr>
        <w:jc w:val="both"/>
        <w:rPr>
          <w:rFonts w:asciiTheme="minorHAnsi" w:hAnsiTheme="minorHAnsi" w:cs="Calibri"/>
          <w:lang w:val="en-GB"/>
        </w:rPr>
      </w:pPr>
    </w:p>
    <w:p w:rsidR="0043466E" w:rsidRDefault="0043466E" w:rsidP="0043466E">
      <w:pPr>
        <w:pStyle w:val="Heading3"/>
        <w:rPr>
          <w:lang w:val="en-GB"/>
        </w:rPr>
      </w:pPr>
      <w:bookmarkStart w:id="88" w:name="_Toc52186234"/>
      <w:bookmarkStart w:id="89" w:name="_Toc21521385"/>
      <w:bookmarkStart w:id="90" w:name="_Toc21515562"/>
      <w:bookmarkStart w:id="91" w:name="_Toc21514862"/>
      <w:bookmarkStart w:id="92" w:name="_Toc21514455"/>
      <w:bookmarkStart w:id="93" w:name="_Toc21514378"/>
      <w:r>
        <w:rPr>
          <w:lang w:val="en-GB"/>
        </w:rPr>
        <w:t>Table 2: RAB and its components - DH TERMOKOS - heating season 2020/2021</w:t>
      </w:r>
      <w:bookmarkEnd w:id="88"/>
      <w:bookmarkEnd w:id="89"/>
      <w:bookmarkEnd w:id="90"/>
      <w:bookmarkEnd w:id="91"/>
      <w:bookmarkEnd w:id="92"/>
      <w:bookmarkEnd w:id="93"/>
    </w:p>
    <w:tbl>
      <w:tblPr>
        <w:tblW w:w="9190" w:type="dxa"/>
        <w:tblInd w:w="98" w:type="dxa"/>
        <w:tblLook w:val="04A0" w:firstRow="1" w:lastRow="0" w:firstColumn="1" w:lastColumn="0" w:noHBand="0" w:noVBand="1"/>
      </w:tblPr>
      <w:tblGrid>
        <w:gridCol w:w="880"/>
        <w:gridCol w:w="6400"/>
        <w:gridCol w:w="1910"/>
      </w:tblGrid>
      <w:tr w:rsidR="0043466E" w:rsidTr="0043466E">
        <w:trPr>
          <w:trHeight w:val="300"/>
        </w:trPr>
        <w:tc>
          <w:tcPr>
            <w:tcW w:w="7280" w:type="dxa"/>
            <w:gridSpan w:val="2"/>
            <w:tcBorders>
              <w:top w:val="single" w:sz="8" w:space="0" w:color="auto"/>
              <w:left w:val="single" w:sz="8" w:space="0" w:color="auto"/>
              <w:bottom w:val="nil"/>
              <w:right w:val="single" w:sz="8" w:space="0" w:color="000000"/>
            </w:tcBorders>
            <w:shd w:val="clear" w:color="auto" w:fill="B8CCE4"/>
            <w:vAlign w:val="center"/>
            <w:hideMark/>
          </w:tcPr>
          <w:p w:rsidR="0043466E" w:rsidRDefault="0043466E">
            <w:pPr>
              <w:jc w:val="center"/>
              <w:rPr>
                <w:rFonts w:asciiTheme="minorHAnsi" w:eastAsia="Times New Roman" w:hAnsiTheme="minorHAnsi"/>
                <w:b/>
                <w:bCs/>
                <w:color w:val="000000"/>
                <w:sz w:val="22"/>
                <w:szCs w:val="22"/>
                <w:lang w:val="en-GB"/>
              </w:rPr>
            </w:pPr>
            <w:r>
              <w:rPr>
                <w:rFonts w:asciiTheme="minorHAnsi" w:hAnsiTheme="minorHAnsi"/>
                <w:b/>
                <w:bCs/>
                <w:color w:val="000000"/>
                <w:sz w:val="22"/>
                <w:szCs w:val="22"/>
                <w:lang w:val="en-GB"/>
              </w:rPr>
              <w:t xml:space="preserve">Regulatory Asset Base (RAB) - DH TERMOKOS </w:t>
            </w:r>
          </w:p>
        </w:tc>
        <w:tc>
          <w:tcPr>
            <w:tcW w:w="1910" w:type="dxa"/>
            <w:vMerge w:val="restart"/>
            <w:tcBorders>
              <w:top w:val="single" w:sz="8" w:space="0" w:color="auto"/>
              <w:left w:val="single" w:sz="8" w:space="0" w:color="auto"/>
              <w:bottom w:val="single" w:sz="8" w:space="0" w:color="000000"/>
              <w:right w:val="single" w:sz="8" w:space="0" w:color="auto"/>
            </w:tcBorders>
            <w:shd w:val="clear" w:color="auto" w:fill="B8CCE4"/>
            <w:hideMark/>
          </w:tcPr>
          <w:p w:rsidR="0043466E" w:rsidRDefault="0043466E">
            <w:pPr>
              <w:jc w:val="center"/>
              <w:rPr>
                <w:rFonts w:asciiTheme="minorHAnsi" w:eastAsia="Times New Roman" w:hAnsiTheme="minorHAnsi"/>
                <w:b/>
                <w:bCs/>
                <w:color w:val="000000"/>
                <w:sz w:val="22"/>
                <w:szCs w:val="22"/>
                <w:lang w:val="en-GB"/>
              </w:rPr>
            </w:pPr>
            <w:r>
              <w:rPr>
                <w:rFonts w:asciiTheme="minorHAnsi" w:hAnsiTheme="minorHAnsi"/>
                <w:b/>
                <w:bCs/>
                <w:color w:val="000000"/>
                <w:sz w:val="22"/>
                <w:szCs w:val="22"/>
                <w:lang w:val="en-GB"/>
              </w:rPr>
              <w:t>Allowed by ERO [€]</w:t>
            </w:r>
          </w:p>
        </w:tc>
      </w:tr>
      <w:tr w:rsidR="0043466E" w:rsidTr="0043466E">
        <w:trPr>
          <w:trHeight w:val="300"/>
        </w:trPr>
        <w:tc>
          <w:tcPr>
            <w:tcW w:w="7280" w:type="dxa"/>
            <w:gridSpan w:val="2"/>
            <w:tcBorders>
              <w:top w:val="nil"/>
              <w:left w:val="single" w:sz="8" w:space="0" w:color="auto"/>
              <w:bottom w:val="single" w:sz="8" w:space="0" w:color="auto"/>
              <w:right w:val="single" w:sz="8" w:space="0" w:color="000000"/>
            </w:tcBorders>
            <w:shd w:val="clear" w:color="auto" w:fill="B8CCE4"/>
            <w:vAlign w:val="center"/>
            <w:hideMark/>
          </w:tcPr>
          <w:p w:rsidR="0043466E" w:rsidRDefault="0043466E">
            <w:pPr>
              <w:jc w:val="center"/>
              <w:rPr>
                <w:rFonts w:asciiTheme="minorHAnsi" w:eastAsia="Times New Roman" w:hAnsiTheme="minorHAnsi"/>
                <w:b/>
                <w:bCs/>
                <w:color w:val="000000"/>
                <w:sz w:val="22"/>
                <w:szCs w:val="22"/>
                <w:lang w:val="en-GB"/>
              </w:rPr>
            </w:pPr>
            <w:r>
              <w:rPr>
                <w:rFonts w:asciiTheme="minorHAnsi" w:hAnsiTheme="minorHAnsi"/>
                <w:b/>
                <w:bCs/>
                <w:color w:val="000000"/>
                <w:sz w:val="22"/>
                <w:szCs w:val="22"/>
                <w:lang w:val="en-GB"/>
              </w:rPr>
              <w:t>Heating season 2020-2021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b/>
                <w:bCs/>
                <w:color w:val="000000"/>
                <w:sz w:val="22"/>
                <w:szCs w:val="22"/>
                <w:lang w:val="en-GB"/>
              </w:rPr>
            </w:pPr>
          </w:p>
        </w:tc>
      </w:tr>
      <w:tr w:rsidR="0043466E" w:rsidTr="0043466E">
        <w:trPr>
          <w:trHeight w:val="269"/>
        </w:trPr>
        <w:tc>
          <w:tcPr>
            <w:tcW w:w="880" w:type="dxa"/>
            <w:vMerge w:val="restart"/>
            <w:tcBorders>
              <w:top w:val="nil"/>
              <w:left w:val="single" w:sz="8" w:space="0" w:color="auto"/>
              <w:bottom w:val="single" w:sz="8" w:space="0" w:color="000000"/>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3.2.1</w:t>
            </w:r>
          </w:p>
        </w:tc>
        <w:tc>
          <w:tcPr>
            <w:tcW w:w="6400" w:type="dxa"/>
            <w:vMerge w:val="restart"/>
            <w:tcBorders>
              <w:top w:val="nil"/>
              <w:left w:val="nil"/>
              <w:bottom w:val="single" w:sz="8" w:space="0" w:color="000000"/>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Regulatory Initial Asset</w:t>
            </w:r>
            <w:r>
              <w:rPr>
                <w:rFonts w:asciiTheme="minorHAnsi" w:hAnsiTheme="minorHAnsi"/>
                <w:sz w:val="22"/>
                <w:lang w:val="en-GB"/>
              </w:rPr>
              <w:t xml:space="preserve"> Base </w:t>
            </w:r>
            <w:r>
              <w:rPr>
                <w:rFonts w:asciiTheme="minorHAnsi" w:hAnsiTheme="minorHAnsi"/>
                <w:color w:val="000000"/>
                <w:sz w:val="22"/>
                <w:szCs w:val="22"/>
                <w:lang w:val="en-GB"/>
              </w:rPr>
              <w:t>(</w:t>
            </w:r>
            <w:r>
              <w:rPr>
                <w:rFonts w:asciiTheme="minorHAnsi" w:hAnsiTheme="minorHAnsi"/>
                <w:sz w:val="22"/>
                <w:lang w:val="en-GB"/>
              </w:rPr>
              <w:t>RAB</w:t>
            </w:r>
            <w:r>
              <w:rPr>
                <w:rFonts w:asciiTheme="minorHAnsi" w:hAnsiTheme="minorHAnsi"/>
                <w:sz w:val="22"/>
                <w:vertAlign w:val="subscript"/>
                <w:lang w:val="en-GB"/>
              </w:rPr>
              <w:t>n</w:t>
            </w:r>
            <w:r>
              <w:rPr>
                <w:rFonts w:asciiTheme="minorHAnsi" w:hAnsiTheme="minorHAnsi"/>
                <w:sz w:val="22"/>
                <w:vertAlign w:val="superscript"/>
                <w:lang w:val="en-GB"/>
              </w:rPr>
              <w:t>start</w:t>
            </w:r>
            <w:r>
              <w:rPr>
                <w:rFonts w:asciiTheme="minorHAnsi" w:hAnsiTheme="minorHAnsi"/>
                <w:sz w:val="22"/>
                <w:lang w:val="en-GB"/>
              </w:rPr>
              <w:t>)</w:t>
            </w:r>
          </w:p>
        </w:tc>
        <w:tc>
          <w:tcPr>
            <w:tcW w:w="1910" w:type="dxa"/>
            <w:vMerge w:val="restart"/>
            <w:tcBorders>
              <w:top w:val="nil"/>
              <w:left w:val="single" w:sz="8" w:space="0" w:color="auto"/>
              <w:bottom w:val="single" w:sz="8" w:space="0" w:color="000000"/>
              <w:right w:val="single" w:sz="8" w:space="0" w:color="auto"/>
            </w:tcBorders>
            <w:shd w:val="clear" w:color="auto" w:fill="FFFFCC"/>
            <w:vAlign w:val="center"/>
            <w:hideMark/>
          </w:tcPr>
          <w:p w:rsidR="0043466E" w:rsidRDefault="0043466E">
            <w:pPr>
              <w:jc w:val="right"/>
              <w:rPr>
                <w:rFonts w:asciiTheme="minorHAnsi" w:eastAsia="Times New Roman" w:hAnsiTheme="minorHAnsi"/>
                <w:color w:val="000000"/>
                <w:sz w:val="22"/>
                <w:szCs w:val="22"/>
                <w:lang w:val="en-GB"/>
              </w:rPr>
            </w:pPr>
            <w:r>
              <w:rPr>
                <w:rFonts w:asciiTheme="minorHAnsi" w:hAnsiTheme="minorHAnsi"/>
                <w:color w:val="000000"/>
                <w:sz w:val="22"/>
                <w:szCs w:val="22"/>
                <w:lang w:val="en-GB"/>
              </w:rPr>
              <w:t>45,487,794</w:t>
            </w:r>
          </w:p>
        </w:tc>
      </w:tr>
      <w:tr w:rsidR="0043466E" w:rsidTr="0043466E">
        <w:trPr>
          <w:trHeight w:val="276"/>
        </w:trPr>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c>
          <w:tcPr>
            <w:tcW w:w="0" w:type="auto"/>
            <w:vMerge/>
            <w:tcBorders>
              <w:top w:val="nil"/>
              <w:left w:val="nil"/>
              <w:bottom w:val="single" w:sz="8" w:space="0" w:color="000000"/>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r>
      <w:tr w:rsidR="0043466E" w:rsidTr="0043466E">
        <w:trPr>
          <w:trHeight w:val="269"/>
        </w:trPr>
        <w:tc>
          <w:tcPr>
            <w:tcW w:w="880" w:type="dxa"/>
            <w:vMerge w:val="restart"/>
            <w:tcBorders>
              <w:top w:val="nil"/>
              <w:left w:val="single" w:sz="8" w:space="0" w:color="auto"/>
              <w:bottom w:val="single" w:sz="8" w:space="0" w:color="000000"/>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3.2.2</w:t>
            </w:r>
          </w:p>
        </w:tc>
        <w:tc>
          <w:tcPr>
            <w:tcW w:w="6400" w:type="dxa"/>
            <w:vMerge w:val="restart"/>
            <w:tcBorders>
              <w:top w:val="nil"/>
              <w:left w:val="nil"/>
              <w:bottom w:val="single" w:sz="8" w:space="0" w:color="000000"/>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New Investments (INV</w:t>
            </w:r>
            <w:r>
              <w:rPr>
                <w:rFonts w:asciiTheme="minorHAnsi" w:hAnsiTheme="minorHAnsi"/>
                <w:color w:val="000000"/>
                <w:sz w:val="22"/>
                <w:szCs w:val="22"/>
                <w:vertAlign w:val="subscript"/>
                <w:lang w:val="en-GB"/>
              </w:rPr>
              <w:t>n</w:t>
            </w:r>
            <w:r>
              <w:rPr>
                <w:rFonts w:asciiTheme="minorHAnsi" w:hAnsiTheme="minorHAnsi"/>
                <w:color w:val="000000"/>
                <w:sz w:val="22"/>
                <w:szCs w:val="22"/>
                <w:lang w:val="en-GB"/>
              </w:rPr>
              <w:t>)</w:t>
            </w:r>
          </w:p>
        </w:tc>
        <w:tc>
          <w:tcPr>
            <w:tcW w:w="1910" w:type="dxa"/>
            <w:vMerge w:val="restart"/>
            <w:tcBorders>
              <w:top w:val="nil"/>
              <w:left w:val="single" w:sz="8" w:space="0" w:color="auto"/>
              <w:bottom w:val="single" w:sz="8" w:space="0" w:color="000000"/>
              <w:right w:val="single" w:sz="8" w:space="0" w:color="auto"/>
            </w:tcBorders>
            <w:shd w:val="clear" w:color="auto" w:fill="FFFFCC"/>
            <w:vAlign w:val="center"/>
            <w:hideMark/>
          </w:tcPr>
          <w:p w:rsidR="0043466E" w:rsidRDefault="0043466E">
            <w:pPr>
              <w:jc w:val="right"/>
              <w:rPr>
                <w:rFonts w:asciiTheme="minorHAnsi" w:eastAsia="Times New Roman" w:hAnsiTheme="minorHAnsi"/>
                <w:color w:val="000000"/>
                <w:sz w:val="22"/>
                <w:szCs w:val="22"/>
                <w:lang w:val="en-GB"/>
              </w:rPr>
            </w:pPr>
            <w:r>
              <w:rPr>
                <w:rFonts w:asciiTheme="minorHAnsi" w:hAnsiTheme="minorHAnsi"/>
                <w:color w:val="000000"/>
                <w:sz w:val="22"/>
                <w:szCs w:val="22"/>
                <w:lang w:val="en-GB"/>
              </w:rPr>
              <w:t>8,394,000</w:t>
            </w:r>
          </w:p>
        </w:tc>
      </w:tr>
      <w:tr w:rsidR="0043466E" w:rsidTr="0043466E">
        <w:trPr>
          <w:trHeight w:val="276"/>
        </w:trPr>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c>
          <w:tcPr>
            <w:tcW w:w="0" w:type="auto"/>
            <w:vMerge/>
            <w:tcBorders>
              <w:top w:val="nil"/>
              <w:left w:val="nil"/>
              <w:bottom w:val="single" w:sz="8" w:space="0" w:color="000000"/>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r>
      <w:tr w:rsidR="0043466E" w:rsidTr="0043466E">
        <w:trPr>
          <w:trHeight w:val="269"/>
        </w:trPr>
        <w:tc>
          <w:tcPr>
            <w:tcW w:w="880" w:type="dxa"/>
            <w:vMerge w:val="restart"/>
            <w:tcBorders>
              <w:top w:val="nil"/>
              <w:left w:val="single" w:sz="8" w:space="0" w:color="auto"/>
              <w:bottom w:val="single" w:sz="4" w:space="0" w:color="auto"/>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3.2.3</w:t>
            </w:r>
          </w:p>
        </w:tc>
        <w:tc>
          <w:tcPr>
            <w:tcW w:w="6400" w:type="dxa"/>
            <w:vMerge w:val="restart"/>
            <w:tcBorders>
              <w:top w:val="nil"/>
              <w:left w:val="nil"/>
              <w:bottom w:val="single" w:sz="4" w:space="0" w:color="auto"/>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Working Capital (WC</w:t>
            </w:r>
            <w:r>
              <w:rPr>
                <w:rFonts w:asciiTheme="minorHAnsi" w:hAnsiTheme="minorHAnsi"/>
                <w:b/>
                <w:color w:val="000000"/>
                <w:sz w:val="22"/>
                <w:szCs w:val="22"/>
                <w:vertAlign w:val="subscript"/>
                <w:lang w:val="en-GB"/>
              </w:rPr>
              <w:t>n</w:t>
            </w:r>
            <w:r>
              <w:rPr>
                <w:rFonts w:asciiTheme="minorHAnsi" w:hAnsiTheme="minorHAnsi"/>
                <w:color w:val="000000"/>
                <w:sz w:val="22"/>
                <w:szCs w:val="22"/>
                <w:lang w:val="en-GB"/>
              </w:rPr>
              <w:t>)</w:t>
            </w:r>
          </w:p>
        </w:tc>
        <w:tc>
          <w:tcPr>
            <w:tcW w:w="1910" w:type="dxa"/>
            <w:vMerge w:val="restart"/>
            <w:tcBorders>
              <w:top w:val="nil"/>
              <w:left w:val="single" w:sz="8" w:space="0" w:color="auto"/>
              <w:bottom w:val="single" w:sz="4" w:space="0" w:color="auto"/>
              <w:right w:val="single" w:sz="8" w:space="0" w:color="auto"/>
            </w:tcBorders>
            <w:shd w:val="clear" w:color="auto" w:fill="FFFFCC"/>
            <w:vAlign w:val="center"/>
            <w:hideMark/>
          </w:tcPr>
          <w:p w:rsidR="0043466E" w:rsidRDefault="0043466E">
            <w:pPr>
              <w:jc w:val="right"/>
              <w:rPr>
                <w:rFonts w:asciiTheme="minorHAnsi" w:eastAsia="Times New Roman" w:hAnsiTheme="minorHAnsi"/>
                <w:color w:val="000000"/>
                <w:sz w:val="22"/>
                <w:szCs w:val="22"/>
                <w:lang w:val="en-GB"/>
              </w:rPr>
            </w:pPr>
            <w:r>
              <w:rPr>
                <w:rFonts w:asciiTheme="minorHAnsi" w:hAnsiTheme="minorHAnsi"/>
                <w:color w:val="000000"/>
                <w:sz w:val="22"/>
                <w:szCs w:val="22"/>
                <w:lang w:val="en-GB"/>
              </w:rPr>
              <w:t>531.817</w:t>
            </w:r>
          </w:p>
        </w:tc>
      </w:tr>
      <w:tr w:rsidR="0043466E" w:rsidTr="0043466E">
        <w:trPr>
          <w:trHeight w:val="276"/>
        </w:trPr>
        <w:tc>
          <w:tcPr>
            <w:tcW w:w="0" w:type="auto"/>
            <w:vMerge/>
            <w:tcBorders>
              <w:top w:val="nil"/>
              <w:left w:val="single" w:sz="8" w:space="0" w:color="auto"/>
              <w:bottom w:val="single" w:sz="4" w:space="0" w:color="auto"/>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c>
          <w:tcPr>
            <w:tcW w:w="0" w:type="auto"/>
            <w:vMerge/>
            <w:tcBorders>
              <w:top w:val="nil"/>
              <w:left w:val="nil"/>
              <w:bottom w:val="single" w:sz="4" w:space="0" w:color="auto"/>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c>
          <w:tcPr>
            <w:tcW w:w="0" w:type="auto"/>
            <w:vMerge/>
            <w:tcBorders>
              <w:top w:val="nil"/>
              <w:left w:val="single" w:sz="8" w:space="0" w:color="auto"/>
              <w:bottom w:val="single" w:sz="4" w:space="0" w:color="auto"/>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r>
      <w:tr w:rsidR="0043466E" w:rsidTr="0043466E">
        <w:trPr>
          <w:trHeight w:val="409"/>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3.2.4</w:t>
            </w:r>
          </w:p>
        </w:tc>
        <w:tc>
          <w:tcPr>
            <w:tcW w:w="6400" w:type="dxa"/>
            <w:tcBorders>
              <w:top w:val="single" w:sz="4" w:space="0" w:color="auto"/>
              <w:left w:val="nil"/>
              <w:bottom w:val="single" w:sz="8" w:space="0" w:color="000000"/>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1"/>
                <w:szCs w:val="21"/>
                <w:lang w:val="en-GB"/>
              </w:rPr>
            </w:pPr>
            <w:r>
              <w:rPr>
                <w:rFonts w:asciiTheme="minorHAnsi" w:hAnsiTheme="minorHAnsi"/>
                <w:color w:val="000000"/>
                <w:sz w:val="21"/>
                <w:szCs w:val="21"/>
                <w:lang w:val="en-GB"/>
              </w:rPr>
              <w:t>Annual Depreciation of Assets - realized in the season 2019/20 (DEP</w:t>
            </w:r>
            <w:r>
              <w:rPr>
                <w:rFonts w:asciiTheme="minorHAnsi" w:hAnsiTheme="minorHAnsi"/>
                <w:color w:val="000000"/>
                <w:sz w:val="21"/>
                <w:szCs w:val="21"/>
                <w:vertAlign w:val="subscript"/>
                <w:lang w:val="en-GB"/>
              </w:rPr>
              <w:t>n-1</w:t>
            </w:r>
            <w:r>
              <w:rPr>
                <w:rFonts w:asciiTheme="minorHAnsi" w:hAnsiTheme="minorHAnsi"/>
                <w:color w:val="000000"/>
                <w:sz w:val="21"/>
                <w:szCs w:val="21"/>
                <w:lang w:val="en-GB"/>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43466E" w:rsidRDefault="0043466E">
            <w:pPr>
              <w:jc w:val="right"/>
              <w:rPr>
                <w:rFonts w:asciiTheme="minorHAnsi" w:eastAsia="Times New Roman" w:hAnsiTheme="minorHAnsi"/>
                <w:color w:val="000000"/>
                <w:sz w:val="22"/>
                <w:szCs w:val="22"/>
                <w:lang w:val="en-GB"/>
              </w:rPr>
            </w:pPr>
            <w:r>
              <w:rPr>
                <w:rFonts w:asciiTheme="minorHAnsi" w:hAnsiTheme="minorHAnsi"/>
                <w:color w:val="000000"/>
                <w:sz w:val="22"/>
                <w:szCs w:val="22"/>
                <w:lang w:val="en-GB"/>
              </w:rPr>
              <w:t>-1,483,300</w:t>
            </w:r>
          </w:p>
        </w:tc>
      </w:tr>
      <w:tr w:rsidR="0043466E" w:rsidTr="0043466E">
        <w:trPr>
          <w:trHeight w:val="438"/>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3.2.5</w:t>
            </w:r>
          </w:p>
        </w:tc>
        <w:tc>
          <w:tcPr>
            <w:tcW w:w="6400" w:type="dxa"/>
            <w:tcBorders>
              <w:top w:val="single" w:sz="4" w:space="0" w:color="auto"/>
              <w:left w:val="nil"/>
              <w:bottom w:val="single" w:sz="8" w:space="0" w:color="000000"/>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 in the season 2019/20 (DIS</w:t>
            </w:r>
            <w:r>
              <w:rPr>
                <w:rFonts w:asciiTheme="minorHAnsi" w:hAnsiTheme="minorHAnsi"/>
                <w:color w:val="000000"/>
                <w:sz w:val="22"/>
                <w:szCs w:val="22"/>
                <w:vertAlign w:val="subscript"/>
                <w:lang w:val="en-GB"/>
              </w:rPr>
              <w:t>n-1</w:t>
            </w:r>
            <w:r>
              <w:rPr>
                <w:rFonts w:asciiTheme="minorHAnsi" w:hAnsiTheme="minorHAnsi"/>
                <w:color w:val="000000"/>
                <w:sz w:val="22"/>
                <w:szCs w:val="22"/>
                <w:lang w:val="en-GB"/>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43466E" w:rsidRDefault="0043466E">
            <w:pPr>
              <w:jc w:val="right"/>
              <w:rPr>
                <w:rFonts w:asciiTheme="minorHAnsi" w:eastAsia="Times New Roman" w:hAnsiTheme="minorHAnsi"/>
                <w:color w:val="000000"/>
                <w:sz w:val="22"/>
                <w:szCs w:val="22"/>
                <w:lang w:val="en-GB"/>
              </w:rPr>
            </w:pPr>
            <w:r>
              <w:rPr>
                <w:rFonts w:asciiTheme="minorHAnsi" w:hAnsiTheme="minorHAnsi"/>
                <w:color w:val="000000"/>
                <w:sz w:val="22"/>
                <w:szCs w:val="22"/>
                <w:lang w:val="en-GB"/>
              </w:rPr>
              <w:t>0</w:t>
            </w:r>
          </w:p>
        </w:tc>
      </w:tr>
      <w:tr w:rsidR="0043466E" w:rsidTr="0043466E">
        <w:trPr>
          <w:trHeight w:val="390"/>
        </w:trPr>
        <w:tc>
          <w:tcPr>
            <w:tcW w:w="880" w:type="dxa"/>
            <w:tcBorders>
              <w:top w:val="nil"/>
              <w:left w:val="single" w:sz="8" w:space="0" w:color="auto"/>
              <w:bottom w:val="single" w:sz="8" w:space="0" w:color="auto"/>
              <w:right w:val="single" w:sz="8" w:space="0" w:color="auto"/>
            </w:tcBorders>
            <w:shd w:val="clear" w:color="auto" w:fill="DBE5F1"/>
            <w:hideMark/>
          </w:tcPr>
          <w:p w:rsidR="0043466E" w:rsidRDefault="0043466E">
            <w:pPr>
              <w:jc w:val="both"/>
              <w:rPr>
                <w:rFonts w:asciiTheme="minorHAnsi" w:eastAsia="Times New Roman" w:hAnsiTheme="minorHAnsi"/>
                <w:color w:val="000000"/>
                <w:lang w:val="en-GB"/>
              </w:rPr>
            </w:pPr>
            <w:r>
              <w:rPr>
                <w:rFonts w:asciiTheme="minorHAnsi" w:hAnsiTheme="minorHAnsi"/>
                <w:color w:val="000000"/>
                <w:vertAlign w:val="subscript"/>
                <w:lang w:val="en-GB"/>
              </w:rPr>
              <w:t> </w:t>
            </w:r>
          </w:p>
        </w:tc>
        <w:tc>
          <w:tcPr>
            <w:tcW w:w="6400" w:type="dxa"/>
            <w:tcBorders>
              <w:top w:val="nil"/>
              <w:left w:val="nil"/>
              <w:bottom w:val="single" w:sz="8" w:space="0" w:color="auto"/>
              <w:right w:val="single" w:sz="8" w:space="0" w:color="auto"/>
            </w:tcBorders>
            <w:shd w:val="clear" w:color="auto" w:fill="DBE5F1"/>
            <w:hideMark/>
          </w:tcPr>
          <w:p w:rsidR="0043466E" w:rsidRDefault="0043466E">
            <w:pPr>
              <w:jc w:val="both"/>
              <w:rPr>
                <w:rFonts w:asciiTheme="minorHAnsi" w:eastAsia="Times New Roman" w:hAnsiTheme="minorHAnsi"/>
                <w:b/>
                <w:bCs/>
                <w:color w:val="000000"/>
                <w:sz w:val="22"/>
                <w:szCs w:val="22"/>
                <w:lang w:val="en-GB"/>
              </w:rPr>
            </w:pPr>
            <w:r>
              <w:rPr>
                <w:rFonts w:asciiTheme="minorHAnsi" w:hAnsiTheme="minorHAnsi"/>
                <w:b/>
                <w:bCs/>
                <w:color w:val="000000"/>
                <w:sz w:val="22"/>
                <w:szCs w:val="22"/>
                <w:lang w:val="en-GB"/>
              </w:rPr>
              <w:t>Regulatory Asset Base (RAB)</w:t>
            </w:r>
          </w:p>
        </w:tc>
        <w:tc>
          <w:tcPr>
            <w:tcW w:w="1910" w:type="dxa"/>
            <w:tcBorders>
              <w:top w:val="nil"/>
              <w:left w:val="nil"/>
              <w:bottom w:val="single" w:sz="8" w:space="0" w:color="auto"/>
              <w:right w:val="single" w:sz="8" w:space="0" w:color="auto"/>
            </w:tcBorders>
            <w:shd w:val="clear" w:color="auto" w:fill="DBE5F1"/>
            <w:hideMark/>
          </w:tcPr>
          <w:p w:rsidR="0043466E" w:rsidRDefault="0043466E">
            <w:pPr>
              <w:jc w:val="right"/>
              <w:rPr>
                <w:rFonts w:asciiTheme="minorHAnsi" w:eastAsia="Times New Roman" w:hAnsiTheme="minorHAnsi"/>
                <w:b/>
                <w:bCs/>
                <w:color w:val="000000"/>
                <w:sz w:val="22"/>
                <w:szCs w:val="22"/>
                <w:lang w:val="en-GB"/>
              </w:rPr>
            </w:pPr>
            <w:r>
              <w:rPr>
                <w:rFonts w:asciiTheme="minorHAnsi" w:hAnsiTheme="minorHAnsi"/>
                <w:b/>
                <w:bCs/>
                <w:color w:val="000000"/>
                <w:sz w:val="22"/>
                <w:szCs w:val="22"/>
                <w:lang w:val="en-GB"/>
              </w:rPr>
              <w:t>52,930,311</w:t>
            </w:r>
          </w:p>
        </w:tc>
      </w:tr>
    </w:tbl>
    <w:p w:rsidR="0043466E" w:rsidRDefault="0043466E" w:rsidP="0043466E">
      <w:pPr>
        <w:jc w:val="both"/>
        <w:rPr>
          <w:rFonts w:asciiTheme="minorHAnsi" w:hAnsiTheme="minorHAnsi" w:cs="Calibri"/>
          <w:sz w:val="22"/>
          <w:szCs w:val="22"/>
          <w:lang w:val="en-GB"/>
        </w:rPr>
      </w:pPr>
    </w:p>
    <w:p w:rsidR="0043466E" w:rsidRDefault="0043466E" w:rsidP="0043466E">
      <w:pPr>
        <w:jc w:val="both"/>
        <w:rPr>
          <w:rFonts w:asciiTheme="minorHAnsi" w:hAnsiTheme="minorHAnsi" w:cs="Calibri"/>
          <w:sz w:val="22"/>
          <w:szCs w:val="22"/>
          <w:lang w:val="en-GB"/>
        </w:rPr>
      </w:pPr>
      <w:r>
        <w:rPr>
          <w:rFonts w:asciiTheme="minorHAnsi" w:hAnsiTheme="minorHAnsi"/>
          <w:sz w:val="22"/>
          <w:szCs w:val="22"/>
          <w:lang w:val="en-GB"/>
        </w:rPr>
        <w:t>Regarding the Regulated Self-financed Asset Base (RAB</w:t>
      </w:r>
      <w:r>
        <w:rPr>
          <w:rFonts w:asciiTheme="minorHAnsi" w:hAnsiTheme="minorHAnsi"/>
          <w:vertAlign w:val="subscript"/>
          <w:lang w:val="en-GB"/>
        </w:rPr>
        <w:t>f</w:t>
      </w:r>
      <w:r>
        <w:rPr>
          <w:rFonts w:asciiTheme="minorHAnsi" w:hAnsiTheme="minorHAnsi"/>
          <w:lang w:val="en-GB"/>
        </w:rPr>
        <w:t xml:space="preserve">), it </w:t>
      </w:r>
      <w:r>
        <w:rPr>
          <w:rFonts w:asciiTheme="minorHAnsi" w:hAnsiTheme="minorHAnsi"/>
          <w:sz w:val="22"/>
          <w:szCs w:val="22"/>
          <w:lang w:val="en-GB"/>
        </w:rPr>
        <w:t>should be noted that the same wording applies as for the general RAB, but here the values of self-financed assets/investments are taken; details in the table below:</w:t>
      </w:r>
    </w:p>
    <w:p w:rsidR="0043466E" w:rsidRDefault="0043466E" w:rsidP="0043466E">
      <w:pPr>
        <w:jc w:val="both"/>
        <w:rPr>
          <w:rFonts w:asciiTheme="minorHAnsi" w:hAnsiTheme="minorHAnsi" w:cs="Calibri"/>
          <w:sz w:val="22"/>
          <w:szCs w:val="22"/>
          <w:lang w:val="en-GB"/>
        </w:rPr>
      </w:pPr>
    </w:p>
    <w:p w:rsidR="0043466E" w:rsidRDefault="0043466E" w:rsidP="0043466E">
      <w:pPr>
        <w:pStyle w:val="Heading3"/>
        <w:rPr>
          <w:lang w:val="en-GB"/>
        </w:rPr>
      </w:pPr>
      <w:bookmarkStart w:id="94" w:name="_Toc21514379"/>
      <w:bookmarkStart w:id="95" w:name="_Toc21514456"/>
      <w:bookmarkStart w:id="96" w:name="_Toc21514863"/>
      <w:bookmarkStart w:id="97" w:name="_Toc21515563"/>
      <w:bookmarkStart w:id="98" w:name="_Toc21521386"/>
      <w:bookmarkStart w:id="99" w:name="_Toc52186235"/>
      <w:r>
        <w:rPr>
          <w:lang w:val="en-GB"/>
        </w:rPr>
        <w:t xml:space="preserve">Table 3: </w:t>
      </w:r>
      <w:bookmarkStart w:id="100" w:name="_Toc21513552"/>
      <w:r>
        <w:rPr>
          <w:lang w:val="en-GB"/>
        </w:rPr>
        <w:t>RAB and its components - DH TERMOKOS  - heating season 2020/202</w:t>
      </w:r>
      <w:bookmarkEnd w:id="94"/>
      <w:bookmarkEnd w:id="95"/>
      <w:bookmarkEnd w:id="96"/>
      <w:bookmarkEnd w:id="97"/>
      <w:bookmarkEnd w:id="98"/>
      <w:bookmarkEnd w:id="100"/>
      <w:r>
        <w:rPr>
          <w:lang w:val="en-GB"/>
        </w:rPr>
        <w:t>1</w:t>
      </w:r>
      <w:bookmarkEnd w:id="99"/>
    </w:p>
    <w:tbl>
      <w:tblPr>
        <w:tblW w:w="9190" w:type="dxa"/>
        <w:tblInd w:w="98" w:type="dxa"/>
        <w:tblLook w:val="04A0" w:firstRow="1" w:lastRow="0" w:firstColumn="1" w:lastColumn="0" w:noHBand="0" w:noVBand="1"/>
      </w:tblPr>
      <w:tblGrid>
        <w:gridCol w:w="880"/>
        <w:gridCol w:w="6400"/>
        <w:gridCol w:w="1910"/>
      </w:tblGrid>
      <w:tr w:rsidR="0043466E" w:rsidTr="0043466E">
        <w:trPr>
          <w:trHeight w:val="300"/>
        </w:trPr>
        <w:tc>
          <w:tcPr>
            <w:tcW w:w="7280" w:type="dxa"/>
            <w:gridSpan w:val="2"/>
            <w:tcBorders>
              <w:top w:val="single" w:sz="8" w:space="0" w:color="auto"/>
              <w:left w:val="single" w:sz="8" w:space="0" w:color="auto"/>
              <w:bottom w:val="nil"/>
              <w:right w:val="single" w:sz="8" w:space="0" w:color="000000"/>
            </w:tcBorders>
            <w:shd w:val="clear" w:color="auto" w:fill="B8CCE4"/>
            <w:vAlign w:val="center"/>
            <w:hideMark/>
          </w:tcPr>
          <w:p w:rsidR="0043466E" w:rsidRDefault="0043466E">
            <w:pPr>
              <w:jc w:val="center"/>
              <w:rPr>
                <w:rFonts w:asciiTheme="minorHAnsi" w:eastAsia="Times New Roman" w:hAnsiTheme="minorHAnsi"/>
                <w:b/>
                <w:bCs/>
                <w:color w:val="000000"/>
                <w:sz w:val="22"/>
                <w:szCs w:val="22"/>
                <w:lang w:val="en-GB"/>
              </w:rPr>
            </w:pPr>
            <w:r>
              <w:rPr>
                <w:rFonts w:asciiTheme="minorHAnsi" w:hAnsiTheme="minorHAnsi"/>
                <w:b/>
                <w:bCs/>
                <w:color w:val="000000"/>
                <w:sz w:val="22"/>
                <w:szCs w:val="22"/>
                <w:lang w:val="en-GB"/>
              </w:rPr>
              <w:t>Regulatory</w:t>
            </w:r>
            <w:r>
              <w:rPr>
                <w:rFonts w:asciiTheme="minorHAnsi" w:hAnsiTheme="minorHAnsi"/>
                <w:b/>
                <w:bCs/>
                <w:color w:val="000000"/>
                <w:lang w:val="en-GB"/>
              </w:rPr>
              <w:t xml:space="preserve"> </w:t>
            </w:r>
            <w:r>
              <w:rPr>
                <w:rFonts w:asciiTheme="minorHAnsi" w:hAnsiTheme="minorHAnsi"/>
                <w:b/>
                <w:bCs/>
                <w:color w:val="000000"/>
                <w:sz w:val="22"/>
                <w:szCs w:val="22"/>
                <w:lang w:val="en-GB"/>
              </w:rPr>
              <w:t>Self-financed Asset Base (RAB</w:t>
            </w:r>
            <w:r>
              <w:rPr>
                <w:rFonts w:asciiTheme="minorHAnsi" w:hAnsiTheme="minorHAnsi"/>
                <w:b/>
                <w:bCs/>
                <w:color w:val="000000"/>
                <w:sz w:val="18"/>
                <w:szCs w:val="18"/>
                <w:lang w:val="en-GB"/>
              </w:rPr>
              <w:t>f</w:t>
            </w:r>
            <w:r>
              <w:rPr>
                <w:rFonts w:asciiTheme="minorHAnsi" w:hAnsiTheme="minorHAnsi"/>
                <w:b/>
                <w:bCs/>
                <w:color w:val="000000"/>
                <w:sz w:val="22"/>
                <w:szCs w:val="22"/>
                <w:lang w:val="en-GB"/>
              </w:rPr>
              <w:t xml:space="preserve">) - DH TERMOKOS </w:t>
            </w:r>
          </w:p>
        </w:tc>
        <w:tc>
          <w:tcPr>
            <w:tcW w:w="1910" w:type="dxa"/>
            <w:vMerge w:val="restart"/>
            <w:tcBorders>
              <w:top w:val="single" w:sz="8" w:space="0" w:color="auto"/>
              <w:left w:val="single" w:sz="8" w:space="0" w:color="auto"/>
              <w:bottom w:val="single" w:sz="8" w:space="0" w:color="000000"/>
              <w:right w:val="single" w:sz="8" w:space="0" w:color="auto"/>
            </w:tcBorders>
            <w:shd w:val="clear" w:color="auto" w:fill="B8CCE4"/>
            <w:hideMark/>
          </w:tcPr>
          <w:p w:rsidR="0043466E" w:rsidRDefault="0043466E">
            <w:pPr>
              <w:jc w:val="center"/>
              <w:rPr>
                <w:rFonts w:asciiTheme="minorHAnsi" w:eastAsia="Times New Roman" w:hAnsiTheme="minorHAnsi"/>
                <w:b/>
                <w:bCs/>
                <w:color w:val="000000"/>
                <w:sz w:val="22"/>
                <w:szCs w:val="22"/>
                <w:lang w:val="en-GB"/>
              </w:rPr>
            </w:pPr>
            <w:r>
              <w:rPr>
                <w:rFonts w:asciiTheme="minorHAnsi" w:hAnsiTheme="minorHAnsi"/>
                <w:b/>
                <w:bCs/>
                <w:color w:val="000000"/>
                <w:sz w:val="22"/>
                <w:szCs w:val="22"/>
                <w:lang w:val="en-GB"/>
              </w:rPr>
              <w:t>Allowed by ERO [€]</w:t>
            </w:r>
          </w:p>
        </w:tc>
      </w:tr>
      <w:tr w:rsidR="0043466E" w:rsidTr="0043466E">
        <w:trPr>
          <w:trHeight w:val="315"/>
        </w:trPr>
        <w:tc>
          <w:tcPr>
            <w:tcW w:w="7280" w:type="dxa"/>
            <w:gridSpan w:val="2"/>
            <w:tcBorders>
              <w:top w:val="nil"/>
              <w:left w:val="single" w:sz="8" w:space="0" w:color="auto"/>
              <w:bottom w:val="single" w:sz="8" w:space="0" w:color="auto"/>
              <w:right w:val="single" w:sz="8" w:space="0" w:color="000000"/>
            </w:tcBorders>
            <w:shd w:val="clear" w:color="auto" w:fill="B8CCE4"/>
            <w:vAlign w:val="center"/>
            <w:hideMark/>
          </w:tcPr>
          <w:p w:rsidR="0043466E" w:rsidRDefault="0043466E">
            <w:pPr>
              <w:jc w:val="center"/>
              <w:rPr>
                <w:rFonts w:asciiTheme="minorHAnsi" w:eastAsia="Times New Roman" w:hAnsiTheme="minorHAnsi"/>
                <w:b/>
                <w:bCs/>
                <w:color w:val="000000"/>
                <w:sz w:val="22"/>
                <w:szCs w:val="22"/>
                <w:lang w:val="en-GB"/>
              </w:rPr>
            </w:pPr>
            <w:r>
              <w:rPr>
                <w:rFonts w:asciiTheme="minorHAnsi" w:hAnsiTheme="minorHAnsi"/>
                <w:b/>
                <w:bCs/>
                <w:color w:val="000000"/>
                <w:sz w:val="22"/>
                <w:szCs w:val="22"/>
                <w:lang w:val="en-GB"/>
              </w:rPr>
              <w:t>Heating season 2020-2021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b/>
                <w:bCs/>
                <w:color w:val="000000"/>
                <w:sz w:val="22"/>
                <w:szCs w:val="22"/>
                <w:lang w:val="en-GB"/>
              </w:rPr>
            </w:pPr>
          </w:p>
        </w:tc>
      </w:tr>
      <w:tr w:rsidR="0043466E" w:rsidTr="0043466E">
        <w:trPr>
          <w:trHeight w:val="300"/>
        </w:trPr>
        <w:tc>
          <w:tcPr>
            <w:tcW w:w="880" w:type="dxa"/>
            <w:vMerge w:val="restart"/>
            <w:tcBorders>
              <w:top w:val="nil"/>
              <w:left w:val="single" w:sz="8" w:space="0" w:color="auto"/>
              <w:bottom w:val="single" w:sz="8" w:space="0" w:color="000000"/>
              <w:right w:val="single" w:sz="8" w:space="0" w:color="auto"/>
            </w:tcBorders>
            <w:shd w:val="clear" w:color="auto" w:fill="FFFFCC"/>
            <w:vAlign w:val="center"/>
            <w:hideMark/>
          </w:tcPr>
          <w:p w:rsidR="0043466E" w:rsidRDefault="0043466E">
            <w:pPr>
              <w:rPr>
                <w:rFonts w:asciiTheme="minorHAnsi" w:eastAsia="Times New Roman" w:hAnsiTheme="minorHAnsi"/>
                <w:color w:val="000000"/>
                <w:sz w:val="22"/>
                <w:szCs w:val="22"/>
                <w:lang w:val="en-GB"/>
              </w:rPr>
            </w:pPr>
            <w:r>
              <w:rPr>
                <w:rFonts w:asciiTheme="minorHAnsi" w:hAnsiTheme="minorHAnsi"/>
                <w:color w:val="000000"/>
                <w:sz w:val="22"/>
                <w:szCs w:val="22"/>
                <w:lang w:val="en-GB"/>
              </w:rPr>
              <w:t>3.2.1</w:t>
            </w:r>
          </w:p>
        </w:tc>
        <w:tc>
          <w:tcPr>
            <w:tcW w:w="6400" w:type="dxa"/>
            <w:vMerge w:val="restart"/>
            <w:tcBorders>
              <w:top w:val="nil"/>
              <w:left w:val="nil"/>
              <w:bottom w:val="single" w:sz="8" w:space="0" w:color="000000"/>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Regulatory Self-financed Asset</w:t>
            </w:r>
            <w:r>
              <w:rPr>
                <w:rFonts w:asciiTheme="minorHAnsi" w:hAnsiTheme="minorHAnsi"/>
                <w:sz w:val="22"/>
                <w:lang w:val="en-GB"/>
              </w:rPr>
              <w:t xml:space="preserve"> Base </w:t>
            </w:r>
            <w:r>
              <w:rPr>
                <w:rFonts w:asciiTheme="minorHAnsi" w:hAnsiTheme="minorHAnsi"/>
                <w:color w:val="000000"/>
                <w:sz w:val="22"/>
                <w:szCs w:val="22"/>
                <w:lang w:val="en-GB"/>
              </w:rPr>
              <w:t>- Initial (</w:t>
            </w:r>
            <w:r>
              <w:rPr>
                <w:rFonts w:asciiTheme="minorHAnsi" w:hAnsiTheme="minorHAnsi"/>
                <w:sz w:val="22"/>
                <w:lang w:val="en-GB"/>
              </w:rPr>
              <w:t xml:space="preserve"> RAB</w:t>
            </w:r>
            <w:r>
              <w:rPr>
                <w:rFonts w:asciiTheme="minorHAnsi" w:hAnsiTheme="minorHAnsi"/>
                <w:sz w:val="22"/>
                <w:vertAlign w:val="subscript"/>
                <w:lang w:val="en-GB"/>
              </w:rPr>
              <w:t>f-n</w:t>
            </w:r>
            <w:r>
              <w:rPr>
                <w:rFonts w:asciiTheme="minorHAnsi" w:hAnsiTheme="minorHAnsi"/>
                <w:sz w:val="22"/>
                <w:vertAlign w:val="superscript"/>
                <w:lang w:val="en-GB"/>
              </w:rPr>
              <w:t>sart</w:t>
            </w:r>
            <w:r>
              <w:rPr>
                <w:rFonts w:asciiTheme="minorHAnsi" w:hAnsiTheme="minorHAnsi"/>
                <w:sz w:val="22"/>
                <w:lang w:val="en-GB"/>
              </w:rPr>
              <w:t>)</w:t>
            </w:r>
          </w:p>
        </w:tc>
        <w:tc>
          <w:tcPr>
            <w:tcW w:w="1910" w:type="dxa"/>
            <w:vMerge w:val="restart"/>
            <w:tcBorders>
              <w:top w:val="nil"/>
              <w:left w:val="single" w:sz="8" w:space="0" w:color="auto"/>
              <w:bottom w:val="single" w:sz="8" w:space="0" w:color="000000"/>
              <w:right w:val="single" w:sz="8" w:space="0" w:color="auto"/>
            </w:tcBorders>
            <w:shd w:val="clear" w:color="auto" w:fill="FFFFCC"/>
            <w:vAlign w:val="center"/>
            <w:hideMark/>
          </w:tcPr>
          <w:p w:rsidR="0043466E" w:rsidRDefault="0043466E">
            <w:pPr>
              <w:jc w:val="right"/>
              <w:rPr>
                <w:rFonts w:asciiTheme="minorHAnsi" w:eastAsia="Times New Roman" w:hAnsiTheme="minorHAnsi"/>
                <w:bCs/>
                <w:color w:val="000000"/>
                <w:sz w:val="22"/>
                <w:szCs w:val="22"/>
                <w:lang w:val="en-GB"/>
              </w:rPr>
            </w:pPr>
            <w:r>
              <w:rPr>
                <w:rFonts w:asciiTheme="minorHAnsi" w:hAnsiTheme="minorHAnsi"/>
                <w:bCs/>
                <w:color w:val="000000"/>
                <w:sz w:val="22"/>
                <w:szCs w:val="22"/>
                <w:lang w:val="en-GB"/>
              </w:rPr>
              <w:t>9,110,869</w:t>
            </w:r>
          </w:p>
        </w:tc>
      </w:tr>
      <w:tr w:rsidR="0043466E" w:rsidTr="0043466E">
        <w:trPr>
          <w:trHeight w:val="315"/>
        </w:trPr>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c>
          <w:tcPr>
            <w:tcW w:w="0" w:type="auto"/>
            <w:vMerge/>
            <w:tcBorders>
              <w:top w:val="nil"/>
              <w:left w:val="nil"/>
              <w:bottom w:val="single" w:sz="8" w:space="0" w:color="000000"/>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bCs/>
                <w:color w:val="000000"/>
                <w:sz w:val="22"/>
                <w:szCs w:val="22"/>
                <w:lang w:val="en-GB"/>
              </w:rPr>
            </w:pPr>
          </w:p>
        </w:tc>
      </w:tr>
      <w:tr w:rsidR="0043466E" w:rsidTr="0043466E">
        <w:trPr>
          <w:trHeight w:val="300"/>
        </w:trPr>
        <w:tc>
          <w:tcPr>
            <w:tcW w:w="880" w:type="dxa"/>
            <w:vMerge w:val="restart"/>
            <w:tcBorders>
              <w:top w:val="nil"/>
              <w:left w:val="single" w:sz="8" w:space="0" w:color="auto"/>
              <w:bottom w:val="single" w:sz="8" w:space="0" w:color="000000"/>
              <w:right w:val="single" w:sz="8" w:space="0" w:color="auto"/>
            </w:tcBorders>
            <w:shd w:val="clear" w:color="auto" w:fill="FFFFCC"/>
            <w:vAlign w:val="center"/>
            <w:hideMark/>
          </w:tcPr>
          <w:p w:rsidR="0043466E" w:rsidRDefault="0043466E">
            <w:pPr>
              <w:rPr>
                <w:rFonts w:asciiTheme="minorHAnsi" w:eastAsia="Times New Roman" w:hAnsiTheme="minorHAnsi"/>
                <w:bCs/>
                <w:color w:val="000000"/>
                <w:sz w:val="22"/>
                <w:szCs w:val="22"/>
                <w:lang w:val="en-GB"/>
              </w:rPr>
            </w:pPr>
            <w:r>
              <w:rPr>
                <w:rFonts w:asciiTheme="minorHAnsi" w:hAnsiTheme="minorHAnsi"/>
                <w:bCs/>
                <w:color w:val="000000"/>
                <w:sz w:val="22"/>
                <w:szCs w:val="22"/>
                <w:lang w:val="en-GB"/>
              </w:rPr>
              <w:t>3.2.2</w:t>
            </w:r>
          </w:p>
        </w:tc>
        <w:tc>
          <w:tcPr>
            <w:tcW w:w="6400" w:type="dxa"/>
            <w:vMerge w:val="restart"/>
            <w:tcBorders>
              <w:top w:val="nil"/>
              <w:left w:val="nil"/>
              <w:bottom w:val="single" w:sz="8" w:space="0" w:color="000000"/>
              <w:right w:val="single" w:sz="8" w:space="0" w:color="auto"/>
            </w:tcBorders>
            <w:shd w:val="clear" w:color="auto" w:fill="FFFFCC"/>
            <w:vAlign w:val="center"/>
            <w:hideMark/>
          </w:tcPr>
          <w:p w:rsidR="0043466E" w:rsidRDefault="0043466E">
            <w:pPr>
              <w:jc w:val="both"/>
              <w:rPr>
                <w:rFonts w:asciiTheme="minorHAnsi" w:eastAsia="Times New Roman" w:hAnsiTheme="minorHAnsi"/>
                <w:color w:val="000000"/>
                <w:sz w:val="22"/>
                <w:szCs w:val="22"/>
                <w:lang w:val="en-GB"/>
              </w:rPr>
            </w:pPr>
            <w:r>
              <w:rPr>
                <w:rFonts w:asciiTheme="minorHAnsi" w:hAnsiTheme="minorHAnsi"/>
                <w:color w:val="000000"/>
                <w:sz w:val="22"/>
                <w:szCs w:val="22"/>
                <w:lang w:val="en-GB"/>
              </w:rPr>
              <w:t>New Investments (self-financing - without donations) ((INV</w:t>
            </w:r>
            <w:r>
              <w:rPr>
                <w:rFonts w:asciiTheme="minorHAnsi" w:hAnsiTheme="minorHAnsi"/>
                <w:color w:val="000000"/>
                <w:sz w:val="22"/>
                <w:szCs w:val="22"/>
                <w:vertAlign w:val="subscript"/>
                <w:lang w:val="en-GB"/>
              </w:rPr>
              <w:t>f-n</w:t>
            </w:r>
            <w:r>
              <w:rPr>
                <w:rFonts w:asciiTheme="minorHAnsi" w:hAnsiTheme="minorHAnsi"/>
                <w:color w:val="000000"/>
                <w:sz w:val="22"/>
                <w:szCs w:val="22"/>
                <w:lang w:val="en-GB"/>
              </w:rPr>
              <w:t>)</w:t>
            </w:r>
          </w:p>
        </w:tc>
        <w:tc>
          <w:tcPr>
            <w:tcW w:w="1910" w:type="dxa"/>
            <w:vMerge w:val="restart"/>
            <w:tcBorders>
              <w:top w:val="nil"/>
              <w:left w:val="single" w:sz="8" w:space="0" w:color="auto"/>
              <w:bottom w:val="single" w:sz="8" w:space="0" w:color="000000"/>
              <w:right w:val="single" w:sz="8" w:space="0" w:color="auto"/>
            </w:tcBorders>
            <w:shd w:val="clear" w:color="auto" w:fill="FFFFCC"/>
            <w:vAlign w:val="center"/>
            <w:hideMark/>
          </w:tcPr>
          <w:p w:rsidR="0043466E" w:rsidRDefault="0043466E">
            <w:pPr>
              <w:jc w:val="right"/>
              <w:rPr>
                <w:rFonts w:asciiTheme="minorHAnsi" w:eastAsia="Times New Roman" w:hAnsiTheme="minorHAnsi"/>
                <w:bCs/>
                <w:color w:val="000000"/>
                <w:sz w:val="22"/>
                <w:szCs w:val="22"/>
                <w:lang w:val="en-GB"/>
              </w:rPr>
            </w:pPr>
            <w:r>
              <w:rPr>
                <w:rFonts w:asciiTheme="minorHAnsi" w:hAnsiTheme="minorHAnsi"/>
                <w:bCs/>
                <w:color w:val="000000"/>
                <w:sz w:val="22"/>
                <w:szCs w:val="22"/>
                <w:lang w:val="en-GB"/>
              </w:rPr>
              <w:t>1,394,000</w:t>
            </w:r>
          </w:p>
        </w:tc>
      </w:tr>
      <w:tr w:rsidR="0043466E" w:rsidTr="0043466E">
        <w:trPr>
          <w:trHeight w:val="315"/>
        </w:trPr>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bCs/>
                <w:color w:val="000000"/>
                <w:sz w:val="22"/>
                <w:szCs w:val="22"/>
                <w:lang w:val="en-GB"/>
              </w:rPr>
            </w:pPr>
          </w:p>
        </w:tc>
        <w:tc>
          <w:tcPr>
            <w:tcW w:w="0" w:type="auto"/>
            <w:vMerge/>
            <w:tcBorders>
              <w:top w:val="nil"/>
              <w:left w:val="nil"/>
              <w:bottom w:val="single" w:sz="8" w:space="0" w:color="000000"/>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bCs/>
                <w:color w:val="000000"/>
                <w:sz w:val="22"/>
                <w:szCs w:val="22"/>
                <w:lang w:val="en-GB"/>
              </w:rPr>
            </w:pPr>
          </w:p>
        </w:tc>
      </w:tr>
      <w:tr w:rsidR="0043466E" w:rsidTr="0043466E">
        <w:trPr>
          <w:trHeight w:val="300"/>
        </w:trPr>
        <w:tc>
          <w:tcPr>
            <w:tcW w:w="880" w:type="dxa"/>
            <w:vMerge w:val="restart"/>
            <w:tcBorders>
              <w:top w:val="nil"/>
              <w:left w:val="single" w:sz="8" w:space="0" w:color="auto"/>
              <w:bottom w:val="single" w:sz="4" w:space="0" w:color="auto"/>
              <w:right w:val="single" w:sz="8" w:space="0" w:color="auto"/>
            </w:tcBorders>
            <w:shd w:val="clear" w:color="auto" w:fill="FFFFCC"/>
            <w:vAlign w:val="center"/>
            <w:hideMark/>
          </w:tcPr>
          <w:p w:rsidR="0043466E" w:rsidRDefault="0043466E">
            <w:pPr>
              <w:rPr>
                <w:rFonts w:asciiTheme="minorHAnsi" w:eastAsia="Times New Roman" w:hAnsiTheme="minorHAnsi"/>
                <w:bCs/>
                <w:color w:val="000000"/>
                <w:sz w:val="22"/>
                <w:szCs w:val="22"/>
                <w:lang w:val="en-GB"/>
              </w:rPr>
            </w:pPr>
            <w:r>
              <w:rPr>
                <w:rFonts w:asciiTheme="minorHAnsi" w:hAnsiTheme="minorHAnsi"/>
                <w:bCs/>
                <w:color w:val="000000"/>
                <w:sz w:val="22"/>
                <w:szCs w:val="22"/>
                <w:lang w:val="en-GB"/>
              </w:rPr>
              <w:t>3.2.3</w:t>
            </w:r>
          </w:p>
        </w:tc>
        <w:tc>
          <w:tcPr>
            <w:tcW w:w="6400" w:type="dxa"/>
            <w:vMerge w:val="restart"/>
            <w:tcBorders>
              <w:top w:val="nil"/>
              <w:left w:val="single" w:sz="8" w:space="0" w:color="auto"/>
              <w:bottom w:val="single" w:sz="4" w:space="0" w:color="auto"/>
              <w:right w:val="single" w:sz="8" w:space="0" w:color="auto"/>
            </w:tcBorders>
            <w:shd w:val="clear" w:color="auto" w:fill="FFFFCC"/>
            <w:vAlign w:val="center"/>
            <w:hideMark/>
          </w:tcPr>
          <w:p w:rsidR="0043466E" w:rsidRDefault="0043466E">
            <w:pPr>
              <w:rPr>
                <w:rFonts w:asciiTheme="minorHAnsi" w:eastAsia="Times New Roman" w:hAnsiTheme="minorHAnsi"/>
                <w:color w:val="000000"/>
                <w:sz w:val="22"/>
                <w:szCs w:val="22"/>
                <w:lang w:val="en-GB"/>
              </w:rPr>
            </w:pPr>
            <w:r>
              <w:rPr>
                <w:rFonts w:asciiTheme="minorHAnsi" w:hAnsiTheme="minorHAnsi"/>
                <w:color w:val="000000"/>
                <w:sz w:val="22"/>
                <w:szCs w:val="22"/>
                <w:lang w:val="en-GB"/>
              </w:rPr>
              <w:t>Working Capital (WC</w:t>
            </w:r>
            <w:r>
              <w:rPr>
                <w:rFonts w:asciiTheme="minorHAnsi" w:hAnsiTheme="minorHAnsi"/>
                <w:b/>
                <w:color w:val="000000"/>
                <w:sz w:val="22"/>
                <w:szCs w:val="22"/>
                <w:vertAlign w:val="subscript"/>
                <w:lang w:val="en-GB"/>
              </w:rPr>
              <w:t>n</w:t>
            </w:r>
            <w:r>
              <w:rPr>
                <w:rFonts w:asciiTheme="minorHAnsi" w:hAnsiTheme="minorHAnsi"/>
                <w:color w:val="000000"/>
                <w:sz w:val="22"/>
                <w:szCs w:val="22"/>
                <w:lang w:val="en-GB"/>
              </w:rPr>
              <w:t>)</w:t>
            </w:r>
          </w:p>
        </w:tc>
        <w:tc>
          <w:tcPr>
            <w:tcW w:w="1910" w:type="dxa"/>
            <w:vMerge w:val="restart"/>
            <w:tcBorders>
              <w:top w:val="nil"/>
              <w:left w:val="single" w:sz="8" w:space="0" w:color="auto"/>
              <w:bottom w:val="single" w:sz="4" w:space="0" w:color="auto"/>
              <w:right w:val="single" w:sz="8" w:space="0" w:color="auto"/>
            </w:tcBorders>
            <w:shd w:val="clear" w:color="auto" w:fill="FFFFCC"/>
            <w:vAlign w:val="center"/>
            <w:hideMark/>
          </w:tcPr>
          <w:p w:rsidR="0043466E" w:rsidRDefault="0043466E">
            <w:pPr>
              <w:jc w:val="right"/>
              <w:rPr>
                <w:rFonts w:asciiTheme="minorHAnsi" w:eastAsia="Times New Roman" w:hAnsiTheme="minorHAnsi"/>
                <w:bCs/>
                <w:color w:val="000000"/>
                <w:sz w:val="22"/>
                <w:szCs w:val="22"/>
                <w:lang w:val="en-GB"/>
              </w:rPr>
            </w:pPr>
            <w:r>
              <w:rPr>
                <w:rFonts w:asciiTheme="minorHAnsi" w:hAnsiTheme="minorHAnsi"/>
                <w:bCs/>
                <w:color w:val="000000"/>
                <w:sz w:val="22"/>
                <w:szCs w:val="22"/>
                <w:lang w:val="en-GB"/>
              </w:rPr>
              <w:t>531.817</w:t>
            </w:r>
          </w:p>
        </w:tc>
      </w:tr>
      <w:tr w:rsidR="0043466E" w:rsidTr="0043466E">
        <w:trPr>
          <w:trHeight w:val="300"/>
        </w:trPr>
        <w:tc>
          <w:tcPr>
            <w:tcW w:w="0" w:type="auto"/>
            <w:vMerge/>
            <w:tcBorders>
              <w:top w:val="nil"/>
              <w:left w:val="single" w:sz="8" w:space="0" w:color="auto"/>
              <w:bottom w:val="single" w:sz="4" w:space="0" w:color="auto"/>
              <w:right w:val="single" w:sz="8" w:space="0" w:color="auto"/>
            </w:tcBorders>
            <w:vAlign w:val="center"/>
            <w:hideMark/>
          </w:tcPr>
          <w:p w:rsidR="0043466E" w:rsidRDefault="0043466E">
            <w:pPr>
              <w:rPr>
                <w:rFonts w:asciiTheme="minorHAnsi" w:eastAsia="Times New Roman" w:hAnsiTheme="minorHAnsi"/>
                <w:bCs/>
                <w:color w:val="000000"/>
                <w:sz w:val="22"/>
                <w:szCs w:val="22"/>
                <w:lang w:val="en-GB"/>
              </w:rPr>
            </w:pPr>
          </w:p>
        </w:tc>
        <w:tc>
          <w:tcPr>
            <w:tcW w:w="0" w:type="auto"/>
            <w:vMerge/>
            <w:tcBorders>
              <w:top w:val="nil"/>
              <w:left w:val="single" w:sz="8" w:space="0" w:color="auto"/>
              <w:bottom w:val="single" w:sz="4" w:space="0" w:color="auto"/>
              <w:right w:val="single" w:sz="8" w:space="0" w:color="auto"/>
            </w:tcBorders>
            <w:vAlign w:val="center"/>
            <w:hideMark/>
          </w:tcPr>
          <w:p w:rsidR="0043466E" w:rsidRDefault="0043466E">
            <w:pPr>
              <w:rPr>
                <w:rFonts w:asciiTheme="minorHAnsi" w:eastAsia="Times New Roman" w:hAnsiTheme="minorHAnsi"/>
                <w:color w:val="000000"/>
                <w:sz w:val="22"/>
                <w:szCs w:val="22"/>
                <w:lang w:val="en-GB"/>
              </w:rPr>
            </w:pPr>
          </w:p>
        </w:tc>
        <w:tc>
          <w:tcPr>
            <w:tcW w:w="0" w:type="auto"/>
            <w:vMerge/>
            <w:tcBorders>
              <w:top w:val="nil"/>
              <w:left w:val="single" w:sz="8" w:space="0" w:color="auto"/>
              <w:bottom w:val="single" w:sz="4" w:space="0" w:color="auto"/>
              <w:right w:val="single" w:sz="8" w:space="0" w:color="auto"/>
            </w:tcBorders>
            <w:vAlign w:val="center"/>
            <w:hideMark/>
          </w:tcPr>
          <w:p w:rsidR="0043466E" w:rsidRDefault="0043466E">
            <w:pPr>
              <w:rPr>
                <w:rFonts w:asciiTheme="minorHAnsi" w:eastAsia="Times New Roman" w:hAnsiTheme="minorHAnsi"/>
                <w:bCs/>
                <w:color w:val="000000"/>
                <w:sz w:val="22"/>
                <w:szCs w:val="22"/>
                <w:lang w:val="en-GB"/>
              </w:rPr>
            </w:pPr>
          </w:p>
        </w:tc>
      </w:tr>
      <w:tr w:rsidR="0043466E" w:rsidTr="0043466E">
        <w:trPr>
          <w:trHeight w:val="315"/>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43466E" w:rsidRDefault="0043466E">
            <w:pPr>
              <w:rPr>
                <w:rFonts w:asciiTheme="minorHAnsi" w:eastAsia="Times New Roman" w:hAnsiTheme="minorHAnsi"/>
                <w:bCs/>
                <w:color w:val="000000"/>
                <w:sz w:val="22"/>
                <w:szCs w:val="22"/>
                <w:lang w:val="en-GB"/>
              </w:rPr>
            </w:pPr>
            <w:r>
              <w:rPr>
                <w:rFonts w:asciiTheme="minorHAnsi" w:hAnsiTheme="minorHAnsi"/>
                <w:bCs/>
                <w:color w:val="000000"/>
                <w:sz w:val="22"/>
                <w:szCs w:val="22"/>
                <w:lang w:val="en-GB"/>
              </w:rPr>
              <w:t>3.2.4</w:t>
            </w:r>
          </w:p>
        </w:tc>
        <w:tc>
          <w:tcPr>
            <w:tcW w:w="640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43466E" w:rsidRDefault="0043466E">
            <w:pPr>
              <w:rPr>
                <w:rFonts w:asciiTheme="minorHAnsi" w:eastAsia="Times New Roman" w:hAnsiTheme="minorHAnsi"/>
                <w:color w:val="000000"/>
                <w:sz w:val="22"/>
                <w:szCs w:val="22"/>
                <w:lang w:val="en-GB"/>
              </w:rPr>
            </w:pPr>
            <w:r>
              <w:rPr>
                <w:rFonts w:asciiTheme="minorHAnsi" w:hAnsiTheme="minorHAnsi"/>
                <w:color w:val="000000"/>
                <w:sz w:val="22"/>
                <w:szCs w:val="22"/>
                <w:lang w:val="en-GB"/>
              </w:rPr>
              <w:t>Annual Depreciation of Self-financed Assets - realized in the season 2019/20 (DEP</w:t>
            </w:r>
            <w:r>
              <w:rPr>
                <w:rFonts w:asciiTheme="minorHAnsi" w:hAnsiTheme="minorHAnsi"/>
                <w:color w:val="000000"/>
                <w:sz w:val="22"/>
                <w:szCs w:val="22"/>
                <w:vertAlign w:val="subscript"/>
                <w:lang w:val="en-GB"/>
              </w:rPr>
              <w:t>f-n-1</w:t>
            </w:r>
            <w:r>
              <w:rPr>
                <w:rFonts w:asciiTheme="minorHAnsi" w:hAnsiTheme="minorHAnsi"/>
                <w:color w:val="000000"/>
                <w:sz w:val="22"/>
                <w:szCs w:val="22"/>
                <w:lang w:val="en-GB"/>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43466E" w:rsidRDefault="0043466E">
            <w:pPr>
              <w:jc w:val="right"/>
              <w:rPr>
                <w:rFonts w:asciiTheme="minorHAnsi" w:eastAsia="Times New Roman" w:hAnsiTheme="minorHAnsi"/>
                <w:bCs/>
                <w:color w:val="000000"/>
                <w:sz w:val="22"/>
                <w:szCs w:val="22"/>
                <w:lang w:val="en-GB"/>
              </w:rPr>
            </w:pPr>
            <w:r>
              <w:rPr>
                <w:rFonts w:asciiTheme="minorHAnsi" w:hAnsiTheme="minorHAnsi"/>
                <w:bCs/>
                <w:color w:val="000000"/>
                <w:sz w:val="22"/>
                <w:szCs w:val="22"/>
                <w:lang w:val="en-GB"/>
              </w:rPr>
              <w:t>-245.337</w:t>
            </w:r>
          </w:p>
        </w:tc>
      </w:tr>
      <w:tr w:rsidR="0043466E" w:rsidTr="0043466E">
        <w:trPr>
          <w:trHeight w:val="444"/>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43466E" w:rsidRDefault="0043466E">
            <w:pPr>
              <w:rPr>
                <w:rFonts w:asciiTheme="minorHAnsi" w:eastAsia="Times New Roman" w:hAnsiTheme="minorHAnsi"/>
                <w:bCs/>
                <w:color w:val="000000"/>
                <w:sz w:val="22"/>
                <w:szCs w:val="22"/>
                <w:lang w:val="en-GB"/>
              </w:rPr>
            </w:pPr>
            <w:r>
              <w:rPr>
                <w:rFonts w:asciiTheme="minorHAnsi" w:hAnsiTheme="minorHAnsi"/>
                <w:bCs/>
                <w:color w:val="000000"/>
                <w:sz w:val="22"/>
                <w:szCs w:val="22"/>
                <w:lang w:val="en-GB"/>
              </w:rPr>
              <w:t>3.2.5</w:t>
            </w:r>
          </w:p>
        </w:tc>
        <w:tc>
          <w:tcPr>
            <w:tcW w:w="640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43466E" w:rsidRDefault="0043466E">
            <w:pPr>
              <w:rPr>
                <w:rFonts w:asciiTheme="minorHAnsi" w:eastAsia="Times New Roman" w:hAnsiTheme="minorHAnsi"/>
                <w:color w:val="000000"/>
                <w:sz w:val="22"/>
                <w:szCs w:val="22"/>
                <w:lang w:val="en-GB"/>
              </w:rPr>
            </w:pPr>
            <w:r>
              <w:rPr>
                <w:rFonts w:asciiTheme="minorHAnsi" w:hAnsiTheme="minorHAnsi"/>
                <w:color w:val="000000"/>
                <w:sz w:val="22"/>
                <w:szCs w:val="22"/>
                <w:lang w:val="en-GB"/>
              </w:rPr>
              <w:t>Dispositions of Self-financed Assets - in the season 2018/19 (DIS</w:t>
            </w:r>
            <w:r>
              <w:rPr>
                <w:rFonts w:asciiTheme="minorHAnsi" w:hAnsiTheme="minorHAnsi"/>
                <w:color w:val="000000"/>
                <w:sz w:val="22"/>
                <w:szCs w:val="22"/>
                <w:vertAlign w:val="subscript"/>
                <w:lang w:val="en-GB"/>
              </w:rPr>
              <w:t>n-1</w:t>
            </w:r>
            <w:r>
              <w:rPr>
                <w:rFonts w:asciiTheme="minorHAnsi" w:hAnsiTheme="minorHAnsi"/>
                <w:color w:val="000000"/>
                <w:sz w:val="22"/>
                <w:szCs w:val="22"/>
                <w:lang w:val="en-GB"/>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43466E" w:rsidRDefault="0043466E">
            <w:pPr>
              <w:jc w:val="right"/>
              <w:rPr>
                <w:rFonts w:asciiTheme="minorHAnsi" w:eastAsia="Times New Roman" w:hAnsiTheme="minorHAnsi"/>
                <w:bCs/>
                <w:color w:val="000000"/>
                <w:sz w:val="22"/>
                <w:szCs w:val="22"/>
                <w:lang w:val="en-GB"/>
              </w:rPr>
            </w:pPr>
            <w:r>
              <w:rPr>
                <w:rFonts w:asciiTheme="minorHAnsi" w:hAnsiTheme="minorHAnsi"/>
                <w:bCs/>
                <w:color w:val="000000"/>
                <w:sz w:val="22"/>
                <w:szCs w:val="22"/>
                <w:lang w:val="en-GB"/>
              </w:rPr>
              <w:t>0</w:t>
            </w:r>
          </w:p>
        </w:tc>
      </w:tr>
      <w:tr w:rsidR="0043466E" w:rsidTr="0043466E">
        <w:trPr>
          <w:trHeight w:val="390"/>
        </w:trPr>
        <w:tc>
          <w:tcPr>
            <w:tcW w:w="880" w:type="dxa"/>
            <w:tcBorders>
              <w:top w:val="nil"/>
              <w:left w:val="single" w:sz="8" w:space="0" w:color="auto"/>
              <w:bottom w:val="single" w:sz="8" w:space="0" w:color="auto"/>
              <w:right w:val="single" w:sz="8" w:space="0" w:color="auto"/>
            </w:tcBorders>
            <w:shd w:val="clear" w:color="auto" w:fill="DBE5F1"/>
            <w:hideMark/>
          </w:tcPr>
          <w:p w:rsidR="0043466E" w:rsidRDefault="0043466E">
            <w:pPr>
              <w:jc w:val="both"/>
              <w:rPr>
                <w:rFonts w:asciiTheme="minorHAnsi" w:eastAsia="Times New Roman" w:hAnsiTheme="minorHAnsi"/>
                <w:color w:val="000000"/>
                <w:lang w:val="en-GB"/>
              </w:rPr>
            </w:pPr>
            <w:r>
              <w:rPr>
                <w:rFonts w:asciiTheme="minorHAnsi" w:hAnsiTheme="minorHAnsi"/>
                <w:color w:val="000000"/>
                <w:vertAlign w:val="subscript"/>
                <w:lang w:val="en-GB"/>
              </w:rPr>
              <w:t> </w:t>
            </w:r>
          </w:p>
        </w:tc>
        <w:tc>
          <w:tcPr>
            <w:tcW w:w="6400" w:type="dxa"/>
            <w:tcBorders>
              <w:top w:val="nil"/>
              <w:left w:val="nil"/>
              <w:bottom w:val="single" w:sz="8" w:space="0" w:color="auto"/>
              <w:right w:val="single" w:sz="8" w:space="0" w:color="auto"/>
            </w:tcBorders>
            <w:shd w:val="clear" w:color="auto" w:fill="DBE5F1"/>
            <w:hideMark/>
          </w:tcPr>
          <w:p w:rsidR="0043466E" w:rsidRDefault="0043466E">
            <w:pPr>
              <w:jc w:val="both"/>
              <w:rPr>
                <w:rFonts w:asciiTheme="minorHAnsi" w:eastAsia="Times New Roman" w:hAnsiTheme="minorHAnsi"/>
                <w:b/>
                <w:bCs/>
                <w:color w:val="000000"/>
                <w:sz w:val="22"/>
                <w:szCs w:val="22"/>
                <w:lang w:val="en-GB"/>
              </w:rPr>
            </w:pPr>
            <w:r>
              <w:rPr>
                <w:rFonts w:asciiTheme="minorHAnsi" w:hAnsiTheme="minorHAnsi"/>
                <w:b/>
                <w:bCs/>
                <w:color w:val="000000"/>
                <w:sz w:val="22"/>
                <w:szCs w:val="22"/>
                <w:lang w:val="en-GB"/>
              </w:rPr>
              <w:t>Regulatory Self-financed Asset Base (RAB</w:t>
            </w:r>
            <w:r>
              <w:rPr>
                <w:rFonts w:asciiTheme="minorHAnsi" w:hAnsiTheme="minorHAnsi"/>
                <w:b/>
                <w:bCs/>
                <w:color w:val="000000"/>
                <w:sz w:val="22"/>
                <w:szCs w:val="22"/>
                <w:vertAlign w:val="subscript"/>
                <w:lang w:val="en-GB"/>
              </w:rPr>
              <w:t>f</w:t>
            </w:r>
            <w:r>
              <w:rPr>
                <w:rFonts w:asciiTheme="minorHAnsi" w:hAnsiTheme="minorHAnsi"/>
                <w:b/>
                <w:bCs/>
                <w:color w:val="000000"/>
                <w:sz w:val="22"/>
                <w:szCs w:val="22"/>
                <w:lang w:val="en-GB"/>
              </w:rPr>
              <w:t>)</w:t>
            </w:r>
          </w:p>
        </w:tc>
        <w:tc>
          <w:tcPr>
            <w:tcW w:w="1910" w:type="dxa"/>
            <w:tcBorders>
              <w:top w:val="nil"/>
              <w:left w:val="nil"/>
              <w:bottom w:val="single" w:sz="8" w:space="0" w:color="auto"/>
              <w:right w:val="single" w:sz="8" w:space="0" w:color="auto"/>
            </w:tcBorders>
            <w:shd w:val="clear" w:color="auto" w:fill="DBE5F1"/>
            <w:vAlign w:val="center"/>
            <w:hideMark/>
          </w:tcPr>
          <w:p w:rsidR="0043466E" w:rsidRDefault="0043466E">
            <w:pPr>
              <w:jc w:val="right"/>
              <w:rPr>
                <w:rFonts w:asciiTheme="minorHAnsi" w:eastAsia="Times New Roman" w:hAnsiTheme="minorHAnsi"/>
                <w:b/>
                <w:bCs/>
                <w:color w:val="000000"/>
                <w:sz w:val="22"/>
                <w:szCs w:val="22"/>
                <w:lang w:val="en-GB"/>
              </w:rPr>
            </w:pPr>
            <w:r>
              <w:rPr>
                <w:rFonts w:asciiTheme="minorHAnsi" w:hAnsiTheme="minorHAnsi"/>
                <w:b/>
                <w:bCs/>
                <w:color w:val="000000"/>
                <w:sz w:val="22"/>
                <w:szCs w:val="22"/>
                <w:lang w:val="en-GB"/>
              </w:rPr>
              <w:t>10,791,349</w:t>
            </w:r>
          </w:p>
        </w:tc>
      </w:tr>
    </w:tbl>
    <w:p w:rsidR="0043466E" w:rsidRDefault="0043466E" w:rsidP="0043466E">
      <w:pPr>
        <w:spacing w:after="120"/>
        <w:jc w:val="both"/>
        <w:rPr>
          <w:rFonts w:asciiTheme="minorHAnsi" w:hAnsiTheme="minorHAnsi" w:cs="Calibri"/>
          <w:sz w:val="20"/>
          <w:szCs w:val="20"/>
          <w:lang w:val="en-GB"/>
        </w:rPr>
      </w:pPr>
    </w:p>
    <w:p w:rsidR="0043466E" w:rsidRDefault="0043466E" w:rsidP="0043466E">
      <w:pPr>
        <w:jc w:val="both"/>
        <w:rPr>
          <w:rFonts w:asciiTheme="minorHAnsi" w:hAnsiTheme="minorHAnsi" w:cs="Calibri"/>
          <w:sz w:val="20"/>
          <w:szCs w:val="20"/>
          <w:lang w:val="en-GB"/>
        </w:rPr>
      </w:pPr>
    </w:p>
    <w:p w:rsidR="0043466E" w:rsidRDefault="0043466E" w:rsidP="0043466E">
      <w:pPr>
        <w:jc w:val="both"/>
        <w:rPr>
          <w:rFonts w:asciiTheme="minorHAnsi" w:hAnsiTheme="minorHAnsi" w:cs="Calibri"/>
          <w:sz w:val="20"/>
          <w:szCs w:val="20"/>
          <w:lang w:val="en-GB"/>
        </w:rPr>
      </w:pPr>
    </w:p>
    <w:p w:rsidR="0043466E" w:rsidRDefault="0043466E" w:rsidP="0043466E">
      <w:pPr>
        <w:jc w:val="both"/>
        <w:rPr>
          <w:rFonts w:asciiTheme="minorHAnsi" w:hAnsiTheme="minorHAnsi" w:cs="Calibri"/>
          <w:sz w:val="20"/>
          <w:szCs w:val="20"/>
          <w:lang w:val="en-GB"/>
        </w:rPr>
      </w:pPr>
    </w:p>
    <w:p w:rsidR="0043466E" w:rsidRDefault="0043466E" w:rsidP="0043466E">
      <w:pPr>
        <w:jc w:val="both"/>
        <w:rPr>
          <w:rFonts w:asciiTheme="minorHAnsi" w:hAnsiTheme="minorHAnsi" w:cs="Calibri"/>
          <w:sz w:val="20"/>
          <w:szCs w:val="20"/>
          <w:lang w:val="en-GB"/>
        </w:rPr>
      </w:pPr>
    </w:p>
    <w:p w:rsidR="0043466E" w:rsidRDefault="0043466E" w:rsidP="0043466E">
      <w:pPr>
        <w:pStyle w:val="Heading2"/>
        <w:numPr>
          <w:ilvl w:val="1"/>
          <w:numId w:val="33"/>
        </w:numPr>
        <w:rPr>
          <w:color w:val="000000" w:themeColor="text1"/>
          <w:lang w:val="en-GB"/>
        </w:rPr>
      </w:pPr>
      <w:bookmarkStart w:id="101" w:name="_Toc21514380"/>
      <w:bookmarkStart w:id="102" w:name="_Toc21513553"/>
      <w:bookmarkStart w:id="103" w:name="_Toc52186236"/>
      <w:r>
        <w:rPr>
          <w:color w:val="000000" w:themeColor="text1"/>
          <w:lang w:val="en-GB"/>
        </w:rPr>
        <w:t>Evaluation and Determination of Annual Depreciation</w:t>
      </w:r>
      <w:r>
        <w:rPr>
          <w:lang w:val="en-GB"/>
        </w:rPr>
        <w:t xml:space="preserve"> for</w:t>
      </w:r>
      <w:r>
        <w:rPr>
          <w:color w:val="000000" w:themeColor="text1"/>
          <w:lang w:val="en-GB"/>
        </w:rPr>
        <w:t xml:space="preserve"> the season 2020/202</w:t>
      </w:r>
      <w:bookmarkEnd w:id="101"/>
      <w:bookmarkEnd w:id="102"/>
      <w:r>
        <w:rPr>
          <w:color w:val="000000" w:themeColor="text1"/>
          <w:lang w:val="en-GB"/>
        </w:rPr>
        <w:t>1</w:t>
      </w:r>
      <w:bookmarkEnd w:id="103"/>
    </w:p>
    <w:p w:rsidR="0043466E" w:rsidRDefault="0043466E" w:rsidP="0043466E">
      <w:pPr>
        <w:jc w:val="both"/>
        <w:rPr>
          <w:rFonts w:asciiTheme="minorHAnsi" w:hAnsiTheme="minorHAnsi"/>
          <w:sz w:val="22"/>
          <w:szCs w:val="22"/>
          <w:lang w:val="en-GB"/>
        </w:rPr>
      </w:pPr>
    </w:p>
    <w:p w:rsidR="0043466E" w:rsidRDefault="0043466E" w:rsidP="0043466E">
      <w:pPr>
        <w:jc w:val="both"/>
        <w:rPr>
          <w:rFonts w:asciiTheme="minorHAnsi" w:hAnsiTheme="minorHAnsi"/>
          <w:sz w:val="22"/>
          <w:szCs w:val="22"/>
          <w:lang w:val="en-GB"/>
        </w:rPr>
      </w:pPr>
      <w:r>
        <w:rPr>
          <w:rFonts w:asciiTheme="minorHAnsi" w:hAnsiTheme="minorHAnsi"/>
          <w:sz w:val="22"/>
          <w:szCs w:val="22"/>
          <w:lang w:val="en-GB"/>
        </w:rPr>
        <w:t xml:space="preserve">Determination of Annual Depreciation for the season 2020/21 ('n') is based on the value of total RAB defined in table '2' (Chapter '3.2') and on the weighted average depreciation rate by asset categorization, presented in the following table '4' and the corresponding values given in table 2. Table 4 summarizes the RAB categorization by asset categories, the respective useful life, i.e., the depreciation rate for each asset category, as well as the weighted average depreciation rate. </w:t>
      </w:r>
    </w:p>
    <w:p w:rsidR="0043466E" w:rsidRDefault="0043466E" w:rsidP="0043466E">
      <w:pPr>
        <w:jc w:val="both"/>
        <w:rPr>
          <w:rFonts w:asciiTheme="minorHAnsi" w:hAnsiTheme="minorHAnsi"/>
          <w:sz w:val="22"/>
          <w:szCs w:val="22"/>
          <w:lang w:val="en-GB"/>
        </w:rPr>
      </w:pPr>
    </w:p>
    <w:p w:rsidR="0043466E" w:rsidRDefault="0043466E" w:rsidP="0043466E">
      <w:pPr>
        <w:pStyle w:val="Heading3"/>
        <w:rPr>
          <w:lang w:val="en-GB"/>
        </w:rPr>
      </w:pPr>
      <w:bookmarkStart w:id="104" w:name="_Toc52186237"/>
      <w:bookmarkStart w:id="105" w:name="_Toc21521388"/>
      <w:bookmarkStart w:id="106" w:name="_Toc21515565"/>
      <w:bookmarkStart w:id="107" w:name="_Toc21514865"/>
      <w:bookmarkStart w:id="108" w:name="_Toc21514458"/>
      <w:bookmarkStart w:id="109" w:name="_Toc21514381"/>
      <w:r>
        <w:rPr>
          <w:lang w:val="en-GB"/>
        </w:rPr>
        <w:t>Table 4: Asset Categorization (RAB) and weighted average depreciation rate</w:t>
      </w:r>
      <w:bookmarkEnd w:id="104"/>
      <w:bookmarkEnd w:id="105"/>
      <w:bookmarkEnd w:id="106"/>
      <w:bookmarkEnd w:id="107"/>
      <w:bookmarkEnd w:id="108"/>
      <w:bookmarkEnd w:id="109"/>
    </w:p>
    <w:p w:rsidR="0043466E" w:rsidRDefault="0043466E" w:rsidP="0043466E">
      <w:pPr>
        <w:jc w:val="both"/>
        <w:rPr>
          <w:rFonts w:asciiTheme="minorHAnsi" w:hAnsiTheme="minorHAnsi"/>
          <w:lang w:val="en-GB"/>
        </w:rPr>
      </w:pPr>
      <w:r>
        <w:rPr>
          <w:rFonts w:asciiTheme="minorHAnsi" w:hAnsiTheme="minorHAnsi"/>
          <w:noProof/>
          <w:lang w:val="sq-AL" w:eastAsia="sq-AL"/>
        </w:rPr>
        <w:drawing>
          <wp:inline distT="0" distB="0" distL="0" distR="0">
            <wp:extent cx="5762625" cy="2914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914650"/>
                    </a:xfrm>
                    <a:prstGeom prst="rect">
                      <a:avLst/>
                    </a:prstGeom>
                    <a:noFill/>
                    <a:ln>
                      <a:noFill/>
                    </a:ln>
                  </pic:spPr>
                </pic:pic>
              </a:graphicData>
            </a:graphic>
          </wp:inline>
        </w:drawing>
      </w:r>
    </w:p>
    <w:p w:rsidR="0043466E" w:rsidRDefault="0043466E" w:rsidP="0043466E">
      <w:pPr>
        <w:jc w:val="both"/>
        <w:rPr>
          <w:rFonts w:asciiTheme="minorHAnsi" w:hAnsiTheme="minorHAnsi"/>
          <w:sz w:val="22"/>
          <w:szCs w:val="22"/>
          <w:lang w:val="en-GB"/>
        </w:rPr>
      </w:pPr>
    </w:p>
    <w:p w:rsidR="0043466E" w:rsidRDefault="0043466E" w:rsidP="0043466E">
      <w:pPr>
        <w:jc w:val="both"/>
        <w:rPr>
          <w:rFonts w:asciiTheme="minorHAnsi" w:hAnsiTheme="minorHAnsi"/>
          <w:sz w:val="22"/>
          <w:szCs w:val="22"/>
          <w:lang w:val="en-GB"/>
        </w:rPr>
      </w:pPr>
      <w:r>
        <w:rPr>
          <w:rFonts w:asciiTheme="minorHAnsi" w:hAnsiTheme="minorHAnsi"/>
          <w:sz w:val="22"/>
          <w:szCs w:val="22"/>
          <w:lang w:val="en-GB"/>
        </w:rPr>
        <w:t>As indicated in the table above, the weighted average depreciation rate (NZH</w:t>
      </w:r>
      <w:r>
        <w:rPr>
          <w:rFonts w:asciiTheme="minorHAnsi" w:hAnsiTheme="minorHAnsi"/>
          <w:sz w:val="22"/>
          <w:szCs w:val="22"/>
          <w:vertAlign w:val="subscript"/>
          <w:lang w:val="en-GB"/>
        </w:rPr>
        <w:t>MP</w:t>
      </w:r>
      <w:r>
        <w:rPr>
          <w:rFonts w:asciiTheme="minorHAnsi" w:hAnsiTheme="minorHAnsi"/>
          <w:sz w:val="22"/>
          <w:szCs w:val="22"/>
          <w:lang w:val="en-GB"/>
        </w:rPr>
        <w:t>) is estimated at 3.26%. Based on the total value (RAB – Working Capital) and weighted average depreciation rate, the annual allowed depreciation is calculated, as follows:</w:t>
      </w:r>
    </w:p>
    <w:p w:rsidR="0043466E" w:rsidRDefault="0043466E" w:rsidP="0043466E">
      <w:pPr>
        <w:jc w:val="both"/>
        <w:rPr>
          <w:rFonts w:asciiTheme="minorHAnsi" w:hAnsiTheme="minorHAnsi"/>
          <w:sz w:val="22"/>
          <w:szCs w:val="22"/>
          <w:lang w:val="en-GB"/>
        </w:rPr>
      </w:pPr>
    </w:p>
    <w:p w:rsidR="0043466E" w:rsidRDefault="0043466E" w:rsidP="0043466E">
      <w:pPr>
        <w:jc w:val="both"/>
        <w:rPr>
          <w:rFonts w:asciiTheme="minorHAnsi" w:hAnsiTheme="minorHAnsi"/>
          <w:sz w:val="22"/>
          <w:szCs w:val="22"/>
          <w:lang w:val="en-GB"/>
        </w:rPr>
      </w:pPr>
      <w:r>
        <w:rPr>
          <w:rFonts w:asciiTheme="minorHAnsi" w:hAnsiTheme="minorHAnsi"/>
          <w:b/>
          <w:sz w:val="22"/>
          <w:szCs w:val="22"/>
          <w:lang w:val="en-GB"/>
        </w:rPr>
        <w:t>Annual allowed depreciation (</w:t>
      </w:r>
      <w:r>
        <w:rPr>
          <w:rFonts w:asciiTheme="minorHAnsi" w:hAnsiTheme="minorHAnsi"/>
          <w:b/>
          <w:color w:val="000000"/>
          <w:sz w:val="22"/>
          <w:szCs w:val="22"/>
          <w:lang w:val="en-GB"/>
        </w:rPr>
        <w:t>DEP</w:t>
      </w:r>
      <w:r>
        <w:rPr>
          <w:rFonts w:asciiTheme="minorHAnsi" w:hAnsiTheme="minorHAnsi"/>
          <w:b/>
          <w:color w:val="000000"/>
          <w:sz w:val="22"/>
          <w:szCs w:val="22"/>
          <w:vertAlign w:val="subscript"/>
          <w:lang w:val="en-GB"/>
        </w:rPr>
        <w:t>n</w:t>
      </w:r>
      <w:r>
        <w:rPr>
          <w:rFonts w:asciiTheme="minorHAnsi" w:hAnsiTheme="minorHAnsi"/>
          <w:b/>
          <w:color w:val="000000"/>
          <w:sz w:val="22"/>
          <w:szCs w:val="22"/>
          <w:lang w:val="en-GB"/>
        </w:rPr>
        <w:t>)</w:t>
      </w:r>
      <w:r>
        <w:rPr>
          <w:rFonts w:asciiTheme="minorHAnsi" w:hAnsiTheme="minorHAnsi"/>
          <w:sz w:val="22"/>
          <w:szCs w:val="22"/>
          <w:lang w:val="en-GB"/>
        </w:rPr>
        <w:t xml:space="preserve"> = (Total RAB - </w:t>
      </w:r>
      <w:r>
        <w:rPr>
          <w:rFonts w:asciiTheme="minorHAnsi" w:hAnsiTheme="minorHAnsi"/>
          <w:color w:val="000000"/>
          <w:sz w:val="22"/>
          <w:szCs w:val="22"/>
          <w:lang w:val="en-GB"/>
        </w:rPr>
        <w:t>WC</w:t>
      </w:r>
      <w:r>
        <w:rPr>
          <w:rFonts w:asciiTheme="minorHAnsi" w:hAnsiTheme="minorHAnsi"/>
          <w:b/>
          <w:color w:val="000000"/>
          <w:sz w:val="22"/>
          <w:szCs w:val="22"/>
          <w:vertAlign w:val="subscript"/>
          <w:lang w:val="en-GB"/>
        </w:rPr>
        <w:t>n</w:t>
      </w:r>
      <w:r>
        <w:rPr>
          <w:rFonts w:asciiTheme="minorHAnsi" w:hAnsiTheme="minorHAnsi"/>
          <w:b/>
          <w:color w:val="000000"/>
          <w:sz w:val="22"/>
          <w:szCs w:val="22"/>
          <w:lang w:val="en-GB"/>
        </w:rPr>
        <w:t>)</w:t>
      </w:r>
      <w:r>
        <w:rPr>
          <w:rFonts w:asciiTheme="minorHAnsi" w:hAnsiTheme="minorHAnsi"/>
          <w:sz w:val="22"/>
          <w:szCs w:val="22"/>
          <w:lang w:val="en-GB"/>
        </w:rPr>
        <w:t xml:space="preserve"> *NZH</w:t>
      </w:r>
      <w:r>
        <w:rPr>
          <w:rFonts w:asciiTheme="minorHAnsi" w:hAnsiTheme="minorHAnsi"/>
          <w:sz w:val="22"/>
          <w:szCs w:val="22"/>
          <w:vertAlign w:val="subscript"/>
          <w:lang w:val="en-GB"/>
        </w:rPr>
        <w:t>MP</w:t>
      </w:r>
      <w:r>
        <w:rPr>
          <w:rFonts w:asciiTheme="minorHAnsi" w:hAnsiTheme="minorHAnsi"/>
          <w:sz w:val="22"/>
          <w:szCs w:val="22"/>
          <w:lang w:val="en-GB"/>
        </w:rPr>
        <w:t xml:space="preserve"> = 52,398,494€ * 3.26% = </w:t>
      </w:r>
      <w:r>
        <w:rPr>
          <w:rFonts w:asciiTheme="minorHAnsi" w:hAnsiTheme="minorHAnsi"/>
          <w:b/>
          <w:sz w:val="22"/>
          <w:szCs w:val="22"/>
          <w:lang w:val="en-GB"/>
        </w:rPr>
        <w:t>1,710,430 €</w:t>
      </w:r>
      <w:r>
        <w:rPr>
          <w:rFonts w:asciiTheme="minorHAnsi" w:hAnsiTheme="minorHAnsi"/>
          <w:sz w:val="22"/>
          <w:szCs w:val="22"/>
          <w:lang w:val="en-GB"/>
        </w:rPr>
        <w:t xml:space="preserve"> </w:t>
      </w:r>
    </w:p>
    <w:p w:rsidR="0043466E" w:rsidRDefault="0043466E" w:rsidP="0043466E">
      <w:pPr>
        <w:jc w:val="both"/>
        <w:rPr>
          <w:rFonts w:asciiTheme="minorHAnsi" w:hAnsiTheme="minorHAnsi"/>
          <w:sz w:val="22"/>
          <w:szCs w:val="22"/>
          <w:lang w:val="en-GB"/>
        </w:rPr>
      </w:pPr>
    </w:p>
    <w:p w:rsidR="0043466E" w:rsidRDefault="0043466E" w:rsidP="0043466E">
      <w:pPr>
        <w:pStyle w:val="Heading2"/>
        <w:numPr>
          <w:ilvl w:val="1"/>
          <w:numId w:val="33"/>
        </w:numPr>
        <w:rPr>
          <w:color w:val="auto"/>
          <w:lang w:val="en-GB"/>
        </w:rPr>
      </w:pPr>
      <w:bookmarkStart w:id="110" w:name="_Toc52186238"/>
      <w:bookmarkStart w:id="111" w:name="_Toc21514382"/>
      <w:bookmarkStart w:id="112" w:name="_Toc21513554"/>
      <w:bookmarkStart w:id="113" w:name="_Toc339539123"/>
      <w:bookmarkStart w:id="114" w:name="_Toc339538669"/>
      <w:r>
        <w:rPr>
          <w:color w:val="auto"/>
          <w:lang w:val="en-GB"/>
        </w:rPr>
        <w:t>Determination of Allowed Return on RAB (Allowed Profit)</w:t>
      </w:r>
      <w:bookmarkEnd w:id="110"/>
      <w:bookmarkEnd w:id="111"/>
      <w:bookmarkEnd w:id="112"/>
      <w:bookmarkEnd w:id="113"/>
      <w:bookmarkEnd w:id="114"/>
    </w:p>
    <w:p w:rsidR="0043466E" w:rsidRDefault="0043466E" w:rsidP="0043466E">
      <w:pPr>
        <w:rPr>
          <w:lang w:val="en-GB"/>
        </w:rPr>
      </w:pPr>
    </w:p>
    <w:p w:rsidR="0043466E" w:rsidRDefault="0043466E" w:rsidP="0043466E">
      <w:pPr>
        <w:jc w:val="both"/>
        <w:rPr>
          <w:rFonts w:asciiTheme="minorHAnsi" w:hAnsiTheme="minorHAnsi"/>
          <w:sz w:val="22"/>
          <w:lang w:val="en-GB"/>
        </w:rPr>
      </w:pPr>
      <w:r>
        <w:rPr>
          <w:rFonts w:asciiTheme="minorHAnsi" w:hAnsiTheme="minorHAnsi"/>
          <w:sz w:val="22"/>
          <w:lang w:val="en-GB"/>
        </w:rPr>
        <w:t>As previously mentioned, calculation/determination of Allowed Return is calculated based on the Regulatory Self-financed Asset Base (RAB</w:t>
      </w:r>
      <w:r>
        <w:rPr>
          <w:rFonts w:asciiTheme="minorHAnsi" w:hAnsiTheme="minorHAnsi"/>
          <w:sz w:val="22"/>
          <w:vertAlign w:val="subscript"/>
          <w:lang w:val="en-GB"/>
        </w:rPr>
        <w:t>f</w:t>
      </w:r>
      <w:r>
        <w:rPr>
          <w:rFonts w:asciiTheme="minorHAnsi" w:hAnsiTheme="minorHAnsi"/>
          <w:sz w:val="22"/>
          <w:lang w:val="en-GB"/>
        </w:rPr>
        <w:t>) and Rate of Return (RoR), therefore, it includes the following two components</w:t>
      </w:r>
    </w:p>
    <w:p w:rsidR="0043466E" w:rsidRDefault="0043466E" w:rsidP="0043466E">
      <w:pPr>
        <w:jc w:val="both"/>
        <w:rPr>
          <w:rFonts w:asciiTheme="minorHAnsi" w:hAnsiTheme="minorHAnsi"/>
          <w:sz w:val="22"/>
          <w:lang w:val="en-GB"/>
        </w:rPr>
      </w:pPr>
      <w:r>
        <w:rPr>
          <w:rFonts w:asciiTheme="minorHAnsi" w:hAnsiTheme="minorHAnsi"/>
          <w:sz w:val="22"/>
          <w:lang w:val="en-GB"/>
        </w:rPr>
        <w:t xml:space="preserve"> </w:t>
      </w:r>
    </w:p>
    <w:p w:rsidR="0043466E" w:rsidRDefault="0043466E" w:rsidP="0043466E">
      <w:pPr>
        <w:pStyle w:val="ListParagraph"/>
        <w:numPr>
          <w:ilvl w:val="0"/>
          <w:numId w:val="35"/>
        </w:numPr>
        <w:jc w:val="both"/>
        <w:rPr>
          <w:rFonts w:asciiTheme="minorHAnsi" w:hAnsiTheme="minorHAnsi"/>
          <w:sz w:val="22"/>
          <w:lang w:val="en-GB"/>
        </w:rPr>
      </w:pPr>
      <w:r>
        <w:rPr>
          <w:rFonts w:asciiTheme="minorHAnsi" w:hAnsiTheme="minorHAnsi"/>
          <w:sz w:val="22"/>
          <w:lang w:val="en-GB"/>
        </w:rPr>
        <w:t>Determination of the Regulatory Self-financed Asset Base (RAB</w:t>
      </w:r>
      <w:r>
        <w:rPr>
          <w:rFonts w:asciiTheme="minorHAnsi" w:hAnsiTheme="minorHAnsi"/>
          <w:sz w:val="22"/>
          <w:vertAlign w:val="subscript"/>
          <w:lang w:val="en-GB"/>
        </w:rPr>
        <w:t>f</w:t>
      </w:r>
      <w:r>
        <w:rPr>
          <w:rFonts w:asciiTheme="minorHAnsi" w:hAnsiTheme="minorHAnsi"/>
          <w:sz w:val="22"/>
          <w:lang w:val="en-GB"/>
        </w:rPr>
        <w:t xml:space="preserve">); and </w:t>
      </w:r>
    </w:p>
    <w:p w:rsidR="0043466E" w:rsidRDefault="0043466E" w:rsidP="0043466E">
      <w:pPr>
        <w:pStyle w:val="ListParagraph"/>
        <w:numPr>
          <w:ilvl w:val="0"/>
          <w:numId w:val="35"/>
        </w:numPr>
        <w:jc w:val="both"/>
        <w:rPr>
          <w:rFonts w:asciiTheme="minorHAnsi" w:hAnsiTheme="minorHAnsi"/>
          <w:sz w:val="22"/>
          <w:lang w:val="en-GB"/>
        </w:rPr>
      </w:pPr>
      <w:r>
        <w:rPr>
          <w:rFonts w:asciiTheme="minorHAnsi" w:hAnsiTheme="minorHAnsi"/>
          <w:sz w:val="22"/>
          <w:lang w:val="en-GB"/>
        </w:rPr>
        <w:t xml:space="preserve">Calculation of allowed Rate of Return (RoR), determined in the WACC value. </w:t>
      </w:r>
    </w:p>
    <w:p w:rsidR="0043466E" w:rsidRDefault="0043466E" w:rsidP="0043466E">
      <w:pPr>
        <w:jc w:val="both"/>
        <w:rPr>
          <w:rFonts w:asciiTheme="minorHAnsi" w:hAnsiTheme="minorHAnsi"/>
          <w:sz w:val="22"/>
          <w:lang w:val="en-GB"/>
        </w:rPr>
      </w:pPr>
    </w:p>
    <w:p w:rsidR="0043466E" w:rsidRDefault="0043466E" w:rsidP="0043466E">
      <w:pPr>
        <w:jc w:val="both"/>
        <w:rPr>
          <w:rFonts w:asciiTheme="minorHAnsi" w:hAnsiTheme="minorHAnsi"/>
          <w:sz w:val="22"/>
          <w:lang w:val="en-GB"/>
        </w:rPr>
      </w:pPr>
      <w:r>
        <w:rPr>
          <w:rFonts w:asciiTheme="minorHAnsi" w:hAnsiTheme="minorHAnsi"/>
          <w:sz w:val="22"/>
          <w:lang w:val="en-GB"/>
        </w:rPr>
        <w:t>The first component - RAB</w:t>
      </w:r>
      <w:r>
        <w:rPr>
          <w:rFonts w:asciiTheme="minorHAnsi" w:hAnsiTheme="minorHAnsi"/>
          <w:sz w:val="22"/>
          <w:vertAlign w:val="subscript"/>
          <w:lang w:val="en-GB"/>
        </w:rPr>
        <w:t>f</w:t>
      </w:r>
      <w:r>
        <w:rPr>
          <w:rFonts w:asciiTheme="minorHAnsi" w:hAnsiTheme="minorHAnsi"/>
          <w:sz w:val="22"/>
          <w:lang w:val="en-GB"/>
        </w:rPr>
        <w:t xml:space="preserve"> is calculated in Chapter 3.2 – table 3, whereas the calculation of the second component - RoR is determined in the following chapter: </w:t>
      </w:r>
    </w:p>
    <w:p w:rsidR="0043466E" w:rsidRDefault="0043466E" w:rsidP="0043466E">
      <w:pPr>
        <w:pStyle w:val="Heading2"/>
        <w:numPr>
          <w:ilvl w:val="0"/>
          <w:numId w:val="0"/>
        </w:numPr>
        <w:tabs>
          <w:tab w:val="left" w:pos="720"/>
        </w:tabs>
        <w:ind w:left="720"/>
        <w:rPr>
          <w:lang w:val="en-GB"/>
        </w:rPr>
      </w:pPr>
    </w:p>
    <w:p w:rsidR="0043466E" w:rsidRDefault="0043466E" w:rsidP="0043466E">
      <w:pPr>
        <w:pStyle w:val="Heading3"/>
        <w:rPr>
          <w:lang w:val="en-GB"/>
        </w:rPr>
      </w:pPr>
      <w:bookmarkStart w:id="115" w:name="_Toc52186239"/>
      <w:bookmarkStart w:id="116" w:name="_Toc21521390"/>
      <w:bookmarkStart w:id="117" w:name="_Toc21515567"/>
      <w:bookmarkStart w:id="118" w:name="_Toc21514867"/>
      <w:bookmarkStart w:id="119" w:name="_Toc21514383"/>
      <w:bookmarkStart w:id="120" w:name="_Toc21513555"/>
      <w:bookmarkStart w:id="121" w:name="_Toc526514493"/>
      <w:bookmarkStart w:id="122" w:name="_Toc339539128"/>
      <w:bookmarkStart w:id="123" w:name="_Toc339538672"/>
      <w:bookmarkStart w:id="124" w:name="_Toc339537367"/>
      <w:r>
        <w:rPr>
          <w:lang w:val="en-GB"/>
        </w:rPr>
        <w:t>3.4.1 Calculation of the Allowed Rate of Return (RoR)</w:t>
      </w:r>
      <w:bookmarkEnd w:id="115"/>
      <w:bookmarkEnd w:id="116"/>
      <w:bookmarkEnd w:id="117"/>
      <w:bookmarkEnd w:id="118"/>
      <w:bookmarkEnd w:id="119"/>
      <w:bookmarkEnd w:id="120"/>
      <w:bookmarkEnd w:id="121"/>
      <w:r>
        <w:rPr>
          <w:lang w:val="en-GB"/>
        </w:rPr>
        <w:t xml:space="preserve"> </w:t>
      </w:r>
      <w:bookmarkEnd w:id="122"/>
      <w:bookmarkEnd w:id="123"/>
      <w:bookmarkEnd w:id="124"/>
    </w:p>
    <w:p w:rsidR="0043466E" w:rsidRDefault="0043466E" w:rsidP="0043466E">
      <w:pPr>
        <w:rPr>
          <w:rFonts w:asciiTheme="minorHAnsi" w:hAnsiTheme="minorHAnsi"/>
          <w:b/>
          <w:bCs/>
          <w:sz w:val="22"/>
          <w:szCs w:val="22"/>
          <w:lang w:val="en-GB"/>
        </w:rPr>
      </w:pPr>
    </w:p>
    <w:p w:rsidR="0043466E" w:rsidRDefault="0043466E" w:rsidP="0043466E">
      <w:pPr>
        <w:pStyle w:val="BodyText2"/>
        <w:ind w:left="0" w:firstLine="0"/>
        <w:jc w:val="both"/>
        <w:rPr>
          <w:rStyle w:val="Emphasis"/>
        </w:rPr>
      </w:pPr>
      <w:r>
        <w:rPr>
          <w:rStyle w:val="Emphasis"/>
          <w:b w:val="0"/>
          <w:szCs w:val="22"/>
          <w:lang w:val="en-GB"/>
        </w:rPr>
        <w:t>The objective of a reasonable Rate of Return (RoR) on the Regulatory Asset Base (RAB) is to provide a guarantee for the district heating enterprises for a profit that allows to continue to invest in their assets, in order to be able to replace and expand them.</w:t>
      </w:r>
    </w:p>
    <w:p w:rsidR="0043466E" w:rsidRDefault="0043466E" w:rsidP="0043466E">
      <w:pPr>
        <w:jc w:val="both"/>
      </w:pPr>
    </w:p>
    <w:p w:rsidR="0043466E" w:rsidRDefault="0043466E" w:rsidP="0043466E">
      <w:pPr>
        <w:jc w:val="both"/>
        <w:rPr>
          <w:rFonts w:asciiTheme="minorHAnsi" w:hAnsiTheme="minorHAnsi"/>
          <w:sz w:val="22"/>
          <w:szCs w:val="22"/>
          <w:lang w:val="en-GB"/>
        </w:rPr>
      </w:pPr>
      <w:r>
        <w:rPr>
          <w:rFonts w:asciiTheme="minorHAnsi" w:hAnsiTheme="minorHAnsi"/>
          <w:sz w:val="22"/>
          <w:szCs w:val="22"/>
          <w:lang w:val="en-GB"/>
        </w:rPr>
        <w:t xml:space="preserve">A reasonable RoR is considered to be the rate of the “Weighted Average Cost of Capital” (WACC), which is calculated in the components of capital base, taking into account the weights of the sums of these capital components.  In other words, WACC is the sum of </w:t>
      </w:r>
      <w:r w:rsidR="00F80936">
        <w:rPr>
          <w:rFonts w:asciiTheme="minorHAnsi" w:hAnsiTheme="minorHAnsi"/>
          <w:sz w:val="22"/>
          <w:szCs w:val="22"/>
          <w:lang w:val="en-GB"/>
        </w:rPr>
        <w:t xml:space="preserve">the </w:t>
      </w:r>
      <w:r>
        <w:rPr>
          <w:rFonts w:asciiTheme="minorHAnsi" w:hAnsiTheme="minorHAnsi"/>
          <w:sz w:val="22"/>
          <w:szCs w:val="22"/>
          <w:lang w:val="en-GB"/>
        </w:rPr>
        <w:t xml:space="preserve">weighted average cost of equity and cost of debt. </w:t>
      </w:r>
    </w:p>
    <w:p w:rsidR="0043466E" w:rsidRDefault="0043466E" w:rsidP="0043466E">
      <w:pPr>
        <w:jc w:val="both"/>
        <w:rPr>
          <w:rFonts w:asciiTheme="minorHAnsi" w:hAnsiTheme="minorHAnsi"/>
          <w:sz w:val="22"/>
          <w:szCs w:val="22"/>
          <w:lang w:val="en-GB"/>
        </w:rPr>
      </w:pPr>
    </w:p>
    <w:p w:rsidR="0043466E" w:rsidRDefault="0043466E" w:rsidP="0043466E">
      <w:pPr>
        <w:jc w:val="both"/>
        <w:rPr>
          <w:rFonts w:asciiTheme="minorHAnsi" w:hAnsiTheme="minorHAnsi"/>
          <w:sz w:val="22"/>
          <w:szCs w:val="22"/>
          <w:lang w:val="en-GB"/>
        </w:rPr>
      </w:pPr>
      <w:r>
        <w:rPr>
          <w:rFonts w:asciiTheme="minorHAnsi" w:hAnsiTheme="minorHAnsi"/>
          <w:sz w:val="22"/>
          <w:szCs w:val="22"/>
          <w:lang w:val="en-GB"/>
        </w:rPr>
        <w:t>For the cost of equity, ERO applied the internationally recognized methodology called “Capital Asset Pricing Model” (CAPM). The CAPM expresses the expected equity cost of equity as the risk-free rate (r</w:t>
      </w:r>
      <w:r>
        <w:rPr>
          <w:rFonts w:asciiTheme="minorHAnsi" w:hAnsiTheme="minorHAnsi"/>
          <w:sz w:val="22"/>
          <w:szCs w:val="22"/>
          <w:vertAlign w:val="subscript"/>
          <w:lang w:val="en-GB"/>
        </w:rPr>
        <w:t>f</w:t>
      </w:r>
      <w:r>
        <w:rPr>
          <w:rFonts w:asciiTheme="minorHAnsi" w:hAnsiTheme="minorHAnsi"/>
          <w:sz w:val="22"/>
          <w:szCs w:val="22"/>
          <w:lang w:val="en-GB"/>
        </w:rPr>
        <w:t>) plus an equity risk premium (ERP).  We can define ERP as the difference between the equity market risk - i.e. the return expected on the well-developed market – and the risk-free rate of return, express</w:t>
      </w:r>
      <w:r w:rsidR="00F80936">
        <w:rPr>
          <w:rFonts w:asciiTheme="minorHAnsi" w:hAnsiTheme="minorHAnsi"/>
          <w:sz w:val="22"/>
          <w:szCs w:val="22"/>
          <w:lang w:val="en-GB"/>
        </w:rPr>
        <w:t>ed</w:t>
      </w:r>
      <w:r>
        <w:rPr>
          <w:rFonts w:asciiTheme="minorHAnsi" w:hAnsiTheme="minorHAnsi"/>
          <w:sz w:val="22"/>
          <w:szCs w:val="22"/>
          <w:lang w:val="en-GB"/>
        </w:rPr>
        <w:t xml:space="preserve"> in the formula below:</w:t>
      </w:r>
    </w:p>
    <w:p w:rsidR="0043466E" w:rsidRDefault="0043466E" w:rsidP="0043466E">
      <w:pPr>
        <w:jc w:val="both"/>
        <w:rPr>
          <w:rFonts w:asciiTheme="minorHAnsi" w:hAnsiTheme="minorHAnsi"/>
          <w:sz w:val="22"/>
          <w:szCs w:val="22"/>
          <w:lang w:val="en-GB"/>
        </w:rPr>
      </w:pPr>
    </w:p>
    <w:p w:rsidR="0043466E" w:rsidRDefault="0043466E" w:rsidP="0043466E">
      <w:pPr>
        <w:rPr>
          <w:rFonts w:asciiTheme="minorHAnsi" w:hAnsiTheme="minorHAnsi"/>
          <w:b/>
          <w:sz w:val="28"/>
          <w:szCs w:val="28"/>
          <w:lang w:val="en-GB"/>
        </w:rPr>
      </w:pPr>
      <w:r>
        <w:rPr>
          <w:rFonts w:asciiTheme="minorHAnsi" w:hAnsiTheme="minorHAnsi"/>
          <w:b/>
          <w:sz w:val="28"/>
          <w:szCs w:val="28"/>
          <w:lang w:val="en-GB"/>
        </w:rPr>
        <w:t>ERP = (r</w:t>
      </w:r>
      <w:r>
        <w:rPr>
          <w:rFonts w:asciiTheme="minorHAnsi" w:hAnsiTheme="minorHAnsi"/>
          <w:b/>
          <w:sz w:val="28"/>
          <w:szCs w:val="28"/>
          <w:vertAlign w:val="subscript"/>
          <w:lang w:val="en-GB"/>
        </w:rPr>
        <w:t>m -</w:t>
      </w:r>
      <w:r>
        <w:rPr>
          <w:rFonts w:asciiTheme="minorHAnsi" w:hAnsiTheme="minorHAnsi"/>
          <w:b/>
          <w:sz w:val="28"/>
          <w:szCs w:val="28"/>
          <w:lang w:val="en-GB"/>
        </w:rPr>
        <w:t xml:space="preserve"> r</w:t>
      </w:r>
      <w:r>
        <w:rPr>
          <w:rFonts w:asciiTheme="minorHAnsi" w:hAnsiTheme="minorHAnsi"/>
          <w:b/>
          <w:sz w:val="28"/>
          <w:szCs w:val="28"/>
          <w:vertAlign w:val="subscript"/>
          <w:lang w:val="en-GB"/>
        </w:rPr>
        <w:t>f</w:t>
      </w:r>
      <w:r>
        <w:rPr>
          <w:rFonts w:asciiTheme="minorHAnsi" w:hAnsiTheme="minorHAnsi"/>
          <w:b/>
          <w:sz w:val="28"/>
          <w:szCs w:val="28"/>
          <w:lang w:val="en-GB"/>
        </w:rPr>
        <w:t>)</w:t>
      </w:r>
    </w:p>
    <w:p w:rsidR="0043466E" w:rsidRDefault="0043466E" w:rsidP="0043466E">
      <w:pPr>
        <w:rPr>
          <w:rFonts w:asciiTheme="minorHAnsi" w:hAnsiTheme="minorHAnsi"/>
          <w:lang w:val="en-GB"/>
        </w:rPr>
      </w:pPr>
    </w:p>
    <w:p w:rsidR="0043466E" w:rsidRDefault="0043466E" w:rsidP="0043466E">
      <w:pPr>
        <w:rPr>
          <w:rFonts w:asciiTheme="minorHAnsi" w:hAnsiTheme="minorHAnsi" w:cs="Calibri"/>
          <w:sz w:val="22"/>
          <w:szCs w:val="22"/>
          <w:lang w:val="en-GB"/>
        </w:rPr>
      </w:pPr>
      <w:r>
        <w:rPr>
          <w:rFonts w:asciiTheme="minorHAnsi" w:hAnsiTheme="minorHAnsi"/>
          <w:sz w:val="22"/>
          <w:szCs w:val="22"/>
          <w:lang w:val="en-GB"/>
        </w:rPr>
        <w:t xml:space="preserve">The rate of ERP depends on the risk of investing in </w:t>
      </w:r>
      <w:r w:rsidR="00F80936">
        <w:rPr>
          <w:rFonts w:asciiTheme="minorHAnsi" w:hAnsiTheme="minorHAnsi"/>
          <w:sz w:val="22"/>
          <w:szCs w:val="22"/>
          <w:lang w:val="en-GB"/>
        </w:rPr>
        <w:t>a</w:t>
      </w:r>
      <w:r>
        <w:rPr>
          <w:rFonts w:asciiTheme="minorHAnsi" w:hAnsiTheme="minorHAnsi"/>
          <w:sz w:val="22"/>
          <w:szCs w:val="22"/>
          <w:lang w:val="en-GB"/>
        </w:rPr>
        <w:t xml:space="preserve"> particular country’s market.</w:t>
      </w:r>
    </w:p>
    <w:p w:rsidR="0043466E" w:rsidRDefault="0043466E" w:rsidP="0043466E">
      <w:pPr>
        <w:rPr>
          <w:rFonts w:asciiTheme="minorHAnsi" w:hAnsiTheme="minorHAnsi" w:cs="Calibri"/>
          <w:sz w:val="22"/>
          <w:szCs w:val="22"/>
          <w:lang w:val="en-GB"/>
        </w:rPr>
      </w:pPr>
      <w:r>
        <w:rPr>
          <w:rFonts w:asciiTheme="minorHAnsi" w:hAnsiTheme="minorHAnsi"/>
          <w:sz w:val="22"/>
          <w:szCs w:val="22"/>
          <w:lang w:val="en-GB"/>
        </w:rPr>
        <w:tab/>
      </w:r>
    </w:p>
    <w:p w:rsidR="0043466E" w:rsidRDefault="0043466E" w:rsidP="0043466E">
      <w:pPr>
        <w:rPr>
          <w:rFonts w:asciiTheme="minorHAnsi" w:hAnsiTheme="minorHAnsi" w:cs="Calibri"/>
          <w:sz w:val="22"/>
          <w:szCs w:val="22"/>
          <w:lang w:val="en-GB"/>
        </w:rPr>
      </w:pPr>
      <w:r>
        <w:rPr>
          <w:rFonts w:asciiTheme="minorHAnsi" w:hAnsiTheme="minorHAnsi"/>
          <w:sz w:val="22"/>
          <w:szCs w:val="22"/>
          <w:lang w:val="en-GB"/>
        </w:rPr>
        <w:t>Value of pre-tax WACC can be calculated according to the following formula:</w:t>
      </w:r>
    </w:p>
    <w:p w:rsidR="0043466E" w:rsidRDefault="0043466E" w:rsidP="0043466E">
      <w:pPr>
        <w:tabs>
          <w:tab w:val="left" w:pos="6390"/>
        </w:tabs>
        <w:jc w:val="center"/>
        <w:rPr>
          <w:rFonts w:asciiTheme="minorHAnsi" w:hAnsiTheme="minorHAnsi"/>
          <w:sz w:val="22"/>
          <w:szCs w:val="22"/>
          <w:lang w:val="en-GB"/>
        </w:rPr>
      </w:pPr>
    </w:p>
    <w:p w:rsidR="0043466E" w:rsidRDefault="0043466E" w:rsidP="0043466E">
      <w:pPr>
        <w:jc w:val="center"/>
        <w:rPr>
          <w:rFonts w:asciiTheme="minorHAnsi" w:hAnsiTheme="minorHAnsi"/>
          <w:b/>
          <w:bCs/>
          <w:sz w:val="28"/>
          <w:szCs w:val="28"/>
          <w:lang w:val="en-GB"/>
        </w:rPr>
      </w:pPr>
      <w:bookmarkStart w:id="125" w:name="_Toc339539998"/>
      <w:bookmarkStart w:id="126" w:name="_Toc339539762"/>
      <w:bookmarkStart w:id="127" w:name="_Toc339539129"/>
      <w:bookmarkStart w:id="128" w:name="_Toc339537724"/>
      <w:r>
        <w:rPr>
          <w:rFonts w:asciiTheme="minorHAnsi" w:hAnsiTheme="minorHAnsi"/>
          <w:sz w:val="28"/>
          <w:szCs w:val="28"/>
          <w:bdr w:val="single" w:sz="4" w:space="0" w:color="auto" w:frame="1"/>
          <w:lang w:val="en-GB"/>
        </w:rPr>
        <w:t>WACC</w:t>
      </w:r>
      <w:r>
        <w:rPr>
          <w:rFonts w:asciiTheme="minorHAnsi" w:hAnsiTheme="minorHAnsi"/>
          <w:sz w:val="28"/>
          <w:szCs w:val="28"/>
          <w:bdr w:val="single" w:sz="4" w:space="0" w:color="auto" w:frame="1"/>
          <w:vertAlign w:val="subscript"/>
          <w:lang w:val="en-GB"/>
        </w:rPr>
        <w:t>pre-tax</w:t>
      </w:r>
      <w:r>
        <w:rPr>
          <w:rFonts w:asciiTheme="minorHAnsi" w:hAnsiTheme="minorHAnsi"/>
          <w:sz w:val="28"/>
          <w:szCs w:val="28"/>
          <w:bdr w:val="single" w:sz="4" w:space="0" w:color="auto" w:frame="1"/>
          <w:lang w:val="en-GB"/>
        </w:rPr>
        <w:t xml:space="preserve"> = [(D/V)*k</w:t>
      </w:r>
      <w:r>
        <w:rPr>
          <w:rFonts w:asciiTheme="minorHAnsi" w:hAnsiTheme="minorHAnsi"/>
          <w:sz w:val="28"/>
          <w:szCs w:val="28"/>
          <w:bdr w:val="single" w:sz="4" w:space="0" w:color="auto" w:frame="1"/>
          <w:vertAlign w:val="subscript"/>
          <w:lang w:val="en-GB"/>
        </w:rPr>
        <w:t>d</w:t>
      </w:r>
      <w:r>
        <w:rPr>
          <w:rFonts w:asciiTheme="minorHAnsi" w:hAnsiTheme="minorHAnsi"/>
          <w:sz w:val="28"/>
          <w:szCs w:val="28"/>
          <w:bdr w:val="single" w:sz="4" w:space="0" w:color="auto" w:frame="1"/>
          <w:lang w:val="en-GB"/>
        </w:rPr>
        <w:t>] + [(E/V)*k</w:t>
      </w:r>
      <w:r>
        <w:rPr>
          <w:rFonts w:asciiTheme="minorHAnsi" w:hAnsiTheme="minorHAnsi"/>
          <w:sz w:val="28"/>
          <w:szCs w:val="28"/>
          <w:bdr w:val="single" w:sz="4" w:space="0" w:color="auto" w:frame="1"/>
          <w:vertAlign w:val="subscript"/>
          <w:lang w:val="en-GB"/>
        </w:rPr>
        <w:t>e</w:t>
      </w:r>
      <w:r>
        <w:rPr>
          <w:rFonts w:asciiTheme="minorHAnsi" w:hAnsiTheme="minorHAnsi"/>
          <w:sz w:val="28"/>
          <w:szCs w:val="28"/>
          <w:bdr w:val="single" w:sz="4" w:space="0" w:color="auto" w:frame="1"/>
          <w:lang w:val="en-GB"/>
        </w:rPr>
        <w:t>]</w:t>
      </w:r>
      <w:bookmarkEnd w:id="125"/>
      <w:bookmarkEnd w:id="126"/>
      <w:bookmarkEnd w:id="127"/>
      <w:bookmarkEnd w:id="128"/>
    </w:p>
    <w:p w:rsidR="0043466E" w:rsidRDefault="0043466E" w:rsidP="0043466E">
      <w:pPr>
        <w:rPr>
          <w:rFonts w:asciiTheme="minorHAnsi" w:hAnsiTheme="minorHAnsi"/>
          <w:b/>
          <w:bCs/>
          <w:sz w:val="22"/>
          <w:szCs w:val="22"/>
          <w:lang w:val="en-GB"/>
        </w:rPr>
      </w:pPr>
    </w:p>
    <w:p w:rsidR="0043466E" w:rsidRDefault="0043466E" w:rsidP="0043466E">
      <w:pPr>
        <w:pStyle w:val="BodyText2"/>
        <w:ind w:left="0" w:firstLine="0"/>
        <w:rPr>
          <w:rFonts w:asciiTheme="minorHAnsi" w:hAnsiTheme="minorHAnsi"/>
          <w:b w:val="0"/>
          <w:sz w:val="22"/>
          <w:szCs w:val="22"/>
          <w:lang w:val="en-GB"/>
        </w:rPr>
      </w:pPr>
      <w:r>
        <w:rPr>
          <w:rFonts w:asciiTheme="minorHAnsi" w:hAnsiTheme="minorHAnsi"/>
          <w:b w:val="0"/>
          <w:sz w:val="22"/>
          <w:szCs w:val="22"/>
          <w:lang w:val="en-GB"/>
        </w:rPr>
        <w:t>Where:</w:t>
      </w:r>
    </w:p>
    <w:p w:rsidR="0043466E" w:rsidRDefault="0043466E" w:rsidP="0043466E">
      <w:pPr>
        <w:pStyle w:val="BodyText2"/>
        <w:ind w:left="0" w:firstLine="0"/>
        <w:rPr>
          <w:rFonts w:asciiTheme="minorHAnsi" w:hAnsiTheme="minorHAnsi"/>
          <w:b w:val="0"/>
          <w:sz w:val="22"/>
          <w:szCs w:val="22"/>
          <w:lang w:val="en-GB"/>
        </w:rPr>
      </w:pPr>
    </w:p>
    <w:p w:rsidR="0043466E" w:rsidRDefault="0043466E" w:rsidP="0043466E">
      <w:pPr>
        <w:rPr>
          <w:rFonts w:asciiTheme="minorHAnsi" w:hAnsiTheme="minorHAnsi"/>
          <w:sz w:val="22"/>
          <w:szCs w:val="22"/>
          <w:lang w:val="en-GB"/>
        </w:rPr>
      </w:pPr>
      <w:r>
        <w:rPr>
          <w:rFonts w:asciiTheme="minorHAnsi" w:hAnsiTheme="minorHAnsi"/>
          <w:b/>
          <w:bCs/>
          <w:sz w:val="28"/>
          <w:szCs w:val="28"/>
          <w:lang w:val="en-GB"/>
        </w:rPr>
        <w:t>D/V</w:t>
      </w:r>
      <w:r>
        <w:rPr>
          <w:rFonts w:asciiTheme="minorHAnsi" w:hAnsiTheme="minorHAnsi"/>
          <w:lang w:val="en-GB"/>
        </w:rPr>
        <w:t xml:space="preserve">   </w:t>
      </w:r>
      <w:r>
        <w:rPr>
          <w:rFonts w:asciiTheme="minorHAnsi" w:hAnsiTheme="minorHAnsi"/>
          <w:lang w:val="en-GB"/>
        </w:rPr>
        <w:tab/>
        <w:t>Debt share of the total capital base (as a percentage)</w:t>
      </w:r>
    </w:p>
    <w:p w:rsidR="0043466E" w:rsidRDefault="0043466E" w:rsidP="0043466E">
      <w:pPr>
        <w:rPr>
          <w:rFonts w:asciiTheme="minorHAnsi" w:hAnsiTheme="minorHAnsi"/>
          <w:sz w:val="22"/>
          <w:szCs w:val="22"/>
          <w:lang w:val="en-GB"/>
        </w:rPr>
      </w:pPr>
      <w:r>
        <w:rPr>
          <w:rFonts w:asciiTheme="minorHAnsi" w:hAnsiTheme="minorHAnsi"/>
          <w:b/>
          <w:bCs/>
          <w:sz w:val="28"/>
          <w:szCs w:val="28"/>
          <w:lang w:val="en-GB"/>
        </w:rPr>
        <w:t>E/V</w:t>
      </w:r>
      <w:r>
        <w:rPr>
          <w:rFonts w:asciiTheme="minorHAnsi" w:hAnsiTheme="minorHAnsi"/>
          <w:lang w:val="en-GB"/>
        </w:rPr>
        <w:t xml:space="preserve">   </w:t>
      </w:r>
      <w:r>
        <w:rPr>
          <w:rFonts w:asciiTheme="minorHAnsi" w:hAnsiTheme="minorHAnsi"/>
          <w:lang w:val="en-GB"/>
        </w:rPr>
        <w:tab/>
        <w:t>Equity share of the total capital base (as a percentage)</w:t>
      </w:r>
    </w:p>
    <w:p w:rsidR="0043466E" w:rsidRDefault="0043466E" w:rsidP="0043466E">
      <w:pPr>
        <w:rPr>
          <w:rFonts w:asciiTheme="minorHAnsi" w:hAnsiTheme="minorHAnsi"/>
          <w:sz w:val="22"/>
          <w:szCs w:val="22"/>
          <w:lang w:val="en-GB"/>
        </w:rPr>
      </w:pPr>
      <w:r>
        <w:rPr>
          <w:rFonts w:asciiTheme="minorHAnsi" w:hAnsiTheme="minorHAnsi"/>
          <w:b/>
          <w:bCs/>
          <w:sz w:val="28"/>
          <w:szCs w:val="28"/>
          <w:lang w:val="en-GB"/>
        </w:rPr>
        <w:t>V</w:t>
      </w:r>
      <w:r>
        <w:rPr>
          <w:rFonts w:asciiTheme="minorHAnsi" w:hAnsiTheme="minorHAnsi"/>
          <w:lang w:val="en-GB"/>
        </w:rPr>
        <w:t xml:space="preserve">       </w:t>
      </w:r>
      <w:r>
        <w:rPr>
          <w:rFonts w:asciiTheme="minorHAnsi" w:hAnsiTheme="minorHAnsi"/>
          <w:lang w:val="en-GB"/>
        </w:rPr>
        <w:tab/>
        <w:t>Total capital base, which is the equity and debt share</w:t>
      </w:r>
    </w:p>
    <w:p w:rsidR="0043466E" w:rsidRDefault="0043466E" w:rsidP="0043466E">
      <w:pPr>
        <w:rPr>
          <w:rFonts w:asciiTheme="minorHAnsi" w:hAnsiTheme="minorHAnsi"/>
          <w:b/>
          <w:bCs/>
          <w:sz w:val="22"/>
          <w:szCs w:val="22"/>
          <w:lang w:val="en-GB"/>
        </w:rPr>
      </w:pPr>
      <w:r>
        <w:rPr>
          <w:rFonts w:asciiTheme="minorHAnsi" w:hAnsiTheme="minorHAnsi"/>
          <w:b/>
          <w:bCs/>
          <w:sz w:val="28"/>
          <w:szCs w:val="28"/>
          <w:lang w:val="en-GB"/>
        </w:rPr>
        <w:t>k</w:t>
      </w:r>
      <w:r>
        <w:rPr>
          <w:rFonts w:asciiTheme="minorHAnsi" w:hAnsiTheme="minorHAnsi"/>
          <w:b/>
          <w:bCs/>
          <w:sz w:val="28"/>
          <w:szCs w:val="28"/>
          <w:vertAlign w:val="subscript"/>
          <w:lang w:val="en-GB"/>
        </w:rPr>
        <w:t>d</w:t>
      </w:r>
      <w:r>
        <w:rPr>
          <w:rFonts w:asciiTheme="minorHAnsi" w:hAnsiTheme="minorHAnsi"/>
          <w:b/>
          <w:bCs/>
          <w:lang w:val="en-GB"/>
        </w:rPr>
        <w:t xml:space="preserve"> </w:t>
      </w:r>
      <w:r>
        <w:rPr>
          <w:rFonts w:asciiTheme="minorHAnsi" w:hAnsiTheme="minorHAnsi"/>
          <w:b/>
          <w:bCs/>
          <w:sz w:val="22"/>
          <w:szCs w:val="22"/>
          <w:lang w:val="en-GB"/>
        </w:rPr>
        <w:t xml:space="preserve">      </w:t>
      </w:r>
      <w:r>
        <w:rPr>
          <w:rFonts w:asciiTheme="minorHAnsi" w:hAnsiTheme="minorHAnsi"/>
          <w:b/>
          <w:bCs/>
          <w:sz w:val="22"/>
          <w:szCs w:val="22"/>
          <w:lang w:val="en-GB"/>
        </w:rPr>
        <w:tab/>
      </w:r>
      <w:r>
        <w:rPr>
          <w:rFonts w:asciiTheme="minorHAnsi" w:hAnsiTheme="minorHAnsi"/>
          <w:bCs/>
          <w:sz w:val="22"/>
          <w:szCs w:val="22"/>
          <w:lang w:val="en-GB"/>
        </w:rPr>
        <w:t xml:space="preserve">Cost of debt </w:t>
      </w:r>
      <w:r>
        <w:rPr>
          <w:rFonts w:asciiTheme="minorHAnsi" w:hAnsiTheme="minorHAnsi"/>
          <w:b/>
          <w:bCs/>
          <w:sz w:val="22"/>
          <w:szCs w:val="22"/>
          <w:lang w:val="en-GB"/>
        </w:rPr>
        <w:t xml:space="preserve">   </w:t>
      </w:r>
    </w:p>
    <w:p w:rsidR="0043466E" w:rsidRDefault="0043466E" w:rsidP="0043466E">
      <w:pPr>
        <w:rPr>
          <w:rFonts w:asciiTheme="minorHAnsi" w:hAnsiTheme="minorHAnsi"/>
          <w:b/>
          <w:bCs/>
          <w:sz w:val="22"/>
          <w:szCs w:val="22"/>
          <w:lang w:val="en-GB"/>
        </w:rPr>
      </w:pPr>
      <w:r>
        <w:rPr>
          <w:rFonts w:asciiTheme="minorHAnsi" w:hAnsiTheme="minorHAnsi"/>
          <w:b/>
          <w:bCs/>
          <w:sz w:val="28"/>
          <w:szCs w:val="28"/>
          <w:lang w:val="en-GB"/>
        </w:rPr>
        <w:t>k</w:t>
      </w:r>
      <w:r>
        <w:rPr>
          <w:rFonts w:asciiTheme="minorHAnsi" w:hAnsiTheme="minorHAnsi"/>
          <w:b/>
          <w:bCs/>
          <w:sz w:val="28"/>
          <w:szCs w:val="28"/>
          <w:vertAlign w:val="subscript"/>
          <w:lang w:val="en-GB"/>
        </w:rPr>
        <w:t>e</w:t>
      </w:r>
      <w:r>
        <w:rPr>
          <w:rFonts w:asciiTheme="minorHAnsi" w:hAnsiTheme="minorHAnsi"/>
          <w:b/>
          <w:bCs/>
          <w:lang w:val="en-GB"/>
        </w:rPr>
        <w:t xml:space="preserve"> </w:t>
      </w:r>
      <w:r>
        <w:rPr>
          <w:rFonts w:asciiTheme="minorHAnsi" w:hAnsiTheme="minorHAnsi"/>
          <w:b/>
          <w:bCs/>
          <w:sz w:val="22"/>
          <w:szCs w:val="22"/>
          <w:lang w:val="en-GB"/>
        </w:rPr>
        <w:t xml:space="preserve">     </w:t>
      </w:r>
      <w:r>
        <w:rPr>
          <w:rFonts w:asciiTheme="minorHAnsi" w:hAnsiTheme="minorHAnsi"/>
          <w:bCs/>
          <w:lang w:val="en-GB"/>
        </w:rPr>
        <w:t xml:space="preserve"> </w:t>
      </w:r>
      <w:r>
        <w:rPr>
          <w:rFonts w:asciiTheme="minorHAnsi" w:hAnsiTheme="minorHAnsi"/>
          <w:bCs/>
          <w:lang w:val="en-GB"/>
        </w:rPr>
        <w:tab/>
      </w:r>
      <w:r>
        <w:rPr>
          <w:rFonts w:asciiTheme="minorHAnsi" w:hAnsiTheme="minorHAnsi"/>
          <w:bCs/>
          <w:sz w:val="22"/>
          <w:szCs w:val="22"/>
          <w:lang w:val="en-GB"/>
        </w:rPr>
        <w:t>Cost of equity</w:t>
      </w:r>
    </w:p>
    <w:p w:rsidR="0043466E" w:rsidRDefault="0043466E" w:rsidP="0043466E">
      <w:pPr>
        <w:rPr>
          <w:rFonts w:asciiTheme="minorHAnsi" w:hAnsiTheme="minorHAnsi"/>
          <w:sz w:val="22"/>
          <w:szCs w:val="22"/>
          <w:lang w:val="en-GB"/>
        </w:rPr>
      </w:pPr>
    </w:p>
    <w:p w:rsidR="0043466E" w:rsidRDefault="0043466E" w:rsidP="0043466E">
      <w:pPr>
        <w:jc w:val="both"/>
        <w:rPr>
          <w:rFonts w:asciiTheme="minorHAnsi" w:hAnsiTheme="minorHAnsi"/>
          <w:sz w:val="22"/>
          <w:szCs w:val="22"/>
          <w:lang w:val="en-GB"/>
        </w:rPr>
      </w:pPr>
      <w:r>
        <w:rPr>
          <w:rFonts w:asciiTheme="minorHAnsi" w:hAnsiTheme="minorHAnsi"/>
          <w:b/>
          <w:sz w:val="22"/>
          <w:szCs w:val="22"/>
          <w:lang w:val="en-GB"/>
        </w:rPr>
        <w:t>Cost of debt (k</w:t>
      </w:r>
      <w:r>
        <w:rPr>
          <w:rFonts w:asciiTheme="minorHAnsi" w:hAnsiTheme="minorHAnsi"/>
          <w:b/>
          <w:sz w:val="22"/>
          <w:szCs w:val="22"/>
          <w:vertAlign w:val="subscript"/>
          <w:lang w:val="en-GB"/>
        </w:rPr>
        <w:t>d</w:t>
      </w:r>
      <w:r>
        <w:rPr>
          <w:rFonts w:asciiTheme="minorHAnsi" w:hAnsiTheme="minorHAnsi"/>
          <w:b/>
          <w:sz w:val="22"/>
          <w:szCs w:val="22"/>
          <w:lang w:val="en-GB"/>
        </w:rPr>
        <w:t>)</w:t>
      </w:r>
      <w:r>
        <w:rPr>
          <w:rFonts w:asciiTheme="minorHAnsi" w:hAnsiTheme="minorHAnsi"/>
          <w:sz w:val="22"/>
          <w:szCs w:val="22"/>
          <w:lang w:val="en-GB"/>
        </w:rPr>
        <w:t xml:space="preserve"> is a contractual commitment and is the interest rate that the enterprise pays on current loans. </w:t>
      </w:r>
    </w:p>
    <w:p w:rsidR="0043466E" w:rsidRDefault="0043466E" w:rsidP="0043466E">
      <w:pPr>
        <w:rPr>
          <w:rFonts w:asciiTheme="minorHAnsi" w:hAnsiTheme="minorHAnsi"/>
          <w:b/>
          <w:sz w:val="22"/>
          <w:szCs w:val="22"/>
          <w:lang w:val="en-GB"/>
        </w:rPr>
      </w:pPr>
    </w:p>
    <w:p w:rsidR="0043466E" w:rsidRDefault="0043466E" w:rsidP="0043466E">
      <w:pPr>
        <w:rPr>
          <w:rFonts w:asciiTheme="minorHAnsi" w:hAnsiTheme="minorHAnsi"/>
          <w:sz w:val="22"/>
          <w:szCs w:val="22"/>
          <w:lang w:val="en-GB"/>
        </w:rPr>
      </w:pPr>
      <w:r>
        <w:rPr>
          <w:rFonts w:asciiTheme="minorHAnsi" w:hAnsiTheme="minorHAnsi"/>
          <w:b/>
          <w:sz w:val="22"/>
          <w:szCs w:val="22"/>
          <w:lang w:val="en-GB"/>
        </w:rPr>
        <w:t>Cost of equity (k</w:t>
      </w:r>
      <w:r>
        <w:rPr>
          <w:rFonts w:asciiTheme="minorHAnsi" w:hAnsiTheme="minorHAnsi"/>
          <w:b/>
          <w:sz w:val="22"/>
          <w:szCs w:val="22"/>
          <w:vertAlign w:val="subscript"/>
          <w:lang w:val="en-GB"/>
        </w:rPr>
        <w:t>e</w:t>
      </w:r>
      <w:r>
        <w:rPr>
          <w:rFonts w:asciiTheme="minorHAnsi" w:hAnsiTheme="minorHAnsi"/>
          <w:b/>
          <w:sz w:val="22"/>
          <w:szCs w:val="22"/>
          <w:lang w:val="en-GB"/>
        </w:rPr>
        <w:t>) is</w:t>
      </w:r>
      <w:r>
        <w:rPr>
          <w:rFonts w:asciiTheme="minorHAnsi" w:hAnsiTheme="minorHAnsi"/>
          <w:sz w:val="22"/>
          <w:szCs w:val="22"/>
          <w:lang w:val="en-GB"/>
        </w:rPr>
        <w:t xml:space="preserve"> calculated as follows: </w:t>
      </w:r>
    </w:p>
    <w:p w:rsidR="0043466E" w:rsidRDefault="0043466E" w:rsidP="0043466E">
      <w:pPr>
        <w:rPr>
          <w:rFonts w:asciiTheme="minorHAnsi" w:hAnsiTheme="minorHAnsi"/>
          <w:sz w:val="22"/>
          <w:szCs w:val="22"/>
          <w:lang w:val="en-GB"/>
        </w:rPr>
      </w:pPr>
    </w:p>
    <w:p w:rsidR="0043466E" w:rsidRDefault="0043466E" w:rsidP="0043466E">
      <w:pPr>
        <w:rPr>
          <w:rFonts w:asciiTheme="minorHAnsi" w:hAnsiTheme="minorHAnsi"/>
          <w:sz w:val="28"/>
          <w:szCs w:val="28"/>
          <w:lang w:val="en-GB"/>
        </w:rPr>
      </w:pPr>
      <w:r>
        <w:rPr>
          <w:rFonts w:asciiTheme="minorHAnsi" w:hAnsiTheme="minorHAnsi"/>
          <w:b/>
          <w:bCs/>
          <w:sz w:val="28"/>
          <w:szCs w:val="28"/>
          <w:lang w:val="en-GB"/>
        </w:rPr>
        <w:t>k</w:t>
      </w:r>
      <w:r>
        <w:rPr>
          <w:rFonts w:asciiTheme="minorHAnsi" w:hAnsiTheme="minorHAnsi"/>
          <w:b/>
          <w:bCs/>
          <w:sz w:val="28"/>
          <w:szCs w:val="28"/>
          <w:vertAlign w:val="subscript"/>
          <w:lang w:val="en-GB"/>
        </w:rPr>
        <w:t>e</w:t>
      </w:r>
      <w:r>
        <w:rPr>
          <w:rFonts w:asciiTheme="minorHAnsi" w:hAnsiTheme="minorHAnsi"/>
          <w:b/>
          <w:bCs/>
          <w:sz w:val="28"/>
          <w:szCs w:val="28"/>
          <w:lang w:val="en-GB"/>
        </w:rPr>
        <w:t xml:space="preserve"> = r</w:t>
      </w:r>
      <w:r>
        <w:rPr>
          <w:rFonts w:asciiTheme="minorHAnsi" w:hAnsiTheme="minorHAnsi"/>
          <w:b/>
          <w:bCs/>
          <w:sz w:val="28"/>
          <w:szCs w:val="28"/>
          <w:vertAlign w:val="subscript"/>
          <w:lang w:val="en-GB"/>
        </w:rPr>
        <w:t>f</w:t>
      </w:r>
      <w:r>
        <w:rPr>
          <w:rFonts w:asciiTheme="minorHAnsi" w:hAnsiTheme="minorHAnsi"/>
          <w:b/>
          <w:bCs/>
          <w:sz w:val="28"/>
          <w:szCs w:val="28"/>
          <w:lang w:val="en-GB"/>
        </w:rPr>
        <w:t xml:space="preserve"> +</w:t>
      </w:r>
      <w:r>
        <w:rPr>
          <w:rFonts w:asciiTheme="minorHAnsi" w:hAnsiTheme="minorHAnsi"/>
          <w:sz w:val="28"/>
          <w:szCs w:val="28"/>
          <w:lang w:val="en-GB"/>
        </w:rPr>
        <w:t xml:space="preserve"> </w:t>
      </w:r>
      <w:r>
        <w:rPr>
          <w:rFonts w:asciiTheme="minorHAnsi" w:hAnsiTheme="minorHAnsi"/>
          <w:b/>
          <w:bCs/>
          <w:sz w:val="28"/>
          <w:szCs w:val="28"/>
          <w:lang w:val="en-GB"/>
        </w:rPr>
        <w:t>β</w:t>
      </w:r>
      <w:r>
        <w:rPr>
          <w:rFonts w:asciiTheme="minorHAnsi" w:hAnsiTheme="minorHAnsi"/>
          <w:b/>
          <w:bCs/>
          <w:sz w:val="28"/>
          <w:szCs w:val="28"/>
          <w:vertAlign w:val="subscript"/>
          <w:lang w:val="en-GB"/>
        </w:rPr>
        <w:t>e</w:t>
      </w:r>
      <w:r>
        <w:rPr>
          <w:rFonts w:asciiTheme="minorHAnsi" w:hAnsiTheme="minorHAnsi"/>
          <w:b/>
          <w:bCs/>
          <w:sz w:val="28"/>
          <w:szCs w:val="28"/>
          <w:lang w:val="en-GB"/>
        </w:rPr>
        <w:t xml:space="preserve"> * (r</w:t>
      </w:r>
      <w:r>
        <w:rPr>
          <w:rFonts w:asciiTheme="minorHAnsi" w:hAnsiTheme="minorHAnsi"/>
          <w:b/>
          <w:bCs/>
          <w:sz w:val="28"/>
          <w:szCs w:val="28"/>
          <w:vertAlign w:val="subscript"/>
          <w:lang w:val="en-GB"/>
        </w:rPr>
        <w:t>m</w:t>
      </w:r>
      <w:r>
        <w:rPr>
          <w:rFonts w:asciiTheme="minorHAnsi" w:hAnsiTheme="minorHAnsi"/>
          <w:b/>
          <w:bCs/>
          <w:sz w:val="28"/>
          <w:szCs w:val="28"/>
          <w:lang w:val="en-GB"/>
        </w:rPr>
        <w:t xml:space="preserve"> - r</w:t>
      </w:r>
      <w:r>
        <w:rPr>
          <w:rFonts w:asciiTheme="minorHAnsi" w:hAnsiTheme="minorHAnsi"/>
          <w:b/>
          <w:bCs/>
          <w:sz w:val="28"/>
          <w:szCs w:val="28"/>
          <w:vertAlign w:val="subscript"/>
          <w:lang w:val="en-GB"/>
        </w:rPr>
        <w:t>f</w:t>
      </w:r>
      <w:r>
        <w:rPr>
          <w:rFonts w:asciiTheme="minorHAnsi" w:hAnsiTheme="minorHAnsi"/>
          <w:b/>
          <w:bCs/>
          <w:sz w:val="28"/>
          <w:szCs w:val="28"/>
          <w:lang w:val="en-GB"/>
        </w:rPr>
        <w:t>)</w:t>
      </w:r>
      <w:r>
        <w:rPr>
          <w:rFonts w:asciiTheme="minorHAnsi" w:hAnsiTheme="minorHAnsi"/>
          <w:sz w:val="28"/>
          <w:szCs w:val="28"/>
          <w:lang w:val="en-GB"/>
        </w:rPr>
        <w:tab/>
      </w:r>
    </w:p>
    <w:p w:rsidR="0043466E" w:rsidRDefault="0043466E" w:rsidP="0043466E">
      <w:pPr>
        <w:pStyle w:val="BodyText2"/>
        <w:rPr>
          <w:rFonts w:asciiTheme="minorHAnsi" w:hAnsiTheme="minorHAnsi"/>
          <w:sz w:val="22"/>
          <w:szCs w:val="22"/>
          <w:lang w:val="en-GB"/>
        </w:rPr>
      </w:pPr>
    </w:p>
    <w:p w:rsidR="0043466E" w:rsidRDefault="0043466E" w:rsidP="0043466E">
      <w:pPr>
        <w:pStyle w:val="BodyText2"/>
        <w:ind w:hanging="3686"/>
        <w:rPr>
          <w:rFonts w:asciiTheme="minorHAnsi" w:hAnsiTheme="minorHAnsi"/>
          <w:b w:val="0"/>
          <w:sz w:val="22"/>
          <w:szCs w:val="22"/>
          <w:lang w:val="en-GB"/>
        </w:rPr>
      </w:pPr>
      <w:r>
        <w:rPr>
          <w:rFonts w:asciiTheme="minorHAnsi" w:hAnsiTheme="minorHAnsi"/>
          <w:b w:val="0"/>
          <w:sz w:val="22"/>
          <w:szCs w:val="22"/>
          <w:lang w:val="en-GB"/>
        </w:rPr>
        <w:t>Where:</w:t>
      </w:r>
    </w:p>
    <w:p w:rsidR="0043466E" w:rsidRDefault="0043466E" w:rsidP="0043466E">
      <w:pPr>
        <w:pStyle w:val="BodyText2"/>
        <w:ind w:left="1440" w:hanging="1440"/>
        <w:jc w:val="both"/>
        <w:rPr>
          <w:rFonts w:asciiTheme="minorHAnsi" w:hAnsiTheme="minorHAnsi"/>
          <w:b w:val="0"/>
          <w:sz w:val="22"/>
          <w:szCs w:val="22"/>
          <w:lang w:val="en-GB"/>
        </w:rPr>
      </w:pPr>
      <w:r>
        <w:rPr>
          <w:rFonts w:asciiTheme="minorHAnsi" w:hAnsiTheme="minorHAnsi"/>
          <w:bCs/>
          <w:szCs w:val="28"/>
          <w:lang w:val="en-GB"/>
        </w:rPr>
        <w:t>R</w:t>
      </w:r>
      <w:r>
        <w:rPr>
          <w:rFonts w:asciiTheme="minorHAnsi" w:hAnsiTheme="minorHAnsi"/>
          <w:bCs/>
          <w:szCs w:val="28"/>
          <w:vertAlign w:val="subscript"/>
          <w:lang w:val="en-GB"/>
        </w:rPr>
        <w:t>f</w:t>
      </w:r>
      <w:r>
        <w:rPr>
          <w:rFonts w:asciiTheme="minorHAnsi" w:hAnsiTheme="minorHAnsi"/>
          <w:bCs/>
          <w:lang w:val="en-GB"/>
        </w:rPr>
        <w:t xml:space="preserve">         </w:t>
      </w:r>
      <w:r>
        <w:rPr>
          <w:rFonts w:asciiTheme="minorHAnsi" w:hAnsiTheme="minorHAnsi"/>
          <w:bCs/>
          <w:lang w:val="en-GB"/>
        </w:rPr>
        <w:tab/>
        <w:t xml:space="preserve">  </w:t>
      </w:r>
      <w:r>
        <w:rPr>
          <w:rFonts w:asciiTheme="minorHAnsi" w:hAnsiTheme="minorHAnsi"/>
          <w:b w:val="0"/>
          <w:bCs/>
          <w:sz w:val="22"/>
          <w:szCs w:val="22"/>
          <w:lang w:val="en-GB"/>
        </w:rPr>
        <w:t>Risk-free rate and is derived from estimates of Government bond return</w:t>
      </w:r>
      <w:r>
        <w:rPr>
          <w:rFonts w:asciiTheme="minorHAnsi" w:hAnsiTheme="minorHAnsi"/>
          <w:b w:val="0"/>
          <w:sz w:val="22"/>
          <w:szCs w:val="22"/>
          <w:lang w:val="en-GB"/>
        </w:rPr>
        <w:t xml:space="preserve"> </w:t>
      </w:r>
    </w:p>
    <w:p w:rsidR="0043466E" w:rsidRDefault="0043466E" w:rsidP="0043466E">
      <w:pPr>
        <w:pStyle w:val="BodyText2"/>
        <w:ind w:left="720" w:hanging="720"/>
        <w:rPr>
          <w:rFonts w:asciiTheme="minorHAnsi" w:hAnsiTheme="minorHAnsi"/>
          <w:b w:val="0"/>
          <w:sz w:val="22"/>
          <w:szCs w:val="22"/>
          <w:lang w:val="en-GB"/>
        </w:rPr>
      </w:pPr>
      <w:r>
        <w:rPr>
          <w:rFonts w:asciiTheme="minorHAnsi" w:hAnsiTheme="minorHAnsi"/>
          <w:bCs/>
          <w:szCs w:val="28"/>
          <w:lang w:val="en-GB"/>
        </w:rPr>
        <w:t>Βe</w:t>
      </w:r>
      <w:r>
        <w:rPr>
          <w:rFonts w:asciiTheme="minorHAnsi" w:hAnsiTheme="minorHAnsi"/>
          <w:bCs/>
          <w:szCs w:val="28"/>
          <w:vertAlign w:val="subscript"/>
          <w:lang w:val="en-GB"/>
        </w:rPr>
        <w:t>e</w:t>
      </w:r>
      <w:r>
        <w:rPr>
          <w:rFonts w:asciiTheme="minorHAnsi" w:hAnsiTheme="minorHAnsi"/>
          <w:lang w:val="en-GB"/>
        </w:rPr>
        <w:t xml:space="preserve"> </w:t>
      </w:r>
      <w:r>
        <w:rPr>
          <w:rFonts w:asciiTheme="minorHAnsi" w:hAnsiTheme="minorHAnsi"/>
          <w:szCs w:val="22"/>
          <w:lang w:val="en-GB"/>
        </w:rPr>
        <w:t xml:space="preserve">    </w:t>
      </w:r>
      <w:r>
        <w:rPr>
          <w:rFonts w:asciiTheme="minorHAnsi" w:hAnsiTheme="minorHAnsi"/>
          <w:szCs w:val="22"/>
          <w:lang w:val="en-GB"/>
        </w:rPr>
        <w:tab/>
      </w:r>
      <w:r>
        <w:rPr>
          <w:rFonts w:asciiTheme="minorHAnsi" w:hAnsiTheme="minorHAnsi"/>
          <w:szCs w:val="22"/>
          <w:lang w:val="en-GB"/>
        </w:rPr>
        <w:tab/>
        <w:t xml:space="preserve"> </w:t>
      </w:r>
      <w:r>
        <w:rPr>
          <w:rFonts w:asciiTheme="minorHAnsi" w:hAnsiTheme="minorHAnsi"/>
          <w:b w:val="0"/>
          <w:sz w:val="22"/>
          <w:szCs w:val="22"/>
          <w:lang w:val="en-GB"/>
        </w:rPr>
        <w:t>“Beta”: risk measure for the respective company</w:t>
      </w:r>
    </w:p>
    <w:p w:rsidR="0043466E" w:rsidRDefault="0043466E" w:rsidP="0043466E">
      <w:pPr>
        <w:pStyle w:val="Header"/>
        <w:tabs>
          <w:tab w:val="left" w:pos="720"/>
        </w:tabs>
        <w:ind w:left="720" w:hanging="720"/>
        <w:rPr>
          <w:rFonts w:asciiTheme="minorHAnsi" w:hAnsiTheme="minorHAnsi"/>
          <w:sz w:val="22"/>
          <w:szCs w:val="22"/>
          <w:lang w:val="en-GB"/>
        </w:rPr>
      </w:pPr>
      <w:r>
        <w:rPr>
          <w:rFonts w:asciiTheme="minorHAnsi" w:hAnsiTheme="minorHAnsi"/>
          <w:b/>
          <w:bCs/>
          <w:sz w:val="28"/>
          <w:szCs w:val="28"/>
          <w:lang w:val="en-GB"/>
        </w:rPr>
        <w:t>(r</w:t>
      </w:r>
      <w:r>
        <w:rPr>
          <w:rFonts w:asciiTheme="minorHAnsi" w:hAnsiTheme="minorHAnsi"/>
          <w:b/>
          <w:bCs/>
          <w:sz w:val="28"/>
          <w:szCs w:val="28"/>
          <w:vertAlign w:val="subscript"/>
          <w:lang w:val="en-GB"/>
        </w:rPr>
        <w:t>m</w:t>
      </w:r>
      <w:r>
        <w:rPr>
          <w:rFonts w:asciiTheme="minorHAnsi" w:hAnsiTheme="minorHAnsi"/>
          <w:b/>
          <w:bCs/>
          <w:sz w:val="28"/>
          <w:szCs w:val="28"/>
          <w:lang w:val="en-GB"/>
        </w:rPr>
        <w:t xml:space="preserve"> - r</w:t>
      </w:r>
      <w:r>
        <w:rPr>
          <w:rFonts w:asciiTheme="minorHAnsi" w:hAnsiTheme="minorHAnsi"/>
          <w:b/>
          <w:bCs/>
          <w:sz w:val="28"/>
          <w:szCs w:val="28"/>
          <w:vertAlign w:val="subscript"/>
          <w:lang w:val="en-GB"/>
        </w:rPr>
        <w:t>f</w:t>
      </w:r>
      <w:r>
        <w:rPr>
          <w:rFonts w:asciiTheme="minorHAnsi" w:hAnsiTheme="minorHAnsi"/>
          <w:b/>
          <w:bCs/>
          <w:sz w:val="28"/>
          <w:szCs w:val="28"/>
          <w:lang w:val="en-GB"/>
        </w:rPr>
        <w:t>)</w:t>
      </w:r>
      <w:r>
        <w:rPr>
          <w:rFonts w:asciiTheme="minorHAnsi" w:hAnsiTheme="minorHAnsi"/>
          <w:lang w:val="en-GB"/>
        </w:rPr>
        <w:t xml:space="preserve"> </w:t>
      </w:r>
      <w:r>
        <w:rPr>
          <w:rFonts w:asciiTheme="minorHAnsi" w:hAnsiTheme="minorHAnsi"/>
          <w:lang w:val="en-GB"/>
        </w:rPr>
        <w:tab/>
        <w:t xml:space="preserve"> </w:t>
      </w:r>
      <w:r>
        <w:rPr>
          <w:rFonts w:asciiTheme="minorHAnsi" w:hAnsiTheme="minorHAnsi"/>
          <w:sz w:val="22"/>
          <w:szCs w:val="22"/>
          <w:lang w:val="en-GB"/>
        </w:rPr>
        <w:t xml:space="preserve">Equity market risk premium minus </w:t>
      </w:r>
      <w:r w:rsidR="00F80936">
        <w:rPr>
          <w:rFonts w:asciiTheme="minorHAnsi" w:hAnsiTheme="minorHAnsi"/>
          <w:sz w:val="22"/>
          <w:szCs w:val="22"/>
          <w:lang w:val="en-GB"/>
        </w:rPr>
        <w:t xml:space="preserve">the </w:t>
      </w:r>
      <w:r>
        <w:rPr>
          <w:rFonts w:asciiTheme="minorHAnsi" w:hAnsiTheme="minorHAnsi"/>
          <w:sz w:val="22"/>
          <w:szCs w:val="22"/>
          <w:lang w:val="en-GB"/>
        </w:rPr>
        <w:t xml:space="preserve">risk-free rate of return  </w:t>
      </w:r>
    </w:p>
    <w:p w:rsidR="0043466E" w:rsidRDefault="0043466E" w:rsidP="0043466E">
      <w:pPr>
        <w:rPr>
          <w:rFonts w:asciiTheme="minorHAnsi" w:hAnsiTheme="minorHAnsi"/>
          <w:sz w:val="22"/>
          <w:szCs w:val="22"/>
          <w:lang w:val="en-GB"/>
        </w:rPr>
      </w:pPr>
      <w:r>
        <w:rPr>
          <w:rFonts w:asciiTheme="minorHAnsi" w:hAnsiTheme="minorHAnsi"/>
          <w:sz w:val="22"/>
          <w:szCs w:val="22"/>
          <w:lang w:val="en-GB"/>
        </w:rPr>
        <w:tab/>
        <w:t xml:space="preserve">      </w:t>
      </w:r>
    </w:p>
    <w:p w:rsidR="0043466E" w:rsidRDefault="0043466E" w:rsidP="0043466E">
      <w:pPr>
        <w:pStyle w:val="Header"/>
        <w:tabs>
          <w:tab w:val="left" w:pos="720"/>
        </w:tabs>
        <w:jc w:val="both"/>
        <w:rPr>
          <w:rFonts w:asciiTheme="minorHAnsi" w:hAnsiTheme="minorHAnsi"/>
          <w:sz w:val="22"/>
          <w:szCs w:val="22"/>
          <w:lang w:val="en-GB"/>
        </w:rPr>
      </w:pPr>
      <w:r>
        <w:rPr>
          <w:rFonts w:asciiTheme="minorHAnsi" w:hAnsiTheme="minorHAnsi"/>
          <w:sz w:val="22"/>
          <w:szCs w:val="22"/>
          <w:lang w:val="en-GB"/>
        </w:rPr>
        <w:t>“The risk premium” is determined by “beta” and by the expected market risk premium that investors will demand from the market as a whole. The “beta” factor measures the unpredictability of a company’s return relative to the stock market as a whole</w:t>
      </w:r>
    </w:p>
    <w:p w:rsidR="0043466E" w:rsidRDefault="0043466E" w:rsidP="0043466E">
      <w:pPr>
        <w:pStyle w:val="Header"/>
        <w:tabs>
          <w:tab w:val="left" w:pos="720"/>
        </w:tabs>
        <w:jc w:val="both"/>
        <w:rPr>
          <w:rFonts w:asciiTheme="minorHAnsi" w:hAnsiTheme="minorHAnsi"/>
          <w:sz w:val="22"/>
          <w:szCs w:val="22"/>
          <w:lang w:val="en-GB"/>
        </w:rPr>
      </w:pPr>
    </w:p>
    <w:p w:rsidR="0043466E" w:rsidRDefault="0043466E" w:rsidP="0043466E">
      <w:pPr>
        <w:pStyle w:val="Header"/>
        <w:tabs>
          <w:tab w:val="left" w:pos="720"/>
        </w:tabs>
        <w:jc w:val="both"/>
        <w:rPr>
          <w:rFonts w:asciiTheme="minorHAnsi" w:hAnsiTheme="minorHAnsi"/>
          <w:sz w:val="22"/>
          <w:szCs w:val="22"/>
          <w:lang w:val="en-GB"/>
        </w:rPr>
      </w:pPr>
      <w:r>
        <w:rPr>
          <w:rFonts w:asciiTheme="minorHAnsi" w:hAnsiTheme="minorHAnsi"/>
          <w:sz w:val="22"/>
          <w:szCs w:val="22"/>
          <w:lang w:val="en-GB"/>
        </w:rPr>
        <w:t>Below we estimate/calculate the cost of debt and the cost of equity for the district heating enterprises in Kosovo in order to come to a pre-tax WACC.</w:t>
      </w:r>
    </w:p>
    <w:p w:rsidR="0043466E" w:rsidRDefault="0043466E" w:rsidP="0043466E">
      <w:pPr>
        <w:rPr>
          <w:rFonts w:asciiTheme="minorHAnsi" w:hAnsiTheme="minorHAnsi"/>
          <w:sz w:val="22"/>
          <w:szCs w:val="22"/>
          <w:u w:val="single"/>
          <w:lang w:val="en-GB"/>
        </w:rPr>
      </w:pPr>
      <w:bookmarkStart w:id="129" w:name="_Toc339539130"/>
    </w:p>
    <w:p w:rsidR="0043466E" w:rsidRDefault="0043466E" w:rsidP="0043466E">
      <w:pPr>
        <w:rPr>
          <w:rFonts w:asciiTheme="minorHAnsi" w:hAnsiTheme="minorHAnsi" w:cs="Calibri"/>
          <w:sz w:val="22"/>
          <w:szCs w:val="22"/>
          <w:u w:val="single"/>
          <w:lang w:val="en-GB"/>
        </w:rPr>
      </w:pPr>
      <w:r>
        <w:rPr>
          <w:rFonts w:asciiTheme="minorHAnsi" w:hAnsiTheme="minorHAnsi"/>
          <w:sz w:val="22"/>
          <w:szCs w:val="22"/>
          <w:u w:val="single"/>
          <w:lang w:val="en-GB"/>
        </w:rPr>
        <w:t xml:space="preserve">Cost of Debt </w:t>
      </w:r>
      <w:bookmarkEnd w:id="129"/>
    </w:p>
    <w:p w:rsidR="0043466E" w:rsidRDefault="0043466E" w:rsidP="0043466E">
      <w:pPr>
        <w:rPr>
          <w:rFonts w:asciiTheme="minorHAnsi" w:hAnsiTheme="minorHAnsi"/>
          <w:lang w:val="en-GB"/>
        </w:rPr>
      </w:pPr>
    </w:p>
    <w:p w:rsidR="0043466E" w:rsidRDefault="0043466E" w:rsidP="0043466E">
      <w:pPr>
        <w:pStyle w:val="Header"/>
        <w:tabs>
          <w:tab w:val="left" w:pos="720"/>
        </w:tabs>
        <w:jc w:val="both"/>
        <w:rPr>
          <w:rFonts w:asciiTheme="minorHAnsi" w:hAnsiTheme="minorHAnsi"/>
          <w:sz w:val="22"/>
          <w:szCs w:val="22"/>
          <w:lang w:val="en-GB"/>
        </w:rPr>
      </w:pPr>
      <w:r>
        <w:rPr>
          <w:rFonts w:asciiTheme="minorHAnsi" w:hAnsiTheme="minorHAnsi"/>
          <w:sz w:val="22"/>
          <w:szCs w:val="22"/>
          <w:lang w:val="en-GB"/>
        </w:rPr>
        <w:t>For this district heating season and the following ones, ERO decides to have a D/V ratio in the value of 60/100 (60% debt and 40% equity).  This 60% ratio should be used in the estimations/calculations of commercial pre-tax WACC for district heating season 2019 – 2020 and the following seasons if no significant changes are noticed.</w:t>
      </w:r>
    </w:p>
    <w:p w:rsidR="0043466E" w:rsidRDefault="0043466E" w:rsidP="0043466E">
      <w:pPr>
        <w:pStyle w:val="Header"/>
        <w:tabs>
          <w:tab w:val="left" w:pos="720"/>
        </w:tabs>
        <w:jc w:val="both"/>
        <w:rPr>
          <w:rFonts w:asciiTheme="minorHAnsi" w:hAnsiTheme="minorHAnsi"/>
          <w:b/>
          <w:sz w:val="22"/>
          <w:szCs w:val="22"/>
          <w:u w:val="single"/>
          <w:lang w:val="en-GB"/>
        </w:rPr>
      </w:pPr>
    </w:p>
    <w:p w:rsidR="0043466E" w:rsidRDefault="0043466E" w:rsidP="0043466E">
      <w:pPr>
        <w:jc w:val="both"/>
        <w:rPr>
          <w:rFonts w:asciiTheme="minorHAnsi" w:hAnsiTheme="minorHAnsi"/>
          <w:sz w:val="22"/>
          <w:szCs w:val="22"/>
          <w:lang w:val="en-GB"/>
        </w:rPr>
      </w:pPr>
      <w:r>
        <w:rPr>
          <w:rFonts w:asciiTheme="minorHAnsi" w:hAnsiTheme="minorHAnsi"/>
          <w:sz w:val="22"/>
          <w:szCs w:val="22"/>
          <w:lang w:val="en-GB"/>
        </w:rPr>
        <w:t xml:space="preserve">Currently, DH Termokos has a loan from KfW with the interest rate of 8.79% for investment in cogeneration project. In this regard, it should be noted that most of </w:t>
      </w:r>
      <w:r w:rsidR="00F80936">
        <w:rPr>
          <w:rFonts w:asciiTheme="minorHAnsi" w:hAnsiTheme="minorHAnsi"/>
          <w:sz w:val="22"/>
          <w:szCs w:val="22"/>
          <w:lang w:val="en-GB"/>
        </w:rPr>
        <w:t xml:space="preserve">the </w:t>
      </w:r>
      <w:r>
        <w:rPr>
          <w:rFonts w:asciiTheme="minorHAnsi" w:hAnsiTheme="minorHAnsi"/>
          <w:sz w:val="22"/>
          <w:szCs w:val="22"/>
          <w:lang w:val="en-GB"/>
        </w:rPr>
        <w:t xml:space="preserve">investments in the cogeneration project have been donations (from the German Government, the European Commission and local and central institutions); while the amount of € 5,000,000 is a loan from KfW with an annual interest rate of 8.97% and a repayment period of 11 years. Consequently, the cost of debt will reflect the current credit and is fixed at </w:t>
      </w:r>
      <w:r>
        <w:rPr>
          <w:rFonts w:asciiTheme="minorHAnsi" w:hAnsiTheme="minorHAnsi"/>
          <w:b/>
          <w:sz w:val="22"/>
          <w:szCs w:val="22"/>
          <w:lang w:val="en-GB"/>
        </w:rPr>
        <w:t>8.79%.</w:t>
      </w:r>
    </w:p>
    <w:p w:rsidR="0043466E" w:rsidRDefault="0043466E" w:rsidP="0043466E">
      <w:pPr>
        <w:pStyle w:val="Header"/>
        <w:tabs>
          <w:tab w:val="left" w:pos="720"/>
        </w:tabs>
        <w:jc w:val="both"/>
        <w:rPr>
          <w:rFonts w:asciiTheme="minorHAnsi" w:hAnsiTheme="minorHAnsi"/>
          <w:sz w:val="22"/>
          <w:szCs w:val="22"/>
          <w:lang w:val="en-GB"/>
        </w:rPr>
      </w:pPr>
    </w:p>
    <w:p w:rsidR="0043466E" w:rsidRDefault="0043466E" w:rsidP="0043466E">
      <w:pPr>
        <w:pStyle w:val="Header"/>
        <w:tabs>
          <w:tab w:val="left" w:pos="720"/>
        </w:tabs>
        <w:jc w:val="both"/>
        <w:rPr>
          <w:rFonts w:asciiTheme="minorHAnsi" w:hAnsiTheme="minorHAnsi"/>
          <w:sz w:val="22"/>
          <w:szCs w:val="22"/>
          <w:lang w:val="en-GB"/>
        </w:rPr>
      </w:pPr>
      <w:r>
        <w:rPr>
          <w:rFonts w:asciiTheme="minorHAnsi" w:hAnsiTheme="minorHAnsi"/>
          <w:sz w:val="22"/>
          <w:szCs w:val="22"/>
          <w:lang w:val="en-GB"/>
        </w:rPr>
        <w:t>Therefore, the cost of debt is:</w:t>
      </w:r>
    </w:p>
    <w:p w:rsidR="0043466E" w:rsidRDefault="0043466E" w:rsidP="0043466E">
      <w:pPr>
        <w:pStyle w:val="Header"/>
        <w:tabs>
          <w:tab w:val="left" w:pos="720"/>
        </w:tabs>
        <w:jc w:val="both"/>
        <w:rPr>
          <w:rFonts w:asciiTheme="minorHAnsi" w:hAnsiTheme="minorHAnsi"/>
          <w:sz w:val="22"/>
          <w:szCs w:val="22"/>
          <w:lang w:val="en-GB"/>
        </w:rPr>
      </w:pPr>
    </w:p>
    <w:p w:rsidR="0043466E" w:rsidRDefault="0043466E" w:rsidP="0043466E">
      <w:pPr>
        <w:pStyle w:val="Header"/>
        <w:tabs>
          <w:tab w:val="left" w:pos="720"/>
        </w:tabs>
        <w:jc w:val="center"/>
        <w:rPr>
          <w:rFonts w:asciiTheme="minorHAnsi" w:hAnsiTheme="minorHAnsi"/>
          <w:b/>
          <w:sz w:val="28"/>
          <w:szCs w:val="28"/>
          <w:lang w:val="en-GB"/>
        </w:rPr>
      </w:pPr>
      <w:r>
        <w:rPr>
          <w:rFonts w:asciiTheme="minorHAnsi" w:hAnsiTheme="minorHAnsi"/>
          <w:b/>
          <w:sz w:val="28"/>
          <w:szCs w:val="28"/>
          <w:bdr w:val="single" w:sz="4" w:space="0" w:color="auto" w:frame="1"/>
          <w:lang w:val="en-GB"/>
        </w:rPr>
        <w:t>k</w:t>
      </w:r>
      <w:r>
        <w:rPr>
          <w:rFonts w:asciiTheme="minorHAnsi" w:hAnsiTheme="minorHAnsi"/>
          <w:b/>
          <w:sz w:val="28"/>
          <w:szCs w:val="28"/>
          <w:bdr w:val="single" w:sz="4" w:space="0" w:color="auto" w:frame="1"/>
          <w:vertAlign w:val="subscript"/>
          <w:lang w:val="en-GB"/>
        </w:rPr>
        <w:t>d</w:t>
      </w:r>
      <w:r>
        <w:rPr>
          <w:rFonts w:asciiTheme="minorHAnsi" w:hAnsiTheme="minorHAnsi"/>
          <w:b/>
          <w:sz w:val="28"/>
          <w:szCs w:val="28"/>
          <w:bdr w:val="single" w:sz="4" w:space="0" w:color="auto" w:frame="1"/>
          <w:lang w:val="en-GB"/>
        </w:rPr>
        <w:t xml:space="preserve"> = 8.79% </w:t>
      </w:r>
    </w:p>
    <w:p w:rsidR="0043466E" w:rsidRDefault="0043466E" w:rsidP="0043466E">
      <w:pPr>
        <w:rPr>
          <w:rFonts w:asciiTheme="minorHAnsi" w:hAnsiTheme="minorHAnsi" w:cs="Calibri"/>
          <w:sz w:val="22"/>
          <w:szCs w:val="22"/>
          <w:lang w:val="en-GB"/>
        </w:rPr>
      </w:pPr>
      <w:r>
        <w:rPr>
          <w:rFonts w:asciiTheme="minorHAnsi" w:hAnsiTheme="minorHAnsi"/>
          <w:sz w:val="22"/>
          <w:szCs w:val="22"/>
          <w:lang w:val="en-GB"/>
        </w:rPr>
        <w:t xml:space="preserve"> </w:t>
      </w:r>
    </w:p>
    <w:p w:rsidR="0043466E" w:rsidRDefault="0043466E" w:rsidP="0043466E">
      <w:pPr>
        <w:rPr>
          <w:rFonts w:asciiTheme="minorHAnsi" w:hAnsiTheme="minorHAnsi" w:cs="Calibri"/>
          <w:sz w:val="22"/>
          <w:szCs w:val="22"/>
          <w:u w:val="single"/>
          <w:lang w:val="en-GB"/>
        </w:rPr>
      </w:pPr>
      <w:bookmarkStart w:id="130" w:name="_Toc339539131"/>
      <w:r>
        <w:rPr>
          <w:rFonts w:asciiTheme="minorHAnsi" w:hAnsiTheme="minorHAnsi"/>
          <w:sz w:val="22"/>
          <w:szCs w:val="22"/>
          <w:u w:val="single"/>
          <w:lang w:val="en-GB"/>
        </w:rPr>
        <w:t xml:space="preserve">Cost of Equity </w:t>
      </w:r>
      <w:bookmarkEnd w:id="130"/>
    </w:p>
    <w:p w:rsidR="0043466E" w:rsidRDefault="0043466E" w:rsidP="0043466E">
      <w:pPr>
        <w:pStyle w:val="Header"/>
        <w:tabs>
          <w:tab w:val="left" w:pos="720"/>
        </w:tabs>
        <w:rPr>
          <w:rFonts w:asciiTheme="minorHAnsi" w:hAnsiTheme="minorHAnsi"/>
          <w:sz w:val="22"/>
          <w:szCs w:val="22"/>
          <w:lang w:val="en-GB"/>
        </w:rPr>
      </w:pPr>
    </w:p>
    <w:p w:rsidR="0043466E" w:rsidRDefault="0043466E" w:rsidP="0043466E">
      <w:pPr>
        <w:pStyle w:val="Header"/>
        <w:tabs>
          <w:tab w:val="left" w:pos="720"/>
        </w:tabs>
        <w:rPr>
          <w:rFonts w:asciiTheme="minorHAnsi" w:hAnsiTheme="minorHAnsi"/>
          <w:bCs/>
          <w:sz w:val="22"/>
          <w:szCs w:val="22"/>
          <w:lang w:val="en-GB"/>
        </w:rPr>
      </w:pPr>
      <w:r>
        <w:rPr>
          <w:rFonts w:asciiTheme="minorHAnsi" w:hAnsiTheme="minorHAnsi"/>
          <w:bCs/>
          <w:sz w:val="22"/>
          <w:szCs w:val="22"/>
          <w:lang w:val="en-GB"/>
        </w:rPr>
        <w:t>The cost of equity is expressed by the following formula:</w:t>
      </w:r>
    </w:p>
    <w:p w:rsidR="0043466E" w:rsidRDefault="0043466E" w:rsidP="0043466E">
      <w:pPr>
        <w:pStyle w:val="Header"/>
        <w:tabs>
          <w:tab w:val="left" w:pos="720"/>
        </w:tabs>
        <w:jc w:val="center"/>
        <w:rPr>
          <w:rFonts w:asciiTheme="minorHAnsi" w:hAnsiTheme="minorHAnsi"/>
          <w:b/>
          <w:bCs/>
          <w:sz w:val="22"/>
          <w:szCs w:val="22"/>
          <w:lang w:val="en-GB"/>
        </w:rPr>
      </w:pPr>
    </w:p>
    <w:p w:rsidR="0043466E" w:rsidRDefault="0043466E" w:rsidP="0043466E">
      <w:pPr>
        <w:pStyle w:val="Header"/>
        <w:tabs>
          <w:tab w:val="left" w:pos="720"/>
        </w:tabs>
        <w:rPr>
          <w:rFonts w:asciiTheme="minorHAnsi" w:hAnsiTheme="minorHAnsi"/>
          <w:b/>
          <w:bCs/>
          <w:sz w:val="28"/>
          <w:szCs w:val="28"/>
          <w:lang w:val="en-GB"/>
        </w:rPr>
      </w:pPr>
      <w:r>
        <w:rPr>
          <w:rFonts w:asciiTheme="minorHAnsi" w:hAnsiTheme="minorHAnsi"/>
          <w:b/>
          <w:bCs/>
          <w:sz w:val="28"/>
          <w:szCs w:val="28"/>
          <w:lang w:val="en-GB"/>
        </w:rPr>
        <w:t>k</w:t>
      </w:r>
      <w:r>
        <w:rPr>
          <w:rFonts w:asciiTheme="minorHAnsi" w:hAnsiTheme="minorHAnsi"/>
          <w:b/>
          <w:bCs/>
          <w:sz w:val="28"/>
          <w:szCs w:val="28"/>
          <w:vertAlign w:val="subscript"/>
          <w:lang w:val="en-GB"/>
        </w:rPr>
        <w:t>e</w:t>
      </w:r>
      <w:r>
        <w:rPr>
          <w:rFonts w:asciiTheme="minorHAnsi" w:hAnsiTheme="minorHAnsi"/>
          <w:b/>
          <w:bCs/>
          <w:sz w:val="28"/>
          <w:szCs w:val="28"/>
          <w:lang w:val="en-GB"/>
        </w:rPr>
        <w:t xml:space="preserve"> = r</w:t>
      </w:r>
      <w:r>
        <w:rPr>
          <w:rFonts w:asciiTheme="minorHAnsi" w:hAnsiTheme="minorHAnsi"/>
          <w:b/>
          <w:bCs/>
          <w:sz w:val="28"/>
          <w:szCs w:val="28"/>
          <w:vertAlign w:val="subscript"/>
          <w:lang w:val="en-GB"/>
        </w:rPr>
        <w:t>f</w:t>
      </w:r>
      <w:r>
        <w:rPr>
          <w:rFonts w:asciiTheme="minorHAnsi" w:hAnsiTheme="minorHAnsi"/>
          <w:b/>
          <w:bCs/>
          <w:sz w:val="28"/>
          <w:szCs w:val="28"/>
          <w:lang w:val="en-GB"/>
        </w:rPr>
        <w:t xml:space="preserve"> +</w:t>
      </w:r>
      <w:r>
        <w:rPr>
          <w:rFonts w:asciiTheme="minorHAnsi" w:hAnsiTheme="minorHAnsi"/>
          <w:sz w:val="28"/>
          <w:szCs w:val="28"/>
          <w:lang w:val="en-GB"/>
        </w:rPr>
        <w:t xml:space="preserve"> </w:t>
      </w:r>
      <w:r>
        <w:rPr>
          <w:rFonts w:asciiTheme="minorHAnsi" w:hAnsiTheme="minorHAnsi"/>
          <w:b/>
          <w:bCs/>
          <w:sz w:val="28"/>
          <w:szCs w:val="28"/>
          <w:lang w:val="en-GB"/>
        </w:rPr>
        <w:t>β</w:t>
      </w:r>
      <w:r>
        <w:rPr>
          <w:rFonts w:asciiTheme="minorHAnsi" w:hAnsiTheme="minorHAnsi"/>
          <w:b/>
          <w:bCs/>
          <w:sz w:val="28"/>
          <w:szCs w:val="28"/>
          <w:vertAlign w:val="subscript"/>
          <w:lang w:val="en-GB"/>
        </w:rPr>
        <w:t>e</w:t>
      </w:r>
      <w:r>
        <w:rPr>
          <w:rFonts w:asciiTheme="minorHAnsi" w:hAnsiTheme="minorHAnsi"/>
          <w:b/>
          <w:bCs/>
          <w:sz w:val="28"/>
          <w:szCs w:val="28"/>
          <w:lang w:val="en-GB"/>
        </w:rPr>
        <w:t xml:space="preserve"> *(r</w:t>
      </w:r>
      <w:r>
        <w:rPr>
          <w:rFonts w:asciiTheme="minorHAnsi" w:hAnsiTheme="minorHAnsi"/>
          <w:b/>
          <w:bCs/>
          <w:sz w:val="28"/>
          <w:szCs w:val="28"/>
          <w:vertAlign w:val="subscript"/>
          <w:lang w:val="en-GB"/>
        </w:rPr>
        <w:t>m</w:t>
      </w:r>
      <w:r>
        <w:rPr>
          <w:rFonts w:asciiTheme="minorHAnsi" w:hAnsiTheme="minorHAnsi"/>
          <w:b/>
          <w:bCs/>
          <w:sz w:val="28"/>
          <w:szCs w:val="28"/>
          <w:lang w:val="en-GB"/>
        </w:rPr>
        <w:t xml:space="preserve"> - r</w:t>
      </w:r>
      <w:r>
        <w:rPr>
          <w:rFonts w:asciiTheme="minorHAnsi" w:hAnsiTheme="minorHAnsi"/>
          <w:b/>
          <w:bCs/>
          <w:sz w:val="28"/>
          <w:szCs w:val="28"/>
          <w:vertAlign w:val="subscript"/>
          <w:lang w:val="en-GB"/>
        </w:rPr>
        <w:t>f</w:t>
      </w:r>
      <w:r>
        <w:rPr>
          <w:rFonts w:asciiTheme="minorHAnsi" w:hAnsiTheme="minorHAnsi"/>
          <w:b/>
          <w:bCs/>
          <w:sz w:val="28"/>
          <w:szCs w:val="28"/>
          <w:lang w:val="en-GB"/>
        </w:rPr>
        <w:t>)</w:t>
      </w:r>
    </w:p>
    <w:p w:rsidR="0043466E" w:rsidRDefault="0043466E" w:rsidP="0043466E">
      <w:pPr>
        <w:pStyle w:val="Header"/>
        <w:tabs>
          <w:tab w:val="left" w:pos="720"/>
        </w:tabs>
        <w:rPr>
          <w:rFonts w:asciiTheme="minorHAnsi" w:hAnsiTheme="minorHAnsi"/>
          <w:b/>
          <w:bCs/>
          <w:sz w:val="22"/>
          <w:szCs w:val="22"/>
          <w:lang w:val="en-GB"/>
        </w:rPr>
      </w:pPr>
    </w:p>
    <w:p w:rsidR="0043466E" w:rsidRDefault="0043466E" w:rsidP="0043466E">
      <w:pPr>
        <w:pStyle w:val="Header"/>
        <w:tabs>
          <w:tab w:val="left" w:pos="720"/>
        </w:tabs>
        <w:rPr>
          <w:rFonts w:asciiTheme="minorHAnsi" w:hAnsiTheme="minorHAnsi"/>
          <w:bCs/>
          <w:sz w:val="22"/>
          <w:szCs w:val="22"/>
          <w:lang w:val="en-GB"/>
        </w:rPr>
      </w:pPr>
      <w:r>
        <w:rPr>
          <w:rFonts w:asciiTheme="minorHAnsi" w:hAnsiTheme="minorHAnsi"/>
          <w:bCs/>
          <w:sz w:val="22"/>
          <w:szCs w:val="22"/>
          <w:lang w:val="en-GB"/>
        </w:rPr>
        <w:t xml:space="preserve">where: </w:t>
      </w:r>
    </w:p>
    <w:p w:rsidR="0043466E" w:rsidRDefault="0043466E" w:rsidP="0043466E">
      <w:pPr>
        <w:pStyle w:val="Header"/>
        <w:tabs>
          <w:tab w:val="left" w:pos="720"/>
        </w:tabs>
        <w:rPr>
          <w:rFonts w:asciiTheme="minorHAnsi" w:hAnsiTheme="minorHAnsi"/>
          <w:b/>
          <w:sz w:val="28"/>
          <w:szCs w:val="28"/>
          <w:lang w:val="en-GB"/>
        </w:rPr>
      </w:pPr>
      <w:r>
        <w:rPr>
          <w:rFonts w:asciiTheme="minorHAnsi" w:hAnsiTheme="minorHAnsi"/>
          <w:b/>
          <w:bCs/>
          <w:sz w:val="28"/>
          <w:szCs w:val="28"/>
          <w:lang w:val="en-GB"/>
        </w:rPr>
        <w:t>(r</w:t>
      </w:r>
      <w:r>
        <w:rPr>
          <w:rFonts w:asciiTheme="minorHAnsi" w:hAnsiTheme="minorHAnsi"/>
          <w:b/>
          <w:bCs/>
          <w:sz w:val="28"/>
          <w:szCs w:val="28"/>
          <w:vertAlign w:val="subscript"/>
          <w:lang w:val="en-GB"/>
        </w:rPr>
        <w:t>m</w:t>
      </w:r>
      <w:r>
        <w:rPr>
          <w:rFonts w:asciiTheme="minorHAnsi" w:hAnsiTheme="minorHAnsi"/>
          <w:b/>
          <w:bCs/>
          <w:sz w:val="28"/>
          <w:szCs w:val="28"/>
          <w:lang w:val="en-GB"/>
        </w:rPr>
        <w:t xml:space="preserve"> - r</w:t>
      </w:r>
      <w:r>
        <w:rPr>
          <w:rFonts w:asciiTheme="minorHAnsi" w:hAnsiTheme="minorHAnsi"/>
          <w:b/>
          <w:bCs/>
          <w:sz w:val="28"/>
          <w:szCs w:val="28"/>
          <w:vertAlign w:val="subscript"/>
          <w:lang w:val="en-GB"/>
        </w:rPr>
        <w:t>f</w:t>
      </w:r>
      <w:r>
        <w:rPr>
          <w:rFonts w:asciiTheme="minorHAnsi" w:hAnsiTheme="minorHAnsi"/>
          <w:b/>
          <w:bCs/>
          <w:sz w:val="28"/>
          <w:szCs w:val="28"/>
          <w:lang w:val="en-GB"/>
        </w:rPr>
        <w:t>) =</w:t>
      </w:r>
      <w:r>
        <w:rPr>
          <w:rFonts w:asciiTheme="minorHAnsi" w:hAnsiTheme="minorHAnsi"/>
          <w:b/>
          <w:sz w:val="28"/>
          <w:szCs w:val="28"/>
          <w:lang w:val="en-GB"/>
        </w:rPr>
        <w:t xml:space="preserve"> </w:t>
      </w:r>
      <w:r>
        <w:rPr>
          <w:rFonts w:asciiTheme="minorHAnsi" w:hAnsiTheme="minorHAnsi"/>
          <w:b/>
          <w:bCs/>
          <w:sz w:val="28"/>
          <w:szCs w:val="28"/>
          <w:lang w:val="en-GB"/>
        </w:rPr>
        <w:t>ERP</w:t>
      </w:r>
      <w:r>
        <w:rPr>
          <w:rFonts w:asciiTheme="minorHAnsi" w:hAnsiTheme="minorHAnsi"/>
          <w:lang w:val="en-GB"/>
        </w:rPr>
        <w:t xml:space="preserve"> </w:t>
      </w:r>
      <w:r>
        <w:rPr>
          <w:rFonts w:asciiTheme="minorHAnsi" w:hAnsiTheme="minorHAnsi"/>
          <w:sz w:val="22"/>
          <w:szCs w:val="22"/>
          <w:lang w:val="en-GB"/>
        </w:rPr>
        <w:t>- Equity Risk Premium</w:t>
      </w:r>
      <w:r>
        <w:rPr>
          <w:rFonts w:asciiTheme="minorHAnsi" w:hAnsiTheme="minorHAnsi"/>
          <w:b/>
          <w:sz w:val="28"/>
          <w:szCs w:val="28"/>
          <w:lang w:val="en-GB"/>
        </w:rPr>
        <w:t xml:space="preserve">      </w:t>
      </w:r>
    </w:p>
    <w:p w:rsidR="0043466E" w:rsidRDefault="0043466E" w:rsidP="0043466E">
      <w:pPr>
        <w:pStyle w:val="Header"/>
        <w:tabs>
          <w:tab w:val="left" w:pos="720"/>
        </w:tabs>
        <w:rPr>
          <w:rFonts w:asciiTheme="minorHAnsi" w:hAnsiTheme="minorHAnsi"/>
          <w:sz w:val="22"/>
          <w:szCs w:val="22"/>
          <w:lang w:val="en-GB"/>
        </w:rPr>
      </w:pPr>
    </w:p>
    <w:p w:rsidR="0043466E" w:rsidRDefault="0043466E" w:rsidP="0043466E">
      <w:pPr>
        <w:pStyle w:val="Header"/>
        <w:tabs>
          <w:tab w:val="left" w:pos="720"/>
        </w:tabs>
        <w:jc w:val="both"/>
        <w:rPr>
          <w:rFonts w:asciiTheme="minorHAnsi" w:hAnsiTheme="minorHAnsi"/>
          <w:sz w:val="22"/>
          <w:szCs w:val="22"/>
          <w:lang w:val="en-GB"/>
        </w:rPr>
      </w:pPr>
      <w:r>
        <w:rPr>
          <w:rFonts w:asciiTheme="minorHAnsi" w:hAnsiTheme="minorHAnsi"/>
          <w:sz w:val="22"/>
          <w:szCs w:val="22"/>
          <w:lang w:val="en-GB"/>
        </w:rPr>
        <w:t>Risk-Free Rate -</w:t>
      </w:r>
      <w:r>
        <w:rPr>
          <w:rFonts w:asciiTheme="minorHAnsi" w:hAnsiTheme="minorHAnsi"/>
          <w:lang w:val="en-GB"/>
        </w:rPr>
        <w:t xml:space="preserve"> </w:t>
      </w:r>
      <w:r>
        <w:rPr>
          <w:rFonts w:asciiTheme="minorHAnsi" w:hAnsiTheme="minorHAnsi"/>
          <w:b/>
          <w:bCs/>
          <w:sz w:val="28"/>
          <w:szCs w:val="28"/>
          <w:lang w:val="en-GB"/>
        </w:rPr>
        <w:t>r</w:t>
      </w:r>
      <w:r>
        <w:rPr>
          <w:rFonts w:asciiTheme="minorHAnsi" w:hAnsiTheme="minorHAnsi"/>
          <w:b/>
          <w:bCs/>
          <w:sz w:val="22"/>
          <w:szCs w:val="22"/>
          <w:vertAlign w:val="subscript"/>
          <w:lang w:val="en-GB"/>
        </w:rPr>
        <w:t>f</w:t>
      </w:r>
      <w:r>
        <w:rPr>
          <w:rFonts w:asciiTheme="minorHAnsi" w:hAnsiTheme="minorHAnsi"/>
          <w:bCs/>
          <w:lang w:val="en-GB"/>
        </w:rPr>
        <w:t xml:space="preserve"> </w:t>
      </w:r>
      <w:r>
        <w:rPr>
          <w:rFonts w:asciiTheme="minorHAnsi" w:hAnsiTheme="minorHAnsi"/>
          <w:bCs/>
          <w:sz w:val="22"/>
          <w:szCs w:val="22"/>
          <w:lang w:val="en-GB"/>
        </w:rPr>
        <w:t>currently based on local and international financial trends of Government bonds (T-bills) is estimated in the range</w:t>
      </w:r>
      <w:r>
        <w:rPr>
          <w:rFonts w:asciiTheme="minorHAnsi" w:hAnsiTheme="minorHAnsi"/>
          <w:lang w:val="en-GB"/>
        </w:rPr>
        <w:t xml:space="preserve"> </w:t>
      </w:r>
      <w:r>
        <w:rPr>
          <w:rFonts w:asciiTheme="minorHAnsi" w:hAnsiTheme="minorHAnsi"/>
          <w:sz w:val="22"/>
          <w:szCs w:val="22"/>
          <w:lang w:val="en-GB"/>
        </w:rPr>
        <w:t xml:space="preserve">of 1.1 to 3.0%. The lower limit represents the level of interest rates on Kosovo's long-term treasury bills while the upper limit represents the 10-year average of interest rates on Hungarian treasury bills - representing the most risky long-term debt issuer traded among the regional comparators. Based on this, ERO fixes the </w:t>
      </w:r>
      <w:r>
        <w:rPr>
          <w:rFonts w:asciiTheme="minorHAnsi" w:hAnsiTheme="minorHAnsi"/>
          <w:b/>
          <w:sz w:val="22"/>
          <w:szCs w:val="22"/>
          <w:lang w:val="en-GB"/>
        </w:rPr>
        <w:t>Risk-Free Rate</w:t>
      </w:r>
      <w:r>
        <w:rPr>
          <w:rFonts w:asciiTheme="minorHAnsi" w:hAnsiTheme="minorHAnsi"/>
          <w:sz w:val="22"/>
          <w:szCs w:val="22"/>
          <w:lang w:val="en-GB"/>
        </w:rPr>
        <w:t xml:space="preserve"> at </w:t>
      </w:r>
      <w:r>
        <w:rPr>
          <w:rFonts w:asciiTheme="minorHAnsi" w:hAnsiTheme="minorHAnsi"/>
          <w:b/>
          <w:sz w:val="22"/>
          <w:szCs w:val="22"/>
          <w:lang w:val="en-GB"/>
        </w:rPr>
        <w:t>2.3%.</w:t>
      </w:r>
    </w:p>
    <w:p w:rsidR="0043466E" w:rsidRDefault="0043466E" w:rsidP="0043466E">
      <w:pPr>
        <w:pStyle w:val="Header"/>
        <w:tabs>
          <w:tab w:val="left" w:pos="720"/>
        </w:tabs>
        <w:jc w:val="both"/>
        <w:rPr>
          <w:rFonts w:asciiTheme="minorHAnsi" w:hAnsiTheme="minorHAnsi"/>
          <w:sz w:val="22"/>
          <w:szCs w:val="22"/>
          <w:lang w:val="en-GB"/>
        </w:rPr>
      </w:pPr>
    </w:p>
    <w:p w:rsidR="0043466E" w:rsidRDefault="0043466E" w:rsidP="0043466E">
      <w:pPr>
        <w:pStyle w:val="Header"/>
        <w:tabs>
          <w:tab w:val="left" w:pos="720"/>
        </w:tabs>
        <w:jc w:val="both"/>
        <w:rPr>
          <w:rFonts w:asciiTheme="minorHAnsi" w:hAnsiTheme="minorHAnsi"/>
          <w:b/>
          <w:sz w:val="22"/>
          <w:szCs w:val="22"/>
          <w:lang w:val="en-GB"/>
        </w:rPr>
      </w:pPr>
      <w:r>
        <w:rPr>
          <w:rFonts w:asciiTheme="minorHAnsi" w:hAnsiTheme="minorHAnsi"/>
          <w:sz w:val="22"/>
          <w:szCs w:val="22"/>
          <w:lang w:val="en-GB"/>
        </w:rPr>
        <w:t xml:space="preserve">Recent decisions by regulatory authorities estimate the equity risk premium in the range of 3.5 to 5%. Because DH Termokos is a public enterprise it is considered that the equity risk is minimal and consequently it is assumed that the value of </w:t>
      </w:r>
      <w:r>
        <w:rPr>
          <w:rFonts w:asciiTheme="minorHAnsi" w:hAnsiTheme="minorHAnsi"/>
          <w:b/>
          <w:sz w:val="22"/>
          <w:szCs w:val="22"/>
          <w:lang w:val="en-GB"/>
        </w:rPr>
        <w:t>ERP is equal to 4.5%.</w:t>
      </w:r>
    </w:p>
    <w:p w:rsidR="0043466E" w:rsidRDefault="0043466E" w:rsidP="0043466E">
      <w:pPr>
        <w:pStyle w:val="Header"/>
        <w:tabs>
          <w:tab w:val="left" w:pos="720"/>
        </w:tabs>
        <w:jc w:val="both"/>
        <w:rPr>
          <w:rFonts w:asciiTheme="minorHAnsi" w:hAnsiTheme="minorHAnsi"/>
          <w:b/>
          <w:sz w:val="22"/>
          <w:szCs w:val="22"/>
          <w:lang w:val="en-GB"/>
        </w:rPr>
      </w:pPr>
    </w:p>
    <w:p w:rsidR="0043466E" w:rsidRDefault="0043466E" w:rsidP="0043466E">
      <w:pPr>
        <w:pStyle w:val="Header"/>
        <w:tabs>
          <w:tab w:val="left" w:pos="720"/>
        </w:tabs>
        <w:jc w:val="both"/>
        <w:rPr>
          <w:rFonts w:asciiTheme="minorHAnsi" w:hAnsiTheme="minorHAnsi"/>
          <w:sz w:val="22"/>
          <w:szCs w:val="22"/>
          <w:lang w:val="en-GB"/>
        </w:rPr>
      </w:pPr>
      <w:r>
        <w:rPr>
          <w:rFonts w:asciiTheme="minorHAnsi" w:hAnsiTheme="minorHAnsi"/>
          <w:sz w:val="22"/>
          <w:szCs w:val="22"/>
          <w:lang w:val="en-GB"/>
        </w:rPr>
        <w:t>The average asset Beta for electricity grids in the EU and integrated enterprises is 0.42 compared to 0.54 - 0.63 for enterprises that have only generation and supply in the EU and USA. Because Kosovo's district heating industry is small, it seems reasonable to assume that the demand growth - which is the main driver of revenue growth - will be more unpredictable than GDP growth - which is the main factor for the growth of the commodity and stock market - than in large and developed countries. Adding a single large consumer to district heating means increasing the demand for district heating compared to the previous demand, while the impact on GDP may be much smaller. In order to take into account the more unpredictable nature of the revenues of district heating companies compared to GDP growth, we estimate that the cost of equity is higher than the average set by EU regulators, and we consider that “</w:t>
      </w:r>
      <w:r>
        <w:rPr>
          <w:rFonts w:asciiTheme="minorHAnsi" w:hAnsiTheme="minorHAnsi"/>
          <w:bCs/>
          <w:sz w:val="22"/>
          <w:szCs w:val="22"/>
          <w:lang w:val="en-GB"/>
        </w:rPr>
        <w:t>β</w:t>
      </w:r>
      <w:r>
        <w:rPr>
          <w:rFonts w:asciiTheme="minorHAnsi" w:hAnsiTheme="minorHAnsi"/>
          <w:bCs/>
          <w:sz w:val="22"/>
          <w:szCs w:val="22"/>
          <w:vertAlign w:val="subscript"/>
          <w:lang w:val="en-GB"/>
        </w:rPr>
        <w:t>e</w:t>
      </w:r>
      <w:r>
        <w:rPr>
          <w:rFonts w:asciiTheme="minorHAnsi" w:hAnsiTheme="minorHAnsi"/>
          <w:bCs/>
          <w:sz w:val="22"/>
          <w:szCs w:val="22"/>
          <w:lang w:val="en-GB"/>
        </w:rPr>
        <w:t>” is reasonable for district heating companies in Kosovo to be</w:t>
      </w:r>
      <w:r>
        <w:rPr>
          <w:rFonts w:asciiTheme="minorHAnsi" w:hAnsiTheme="minorHAnsi"/>
          <w:lang w:val="en-GB"/>
        </w:rPr>
        <w:t xml:space="preserve"> </w:t>
      </w:r>
      <w:r>
        <w:rPr>
          <w:rFonts w:asciiTheme="minorHAnsi" w:hAnsiTheme="minorHAnsi"/>
          <w:b/>
          <w:bCs/>
          <w:sz w:val="28"/>
          <w:szCs w:val="28"/>
          <w:lang w:val="en-GB"/>
        </w:rPr>
        <w:t>β</w:t>
      </w:r>
      <w:r>
        <w:rPr>
          <w:rFonts w:asciiTheme="minorHAnsi" w:hAnsiTheme="minorHAnsi"/>
          <w:b/>
          <w:bCs/>
          <w:sz w:val="28"/>
          <w:szCs w:val="28"/>
          <w:vertAlign w:val="subscript"/>
          <w:lang w:val="en-GB"/>
        </w:rPr>
        <w:t>e</w:t>
      </w:r>
      <w:r>
        <w:rPr>
          <w:rFonts w:asciiTheme="minorHAnsi" w:hAnsiTheme="minorHAnsi"/>
          <w:b/>
          <w:bCs/>
          <w:sz w:val="28"/>
          <w:szCs w:val="28"/>
          <w:lang w:val="en-GB"/>
        </w:rPr>
        <w:t xml:space="preserve"> = 1.</w:t>
      </w:r>
    </w:p>
    <w:p w:rsidR="0043466E" w:rsidRDefault="0043466E" w:rsidP="0043466E">
      <w:pPr>
        <w:pStyle w:val="Header"/>
        <w:tabs>
          <w:tab w:val="left" w:pos="720"/>
        </w:tabs>
        <w:jc w:val="both"/>
        <w:rPr>
          <w:rFonts w:asciiTheme="minorHAnsi" w:hAnsiTheme="minorHAnsi"/>
          <w:sz w:val="22"/>
          <w:szCs w:val="22"/>
          <w:lang w:val="en-GB"/>
        </w:rPr>
      </w:pPr>
    </w:p>
    <w:p w:rsidR="0043466E" w:rsidRDefault="0043466E" w:rsidP="0043466E">
      <w:pPr>
        <w:pStyle w:val="Header"/>
        <w:tabs>
          <w:tab w:val="left" w:pos="720"/>
        </w:tabs>
        <w:rPr>
          <w:rFonts w:asciiTheme="minorHAnsi" w:hAnsiTheme="minorHAnsi"/>
          <w:sz w:val="22"/>
          <w:szCs w:val="22"/>
          <w:lang w:val="en-GB"/>
        </w:rPr>
      </w:pPr>
      <w:r>
        <w:rPr>
          <w:rFonts w:asciiTheme="minorHAnsi" w:hAnsiTheme="minorHAnsi"/>
          <w:sz w:val="22"/>
          <w:szCs w:val="22"/>
          <w:lang w:val="en-GB"/>
        </w:rPr>
        <w:t>The post-tax cost of equity is as follows:</w:t>
      </w:r>
    </w:p>
    <w:p w:rsidR="0043466E" w:rsidRDefault="0043466E" w:rsidP="0043466E">
      <w:pPr>
        <w:pStyle w:val="Header"/>
        <w:tabs>
          <w:tab w:val="left" w:pos="720"/>
        </w:tabs>
        <w:rPr>
          <w:rFonts w:asciiTheme="minorHAnsi" w:hAnsiTheme="minorHAnsi"/>
          <w:sz w:val="16"/>
          <w:szCs w:val="16"/>
          <w:lang w:val="en-GB"/>
        </w:rPr>
      </w:pPr>
      <w:r>
        <w:rPr>
          <w:rFonts w:asciiTheme="minorHAnsi" w:hAnsiTheme="minorHAnsi"/>
          <w:sz w:val="22"/>
          <w:szCs w:val="22"/>
          <w:lang w:val="en-GB"/>
        </w:rPr>
        <w:t xml:space="preserve"> </w:t>
      </w:r>
    </w:p>
    <w:p w:rsidR="0043466E" w:rsidRDefault="0043466E" w:rsidP="0043466E">
      <w:pPr>
        <w:pStyle w:val="Header"/>
        <w:tabs>
          <w:tab w:val="left" w:pos="720"/>
        </w:tabs>
        <w:jc w:val="center"/>
        <w:rPr>
          <w:rFonts w:asciiTheme="minorHAnsi" w:hAnsiTheme="minorHAnsi"/>
          <w:b/>
          <w:bCs/>
          <w:sz w:val="28"/>
          <w:szCs w:val="28"/>
          <w:lang w:val="en-GB"/>
        </w:rPr>
      </w:pPr>
      <w:r>
        <w:rPr>
          <w:rFonts w:asciiTheme="minorHAnsi" w:hAnsiTheme="minorHAnsi"/>
          <w:b/>
          <w:bCs/>
          <w:sz w:val="28"/>
          <w:szCs w:val="28"/>
          <w:bdr w:val="single" w:sz="4" w:space="0" w:color="auto" w:frame="1"/>
          <w:lang w:val="en-GB"/>
        </w:rPr>
        <w:t>K</w:t>
      </w:r>
      <w:r>
        <w:rPr>
          <w:rFonts w:asciiTheme="minorHAnsi" w:hAnsiTheme="minorHAnsi"/>
          <w:b/>
          <w:bCs/>
          <w:sz w:val="28"/>
          <w:szCs w:val="28"/>
          <w:bdr w:val="single" w:sz="4" w:space="0" w:color="auto" w:frame="1"/>
          <w:vertAlign w:val="subscript"/>
          <w:lang w:val="en-GB"/>
        </w:rPr>
        <w:t>e</w:t>
      </w:r>
      <w:r>
        <w:rPr>
          <w:rFonts w:asciiTheme="minorHAnsi" w:hAnsiTheme="minorHAnsi"/>
          <w:b/>
          <w:bCs/>
          <w:sz w:val="28"/>
          <w:szCs w:val="28"/>
          <w:bdr w:val="single" w:sz="4" w:space="0" w:color="auto" w:frame="1"/>
          <w:lang w:val="en-GB"/>
        </w:rPr>
        <w:t xml:space="preserve"> </w:t>
      </w:r>
      <w:r>
        <w:rPr>
          <w:rFonts w:asciiTheme="minorHAnsi" w:hAnsiTheme="minorHAnsi"/>
          <w:b/>
          <w:bCs/>
          <w:sz w:val="28"/>
          <w:szCs w:val="28"/>
          <w:bdr w:val="single" w:sz="4" w:space="0" w:color="auto" w:frame="1"/>
          <w:vertAlign w:val="subscript"/>
          <w:lang w:val="en-GB"/>
        </w:rPr>
        <w:t>post tax</w:t>
      </w:r>
      <w:r>
        <w:rPr>
          <w:rFonts w:asciiTheme="minorHAnsi" w:hAnsiTheme="minorHAnsi"/>
          <w:b/>
          <w:bCs/>
          <w:sz w:val="28"/>
          <w:szCs w:val="28"/>
          <w:bdr w:val="single" w:sz="4" w:space="0" w:color="auto" w:frame="1"/>
          <w:lang w:val="en-GB"/>
        </w:rPr>
        <w:t xml:space="preserve"> = 2.3% + (1 * 4.5%) = 6.80%</w:t>
      </w:r>
    </w:p>
    <w:p w:rsidR="0043466E" w:rsidRDefault="0043466E" w:rsidP="0043466E">
      <w:pPr>
        <w:pStyle w:val="Header"/>
        <w:tabs>
          <w:tab w:val="left" w:pos="720"/>
        </w:tabs>
        <w:rPr>
          <w:rFonts w:asciiTheme="minorHAnsi" w:hAnsiTheme="minorHAnsi"/>
          <w:bCs/>
          <w:color w:val="FF0000"/>
          <w:sz w:val="22"/>
          <w:szCs w:val="22"/>
          <w:lang w:val="en-GB"/>
        </w:rPr>
      </w:pPr>
    </w:p>
    <w:p w:rsidR="0043466E" w:rsidRDefault="0043466E" w:rsidP="0043466E">
      <w:pPr>
        <w:pStyle w:val="Header"/>
        <w:tabs>
          <w:tab w:val="left" w:pos="720"/>
        </w:tabs>
        <w:jc w:val="both"/>
        <w:rPr>
          <w:rFonts w:asciiTheme="minorHAnsi" w:hAnsiTheme="minorHAnsi"/>
          <w:bCs/>
          <w:sz w:val="22"/>
          <w:szCs w:val="22"/>
          <w:lang w:val="en-GB"/>
        </w:rPr>
      </w:pPr>
      <w:r>
        <w:rPr>
          <w:rFonts w:asciiTheme="minorHAnsi" w:hAnsiTheme="minorHAnsi"/>
          <w:bCs/>
          <w:sz w:val="22"/>
          <w:szCs w:val="22"/>
          <w:lang w:val="en-GB"/>
        </w:rPr>
        <w:t>The pre-tax cost of equity is found by multiplying the higher result of the post-tax cost of equity by tax wedge as follows:</w:t>
      </w:r>
    </w:p>
    <w:p w:rsidR="0043466E" w:rsidRDefault="0043466E" w:rsidP="0043466E">
      <w:pPr>
        <w:pStyle w:val="Header"/>
        <w:tabs>
          <w:tab w:val="left" w:pos="720"/>
        </w:tabs>
        <w:rPr>
          <w:rFonts w:asciiTheme="minorHAnsi" w:hAnsiTheme="minorHAnsi"/>
          <w:bCs/>
          <w:sz w:val="22"/>
          <w:szCs w:val="22"/>
          <w:lang w:val="en-GB"/>
        </w:rPr>
      </w:pPr>
    </w:p>
    <w:p w:rsidR="0043466E" w:rsidRDefault="0043466E" w:rsidP="0043466E">
      <w:pPr>
        <w:pStyle w:val="Header"/>
        <w:tabs>
          <w:tab w:val="left" w:pos="720"/>
        </w:tabs>
        <w:rPr>
          <w:rFonts w:asciiTheme="minorHAnsi" w:hAnsiTheme="minorHAnsi"/>
          <w:b/>
          <w:bCs/>
          <w:sz w:val="28"/>
          <w:szCs w:val="28"/>
          <w:lang w:val="en-GB"/>
        </w:rPr>
      </w:pPr>
      <w:r>
        <w:rPr>
          <w:rFonts w:asciiTheme="minorHAnsi" w:hAnsiTheme="minorHAnsi"/>
          <w:b/>
          <w:bCs/>
          <w:sz w:val="28"/>
          <w:szCs w:val="28"/>
          <w:lang w:val="en-GB"/>
        </w:rPr>
        <w:t>‘Tax wedge' = 1/(1-t)</w:t>
      </w:r>
    </w:p>
    <w:p w:rsidR="0043466E" w:rsidRDefault="0043466E" w:rsidP="0043466E">
      <w:pPr>
        <w:pStyle w:val="Header"/>
        <w:tabs>
          <w:tab w:val="left" w:pos="720"/>
        </w:tabs>
        <w:rPr>
          <w:rFonts w:asciiTheme="minorHAnsi" w:hAnsiTheme="minorHAnsi"/>
          <w:b/>
          <w:bCs/>
          <w:sz w:val="22"/>
          <w:szCs w:val="22"/>
          <w:lang w:val="en-GB"/>
        </w:rPr>
      </w:pPr>
    </w:p>
    <w:p w:rsidR="0043466E" w:rsidRDefault="0043466E" w:rsidP="0043466E">
      <w:pPr>
        <w:pStyle w:val="Header"/>
        <w:tabs>
          <w:tab w:val="left" w:pos="720"/>
        </w:tabs>
        <w:rPr>
          <w:rFonts w:asciiTheme="minorHAnsi" w:hAnsiTheme="minorHAnsi"/>
          <w:bCs/>
          <w:sz w:val="22"/>
          <w:szCs w:val="22"/>
          <w:lang w:val="en-GB"/>
        </w:rPr>
      </w:pPr>
      <w:r>
        <w:rPr>
          <w:rFonts w:asciiTheme="minorHAnsi" w:hAnsiTheme="minorHAnsi"/>
          <w:bCs/>
          <w:sz w:val="22"/>
          <w:szCs w:val="22"/>
          <w:lang w:val="en-GB"/>
        </w:rPr>
        <w:t>where:</w:t>
      </w:r>
    </w:p>
    <w:p w:rsidR="0043466E" w:rsidRDefault="0043466E" w:rsidP="0043466E">
      <w:pPr>
        <w:pStyle w:val="Header"/>
        <w:tabs>
          <w:tab w:val="left" w:pos="720"/>
        </w:tabs>
        <w:rPr>
          <w:rFonts w:asciiTheme="minorHAnsi" w:hAnsiTheme="minorHAnsi"/>
          <w:b/>
          <w:bCs/>
          <w:sz w:val="28"/>
          <w:szCs w:val="28"/>
          <w:lang w:val="en-GB"/>
        </w:rPr>
      </w:pPr>
      <w:r>
        <w:rPr>
          <w:rFonts w:asciiTheme="minorHAnsi" w:hAnsiTheme="minorHAnsi"/>
          <w:b/>
          <w:bCs/>
          <w:sz w:val="28"/>
          <w:szCs w:val="28"/>
          <w:lang w:val="en-GB"/>
        </w:rPr>
        <w:t>t</w:t>
      </w:r>
      <w:r>
        <w:rPr>
          <w:rFonts w:asciiTheme="minorHAnsi" w:hAnsiTheme="minorHAnsi"/>
          <w:bCs/>
          <w:lang w:val="en-GB"/>
        </w:rPr>
        <w:t xml:space="preserve">    </w:t>
      </w:r>
      <w:r>
        <w:rPr>
          <w:rFonts w:asciiTheme="minorHAnsi" w:hAnsiTheme="minorHAnsi"/>
          <w:bCs/>
          <w:lang w:val="en-GB"/>
        </w:rPr>
        <w:tab/>
      </w:r>
      <w:r>
        <w:rPr>
          <w:rFonts w:asciiTheme="minorHAnsi" w:hAnsiTheme="minorHAnsi"/>
          <w:bCs/>
          <w:sz w:val="22"/>
          <w:szCs w:val="22"/>
          <w:lang w:val="en-GB"/>
        </w:rPr>
        <w:t>Tax rate on corporate profit</w:t>
      </w:r>
      <w:r>
        <w:rPr>
          <w:rFonts w:asciiTheme="minorHAnsi" w:hAnsiTheme="minorHAnsi"/>
          <w:b/>
          <w:bCs/>
          <w:sz w:val="28"/>
          <w:szCs w:val="28"/>
          <w:lang w:val="en-GB"/>
        </w:rPr>
        <w:t xml:space="preserve"> </w:t>
      </w:r>
    </w:p>
    <w:p w:rsidR="0043466E" w:rsidRDefault="0043466E" w:rsidP="0043466E">
      <w:pPr>
        <w:pStyle w:val="Header"/>
        <w:tabs>
          <w:tab w:val="left" w:pos="720"/>
        </w:tabs>
        <w:rPr>
          <w:rFonts w:asciiTheme="minorHAnsi" w:hAnsiTheme="minorHAnsi"/>
          <w:b/>
          <w:bCs/>
          <w:sz w:val="22"/>
          <w:szCs w:val="22"/>
          <w:lang w:val="en-GB"/>
        </w:rPr>
      </w:pPr>
    </w:p>
    <w:p w:rsidR="0043466E" w:rsidRDefault="0043466E" w:rsidP="0043466E">
      <w:pPr>
        <w:pStyle w:val="Header"/>
        <w:tabs>
          <w:tab w:val="left" w:pos="720"/>
        </w:tabs>
        <w:rPr>
          <w:rFonts w:asciiTheme="minorHAnsi" w:hAnsiTheme="minorHAnsi"/>
          <w:bCs/>
          <w:sz w:val="22"/>
          <w:szCs w:val="22"/>
          <w:lang w:val="en-GB"/>
        </w:rPr>
      </w:pPr>
      <w:r>
        <w:rPr>
          <w:rFonts w:asciiTheme="minorHAnsi" w:hAnsiTheme="minorHAnsi"/>
          <w:bCs/>
          <w:sz w:val="22"/>
          <w:szCs w:val="22"/>
          <w:lang w:val="en-GB"/>
        </w:rPr>
        <w:t xml:space="preserve">Profit tax in Kosovo is 10% and the tax wedge is: </w:t>
      </w:r>
    </w:p>
    <w:p w:rsidR="0043466E" w:rsidRDefault="0043466E" w:rsidP="0043466E">
      <w:pPr>
        <w:pStyle w:val="Header"/>
        <w:tabs>
          <w:tab w:val="left" w:pos="720"/>
        </w:tabs>
        <w:rPr>
          <w:rFonts w:asciiTheme="minorHAnsi" w:hAnsiTheme="minorHAnsi"/>
          <w:bCs/>
          <w:sz w:val="22"/>
          <w:szCs w:val="22"/>
          <w:lang w:val="en-GB"/>
        </w:rPr>
      </w:pPr>
    </w:p>
    <w:p w:rsidR="0043466E" w:rsidRDefault="0043466E" w:rsidP="0043466E">
      <w:pPr>
        <w:pStyle w:val="Header"/>
        <w:tabs>
          <w:tab w:val="left" w:pos="720"/>
        </w:tabs>
        <w:rPr>
          <w:rFonts w:asciiTheme="minorHAnsi" w:hAnsiTheme="minorHAnsi"/>
          <w:b/>
          <w:bCs/>
          <w:sz w:val="28"/>
          <w:szCs w:val="28"/>
          <w:lang w:val="en-GB"/>
        </w:rPr>
      </w:pPr>
      <w:r>
        <w:rPr>
          <w:rFonts w:asciiTheme="minorHAnsi" w:hAnsiTheme="minorHAnsi"/>
          <w:b/>
          <w:bCs/>
          <w:sz w:val="28"/>
          <w:szCs w:val="28"/>
          <w:lang w:val="en-GB"/>
        </w:rPr>
        <w:t>1/(1-0.10) = 1.11</w:t>
      </w:r>
    </w:p>
    <w:p w:rsidR="0043466E" w:rsidRDefault="0043466E" w:rsidP="0043466E">
      <w:pPr>
        <w:pStyle w:val="Header"/>
        <w:tabs>
          <w:tab w:val="left" w:pos="720"/>
        </w:tabs>
        <w:rPr>
          <w:rFonts w:asciiTheme="minorHAnsi" w:hAnsiTheme="minorHAnsi"/>
          <w:b/>
          <w:bCs/>
          <w:sz w:val="22"/>
          <w:szCs w:val="22"/>
          <w:lang w:val="en-GB"/>
        </w:rPr>
      </w:pPr>
    </w:p>
    <w:p w:rsidR="0043466E" w:rsidRDefault="0043466E" w:rsidP="0043466E">
      <w:pPr>
        <w:pStyle w:val="Header"/>
        <w:tabs>
          <w:tab w:val="left" w:pos="720"/>
        </w:tabs>
        <w:rPr>
          <w:rFonts w:asciiTheme="minorHAnsi" w:hAnsiTheme="minorHAnsi"/>
          <w:bCs/>
          <w:sz w:val="22"/>
          <w:szCs w:val="22"/>
          <w:lang w:val="en-GB"/>
        </w:rPr>
      </w:pPr>
      <w:r>
        <w:rPr>
          <w:rFonts w:asciiTheme="minorHAnsi" w:hAnsiTheme="minorHAnsi"/>
          <w:bCs/>
          <w:sz w:val="22"/>
          <w:szCs w:val="22"/>
          <w:lang w:val="en-GB"/>
        </w:rPr>
        <w:t>Pre-tax cost of equity is:</w:t>
      </w:r>
    </w:p>
    <w:p w:rsidR="0043466E" w:rsidRDefault="0043466E" w:rsidP="0043466E">
      <w:pPr>
        <w:pStyle w:val="Header"/>
        <w:tabs>
          <w:tab w:val="left" w:pos="720"/>
        </w:tabs>
        <w:jc w:val="center"/>
        <w:rPr>
          <w:rFonts w:asciiTheme="minorHAnsi" w:hAnsiTheme="minorHAnsi"/>
          <w:b/>
          <w:bCs/>
          <w:sz w:val="28"/>
          <w:szCs w:val="28"/>
          <w:highlight w:val="yellow"/>
          <w:bdr w:val="single" w:sz="4" w:space="0" w:color="auto" w:frame="1"/>
          <w:lang w:val="en-GB"/>
        </w:rPr>
      </w:pPr>
    </w:p>
    <w:p w:rsidR="0043466E" w:rsidRDefault="0043466E" w:rsidP="0043466E">
      <w:pPr>
        <w:pStyle w:val="Header"/>
        <w:tabs>
          <w:tab w:val="left" w:pos="720"/>
        </w:tabs>
        <w:jc w:val="center"/>
        <w:rPr>
          <w:rFonts w:asciiTheme="minorHAnsi" w:hAnsiTheme="minorHAnsi"/>
          <w:b/>
          <w:bCs/>
          <w:sz w:val="28"/>
          <w:szCs w:val="28"/>
          <w:bdr w:val="single" w:sz="4" w:space="0" w:color="auto" w:frame="1"/>
          <w:lang w:val="en-GB"/>
        </w:rPr>
      </w:pPr>
      <w:r>
        <w:rPr>
          <w:rFonts w:asciiTheme="minorHAnsi" w:hAnsiTheme="minorHAnsi"/>
          <w:b/>
          <w:bCs/>
          <w:sz w:val="28"/>
          <w:szCs w:val="28"/>
          <w:bdr w:val="single" w:sz="4" w:space="0" w:color="auto" w:frame="1"/>
          <w:lang w:val="en-GB"/>
        </w:rPr>
        <w:t xml:space="preserve">    k</w:t>
      </w:r>
      <w:r>
        <w:rPr>
          <w:rFonts w:asciiTheme="minorHAnsi" w:hAnsiTheme="minorHAnsi"/>
          <w:b/>
          <w:bCs/>
          <w:sz w:val="28"/>
          <w:szCs w:val="28"/>
          <w:bdr w:val="single" w:sz="4" w:space="0" w:color="auto" w:frame="1"/>
          <w:vertAlign w:val="subscript"/>
          <w:lang w:val="en-GB"/>
        </w:rPr>
        <w:t>e pre-tax</w:t>
      </w:r>
      <w:r>
        <w:rPr>
          <w:rFonts w:asciiTheme="minorHAnsi" w:hAnsiTheme="minorHAnsi"/>
          <w:b/>
          <w:bCs/>
          <w:sz w:val="28"/>
          <w:szCs w:val="28"/>
          <w:bdr w:val="single" w:sz="4" w:space="0" w:color="auto" w:frame="1"/>
          <w:lang w:val="en-GB"/>
        </w:rPr>
        <w:t xml:space="preserve"> = 6.80% * 1.11 = 7.55%   </w:t>
      </w:r>
    </w:p>
    <w:p w:rsidR="0043466E" w:rsidRDefault="0043466E" w:rsidP="0043466E">
      <w:pPr>
        <w:pStyle w:val="Header"/>
        <w:tabs>
          <w:tab w:val="left" w:pos="720"/>
        </w:tabs>
        <w:jc w:val="center"/>
        <w:rPr>
          <w:rFonts w:asciiTheme="minorHAnsi" w:hAnsiTheme="minorHAnsi"/>
          <w:b/>
          <w:bCs/>
          <w:i/>
          <w:color w:val="FF0000"/>
          <w:sz w:val="22"/>
          <w:szCs w:val="22"/>
          <w:bdr w:val="single" w:sz="4" w:space="0" w:color="auto" w:frame="1"/>
          <w:lang w:val="en-GB"/>
        </w:rPr>
      </w:pPr>
    </w:p>
    <w:p w:rsidR="0043466E" w:rsidRDefault="0043466E" w:rsidP="0043466E">
      <w:pPr>
        <w:pStyle w:val="Header"/>
        <w:tabs>
          <w:tab w:val="left" w:pos="720"/>
        </w:tabs>
        <w:jc w:val="both"/>
        <w:rPr>
          <w:rFonts w:asciiTheme="minorHAnsi" w:hAnsiTheme="minorHAnsi"/>
          <w:bCs/>
          <w:sz w:val="22"/>
          <w:szCs w:val="22"/>
          <w:lang w:val="en-GB"/>
        </w:rPr>
      </w:pPr>
      <w:r>
        <w:rPr>
          <w:rFonts w:asciiTheme="minorHAnsi" w:hAnsiTheme="minorHAnsi"/>
          <w:bCs/>
          <w:sz w:val="22"/>
          <w:szCs w:val="22"/>
          <w:lang w:val="en-GB"/>
        </w:rPr>
        <w:t>As a consequence of the above calculations, it is calculated the pre-tax WACC – rounded to two decimals – as below:</w:t>
      </w:r>
    </w:p>
    <w:p w:rsidR="0043466E" w:rsidRDefault="0043466E" w:rsidP="0043466E">
      <w:pPr>
        <w:pStyle w:val="Header"/>
        <w:tabs>
          <w:tab w:val="left" w:pos="720"/>
        </w:tabs>
        <w:rPr>
          <w:rFonts w:asciiTheme="minorHAnsi" w:hAnsiTheme="minorHAnsi"/>
          <w:bCs/>
          <w:sz w:val="22"/>
          <w:szCs w:val="22"/>
          <w:lang w:val="en-GB"/>
        </w:rPr>
      </w:pPr>
    </w:p>
    <w:p w:rsidR="0043466E" w:rsidRDefault="0043466E" w:rsidP="0043466E">
      <w:pPr>
        <w:pStyle w:val="Header"/>
        <w:tabs>
          <w:tab w:val="left" w:pos="720"/>
        </w:tabs>
        <w:jc w:val="center"/>
        <w:rPr>
          <w:rFonts w:asciiTheme="minorHAnsi" w:hAnsiTheme="minorHAnsi"/>
          <w:b/>
          <w:sz w:val="36"/>
          <w:szCs w:val="36"/>
          <w:bdr w:val="single" w:sz="4" w:space="0" w:color="auto" w:frame="1"/>
          <w:lang w:val="en-GB"/>
        </w:rPr>
      </w:pPr>
      <w:r>
        <w:rPr>
          <w:rFonts w:asciiTheme="minorHAnsi" w:hAnsiTheme="minorHAnsi"/>
          <w:b/>
          <w:sz w:val="36"/>
          <w:szCs w:val="36"/>
          <w:bdr w:val="single" w:sz="4" w:space="0" w:color="auto" w:frame="1"/>
          <w:lang w:val="en-GB"/>
        </w:rPr>
        <w:t xml:space="preserve">    WACC</w:t>
      </w:r>
      <w:r>
        <w:rPr>
          <w:rFonts w:asciiTheme="minorHAnsi" w:hAnsiTheme="minorHAnsi"/>
          <w:b/>
          <w:sz w:val="36"/>
          <w:szCs w:val="36"/>
          <w:bdr w:val="single" w:sz="4" w:space="0" w:color="auto" w:frame="1"/>
          <w:vertAlign w:val="subscript"/>
          <w:lang w:val="en-GB"/>
        </w:rPr>
        <w:t>pre-tax</w:t>
      </w:r>
      <w:r>
        <w:rPr>
          <w:rFonts w:asciiTheme="minorHAnsi" w:hAnsiTheme="minorHAnsi"/>
          <w:b/>
          <w:sz w:val="36"/>
          <w:szCs w:val="36"/>
          <w:bdr w:val="single" w:sz="4" w:space="0" w:color="auto" w:frame="1"/>
          <w:lang w:val="en-GB"/>
        </w:rPr>
        <w:t xml:space="preserve"> = [8.79% * 0.6] + [7.55% * 0.4] = 8.30% </w:t>
      </w:r>
    </w:p>
    <w:p w:rsidR="0043466E" w:rsidRDefault="0043466E" w:rsidP="0043466E">
      <w:pPr>
        <w:pStyle w:val="Header"/>
        <w:tabs>
          <w:tab w:val="left" w:pos="720"/>
        </w:tabs>
        <w:jc w:val="center"/>
        <w:rPr>
          <w:rFonts w:asciiTheme="minorHAnsi" w:hAnsiTheme="minorHAnsi"/>
          <w:b/>
          <w:sz w:val="22"/>
          <w:szCs w:val="22"/>
          <w:lang w:val="en-GB"/>
        </w:rPr>
      </w:pPr>
    </w:p>
    <w:p w:rsidR="0043466E" w:rsidRDefault="0043466E" w:rsidP="0043466E">
      <w:pPr>
        <w:rPr>
          <w:rFonts w:asciiTheme="minorHAnsi" w:hAnsiTheme="minorHAnsi" w:cs="Calibri"/>
          <w:sz w:val="22"/>
          <w:szCs w:val="22"/>
          <w:u w:val="single"/>
          <w:lang w:val="en-GB"/>
        </w:rPr>
      </w:pPr>
      <w:bookmarkStart w:id="131" w:name="_Toc339539132"/>
      <w:bookmarkStart w:id="132" w:name="_Toc339538673"/>
    </w:p>
    <w:p w:rsidR="0043466E" w:rsidRDefault="0043466E" w:rsidP="0043466E">
      <w:pPr>
        <w:rPr>
          <w:rFonts w:asciiTheme="minorHAnsi" w:hAnsiTheme="minorHAnsi" w:cs="Calibri"/>
          <w:sz w:val="22"/>
          <w:szCs w:val="22"/>
          <w:u w:val="single"/>
          <w:lang w:val="en-GB"/>
        </w:rPr>
      </w:pPr>
      <w:r>
        <w:rPr>
          <w:rFonts w:asciiTheme="minorHAnsi" w:hAnsiTheme="minorHAnsi"/>
          <w:sz w:val="22"/>
          <w:szCs w:val="22"/>
          <w:u w:val="single"/>
          <w:lang w:val="en-GB"/>
        </w:rPr>
        <w:t>Calculation of Allowed Return on RAB</w:t>
      </w:r>
      <w:r>
        <w:rPr>
          <w:rFonts w:asciiTheme="minorHAnsi" w:hAnsiTheme="minorHAnsi"/>
          <w:sz w:val="22"/>
          <w:szCs w:val="22"/>
          <w:u w:val="single"/>
          <w:vertAlign w:val="subscript"/>
          <w:lang w:val="en-GB"/>
        </w:rPr>
        <w:t>f</w:t>
      </w:r>
      <w:r>
        <w:rPr>
          <w:rFonts w:asciiTheme="minorHAnsi" w:hAnsiTheme="minorHAnsi"/>
          <w:sz w:val="22"/>
          <w:szCs w:val="22"/>
          <w:u w:val="single"/>
          <w:lang w:val="en-GB"/>
        </w:rPr>
        <w:t xml:space="preserve"> for DH Termokos</w:t>
      </w:r>
      <w:bookmarkEnd w:id="131"/>
      <w:bookmarkEnd w:id="132"/>
    </w:p>
    <w:p w:rsidR="0043466E" w:rsidRDefault="0043466E" w:rsidP="0043466E">
      <w:pPr>
        <w:jc w:val="both"/>
        <w:rPr>
          <w:rFonts w:asciiTheme="minorHAnsi" w:hAnsiTheme="minorHAnsi"/>
          <w:b/>
          <w:bCs/>
          <w:sz w:val="22"/>
          <w:lang w:val="en-GB"/>
        </w:rPr>
      </w:pPr>
    </w:p>
    <w:p w:rsidR="0043466E" w:rsidRDefault="0043466E" w:rsidP="0043466E">
      <w:pPr>
        <w:jc w:val="both"/>
        <w:rPr>
          <w:rFonts w:asciiTheme="minorHAnsi" w:hAnsiTheme="minorHAnsi"/>
          <w:sz w:val="22"/>
          <w:szCs w:val="22"/>
          <w:lang w:val="en-GB"/>
        </w:rPr>
      </w:pPr>
      <w:r>
        <w:rPr>
          <w:rFonts w:asciiTheme="minorHAnsi" w:hAnsiTheme="minorHAnsi"/>
          <w:sz w:val="22"/>
          <w:szCs w:val="22"/>
          <w:lang w:val="en-GB"/>
        </w:rPr>
        <w:t>Based on the calculated WACC</w:t>
      </w:r>
      <w:r>
        <w:rPr>
          <w:rFonts w:asciiTheme="minorHAnsi" w:hAnsiTheme="minorHAnsi"/>
          <w:sz w:val="22"/>
          <w:szCs w:val="22"/>
          <w:vertAlign w:val="subscript"/>
          <w:lang w:val="en-GB"/>
        </w:rPr>
        <w:t xml:space="preserve">pre-tax </w:t>
      </w:r>
      <w:r>
        <w:rPr>
          <w:rFonts w:asciiTheme="minorHAnsi" w:hAnsiTheme="minorHAnsi"/>
          <w:sz w:val="22"/>
          <w:szCs w:val="22"/>
          <w:lang w:val="en-GB"/>
        </w:rPr>
        <w:t>of 8.30% as mentioned in 3.4.1, we are now able to calculate the Allowed Return or Allowed Profit for DH TERMOKOS, according to the formula below:</w:t>
      </w:r>
    </w:p>
    <w:p w:rsidR="0043466E" w:rsidRDefault="0043466E" w:rsidP="0043466E">
      <w:pPr>
        <w:pStyle w:val="BodyText2"/>
        <w:jc w:val="both"/>
        <w:rPr>
          <w:rFonts w:asciiTheme="minorHAnsi" w:hAnsiTheme="minorHAnsi"/>
          <w:b w:val="0"/>
          <w:bCs/>
          <w:sz w:val="22"/>
          <w:szCs w:val="22"/>
          <w:lang w:val="en-GB"/>
        </w:rPr>
      </w:pPr>
    </w:p>
    <w:p w:rsidR="0043466E" w:rsidRDefault="0043466E" w:rsidP="0043466E">
      <w:pPr>
        <w:pStyle w:val="BodyText2"/>
        <w:jc w:val="center"/>
        <w:rPr>
          <w:rFonts w:asciiTheme="minorHAnsi" w:hAnsiTheme="minorHAnsi"/>
          <w:szCs w:val="28"/>
          <w:lang w:val="en-GB"/>
        </w:rPr>
      </w:pPr>
      <w:r>
        <w:rPr>
          <w:rFonts w:asciiTheme="minorHAnsi" w:hAnsiTheme="minorHAnsi"/>
          <w:bCs/>
          <w:szCs w:val="28"/>
          <w:lang w:val="en-GB"/>
        </w:rPr>
        <w:t>RET = RoR x RAB</w:t>
      </w:r>
      <w:r>
        <w:rPr>
          <w:rFonts w:asciiTheme="minorHAnsi" w:hAnsiTheme="minorHAnsi"/>
          <w:bCs/>
          <w:szCs w:val="28"/>
          <w:vertAlign w:val="subscript"/>
          <w:lang w:val="en-GB"/>
        </w:rPr>
        <w:t>f</w:t>
      </w:r>
      <w:r>
        <w:rPr>
          <w:rFonts w:asciiTheme="minorHAnsi" w:hAnsiTheme="minorHAnsi"/>
          <w:bCs/>
          <w:szCs w:val="28"/>
          <w:lang w:val="en-GB"/>
        </w:rPr>
        <w:t xml:space="preserve"> </w:t>
      </w:r>
    </w:p>
    <w:p w:rsidR="0043466E" w:rsidRDefault="0043466E" w:rsidP="0043466E">
      <w:pPr>
        <w:jc w:val="center"/>
        <w:rPr>
          <w:rFonts w:asciiTheme="minorHAnsi" w:hAnsiTheme="minorHAnsi"/>
          <w:sz w:val="22"/>
          <w:szCs w:val="22"/>
          <w:lang w:val="en-GB"/>
        </w:rPr>
      </w:pPr>
    </w:p>
    <w:p w:rsidR="0043466E" w:rsidRDefault="0043466E" w:rsidP="0043466E">
      <w:pPr>
        <w:pStyle w:val="BodyText2"/>
        <w:ind w:left="0" w:firstLine="0"/>
        <w:jc w:val="both"/>
        <w:rPr>
          <w:rFonts w:asciiTheme="minorHAnsi" w:hAnsiTheme="minorHAnsi"/>
          <w:bCs/>
          <w:sz w:val="22"/>
          <w:szCs w:val="22"/>
          <w:lang w:val="en-GB"/>
        </w:rPr>
      </w:pPr>
      <w:r>
        <w:rPr>
          <w:rFonts w:asciiTheme="minorHAnsi" w:hAnsiTheme="minorHAnsi"/>
          <w:bCs/>
          <w:sz w:val="22"/>
          <w:szCs w:val="22"/>
          <w:lang w:val="en-GB"/>
        </w:rPr>
        <w:t>Therefore, the Allowed Return on RAB</w:t>
      </w:r>
      <w:r>
        <w:rPr>
          <w:rFonts w:asciiTheme="minorHAnsi" w:hAnsiTheme="minorHAnsi"/>
          <w:bCs/>
          <w:sz w:val="22"/>
          <w:szCs w:val="22"/>
          <w:vertAlign w:val="subscript"/>
          <w:lang w:val="en-GB"/>
        </w:rPr>
        <w:t>f</w:t>
      </w:r>
      <w:r>
        <w:rPr>
          <w:rFonts w:asciiTheme="minorHAnsi" w:hAnsiTheme="minorHAnsi"/>
          <w:bCs/>
          <w:sz w:val="22"/>
          <w:szCs w:val="22"/>
          <w:lang w:val="en-GB"/>
        </w:rPr>
        <w:t xml:space="preserve"> is</w:t>
      </w:r>
      <w:r>
        <w:rPr>
          <w:rFonts w:asciiTheme="minorHAnsi" w:hAnsiTheme="minorHAnsi"/>
          <w:sz w:val="22"/>
          <w:szCs w:val="22"/>
          <w:lang w:val="en-GB"/>
        </w:rPr>
        <w:t xml:space="preserve"> equal to 10,791,349€ * 8:30% = </w:t>
      </w:r>
      <w:r>
        <w:rPr>
          <w:rFonts w:asciiTheme="minorHAnsi" w:hAnsiTheme="minorHAnsi"/>
          <w:bCs/>
          <w:sz w:val="22"/>
          <w:szCs w:val="22"/>
          <w:lang w:val="en-GB"/>
        </w:rPr>
        <w:t>895,274€.</w:t>
      </w:r>
    </w:p>
    <w:p w:rsidR="0043466E" w:rsidRDefault="0043466E" w:rsidP="0043466E">
      <w:pPr>
        <w:rPr>
          <w:lang w:val="en-GB"/>
        </w:rPr>
      </w:pPr>
    </w:p>
    <w:p w:rsidR="0043466E" w:rsidRDefault="0043466E" w:rsidP="0043466E">
      <w:pPr>
        <w:pStyle w:val="Heading3"/>
        <w:rPr>
          <w:lang w:val="en-GB"/>
        </w:rPr>
      </w:pPr>
      <w:bookmarkStart w:id="133" w:name="_Toc21514868"/>
      <w:bookmarkStart w:id="134" w:name="_Toc21515568"/>
      <w:bookmarkStart w:id="135" w:name="_Toc21521391"/>
      <w:bookmarkStart w:id="136" w:name="_Toc52186240"/>
      <w:r>
        <w:rPr>
          <w:lang w:val="en-GB"/>
        </w:rPr>
        <w:t xml:space="preserve">Table 5: </w:t>
      </w:r>
      <w:bookmarkStart w:id="137" w:name="_Toc21514384"/>
      <w:r>
        <w:rPr>
          <w:lang w:val="en-GB"/>
        </w:rPr>
        <w:t>Allowed Return (Allowed Profit) on RAB</w:t>
      </w:r>
      <w:r>
        <w:rPr>
          <w:vertAlign w:val="subscript"/>
          <w:lang w:val="en-GB"/>
        </w:rPr>
        <w:t>f</w:t>
      </w:r>
      <w:r>
        <w:rPr>
          <w:lang w:val="en-GB"/>
        </w:rPr>
        <w:t xml:space="preserve"> for the heating season 2020/202</w:t>
      </w:r>
      <w:bookmarkEnd w:id="133"/>
      <w:bookmarkEnd w:id="134"/>
      <w:bookmarkEnd w:id="135"/>
      <w:bookmarkEnd w:id="137"/>
      <w:r>
        <w:rPr>
          <w:lang w:val="en-GB"/>
        </w:rPr>
        <w:t>1</w:t>
      </w:r>
      <w:bookmarkEnd w:id="136"/>
    </w:p>
    <w:tbl>
      <w:tblPr>
        <w:tblW w:w="8620" w:type="dxa"/>
        <w:tblInd w:w="98" w:type="dxa"/>
        <w:tblLook w:val="04A0" w:firstRow="1" w:lastRow="0" w:firstColumn="1" w:lastColumn="0" w:noHBand="0" w:noVBand="1"/>
      </w:tblPr>
      <w:tblGrid>
        <w:gridCol w:w="1320"/>
        <w:gridCol w:w="4680"/>
        <w:gridCol w:w="2620"/>
      </w:tblGrid>
      <w:tr w:rsidR="0043466E" w:rsidTr="0043466E">
        <w:trPr>
          <w:trHeight w:val="315"/>
        </w:trPr>
        <w:tc>
          <w:tcPr>
            <w:tcW w:w="6000" w:type="dxa"/>
            <w:gridSpan w:val="2"/>
            <w:tcBorders>
              <w:top w:val="single" w:sz="8" w:space="0" w:color="auto"/>
              <w:left w:val="single" w:sz="8" w:space="0" w:color="auto"/>
              <w:bottom w:val="nil"/>
              <w:right w:val="single" w:sz="8" w:space="0" w:color="000000"/>
            </w:tcBorders>
            <w:shd w:val="clear" w:color="auto" w:fill="B8CCE4"/>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Allowed Return on RAB</w:t>
            </w:r>
            <w:r>
              <w:rPr>
                <w:rFonts w:asciiTheme="minorHAnsi" w:hAnsiTheme="minorHAnsi"/>
                <w:b/>
                <w:bCs/>
                <w:color w:val="000000"/>
                <w:vertAlign w:val="subscript"/>
                <w:lang w:val="en-GB"/>
              </w:rPr>
              <w:t>f</w:t>
            </w:r>
          </w:p>
        </w:tc>
        <w:tc>
          <w:tcPr>
            <w:tcW w:w="2620" w:type="dxa"/>
            <w:vMerge w:val="restart"/>
            <w:tcBorders>
              <w:top w:val="single" w:sz="8" w:space="0" w:color="auto"/>
              <w:left w:val="single" w:sz="8" w:space="0" w:color="auto"/>
              <w:bottom w:val="single" w:sz="8" w:space="0" w:color="000000"/>
              <w:right w:val="single" w:sz="8" w:space="0" w:color="auto"/>
            </w:tcBorders>
            <w:shd w:val="clear" w:color="auto" w:fill="B8CCE4"/>
            <w:vAlign w:val="center"/>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Allowed by ERO [€]</w:t>
            </w:r>
          </w:p>
        </w:tc>
      </w:tr>
      <w:tr w:rsidR="0043466E" w:rsidTr="0043466E">
        <w:trPr>
          <w:trHeight w:val="375"/>
        </w:trPr>
        <w:tc>
          <w:tcPr>
            <w:tcW w:w="6000" w:type="dxa"/>
            <w:gridSpan w:val="2"/>
            <w:tcBorders>
              <w:top w:val="nil"/>
              <w:left w:val="single" w:sz="8" w:space="0" w:color="auto"/>
              <w:bottom w:val="single" w:sz="8" w:space="0" w:color="auto"/>
              <w:right w:val="single" w:sz="8" w:space="0" w:color="000000"/>
            </w:tcBorders>
            <w:shd w:val="clear" w:color="auto" w:fill="B8CCE4"/>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 xml:space="preserve">for DH TERMOKOS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b/>
                <w:bCs/>
                <w:color w:val="000000"/>
                <w:lang w:val="en-GB"/>
              </w:rPr>
            </w:pPr>
          </w:p>
        </w:tc>
      </w:tr>
      <w:tr w:rsidR="0043466E" w:rsidTr="0043466E">
        <w:trPr>
          <w:trHeight w:val="555"/>
        </w:trPr>
        <w:tc>
          <w:tcPr>
            <w:tcW w:w="1320" w:type="dxa"/>
            <w:tcBorders>
              <w:top w:val="nil"/>
              <w:left w:val="single" w:sz="8" w:space="0" w:color="auto"/>
              <w:bottom w:val="nil"/>
              <w:right w:val="single" w:sz="8" w:space="0" w:color="auto"/>
            </w:tcBorders>
            <w:shd w:val="clear" w:color="auto" w:fill="FFFF99"/>
            <w:vAlign w:val="center"/>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RAB</w:t>
            </w:r>
            <w:r>
              <w:rPr>
                <w:rFonts w:asciiTheme="minorHAnsi" w:hAnsiTheme="minorHAnsi"/>
                <w:b/>
                <w:bCs/>
                <w:color w:val="000000"/>
                <w:sz w:val="20"/>
                <w:szCs w:val="20"/>
                <w:vertAlign w:val="subscript"/>
                <w:lang w:val="en-GB"/>
              </w:rPr>
              <w:t>f</w:t>
            </w:r>
          </w:p>
        </w:tc>
        <w:tc>
          <w:tcPr>
            <w:tcW w:w="4680" w:type="dxa"/>
            <w:tcBorders>
              <w:top w:val="nil"/>
              <w:left w:val="nil"/>
              <w:bottom w:val="nil"/>
              <w:right w:val="single" w:sz="8" w:space="0" w:color="auto"/>
            </w:tcBorders>
            <w:shd w:val="clear" w:color="auto" w:fill="FFFF99"/>
            <w:vAlign w:val="center"/>
            <w:hideMark/>
          </w:tcPr>
          <w:p w:rsidR="0043466E" w:rsidRDefault="0043466E">
            <w:pPr>
              <w:rPr>
                <w:rFonts w:asciiTheme="minorHAnsi" w:eastAsia="Times New Roman" w:hAnsiTheme="minorHAnsi"/>
                <w:b/>
                <w:bCs/>
                <w:color w:val="000000"/>
                <w:lang w:val="en-GB"/>
              </w:rPr>
            </w:pPr>
            <w:r>
              <w:rPr>
                <w:rFonts w:asciiTheme="minorHAnsi" w:hAnsiTheme="minorHAnsi"/>
                <w:b/>
                <w:bCs/>
                <w:color w:val="000000"/>
                <w:lang w:val="en-GB"/>
              </w:rPr>
              <w:t xml:space="preserve">Regulatory Self-financed Asset Base </w:t>
            </w:r>
          </w:p>
        </w:tc>
        <w:tc>
          <w:tcPr>
            <w:tcW w:w="2620" w:type="dxa"/>
            <w:tcBorders>
              <w:top w:val="nil"/>
              <w:left w:val="nil"/>
              <w:bottom w:val="nil"/>
              <w:right w:val="single" w:sz="8" w:space="0" w:color="auto"/>
            </w:tcBorders>
            <w:shd w:val="clear" w:color="auto" w:fill="FFFF99"/>
            <w:vAlign w:val="center"/>
            <w:hideMark/>
          </w:tcPr>
          <w:p w:rsidR="0043466E" w:rsidRDefault="0043466E">
            <w:pPr>
              <w:jc w:val="right"/>
              <w:rPr>
                <w:rFonts w:asciiTheme="minorHAnsi" w:eastAsia="Times New Roman" w:hAnsiTheme="minorHAnsi"/>
                <w:b/>
                <w:bCs/>
                <w:color w:val="000000"/>
                <w:lang w:val="en-GB"/>
              </w:rPr>
            </w:pPr>
            <w:r>
              <w:rPr>
                <w:rFonts w:asciiTheme="minorHAnsi" w:hAnsiTheme="minorHAnsi"/>
                <w:b/>
                <w:bCs/>
                <w:color w:val="000000"/>
                <w:lang w:val="en-GB"/>
              </w:rPr>
              <w:t>10,791,349</w:t>
            </w:r>
          </w:p>
        </w:tc>
      </w:tr>
      <w:tr w:rsidR="0043466E" w:rsidTr="0043466E">
        <w:trPr>
          <w:trHeight w:val="540"/>
        </w:trPr>
        <w:tc>
          <w:tcPr>
            <w:tcW w:w="1320" w:type="dxa"/>
            <w:tcBorders>
              <w:top w:val="single" w:sz="8" w:space="0" w:color="auto"/>
              <w:left w:val="single" w:sz="8" w:space="0" w:color="auto"/>
              <w:bottom w:val="nil"/>
              <w:right w:val="single" w:sz="8" w:space="0" w:color="auto"/>
            </w:tcBorders>
            <w:shd w:val="clear" w:color="auto" w:fill="FFFF99"/>
            <w:vAlign w:val="center"/>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RoR</w:t>
            </w:r>
          </w:p>
        </w:tc>
        <w:tc>
          <w:tcPr>
            <w:tcW w:w="4680" w:type="dxa"/>
            <w:tcBorders>
              <w:top w:val="single" w:sz="8" w:space="0" w:color="auto"/>
              <w:left w:val="nil"/>
              <w:bottom w:val="nil"/>
              <w:right w:val="single" w:sz="8" w:space="0" w:color="auto"/>
            </w:tcBorders>
            <w:shd w:val="clear" w:color="auto" w:fill="FFFF99"/>
            <w:vAlign w:val="center"/>
            <w:hideMark/>
          </w:tcPr>
          <w:p w:rsidR="0043466E" w:rsidRDefault="0043466E">
            <w:pPr>
              <w:rPr>
                <w:rFonts w:asciiTheme="minorHAnsi" w:eastAsia="Times New Roman" w:hAnsiTheme="minorHAnsi"/>
                <w:b/>
                <w:bCs/>
                <w:color w:val="000000"/>
                <w:lang w:val="en-GB"/>
              </w:rPr>
            </w:pPr>
            <w:r>
              <w:rPr>
                <w:rFonts w:asciiTheme="minorHAnsi" w:hAnsiTheme="minorHAnsi"/>
                <w:b/>
                <w:bCs/>
                <w:color w:val="000000"/>
                <w:lang w:val="en-GB"/>
              </w:rPr>
              <w:t xml:space="preserve">Rate of Return at WACC level  </w:t>
            </w:r>
          </w:p>
        </w:tc>
        <w:tc>
          <w:tcPr>
            <w:tcW w:w="2620" w:type="dxa"/>
            <w:tcBorders>
              <w:top w:val="single" w:sz="8" w:space="0" w:color="auto"/>
              <w:left w:val="nil"/>
              <w:bottom w:val="nil"/>
              <w:right w:val="single" w:sz="8" w:space="0" w:color="auto"/>
            </w:tcBorders>
            <w:shd w:val="clear" w:color="auto" w:fill="FFFF99"/>
            <w:vAlign w:val="center"/>
            <w:hideMark/>
          </w:tcPr>
          <w:p w:rsidR="0043466E" w:rsidRDefault="0043466E">
            <w:pPr>
              <w:jc w:val="right"/>
              <w:rPr>
                <w:rFonts w:asciiTheme="minorHAnsi" w:eastAsia="Times New Roman" w:hAnsiTheme="minorHAnsi"/>
                <w:b/>
                <w:bCs/>
                <w:color w:val="000000"/>
                <w:lang w:val="en-GB"/>
              </w:rPr>
            </w:pPr>
            <w:r>
              <w:rPr>
                <w:rFonts w:asciiTheme="minorHAnsi" w:hAnsiTheme="minorHAnsi"/>
                <w:b/>
                <w:bCs/>
                <w:color w:val="000000"/>
                <w:lang w:val="en-GB"/>
              </w:rPr>
              <w:t>8:30%</w:t>
            </w:r>
          </w:p>
        </w:tc>
      </w:tr>
      <w:tr w:rsidR="0043466E" w:rsidTr="0043466E">
        <w:trPr>
          <w:trHeight w:val="480"/>
        </w:trPr>
        <w:tc>
          <w:tcPr>
            <w:tcW w:w="1320" w:type="dxa"/>
            <w:tcBorders>
              <w:top w:val="single" w:sz="8" w:space="0" w:color="auto"/>
              <w:left w:val="single" w:sz="8" w:space="0" w:color="auto"/>
              <w:bottom w:val="single" w:sz="8" w:space="0" w:color="auto"/>
              <w:right w:val="single" w:sz="8" w:space="0" w:color="auto"/>
            </w:tcBorders>
            <w:shd w:val="clear" w:color="auto" w:fill="DBE5F1"/>
            <w:hideMark/>
          </w:tcPr>
          <w:p w:rsidR="0043466E" w:rsidRDefault="0043466E">
            <w:pPr>
              <w:jc w:val="both"/>
              <w:rPr>
                <w:rFonts w:asciiTheme="minorHAnsi" w:eastAsia="Times New Roman" w:hAnsiTheme="minorHAnsi"/>
                <w:color w:val="000000"/>
                <w:lang w:val="en-GB"/>
              </w:rPr>
            </w:pPr>
            <w:r>
              <w:rPr>
                <w:rFonts w:asciiTheme="minorHAnsi" w:hAnsiTheme="minorHAnsi"/>
                <w:color w:val="000000"/>
                <w:lang w:val="en-GB"/>
              </w:rPr>
              <w:t> </w:t>
            </w:r>
          </w:p>
        </w:tc>
        <w:tc>
          <w:tcPr>
            <w:tcW w:w="4680" w:type="dxa"/>
            <w:tcBorders>
              <w:top w:val="single" w:sz="8" w:space="0" w:color="auto"/>
              <w:left w:val="nil"/>
              <w:bottom w:val="single" w:sz="8" w:space="0" w:color="auto"/>
              <w:right w:val="single" w:sz="8" w:space="0" w:color="auto"/>
            </w:tcBorders>
            <w:shd w:val="clear" w:color="auto" w:fill="DBE5F1"/>
            <w:vAlign w:val="center"/>
            <w:hideMark/>
          </w:tcPr>
          <w:p w:rsidR="0043466E" w:rsidRDefault="0043466E">
            <w:pPr>
              <w:rPr>
                <w:rFonts w:asciiTheme="minorHAnsi" w:eastAsia="Times New Roman" w:hAnsiTheme="minorHAnsi"/>
                <w:b/>
                <w:bCs/>
                <w:color w:val="000000"/>
                <w:lang w:val="en-GB"/>
              </w:rPr>
            </w:pPr>
            <w:r>
              <w:rPr>
                <w:rFonts w:asciiTheme="minorHAnsi" w:hAnsiTheme="minorHAnsi"/>
                <w:b/>
                <w:bCs/>
                <w:color w:val="000000"/>
                <w:lang w:val="en-GB"/>
              </w:rPr>
              <w:t>Allowed Return on RAB</w:t>
            </w:r>
            <w:r>
              <w:rPr>
                <w:rFonts w:asciiTheme="minorHAnsi" w:hAnsiTheme="minorHAnsi"/>
                <w:b/>
                <w:bCs/>
                <w:color w:val="000000"/>
                <w:vertAlign w:val="subscript"/>
                <w:lang w:val="en-GB"/>
              </w:rPr>
              <w:t>f</w:t>
            </w:r>
          </w:p>
        </w:tc>
        <w:tc>
          <w:tcPr>
            <w:tcW w:w="2620" w:type="dxa"/>
            <w:tcBorders>
              <w:top w:val="single" w:sz="8" w:space="0" w:color="auto"/>
              <w:left w:val="nil"/>
              <w:bottom w:val="single" w:sz="8" w:space="0" w:color="auto"/>
              <w:right w:val="single" w:sz="8" w:space="0" w:color="auto"/>
            </w:tcBorders>
            <w:shd w:val="clear" w:color="auto" w:fill="DBE5F1"/>
            <w:vAlign w:val="center"/>
            <w:hideMark/>
          </w:tcPr>
          <w:p w:rsidR="0043466E" w:rsidRDefault="0043466E">
            <w:pPr>
              <w:jc w:val="right"/>
              <w:rPr>
                <w:rFonts w:asciiTheme="minorHAnsi" w:eastAsia="Times New Roman" w:hAnsiTheme="minorHAnsi"/>
                <w:b/>
                <w:bCs/>
                <w:color w:val="000000"/>
                <w:lang w:val="en-GB"/>
              </w:rPr>
            </w:pPr>
            <w:r>
              <w:rPr>
                <w:rFonts w:asciiTheme="minorHAnsi" w:hAnsiTheme="minorHAnsi"/>
                <w:b/>
                <w:bCs/>
                <w:color w:val="000000"/>
                <w:lang w:val="en-GB"/>
              </w:rPr>
              <w:t>895.274</w:t>
            </w:r>
          </w:p>
        </w:tc>
      </w:tr>
    </w:tbl>
    <w:p w:rsidR="0043466E" w:rsidRDefault="0043466E" w:rsidP="0043466E">
      <w:pPr>
        <w:pStyle w:val="Heading2"/>
        <w:numPr>
          <w:ilvl w:val="0"/>
          <w:numId w:val="0"/>
        </w:numPr>
        <w:tabs>
          <w:tab w:val="left" w:pos="720"/>
        </w:tabs>
        <w:ind w:left="720"/>
        <w:rPr>
          <w:color w:val="auto"/>
          <w:lang w:val="en-GB"/>
        </w:rPr>
      </w:pPr>
      <w:bookmarkStart w:id="138" w:name="_Toc52186241"/>
      <w:bookmarkStart w:id="139" w:name="_Toc21514385"/>
      <w:bookmarkStart w:id="140" w:name="_Toc21513556"/>
    </w:p>
    <w:p w:rsidR="0043466E" w:rsidRDefault="0043466E" w:rsidP="0043466E">
      <w:pPr>
        <w:rPr>
          <w:lang w:val="en-GB"/>
        </w:rPr>
      </w:pPr>
    </w:p>
    <w:p w:rsidR="0043466E" w:rsidRDefault="0043466E" w:rsidP="0043466E">
      <w:pPr>
        <w:rPr>
          <w:lang w:val="en-GB"/>
        </w:rPr>
      </w:pPr>
    </w:p>
    <w:p w:rsidR="0043466E" w:rsidRDefault="0043466E" w:rsidP="0043466E">
      <w:pPr>
        <w:pStyle w:val="Heading2"/>
        <w:numPr>
          <w:ilvl w:val="1"/>
          <w:numId w:val="33"/>
        </w:numPr>
        <w:rPr>
          <w:color w:val="auto"/>
          <w:lang w:val="en-GB"/>
        </w:rPr>
      </w:pPr>
      <w:r>
        <w:rPr>
          <w:color w:val="auto"/>
          <w:lang w:val="en-GB"/>
        </w:rPr>
        <w:t>Determination of Network Losses Cost</w:t>
      </w:r>
      <w:bookmarkEnd w:id="138"/>
      <w:bookmarkEnd w:id="139"/>
      <w:bookmarkEnd w:id="140"/>
    </w:p>
    <w:p w:rsidR="0043466E" w:rsidRDefault="0043466E" w:rsidP="0043466E">
      <w:pPr>
        <w:jc w:val="both"/>
        <w:rPr>
          <w:rFonts w:asciiTheme="minorHAnsi" w:hAnsiTheme="minorHAnsi"/>
          <w:b/>
          <w:sz w:val="22"/>
          <w:szCs w:val="22"/>
          <w:lang w:val="en-GB"/>
        </w:rPr>
      </w:pPr>
    </w:p>
    <w:p w:rsidR="0043466E" w:rsidRDefault="0043466E" w:rsidP="0043466E">
      <w:pPr>
        <w:autoSpaceDE w:val="0"/>
        <w:autoSpaceDN w:val="0"/>
        <w:adjustRightInd w:val="0"/>
        <w:jc w:val="both"/>
        <w:rPr>
          <w:rFonts w:asciiTheme="minorHAnsi" w:hAnsiTheme="minorHAnsi" w:cs="Calibri"/>
          <w:bCs/>
          <w:sz w:val="22"/>
          <w:szCs w:val="22"/>
          <w:lang w:val="en-GB"/>
        </w:rPr>
      </w:pPr>
      <w:r>
        <w:rPr>
          <w:rFonts w:asciiTheme="minorHAnsi" w:hAnsiTheme="minorHAnsi"/>
          <w:sz w:val="22"/>
          <w:szCs w:val="22"/>
          <w:lang w:val="en-GB"/>
        </w:rPr>
        <w:t>The allowed cost of network losses is used to cover the enterprise costs caused due to the loss of thermal energy during transmission and distribution. In accordance with Article 1 of Thermal Energy Pricing Rule, this cost is calculated as the quotient of the amount of network losses and generation of thermal energy that enters the network (share of overall network losses), multiplied by total variable cost of generation.</w:t>
      </w:r>
    </w:p>
    <w:p w:rsidR="0043466E" w:rsidRDefault="0043466E" w:rsidP="0043466E">
      <w:pPr>
        <w:autoSpaceDE w:val="0"/>
        <w:autoSpaceDN w:val="0"/>
        <w:adjustRightInd w:val="0"/>
        <w:jc w:val="both"/>
        <w:rPr>
          <w:rFonts w:asciiTheme="minorHAnsi" w:hAnsiTheme="minorHAnsi" w:cs="Calibri"/>
          <w:bCs/>
          <w:sz w:val="20"/>
          <w:szCs w:val="20"/>
          <w:lang w:val="en-GB"/>
        </w:rPr>
      </w:pPr>
    </w:p>
    <w:p w:rsidR="0043466E" w:rsidRDefault="0043466E" w:rsidP="0043466E">
      <w:pPr>
        <w:autoSpaceDE w:val="0"/>
        <w:autoSpaceDN w:val="0"/>
        <w:adjustRightInd w:val="0"/>
        <w:jc w:val="both"/>
        <w:rPr>
          <w:rFonts w:asciiTheme="minorHAnsi" w:hAnsiTheme="minorHAnsi" w:cs="Calibri"/>
          <w:bCs/>
          <w:sz w:val="22"/>
          <w:szCs w:val="22"/>
          <w:lang w:val="en-GB"/>
        </w:rPr>
      </w:pPr>
      <w:r>
        <w:rPr>
          <w:rFonts w:asciiTheme="minorHAnsi" w:hAnsiTheme="minorHAnsi"/>
          <w:bCs/>
          <w:sz w:val="22"/>
          <w:szCs w:val="22"/>
          <w:lang w:val="en-GB"/>
        </w:rPr>
        <w:t xml:space="preserve">From what was said above, ERO has carried out the Thermal Energy Balance for DH Termokos for heating season 2020/2021, through which it determined the amount of network losses of </w:t>
      </w:r>
      <w:r>
        <w:rPr>
          <w:rFonts w:asciiTheme="minorHAnsi" w:hAnsiTheme="minorHAnsi"/>
          <w:b/>
          <w:bCs/>
          <w:sz w:val="22"/>
          <w:szCs w:val="22"/>
          <w:lang w:val="en-GB"/>
        </w:rPr>
        <w:t>27,624 MWh</w:t>
      </w:r>
      <w:r>
        <w:rPr>
          <w:rFonts w:asciiTheme="minorHAnsi" w:hAnsiTheme="minorHAnsi"/>
          <w:bCs/>
          <w:sz w:val="22"/>
          <w:szCs w:val="22"/>
          <w:lang w:val="en-GB"/>
        </w:rPr>
        <w:t>, being the amount of transmission network losses TPP Kosova B - DH Termokos (5,353MWh) and the amount of distribution network losses (22,271 MWh). Expressed in percentage, the total share of network losses is 10.30% - the share of transmission network losses 2.0% and share of distribution network losses 8.30%.  Also, from the Thermal Energy Balance is derived the amount of net production (generation) and net purchases of thermal energy – in a total amount of 268,328 MWh.</w:t>
      </w:r>
    </w:p>
    <w:p w:rsidR="0043466E" w:rsidRDefault="0043466E" w:rsidP="0043466E">
      <w:pPr>
        <w:autoSpaceDE w:val="0"/>
        <w:autoSpaceDN w:val="0"/>
        <w:adjustRightInd w:val="0"/>
        <w:jc w:val="both"/>
        <w:rPr>
          <w:rFonts w:asciiTheme="minorHAnsi" w:hAnsiTheme="minorHAnsi" w:cs="Calibri"/>
          <w:bCs/>
          <w:sz w:val="22"/>
          <w:szCs w:val="22"/>
          <w:lang w:val="en-GB"/>
        </w:rPr>
      </w:pPr>
    </w:p>
    <w:p w:rsidR="0043466E" w:rsidRDefault="0043466E" w:rsidP="0043466E">
      <w:pPr>
        <w:autoSpaceDE w:val="0"/>
        <w:autoSpaceDN w:val="0"/>
        <w:adjustRightInd w:val="0"/>
        <w:jc w:val="both"/>
        <w:rPr>
          <w:rFonts w:asciiTheme="minorHAnsi" w:hAnsiTheme="minorHAnsi" w:cs="Calibri"/>
          <w:bCs/>
          <w:sz w:val="22"/>
          <w:szCs w:val="22"/>
          <w:lang w:val="en-GB"/>
        </w:rPr>
      </w:pPr>
      <w:r>
        <w:rPr>
          <w:rFonts w:asciiTheme="minorHAnsi" w:hAnsiTheme="minorHAnsi"/>
          <w:bCs/>
          <w:sz w:val="22"/>
          <w:szCs w:val="22"/>
          <w:lang w:val="en-GB"/>
        </w:rPr>
        <w:t>Based on the above</w:t>
      </w:r>
      <w:r w:rsidR="00F80936">
        <w:rPr>
          <w:rFonts w:asciiTheme="minorHAnsi" w:hAnsiTheme="minorHAnsi"/>
          <w:bCs/>
          <w:sz w:val="22"/>
          <w:szCs w:val="22"/>
          <w:lang w:val="en-GB"/>
        </w:rPr>
        <w:t>-</w:t>
      </w:r>
      <w:r>
        <w:rPr>
          <w:rFonts w:asciiTheme="minorHAnsi" w:hAnsiTheme="minorHAnsi"/>
          <w:bCs/>
          <w:sz w:val="22"/>
          <w:szCs w:val="22"/>
          <w:lang w:val="en-GB"/>
        </w:rPr>
        <w:t xml:space="preserve">mentioned amounts and variable operational cost (€ 2,599,468), the </w:t>
      </w:r>
      <w:r>
        <w:rPr>
          <w:rFonts w:asciiTheme="minorHAnsi" w:hAnsiTheme="minorHAnsi"/>
          <w:b/>
          <w:bCs/>
          <w:sz w:val="22"/>
          <w:szCs w:val="22"/>
          <w:lang w:val="en-GB"/>
        </w:rPr>
        <w:t>cost of losses</w:t>
      </w:r>
      <w:r>
        <w:rPr>
          <w:rFonts w:asciiTheme="minorHAnsi" w:hAnsiTheme="minorHAnsi"/>
          <w:bCs/>
          <w:sz w:val="22"/>
          <w:szCs w:val="22"/>
          <w:lang w:val="en-GB"/>
        </w:rPr>
        <w:t xml:space="preserve"> in the amount of </w:t>
      </w:r>
      <w:r>
        <w:rPr>
          <w:rFonts w:asciiTheme="minorHAnsi" w:hAnsiTheme="minorHAnsi"/>
          <w:b/>
          <w:bCs/>
          <w:sz w:val="22"/>
          <w:szCs w:val="22"/>
          <w:lang w:val="en-GB"/>
        </w:rPr>
        <w:t>€</w:t>
      </w:r>
      <w:r>
        <w:rPr>
          <w:rFonts w:asciiTheme="minorHAnsi" w:hAnsiTheme="minorHAnsi"/>
          <w:bCs/>
          <w:sz w:val="22"/>
          <w:szCs w:val="22"/>
          <w:lang w:val="en-GB"/>
        </w:rPr>
        <w:t xml:space="preserve"> </w:t>
      </w:r>
      <w:r>
        <w:rPr>
          <w:rFonts w:asciiTheme="minorHAnsi" w:hAnsiTheme="minorHAnsi"/>
          <w:b/>
          <w:bCs/>
          <w:sz w:val="22"/>
          <w:szCs w:val="22"/>
          <w:lang w:val="en-GB"/>
        </w:rPr>
        <w:t xml:space="preserve">267,614 </w:t>
      </w:r>
      <w:r>
        <w:rPr>
          <w:rFonts w:asciiTheme="minorHAnsi" w:hAnsiTheme="minorHAnsi"/>
          <w:bCs/>
          <w:sz w:val="22"/>
          <w:szCs w:val="22"/>
          <w:lang w:val="en-GB"/>
        </w:rPr>
        <w:t xml:space="preserve">is calculated.   </w:t>
      </w:r>
    </w:p>
    <w:p w:rsidR="0043466E" w:rsidRDefault="0043466E" w:rsidP="0043466E">
      <w:pPr>
        <w:autoSpaceDE w:val="0"/>
        <w:autoSpaceDN w:val="0"/>
        <w:adjustRightInd w:val="0"/>
        <w:jc w:val="both"/>
        <w:rPr>
          <w:rFonts w:asciiTheme="minorHAnsi" w:hAnsiTheme="minorHAnsi" w:cs="Calibri"/>
          <w:bCs/>
          <w:sz w:val="22"/>
          <w:szCs w:val="22"/>
          <w:lang w:val="en-GB"/>
        </w:rPr>
      </w:pPr>
    </w:p>
    <w:p w:rsidR="0043466E" w:rsidRDefault="0043466E" w:rsidP="0043466E">
      <w:pPr>
        <w:pStyle w:val="Heading2"/>
        <w:numPr>
          <w:ilvl w:val="1"/>
          <w:numId w:val="33"/>
        </w:numPr>
        <w:rPr>
          <w:color w:val="auto"/>
          <w:lang w:val="en-GB"/>
        </w:rPr>
      </w:pPr>
      <w:bookmarkStart w:id="141" w:name="_Toc52186242"/>
      <w:bookmarkStart w:id="142" w:name="_Toc21514386"/>
      <w:bookmarkStart w:id="143" w:name="_Toc21513557"/>
      <w:r>
        <w:rPr>
          <w:color w:val="auto"/>
          <w:lang w:val="en-GB"/>
        </w:rPr>
        <w:t>Adjustment</w:t>
      </w:r>
      <w:bookmarkEnd w:id="141"/>
      <w:bookmarkEnd w:id="142"/>
      <w:bookmarkEnd w:id="143"/>
    </w:p>
    <w:p w:rsidR="0043466E" w:rsidRDefault="0043466E" w:rsidP="0043466E">
      <w:pPr>
        <w:jc w:val="both"/>
        <w:rPr>
          <w:rFonts w:asciiTheme="minorHAnsi" w:hAnsiTheme="minorHAnsi"/>
          <w:b/>
          <w:sz w:val="22"/>
          <w:szCs w:val="22"/>
          <w:lang w:val="en-GB"/>
        </w:rPr>
      </w:pPr>
    </w:p>
    <w:p w:rsidR="0043466E" w:rsidRDefault="0043466E" w:rsidP="0043466E">
      <w:pPr>
        <w:jc w:val="both"/>
        <w:rPr>
          <w:rFonts w:asciiTheme="minorHAnsi" w:hAnsiTheme="minorHAnsi"/>
          <w:sz w:val="22"/>
          <w:szCs w:val="22"/>
          <w:lang w:val="en-GB"/>
        </w:rPr>
      </w:pPr>
      <w:r>
        <w:rPr>
          <w:rFonts w:asciiTheme="minorHAnsi" w:hAnsiTheme="minorHAnsi"/>
          <w:sz w:val="22"/>
          <w:szCs w:val="22"/>
          <w:lang w:val="en-GB"/>
        </w:rPr>
        <w:t>Adjustment is used to correct eventual changes between the planning for the tariff review for the period (season) ‘n-1’ and realizations that have actually occurred during that period (season) and those changes are included (corrected) in the next review.</w:t>
      </w:r>
    </w:p>
    <w:p w:rsidR="0043466E" w:rsidRDefault="0043466E" w:rsidP="0043466E">
      <w:pPr>
        <w:jc w:val="both"/>
        <w:rPr>
          <w:rFonts w:asciiTheme="minorHAnsi" w:hAnsiTheme="minorHAnsi"/>
          <w:b/>
          <w:sz w:val="20"/>
          <w:szCs w:val="20"/>
          <w:lang w:val="en-GB"/>
        </w:rPr>
      </w:pPr>
    </w:p>
    <w:p w:rsidR="0043466E" w:rsidRDefault="0043466E" w:rsidP="0043466E">
      <w:pPr>
        <w:jc w:val="both"/>
        <w:rPr>
          <w:rFonts w:asciiTheme="minorHAnsi" w:hAnsiTheme="minorHAnsi"/>
          <w:sz w:val="22"/>
          <w:szCs w:val="22"/>
          <w:lang w:val="en-GB"/>
        </w:rPr>
      </w:pPr>
      <w:r>
        <w:rPr>
          <w:rFonts w:asciiTheme="minorHAnsi" w:hAnsiTheme="minorHAnsi"/>
          <w:sz w:val="22"/>
          <w:szCs w:val="22"/>
          <w:lang w:val="en-GB"/>
        </w:rPr>
        <w:t>Specifically, adjustment includes the difference between the planning and the actual realization of these components: i) Revenues (regulated and unregulated); Operational Costs; Annual Depreciation; and Return on RAB</w:t>
      </w:r>
      <w:r>
        <w:rPr>
          <w:rFonts w:asciiTheme="minorHAnsi" w:hAnsiTheme="minorHAnsi"/>
          <w:sz w:val="22"/>
          <w:szCs w:val="22"/>
          <w:vertAlign w:val="subscript"/>
          <w:lang w:val="en-GB"/>
        </w:rPr>
        <w:t>f</w:t>
      </w:r>
      <w:r>
        <w:rPr>
          <w:rFonts w:asciiTheme="minorHAnsi" w:hAnsiTheme="minorHAnsi"/>
          <w:sz w:val="22"/>
          <w:szCs w:val="22"/>
          <w:lang w:val="en-GB"/>
        </w:rPr>
        <w:t>.</w:t>
      </w:r>
    </w:p>
    <w:p w:rsidR="0043466E" w:rsidRDefault="0043466E" w:rsidP="0043466E">
      <w:pPr>
        <w:jc w:val="both"/>
        <w:rPr>
          <w:rFonts w:asciiTheme="minorHAnsi" w:hAnsiTheme="minorHAnsi"/>
          <w:sz w:val="20"/>
          <w:szCs w:val="20"/>
          <w:lang w:val="en-GB"/>
        </w:rPr>
      </w:pPr>
    </w:p>
    <w:p w:rsidR="0043466E" w:rsidRDefault="0043466E" w:rsidP="0043466E">
      <w:pPr>
        <w:jc w:val="both"/>
        <w:rPr>
          <w:rFonts w:asciiTheme="minorHAnsi" w:hAnsiTheme="minorHAnsi"/>
          <w:sz w:val="22"/>
          <w:szCs w:val="22"/>
          <w:lang w:val="en-GB"/>
        </w:rPr>
      </w:pPr>
      <w:r>
        <w:rPr>
          <w:rFonts w:asciiTheme="minorHAnsi" w:hAnsiTheme="minorHAnsi"/>
          <w:sz w:val="22"/>
          <w:szCs w:val="22"/>
          <w:lang w:val="en-GB"/>
        </w:rPr>
        <w:t xml:space="preserve">The total value of the adjustment for the previous season 2019/20 is calculated: </w:t>
      </w:r>
      <w:r>
        <w:rPr>
          <w:rFonts w:asciiTheme="minorHAnsi" w:hAnsiTheme="minorHAnsi"/>
          <w:b/>
          <w:sz w:val="22"/>
          <w:szCs w:val="22"/>
          <w:lang w:val="en-GB"/>
        </w:rPr>
        <w:t>-311,418 €.</w:t>
      </w:r>
      <w:r>
        <w:rPr>
          <w:rFonts w:asciiTheme="minorHAnsi" w:hAnsiTheme="minorHAnsi"/>
          <w:sz w:val="22"/>
          <w:szCs w:val="22"/>
          <w:lang w:val="en-GB"/>
        </w:rPr>
        <w:t xml:space="preserve"> Therefore, the total value of adjustment of -311,418 € is deducted from the value of Allowed Revenues for the season 2020/2021.  </w:t>
      </w:r>
    </w:p>
    <w:p w:rsidR="0043466E" w:rsidRDefault="0043466E" w:rsidP="0043466E">
      <w:pPr>
        <w:jc w:val="both"/>
        <w:rPr>
          <w:rFonts w:asciiTheme="minorHAnsi" w:hAnsiTheme="minorHAnsi"/>
          <w:sz w:val="22"/>
          <w:szCs w:val="22"/>
          <w:lang w:val="en-GB"/>
        </w:rPr>
      </w:pPr>
    </w:p>
    <w:p w:rsidR="0043466E" w:rsidRDefault="0043466E" w:rsidP="0043466E">
      <w:pPr>
        <w:jc w:val="both"/>
        <w:rPr>
          <w:rFonts w:asciiTheme="minorHAnsi" w:hAnsiTheme="minorHAnsi"/>
          <w:b/>
          <w:sz w:val="22"/>
          <w:szCs w:val="22"/>
          <w:lang w:val="en-GB"/>
        </w:rPr>
      </w:pPr>
      <w:r>
        <w:rPr>
          <w:rFonts w:asciiTheme="minorHAnsi" w:hAnsiTheme="minorHAnsi"/>
          <w:sz w:val="22"/>
          <w:szCs w:val="22"/>
          <w:lang w:val="en-GB"/>
        </w:rPr>
        <w:t xml:space="preserve"> </w:t>
      </w:r>
    </w:p>
    <w:p w:rsidR="0043466E" w:rsidRDefault="0043466E" w:rsidP="0043466E">
      <w:pPr>
        <w:pStyle w:val="Heading2"/>
        <w:numPr>
          <w:ilvl w:val="1"/>
          <w:numId w:val="33"/>
        </w:numPr>
        <w:rPr>
          <w:rStyle w:val="Strong"/>
          <w:bCs/>
          <w:color w:val="000000" w:themeColor="text1"/>
        </w:rPr>
      </w:pPr>
      <w:bookmarkStart w:id="144" w:name="_Toc52186243"/>
      <w:bookmarkStart w:id="145" w:name="_Toc21515571"/>
      <w:bookmarkStart w:id="146" w:name="_Toc21514387"/>
      <w:bookmarkStart w:id="147" w:name="_Toc21513558"/>
      <w:bookmarkStart w:id="148" w:name="_Toc339539133"/>
      <w:bookmarkStart w:id="149" w:name="_Toc339538674"/>
      <w:r>
        <w:rPr>
          <w:rStyle w:val="Strong"/>
          <w:b/>
          <w:bCs/>
          <w:color w:val="000000" w:themeColor="text1"/>
          <w:lang w:val="en-GB"/>
        </w:rPr>
        <w:t>Calculation of Maximum Allowed Revenues - Summary</w:t>
      </w:r>
      <w:bookmarkEnd w:id="144"/>
      <w:bookmarkEnd w:id="145"/>
      <w:bookmarkEnd w:id="146"/>
      <w:bookmarkEnd w:id="147"/>
      <w:r>
        <w:rPr>
          <w:rStyle w:val="Strong"/>
          <w:b/>
          <w:bCs/>
          <w:color w:val="000000" w:themeColor="text1"/>
          <w:lang w:val="en-GB"/>
        </w:rPr>
        <w:t xml:space="preserve"> </w:t>
      </w:r>
      <w:bookmarkEnd w:id="148"/>
      <w:bookmarkEnd w:id="149"/>
    </w:p>
    <w:p w:rsidR="0043466E" w:rsidRDefault="0043466E" w:rsidP="0043466E">
      <w:pPr>
        <w:pStyle w:val="Heading7"/>
        <w:jc w:val="both"/>
        <w:rPr>
          <w:rFonts w:asciiTheme="minorHAnsi" w:hAnsiTheme="minorHAnsi"/>
          <w:bCs w:val="0"/>
        </w:rPr>
      </w:pPr>
    </w:p>
    <w:p w:rsidR="0043466E" w:rsidRDefault="0043466E" w:rsidP="0043466E">
      <w:pPr>
        <w:pStyle w:val="Heading7"/>
        <w:jc w:val="both"/>
        <w:rPr>
          <w:rFonts w:asciiTheme="minorHAnsi" w:hAnsiTheme="minorHAnsi"/>
          <w:lang w:val="en-GB"/>
        </w:rPr>
      </w:pPr>
      <w:r>
        <w:rPr>
          <w:rFonts w:asciiTheme="minorHAnsi" w:hAnsiTheme="minorHAnsi"/>
          <w:b w:val="0"/>
          <w:bCs w:val="0"/>
          <w:lang w:val="en-GB"/>
        </w:rPr>
        <w:t>Total Allowed Revenues are calculated according to the following formula:</w:t>
      </w:r>
      <w:r>
        <w:rPr>
          <w:rFonts w:asciiTheme="minorHAnsi" w:hAnsiTheme="minorHAnsi"/>
          <w:lang w:val="en-GB"/>
        </w:rPr>
        <w:t xml:space="preserve">  </w:t>
      </w:r>
    </w:p>
    <w:p w:rsidR="0043466E" w:rsidRDefault="0043466E" w:rsidP="0043466E">
      <w:pPr>
        <w:jc w:val="both"/>
        <w:rPr>
          <w:rFonts w:asciiTheme="minorHAnsi" w:hAnsiTheme="minorHAnsi"/>
          <w:sz w:val="20"/>
          <w:szCs w:val="20"/>
          <w:lang w:val="en-GB"/>
        </w:rPr>
      </w:pPr>
      <w:r>
        <w:rPr>
          <w:rFonts w:asciiTheme="minorHAnsi" w:hAnsiTheme="minorHAnsi"/>
          <w:sz w:val="22"/>
          <w:lang w:val="en-GB"/>
        </w:rPr>
        <w:t xml:space="preserve"> </w:t>
      </w:r>
    </w:p>
    <w:p w:rsidR="0043466E" w:rsidRDefault="0043466E" w:rsidP="0043466E">
      <w:pPr>
        <w:jc w:val="both"/>
        <w:rPr>
          <w:rFonts w:asciiTheme="minorHAnsi" w:hAnsiTheme="minorHAnsi" w:cs="Calibri"/>
          <w:b/>
          <w:lang w:val="en-GB"/>
        </w:rPr>
      </w:pPr>
      <w:r>
        <w:rPr>
          <w:rFonts w:asciiTheme="minorHAnsi" w:hAnsiTheme="minorHAnsi"/>
          <w:b/>
          <w:lang w:val="en-GB"/>
        </w:rPr>
        <w:t>MAR = OC + DEP + RTN + LOS +/- ADJ</w:t>
      </w:r>
      <w:bookmarkStart w:id="150" w:name="_Toc526514497"/>
      <w:bookmarkEnd w:id="150"/>
    </w:p>
    <w:p w:rsidR="0043466E" w:rsidRDefault="0043466E" w:rsidP="0043466E">
      <w:pPr>
        <w:jc w:val="both"/>
        <w:rPr>
          <w:rFonts w:asciiTheme="minorHAnsi" w:hAnsiTheme="minorHAnsi" w:cs="Calibri"/>
          <w:b/>
          <w:sz w:val="20"/>
          <w:szCs w:val="20"/>
          <w:lang w:val="en-GB"/>
        </w:rPr>
      </w:pPr>
    </w:p>
    <w:p w:rsidR="0043466E" w:rsidRDefault="0043466E" w:rsidP="0043466E">
      <w:pPr>
        <w:jc w:val="both"/>
        <w:rPr>
          <w:rFonts w:asciiTheme="minorHAnsi" w:hAnsiTheme="minorHAnsi" w:cs="Calibri"/>
          <w:sz w:val="22"/>
          <w:szCs w:val="22"/>
          <w:lang w:val="en-GB"/>
        </w:rPr>
      </w:pPr>
      <w:bookmarkStart w:id="151" w:name="_Toc339540004"/>
      <w:bookmarkStart w:id="152" w:name="_Toc339539768"/>
      <w:bookmarkStart w:id="153" w:name="_Toc339539135"/>
      <w:bookmarkStart w:id="154" w:name="_Toc339538676"/>
      <w:bookmarkStart w:id="155" w:name="_Toc339537730"/>
      <w:bookmarkStart w:id="156" w:name="_Toc339537369"/>
      <w:r>
        <w:rPr>
          <w:rFonts w:asciiTheme="minorHAnsi" w:hAnsiTheme="minorHAnsi"/>
          <w:sz w:val="22"/>
          <w:szCs w:val="22"/>
          <w:lang w:val="en-GB"/>
        </w:rPr>
        <w:t xml:space="preserve">First of all, it should be noted, the Operational Costs deducted for the allowed cost of losses (so-called net operational costs in the amount of </w:t>
      </w:r>
      <w:r>
        <w:rPr>
          <w:rFonts w:asciiTheme="minorHAnsi" w:hAnsiTheme="minorHAnsi"/>
          <w:b/>
          <w:sz w:val="22"/>
          <w:szCs w:val="22"/>
          <w:lang w:val="en-GB"/>
        </w:rPr>
        <w:t>€ 4,398,902</w:t>
      </w:r>
      <w:r>
        <w:rPr>
          <w:rFonts w:asciiTheme="minorHAnsi" w:hAnsiTheme="minorHAnsi"/>
          <w:sz w:val="22"/>
          <w:szCs w:val="22"/>
          <w:lang w:val="en-GB"/>
        </w:rPr>
        <w:t xml:space="preserve">) are taken in the calculation of the Maximum Allowed Revenues. </w:t>
      </w:r>
    </w:p>
    <w:p w:rsidR="0043466E" w:rsidRDefault="0043466E" w:rsidP="0043466E">
      <w:pPr>
        <w:rPr>
          <w:rFonts w:asciiTheme="minorHAnsi" w:hAnsiTheme="minorHAnsi" w:cs="Calibri"/>
          <w:sz w:val="22"/>
          <w:szCs w:val="22"/>
          <w:lang w:val="en-GB"/>
        </w:rPr>
      </w:pPr>
    </w:p>
    <w:p w:rsidR="0043466E" w:rsidRDefault="0043466E" w:rsidP="0043466E">
      <w:pPr>
        <w:rPr>
          <w:rFonts w:asciiTheme="minorHAnsi" w:hAnsiTheme="minorHAnsi" w:cs="Calibri"/>
          <w:sz w:val="22"/>
          <w:szCs w:val="22"/>
          <w:lang w:val="en-GB"/>
        </w:rPr>
      </w:pPr>
      <w:r>
        <w:rPr>
          <w:rFonts w:asciiTheme="minorHAnsi" w:hAnsiTheme="minorHAnsi"/>
          <w:sz w:val="22"/>
          <w:szCs w:val="22"/>
          <w:lang w:val="en-GB"/>
        </w:rPr>
        <w:t xml:space="preserve">Consequently, the value of MAR is equal to </w:t>
      </w:r>
      <w:r>
        <w:rPr>
          <w:rFonts w:asciiTheme="minorHAnsi" w:hAnsiTheme="minorHAnsi"/>
          <w:b/>
          <w:sz w:val="22"/>
          <w:szCs w:val="22"/>
          <w:lang w:val="en-GB"/>
        </w:rPr>
        <w:t>€ 6,960,802</w:t>
      </w:r>
      <w:r>
        <w:rPr>
          <w:rFonts w:asciiTheme="minorHAnsi" w:hAnsiTheme="minorHAnsi"/>
          <w:sz w:val="22"/>
          <w:szCs w:val="22"/>
          <w:lang w:val="en-GB"/>
        </w:rPr>
        <w:t xml:space="preserve"> as presented in details in TABLE 6.</w:t>
      </w:r>
      <w:bookmarkEnd w:id="151"/>
      <w:bookmarkEnd w:id="152"/>
      <w:bookmarkEnd w:id="153"/>
      <w:bookmarkEnd w:id="154"/>
      <w:bookmarkEnd w:id="155"/>
      <w:bookmarkEnd w:id="156"/>
    </w:p>
    <w:p w:rsidR="0043466E" w:rsidRDefault="0043466E" w:rsidP="0043466E">
      <w:pPr>
        <w:pStyle w:val="Heading3"/>
        <w:rPr>
          <w:lang w:val="en-GB"/>
        </w:rPr>
      </w:pPr>
    </w:p>
    <w:p w:rsidR="0043466E" w:rsidRDefault="0043466E" w:rsidP="0043466E">
      <w:pPr>
        <w:rPr>
          <w:lang w:val="en-GB"/>
        </w:rPr>
      </w:pPr>
    </w:p>
    <w:p w:rsidR="0043466E" w:rsidRDefault="0043466E" w:rsidP="0043466E">
      <w:pPr>
        <w:rPr>
          <w:lang w:val="en-GB"/>
        </w:rPr>
      </w:pPr>
    </w:p>
    <w:p w:rsidR="0043466E" w:rsidRDefault="0043466E" w:rsidP="0043466E">
      <w:pPr>
        <w:pStyle w:val="Heading3"/>
        <w:rPr>
          <w:lang w:val="en-GB"/>
        </w:rPr>
      </w:pPr>
      <w:bookmarkStart w:id="157" w:name="_Toc21514465"/>
      <w:bookmarkStart w:id="158" w:name="_Toc21514872"/>
      <w:bookmarkStart w:id="159" w:name="_Toc21515572"/>
      <w:bookmarkStart w:id="160" w:name="_Toc21521395"/>
      <w:bookmarkStart w:id="161" w:name="_Toc52186244"/>
      <w:r>
        <w:rPr>
          <w:lang w:val="en-GB"/>
        </w:rPr>
        <w:t xml:space="preserve">Table 6: </w:t>
      </w:r>
      <w:bookmarkStart w:id="162" w:name="_Toc21514388"/>
      <w:r>
        <w:rPr>
          <w:lang w:val="en-GB"/>
        </w:rPr>
        <w:t>Allowed Revenues for DH Termokos of the heating season 2020/202</w:t>
      </w:r>
      <w:bookmarkEnd w:id="162"/>
      <w:r>
        <w:rPr>
          <w:lang w:val="en-GB"/>
        </w:rPr>
        <w:t xml:space="preserve"> </w:t>
      </w:r>
      <w:bookmarkEnd w:id="157"/>
      <w:bookmarkEnd w:id="158"/>
      <w:bookmarkEnd w:id="159"/>
      <w:bookmarkEnd w:id="160"/>
      <w:r>
        <w:rPr>
          <w:lang w:val="en-GB"/>
        </w:rPr>
        <w:t>1</w:t>
      </w:r>
      <w:bookmarkEnd w:id="161"/>
      <w:r>
        <w:rPr>
          <w:lang w:val="en-GB"/>
        </w:rPr>
        <w:t xml:space="preserve"> </w:t>
      </w:r>
    </w:p>
    <w:tbl>
      <w:tblPr>
        <w:tblW w:w="8581" w:type="dxa"/>
        <w:tblInd w:w="98" w:type="dxa"/>
        <w:tblLook w:val="04A0" w:firstRow="1" w:lastRow="0" w:firstColumn="1" w:lastColumn="0" w:noHBand="0" w:noVBand="1"/>
      </w:tblPr>
      <w:tblGrid>
        <w:gridCol w:w="1173"/>
        <w:gridCol w:w="5199"/>
        <w:gridCol w:w="2209"/>
      </w:tblGrid>
      <w:tr w:rsidR="0043466E" w:rsidTr="0043466E">
        <w:trPr>
          <w:trHeight w:val="283"/>
        </w:trPr>
        <w:tc>
          <w:tcPr>
            <w:tcW w:w="6372" w:type="dxa"/>
            <w:gridSpan w:val="2"/>
            <w:tcBorders>
              <w:top w:val="single" w:sz="8" w:space="0" w:color="auto"/>
              <w:left w:val="single" w:sz="8" w:space="0" w:color="auto"/>
              <w:bottom w:val="nil"/>
              <w:right w:val="single" w:sz="8" w:space="0" w:color="000000"/>
            </w:tcBorders>
            <w:shd w:val="clear" w:color="auto" w:fill="B8CCE4"/>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Allowed Revenues</w:t>
            </w:r>
          </w:p>
        </w:tc>
        <w:tc>
          <w:tcPr>
            <w:tcW w:w="2209" w:type="dxa"/>
            <w:vMerge w:val="restart"/>
            <w:tcBorders>
              <w:top w:val="single" w:sz="8" w:space="0" w:color="auto"/>
              <w:left w:val="single" w:sz="8" w:space="0" w:color="auto"/>
              <w:bottom w:val="single" w:sz="8" w:space="0" w:color="000000"/>
              <w:right w:val="single" w:sz="8" w:space="0" w:color="auto"/>
            </w:tcBorders>
            <w:shd w:val="clear" w:color="auto" w:fill="B8CCE4"/>
            <w:vAlign w:val="center"/>
            <w:hideMark/>
          </w:tcPr>
          <w:p w:rsidR="0043466E" w:rsidRDefault="0043466E">
            <w:pPr>
              <w:jc w:val="center"/>
              <w:rPr>
                <w:rFonts w:asciiTheme="minorHAnsi" w:hAnsiTheme="minorHAnsi"/>
                <w:b/>
                <w:bCs/>
                <w:color w:val="000000"/>
                <w:lang w:val="en-GB"/>
              </w:rPr>
            </w:pPr>
            <w:r>
              <w:rPr>
                <w:rFonts w:asciiTheme="minorHAnsi" w:hAnsiTheme="minorHAnsi"/>
                <w:b/>
                <w:bCs/>
                <w:color w:val="000000"/>
                <w:lang w:val="en-GB"/>
              </w:rPr>
              <w:t xml:space="preserve">Allowed by ERO </w:t>
            </w:r>
          </w:p>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w:t>
            </w:r>
          </w:p>
        </w:tc>
      </w:tr>
      <w:tr w:rsidR="0043466E" w:rsidTr="0043466E">
        <w:trPr>
          <w:trHeight w:val="297"/>
        </w:trPr>
        <w:tc>
          <w:tcPr>
            <w:tcW w:w="6372" w:type="dxa"/>
            <w:gridSpan w:val="2"/>
            <w:tcBorders>
              <w:top w:val="nil"/>
              <w:left w:val="single" w:sz="8" w:space="0" w:color="auto"/>
              <w:bottom w:val="nil"/>
              <w:right w:val="single" w:sz="8" w:space="0" w:color="000000"/>
            </w:tcBorders>
            <w:shd w:val="clear" w:color="auto" w:fill="B8CCE4"/>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 xml:space="preserve">DH TERMOKOS for the season 2020/2021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b/>
                <w:bCs/>
                <w:color w:val="000000"/>
                <w:lang w:val="en-GB"/>
              </w:rPr>
            </w:pPr>
          </w:p>
        </w:tc>
      </w:tr>
      <w:tr w:rsidR="0043466E" w:rsidTr="0043466E">
        <w:trPr>
          <w:trHeight w:val="362"/>
        </w:trPr>
        <w:tc>
          <w:tcPr>
            <w:tcW w:w="1173" w:type="dxa"/>
            <w:tcBorders>
              <w:top w:val="single" w:sz="8" w:space="0" w:color="auto"/>
              <w:left w:val="single" w:sz="8" w:space="0" w:color="auto"/>
              <w:bottom w:val="single" w:sz="8" w:space="0" w:color="000000"/>
              <w:right w:val="nil"/>
            </w:tcBorders>
            <w:shd w:val="clear" w:color="auto" w:fill="FFFF99"/>
            <w:vAlign w:val="center"/>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OC</w:t>
            </w:r>
          </w:p>
        </w:tc>
        <w:tc>
          <w:tcPr>
            <w:tcW w:w="5198" w:type="dxa"/>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43466E" w:rsidRDefault="0043466E">
            <w:pPr>
              <w:rPr>
                <w:rFonts w:asciiTheme="minorHAnsi" w:eastAsia="Times New Roman" w:hAnsiTheme="minorHAnsi"/>
                <w:b/>
                <w:bCs/>
                <w:color w:val="000000"/>
                <w:lang w:val="en-GB"/>
              </w:rPr>
            </w:pPr>
            <w:r>
              <w:rPr>
                <w:rFonts w:asciiTheme="minorHAnsi" w:hAnsiTheme="minorHAnsi"/>
                <w:b/>
                <w:bCs/>
                <w:color w:val="000000"/>
                <w:lang w:val="en-GB"/>
              </w:rPr>
              <w:t>Allowed Operational Costs</w:t>
            </w:r>
          </w:p>
        </w:tc>
        <w:tc>
          <w:tcPr>
            <w:tcW w:w="2209" w:type="dxa"/>
            <w:tcBorders>
              <w:top w:val="nil"/>
              <w:left w:val="nil"/>
              <w:bottom w:val="nil"/>
              <w:right w:val="single" w:sz="8" w:space="0" w:color="auto"/>
            </w:tcBorders>
            <w:shd w:val="clear" w:color="auto" w:fill="FFFF99"/>
            <w:vAlign w:val="center"/>
            <w:hideMark/>
          </w:tcPr>
          <w:p w:rsidR="0043466E" w:rsidRDefault="0043466E">
            <w:pPr>
              <w:jc w:val="right"/>
              <w:rPr>
                <w:rFonts w:asciiTheme="minorHAnsi" w:eastAsia="Times New Roman" w:hAnsiTheme="minorHAnsi"/>
                <w:b/>
                <w:bCs/>
                <w:color w:val="000000"/>
                <w:lang w:val="en-GB"/>
              </w:rPr>
            </w:pPr>
            <w:r>
              <w:rPr>
                <w:rFonts w:asciiTheme="minorHAnsi" w:hAnsiTheme="minorHAnsi"/>
                <w:b/>
                <w:bCs/>
                <w:color w:val="000000"/>
                <w:lang w:val="en-GB"/>
              </w:rPr>
              <w:t>4,398,902</w:t>
            </w:r>
          </w:p>
        </w:tc>
      </w:tr>
      <w:tr w:rsidR="0043466E" w:rsidTr="0043466E">
        <w:trPr>
          <w:trHeight w:val="313"/>
        </w:trPr>
        <w:tc>
          <w:tcPr>
            <w:tcW w:w="1173" w:type="dxa"/>
            <w:tcBorders>
              <w:top w:val="nil"/>
              <w:left w:val="single" w:sz="8" w:space="0" w:color="auto"/>
              <w:bottom w:val="single" w:sz="8" w:space="0" w:color="auto"/>
              <w:right w:val="single" w:sz="8" w:space="0" w:color="auto"/>
            </w:tcBorders>
            <w:shd w:val="clear" w:color="auto" w:fill="FFFF99"/>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DEP</w:t>
            </w:r>
          </w:p>
        </w:tc>
        <w:tc>
          <w:tcPr>
            <w:tcW w:w="5198" w:type="dxa"/>
            <w:tcBorders>
              <w:top w:val="nil"/>
              <w:left w:val="nil"/>
              <w:bottom w:val="single" w:sz="8" w:space="0" w:color="auto"/>
              <w:right w:val="single" w:sz="8" w:space="0" w:color="auto"/>
            </w:tcBorders>
            <w:shd w:val="clear" w:color="auto" w:fill="FFFF99"/>
            <w:vAlign w:val="center"/>
            <w:hideMark/>
          </w:tcPr>
          <w:p w:rsidR="0043466E" w:rsidRDefault="0043466E">
            <w:pPr>
              <w:rPr>
                <w:rFonts w:asciiTheme="minorHAnsi" w:eastAsia="Times New Roman" w:hAnsiTheme="minorHAnsi"/>
                <w:b/>
                <w:bCs/>
                <w:color w:val="000000"/>
                <w:lang w:val="en-GB"/>
              </w:rPr>
            </w:pPr>
            <w:r>
              <w:rPr>
                <w:rFonts w:asciiTheme="minorHAnsi" w:hAnsiTheme="minorHAnsi"/>
                <w:b/>
                <w:bCs/>
                <w:color w:val="000000"/>
                <w:lang w:val="en-GB"/>
              </w:rPr>
              <w:t>Annual Depreciation</w:t>
            </w:r>
          </w:p>
        </w:tc>
        <w:tc>
          <w:tcPr>
            <w:tcW w:w="2209" w:type="dxa"/>
            <w:tcBorders>
              <w:top w:val="single" w:sz="8" w:space="0" w:color="auto"/>
              <w:left w:val="nil"/>
              <w:bottom w:val="single" w:sz="8" w:space="0" w:color="auto"/>
              <w:right w:val="single" w:sz="8" w:space="0" w:color="auto"/>
            </w:tcBorders>
            <w:shd w:val="clear" w:color="auto" w:fill="FFFF99"/>
            <w:vAlign w:val="center"/>
            <w:hideMark/>
          </w:tcPr>
          <w:p w:rsidR="0043466E" w:rsidRDefault="0043466E">
            <w:pPr>
              <w:jc w:val="right"/>
              <w:rPr>
                <w:rFonts w:asciiTheme="minorHAnsi" w:eastAsia="Times New Roman" w:hAnsiTheme="minorHAnsi"/>
                <w:b/>
                <w:bCs/>
                <w:color w:val="000000"/>
                <w:lang w:val="en-GB"/>
              </w:rPr>
            </w:pPr>
            <w:r>
              <w:rPr>
                <w:rFonts w:asciiTheme="minorHAnsi" w:hAnsiTheme="minorHAnsi"/>
                <w:b/>
                <w:lang w:val="en-GB"/>
              </w:rPr>
              <w:t>1,710,430</w:t>
            </w:r>
          </w:p>
        </w:tc>
      </w:tr>
      <w:tr w:rsidR="0043466E" w:rsidTr="0043466E">
        <w:trPr>
          <w:trHeight w:val="364"/>
        </w:trPr>
        <w:tc>
          <w:tcPr>
            <w:tcW w:w="1173" w:type="dxa"/>
            <w:tcBorders>
              <w:top w:val="nil"/>
              <w:left w:val="single" w:sz="8" w:space="0" w:color="auto"/>
              <w:bottom w:val="single" w:sz="8" w:space="0" w:color="auto"/>
              <w:right w:val="single" w:sz="8" w:space="0" w:color="auto"/>
            </w:tcBorders>
            <w:shd w:val="clear" w:color="auto" w:fill="FFFF99"/>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RTN</w:t>
            </w:r>
          </w:p>
        </w:tc>
        <w:tc>
          <w:tcPr>
            <w:tcW w:w="5198" w:type="dxa"/>
            <w:tcBorders>
              <w:top w:val="nil"/>
              <w:left w:val="nil"/>
              <w:bottom w:val="single" w:sz="8" w:space="0" w:color="auto"/>
              <w:right w:val="single" w:sz="8" w:space="0" w:color="auto"/>
            </w:tcBorders>
            <w:shd w:val="clear" w:color="auto" w:fill="FFFF99"/>
            <w:vAlign w:val="center"/>
            <w:hideMark/>
          </w:tcPr>
          <w:p w:rsidR="0043466E" w:rsidRDefault="0043466E">
            <w:pPr>
              <w:rPr>
                <w:rFonts w:asciiTheme="minorHAnsi" w:eastAsia="Times New Roman" w:hAnsiTheme="minorHAnsi"/>
                <w:b/>
                <w:bCs/>
                <w:color w:val="000000"/>
                <w:lang w:val="en-GB"/>
              </w:rPr>
            </w:pPr>
            <w:r>
              <w:rPr>
                <w:rFonts w:asciiTheme="minorHAnsi" w:hAnsiTheme="minorHAnsi"/>
                <w:b/>
                <w:bCs/>
                <w:color w:val="000000"/>
                <w:lang w:val="en-GB"/>
              </w:rPr>
              <w:t>Allowed Return on RAB</w:t>
            </w:r>
            <w:r>
              <w:rPr>
                <w:rFonts w:asciiTheme="minorHAnsi" w:hAnsiTheme="minorHAnsi"/>
                <w:b/>
                <w:bCs/>
                <w:color w:val="000000"/>
                <w:vertAlign w:val="subscript"/>
                <w:lang w:val="en-GB"/>
              </w:rPr>
              <w:t>f</w:t>
            </w:r>
          </w:p>
        </w:tc>
        <w:tc>
          <w:tcPr>
            <w:tcW w:w="2209" w:type="dxa"/>
            <w:tcBorders>
              <w:top w:val="nil"/>
              <w:left w:val="nil"/>
              <w:bottom w:val="single" w:sz="8" w:space="0" w:color="auto"/>
              <w:right w:val="single" w:sz="8" w:space="0" w:color="auto"/>
            </w:tcBorders>
            <w:shd w:val="clear" w:color="auto" w:fill="FFFF99"/>
            <w:vAlign w:val="center"/>
            <w:hideMark/>
          </w:tcPr>
          <w:p w:rsidR="0043466E" w:rsidRDefault="0043466E">
            <w:pPr>
              <w:jc w:val="right"/>
              <w:rPr>
                <w:rFonts w:asciiTheme="minorHAnsi" w:eastAsia="Times New Roman" w:hAnsiTheme="minorHAnsi"/>
                <w:b/>
                <w:bCs/>
                <w:color w:val="000000"/>
                <w:lang w:val="en-GB"/>
              </w:rPr>
            </w:pPr>
            <w:r>
              <w:rPr>
                <w:rFonts w:asciiTheme="minorHAnsi" w:hAnsiTheme="minorHAnsi"/>
                <w:b/>
                <w:bCs/>
                <w:color w:val="000000"/>
                <w:lang w:val="en-GB"/>
              </w:rPr>
              <w:t>895.274</w:t>
            </w:r>
          </w:p>
        </w:tc>
      </w:tr>
      <w:tr w:rsidR="0043466E" w:rsidTr="0043466E">
        <w:trPr>
          <w:trHeight w:val="378"/>
        </w:trPr>
        <w:tc>
          <w:tcPr>
            <w:tcW w:w="1173" w:type="dxa"/>
            <w:tcBorders>
              <w:top w:val="nil"/>
              <w:left w:val="single" w:sz="8" w:space="0" w:color="auto"/>
              <w:bottom w:val="single" w:sz="8" w:space="0" w:color="auto"/>
              <w:right w:val="single" w:sz="8" w:space="0" w:color="auto"/>
            </w:tcBorders>
            <w:shd w:val="clear" w:color="auto" w:fill="FFFF99"/>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LOS</w:t>
            </w:r>
          </w:p>
        </w:tc>
        <w:tc>
          <w:tcPr>
            <w:tcW w:w="5198" w:type="dxa"/>
            <w:tcBorders>
              <w:top w:val="nil"/>
              <w:left w:val="nil"/>
              <w:bottom w:val="single" w:sz="8" w:space="0" w:color="auto"/>
              <w:right w:val="single" w:sz="8" w:space="0" w:color="auto"/>
            </w:tcBorders>
            <w:shd w:val="clear" w:color="auto" w:fill="FFFF99"/>
            <w:vAlign w:val="center"/>
            <w:hideMark/>
          </w:tcPr>
          <w:p w:rsidR="0043466E" w:rsidRDefault="0043466E">
            <w:pPr>
              <w:rPr>
                <w:rFonts w:asciiTheme="minorHAnsi" w:eastAsia="Times New Roman" w:hAnsiTheme="minorHAnsi"/>
                <w:b/>
                <w:bCs/>
                <w:color w:val="000000"/>
                <w:lang w:val="en-GB"/>
              </w:rPr>
            </w:pPr>
            <w:r>
              <w:rPr>
                <w:rFonts w:asciiTheme="minorHAnsi" w:hAnsiTheme="minorHAnsi"/>
                <w:b/>
                <w:bCs/>
                <w:color w:val="000000"/>
                <w:lang w:val="en-GB"/>
              </w:rPr>
              <w:t>Allowed Cost of Loses</w:t>
            </w:r>
          </w:p>
        </w:tc>
        <w:tc>
          <w:tcPr>
            <w:tcW w:w="2209" w:type="dxa"/>
            <w:tcBorders>
              <w:top w:val="nil"/>
              <w:left w:val="nil"/>
              <w:bottom w:val="single" w:sz="8" w:space="0" w:color="auto"/>
              <w:right w:val="single" w:sz="8" w:space="0" w:color="auto"/>
            </w:tcBorders>
            <w:shd w:val="clear" w:color="auto" w:fill="FFFF99"/>
            <w:vAlign w:val="center"/>
            <w:hideMark/>
          </w:tcPr>
          <w:p w:rsidR="0043466E" w:rsidRDefault="0043466E">
            <w:pPr>
              <w:jc w:val="right"/>
              <w:rPr>
                <w:rFonts w:asciiTheme="minorHAnsi" w:eastAsia="Times New Roman" w:hAnsiTheme="minorHAnsi"/>
                <w:b/>
                <w:bCs/>
                <w:color w:val="000000"/>
                <w:lang w:val="en-GB"/>
              </w:rPr>
            </w:pPr>
            <w:r>
              <w:rPr>
                <w:rFonts w:asciiTheme="minorHAnsi" w:hAnsiTheme="minorHAnsi"/>
                <w:b/>
                <w:bCs/>
                <w:lang w:val="en-GB"/>
              </w:rPr>
              <w:t>267.614</w:t>
            </w:r>
          </w:p>
        </w:tc>
      </w:tr>
      <w:tr w:rsidR="0043466E" w:rsidTr="0043466E">
        <w:trPr>
          <w:trHeight w:val="378"/>
        </w:trPr>
        <w:tc>
          <w:tcPr>
            <w:tcW w:w="1173" w:type="dxa"/>
            <w:tcBorders>
              <w:top w:val="nil"/>
              <w:left w:val="single" w:sz="8" w:space="0" w:color="auto"/>
              <w:bottom w:val="single" w:sz="8" w:space="0" w:color="auto"/>
              <w:right w:val="single" w:sz="8" w:space="0" w:color="auto"/>
            </w:tcBorders>
            <w:shd w:val="clear" w:color="auto" w:fill="FFFF99"/>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ADJ</w:t>
            </w:r>
          </w:p>
        </w:tc>
        <w:tc>
          <w:tcPr>
            <w:tcW w:w="5198" w:type="dxa"/>
            <w:tcBorders>
              <w:top w:val="nil"/>
              <w:left w:val="nil"/>
              <w:bottom w:val="single" w:sz="8" w:space="0" w:color="auto"/>
              <w:right w:val="single" w:sz="8" w:space="0" w:color="auto"/>
            </w:tcBorders>
            <w:shd w:val="clear" w:color="auto" w:fill="FFFF99"/>
            <w:vAlign w:val="center"/>
            <w:hideMark/>
          </w:tcPr>
          <w:p w:rsidR="0043466E" w:rsidRDefault="0043466E">
            <w:pPr>
              <w:rPr>
                <w:rFonts w:asciiTheme="minorHAnsi" w:eastAsia="Times New Roman" w:hAnsiTheme="minorHAnsi"/>
                <w:b/>
                <w:bCs/>
                <w:color w:val="000000"/>
                <w:lang w:val="en-GB"/>
              </w:rPr>
            </w:pPr>
            <w:r>
              <w:rPr>
                <w:rFonts w:asciiTheme="minorHAnsi" w:hAnsiTheme="minorHAnsi"/>
                <w:b/>
                <w:bCs/>
                <w:color w:val="000000"/>
                <w:lang w:val="en-GB"/>
              </w:rPr>
              <w:t xml:space="preserve">Adjustment - the </w:t>
            </w:r>
            <w:r>
              <w:rPr>
                <w:rFonts w:asciiTheme="minorHAnsi" w:hAnsiTheme="minorHAnsi"/>
                <w:b/>
                <w:bCs/>
                <w:color w:val="000000"/>
                <w:sz w:val="22"/>
                <w:szCs w:val="22"/>
                <w:lang w:val="en-GB"/>
              </w:rPr>
              <w:t>difference between permissions and realizations</w:t>
            </w:r>
            <w:r>
              <w:rPr>
                <w:rFonts w:asciiTheme="minorHAnsi" w:hAnsiTheme="minorHAnsi"/>
                <w:b/>
                <w:bCs/>
                <w:color w:val="000000"/>
                <w:lang w:val="en-GB"/>
              </w:rPr>
              <w:t xml:space="preserve"> </w:t>
            </w:r>
          </w:p>
        </w:tc>
        <w:tc>
          <w:tcPr>
            <w:tcW w:w="2209" w:type="dxa"/>
            <w:tcBorders>
              <w:top w:val="nil"/>
              <w:left w:val="nil"/>
              <w:bottom w:val="single" w:sz="8" w:space="0" w:color="auto"/>
              <w:right w:val="single" w:sz="8" w:space="0" w:color="auto"/>
            </w:tcBorders>
            <w:shd w:val="clear" w:color="auto" w:fill="FFFF99"/>
            <w:vAlign w:val="center"/>
            <w:hideMark/>
          </w:tcPr>
          <w:p w:rsidR="0043466E" w:rsidRDefault="0043466E">
            <w:pPr>
              <w:jc w:val="right"/>
              <w:rPr>
                <w:rFonts w:asciiTheme="minorHAnsi" w:hAnsiTheme="minorHAnsi" w:cs="Calibri"/>
                <w:b/>
                <w:bCs/>
                <w:lang w:val="en-GB"/>
              </w:rPr>
            </w:pPr>
            <w:r>
              <w:rPr>
                <w:rFonts w:asciiTheme="minorHAnsi" w:hAnsiTheme="minorHAnsi"/>
                <w:b/>
                <w:bCs/>
                <w:lang w:val="en-GB"/>
              </w:rPr>
              <w:t>-311</w:t>
            </w:r>
            <w:r>
              <w:rPr>
                <w:rFonts w:asciiTheme="minorHAnsi" w:hAnsiTheme="minorHAnsi"/>
                <w:b/>
                <w:lang w:val="en-GB"/>
              </w:rPr>
              <w:t xml:space="preserve"> , 418</w:t>
            </w:r>
          </w:p>
        </w:tc>
      </w:tr>
      <w:tr w:rsidR="0043466E" w:rsidTr="0043466E">
        <w:trPr>
          <w:trHeight w:val="298"/>
        </w:trPr>
        <w:tc>
          <w:tcPr>
            <w:tcW w:w="1173" w:type="dxa"/>
            <w:vMerge w:val="restart"/>
            <w:tcBorders>
              <w:top w:val="nil"/>
              <w:left w:val="single" w:sz="8" w:space="0" w:color="auto"/>
              <w:bottom w:val="single" w:sz="8" w:space="0" w:color="000000"/>
              <w:right w:val="single" w:sz="8" w:space="0" w:color="auto"/>
            </w:tcBorders>
            <w:shd w:val="clear" w:color="auto" w:fill="DBE5F1"/>
            <w:vAlign w:val="center"/>
            <w:hideMark/>
          </w:tcPr>
          <w:p w:rsidR="0043466E" w:rsidRDefault="0043466E">
            <w:pPr>
              <w:jc w:val="center"/>
              <w:rPr>
                <w:rFonts w:asciiTheme="minorHAnsi" w:eastAsia="Times New Roman" w:hAnsiTheme="minorHAnsi"/>
                <w:b/>
                <w:bCs/>
                <w:color w:val="000000"/>
                <w:lang w:val="en-GB"/>
              </w:rPr>
            </w:pPr>
            <w:r>
              <w:rPr>
                <w:rFonts w:asciiTheme="minorHAnsi" w:hAnsiTheme="minorHAnsi"/>
                <w:b/>
                <w:bCs/>
                <w:color w:val="000000"/>
                <w:lang w:val="en-GB"/>
              </w:rPr>
              <w:t>MAR</w:t>
            </w:r>
          </w:p>
        </w:tc>
        <w:tc>
          <w:tcPr>
            <w:tcW w:w="5198" w:type="dxa"/>
            <w:vMerge w:val="restart"/>
            <w:tcBorders>
              <w:top w:val="nil"/>
              <w:left w:val="single" w:sz="8" w:space="0" w:color="auto"/>
              <w:bottom w:val="single" w:sz="8" w:space="0" w:color="000000"/>
              <w:right w:val="single" w:sz="8" w:space="0" w:color="auto"/>
            </w:tcBorders>
            <w:shd w:val="clear" w:color="auto" w:fill="DBE5F1"/>
            <w:vAlign w:val="center"/>
            <w:hideMark/>
          </w:tcPr>
          <w:p w:rsidR="0043466E" w:rsidRDefault="0043466E">
            <w:pPr>
              <w:rPr>
                <w:rFonts w:asciiTheme="minorHAnsi" w:eastAsia="Times New Roman" w:hAnsiTheme="minorHAnsi"/>
                <w:b/>
                <w:bCs/>
                <w:color w:val="000000"/>
                <w:lang w:val="en-GB"/>
              </w:rPr>
            </w:pPr>
            <w:r>
              <w:rPr>
                <w:rFonts w:asciiTheme="minorHAnsi" w:hAnsiTheme="minorHAnsi"/>
                <w:b/>
                <w:bCs/>
                <w:color w:val="000000"/>
                <w:lang w:val="en-GB"/>
              </w:rPr>
              <w:t xml:space="preserve">Maximum Allowed Revenues </w:t>
            </w:r>
          </w:p>
        </w:tc>
        <w:tc>
          <w:tcPr>
            <w:tcW w:w="2209" w:type="dxa"/>
            <w:vMerge w:val="restart"/>
            <w:tcBorders>
              <w:top w:val="nil"/>
              <w:left w:val="single" w:sz="8" w:space="0" w:color="auto"/>
              <w:bottom w:val="single" w:sz="8" w:space="0" w:color="000000"/>
              <w:right w:val="single" w:sz="8" w:space="0" w:color="auto"/>
            </w:tcBorders>
            <w:shd w:val="clear" w:color="auto" w:fill="DBE5F1"/>
            <w:vAlign w:val="center"/>
            <w:hideMark/>
          </w:tcPr>
          <w:p w:rsidR="0043466E" w:rsidRDefault="0043466E">
            <w:pPr>
              <w:jc w:val="right"/>
              <w:rPr>
                <w:rFonts w:asciiTheme="minorHAnsi" w:eastAsia="Times New Roman" w:hAnsiTheme="minorHAnsi"/>
                <w:b/>
                <w:bCs/>
                <w:color w:val="000000"/>
                <w:lang w:val="en-GB"/>
              </w:rPr>
            </w:pPr>
            <w:r>
              <w:rPr>
                <w:rFonts w:asciiTheme="minorHAnsi" w:eastAsia="Times New Roman" w:hAnsiTheme="minorHAnsi"/>
                <w:b/>
                <w:bCs/>
                <w:color w:val="000000"/>
                <w:lang w:val="en-GB"/>
              </w:rPr>
              <w:fldChar w:fldCharType="begin"/>
            </w:r>
            <w:r>
              <w:rPr>
                <w:rFonts w:asciiTheme="minorHAnsi" w:eastAsia="Times New Roman" w:hAnsiTheme="minorHAnsi"/>
                <w:b/>
                <w:bCs/>
                <w:color w:val="000000"/>
                <w:lang w:val="en-GB"/>
              </w:rPr>
              <w:instrText xml:space="preserve"> =SUM(ABOVE) </w:instrText>
            </w:r>
            <w:r>
              <w:rPr>
                <w:rFonts w:asciiTheme="minorHAnsi" w:eastAsia="Times New Roman" w:hAnsiTheme="minorHAnsi"/>
                <w:b/>
                <w:bCs/>
                <w:color w:val="000000"/>
                <w:lang w:val="en-GB"/>
              </w:rPr>
              <w:fldChar w:fldCharType="separate"/>
            </w:r>
            <w:r>
              <w:rPr>
                <w:rFonts w:asciiTheme="minorHAnsi" w:eastAsia="Times New Roman" w:hAnsiTheme="minorHAnsi"/>
                <w:b/>
                <w:bCs/>
                <w:color w:val="000000"/>
                <w:lang w:val="en-GB"/>
              </w:rPr>
              <w:t>6,960,802</w:t>
            </w:r>
            <w:r>
              <w:rPr>
                <w:rFonts w:asciiTheme="minorHAnsi" w:eastAsia="Times New Roman" w:hAnsiTheme="minorHAnsi"/>
                <w:b/>
                <w:bCs/>
                <w:color w:val="000000"/>
                <w:lang w:val="en-GB"/>
              </w:rPr>
              <w:fldChar w:fldCharType="end"/>
            </w:r>
          </w:p>
        </w:tc>
      </w:tr>
      <w:tr w:rsidR="0043466E" w:rsidTr="0043466E">
        <w:trPr>
          <w:trHeight w:val="298"/>
        </w:trPr>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b/>
                <w:bCs/>
                <w:color w:val="000000"/>
                <w:lang w:val="en-GB"/>
              </w:rPr>
            </w:pPr>
          </w:p>
        </w:tc>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b/>
                <w:bCs/>
                <w:color w:val="000000"/>
                <w:lang w:val="en-GB"/>
              </w:rPr>
            </w:pPr>
          </w:p>
        </w:tc>
        <w:tc>
          <w:tcPr>
            <w:tcW w:w="0" w:type="auto"/>
            <w:vMerge/>
            <w:tcBorders>
              <w:top w:val="nil"/>
              <w:left w:val="single" w:sz="8" w:space="0" w:color="auto"/>
              <w:bottom w:val="single" w:sz="8" w:space="0" w:color="000000"/>
              <w:right w:val="single" w:sz="8" w:space="0" w:color="auto"/>
            </w:tcBorders>
            <w:vAlign w:val="center"/>
            <w:hideMark/>
          </w:tcPr>
          <w:p w:rsidR="0043466E" w:rsidRDefault="0043466E">
            <w:pPr>
              <w:rPr>
                <w:rFonts w:asciiTheme="minorHAnsi" w:eastAsia="Times New Roman" w:hAnsiTheme="minorHAnsi"/>
                <w:b/>
                <w:bCs/>
                <w:color w:val="000000"/>
                <w:lang w:val="en-GB"/>
              </w:rPr>
            </w:pPr>
          </w:p>
        </w:tc>
      </w:tr>
    </w:tbl>
    <w:p w:rsidR="0043466E" w:rsidRDefault="0043466E" w:rsidP="0043466E">
      <w:pPr>
        <w:pStyle w:val="Header"/>
        <w:tabs>
          <w:tab w:val="left" w:pos="720"/>
        </w:tabs>
        <w:jc w:val="both"/>
        <w:rPr>
          <w:rFonts w:asciiTheme="minorHAnsi" w:hAnsiTheme="minorHAnsi"/>
          <w:sz w:val="22"/>
          <w:szCs w:val="22"/>
          <w:lang w:val="en-GB"/>
        </w:rPr>
      </w:pPr>
    </w:p>
    <w:p w:rsidR="0043466E" w:rsidRDefault="0043466E" w:rsidP="0043466E">
      <w:pPr>
        <w:pStyle w:val="Header"/>
        <w:tabs>
          <w:tab w:val="left" w:pos="720"/>
        </w:tabs>
        <w:spacing w:after="120"/>
        <w:jc w:val="both"/>
        <w:rPr>
          <w:rFonts w:asciiTheme="minorHAnsi" w:hAnsiTheme="minorHAnsi"/>
          <w:sz w:val="22"/>
          <w:lang w:val="en-GB"/>
        </w:rPr>
      </w:pPr>
      <w:r>
        <w:rPr>
          <w:rFonts w:asciiTheme="minorHAnsi" w:hAnsiTheme="minorHAnsi"/>
          <w:sz w:val="22"/>
          <w:lang w:val="en-GB"/>
        </w:rPr>
        <w:t xml:space="preserve">In order to </w:t>
      </w:r>
      <w:r w:rsidR="00F80936">
        <w:rPr>
          <w:rFonts w:asciiTheme="minorHAnsi" w:hAnsiTheme="minorHAnsi"/>
          <w:sz w:val="22"/>
          <w:lang w:val="en-GB"/>
        </w:rPr>
        <w:t>comply</w:t>
      </w:r>
      <w:r>
        <w:rPr>
          <w:rFonts w:asciiTheme="minorHAnsi" w:hAnsiTheme="minorHAnsi"/>
          <w:sz w:val="22"/>
          <w:lang w:val="en-GB"/>
        </w:rPr>
        <w:t xml:space="preserve"> with the tariff structure which estimates the division in thermal capacity component (fixed component) and thermal energy amount component (variable component), the split of MAR is made according to the share: fixed part 15% and variable part 85%. Consequently, split of MAR in fixed part and variable part for heating season 2020/2021 is as follows:</w:t>
      </w:r>
    </w:p>
    <w:p w:rsidR="0043466E" w:rsidRDefault="0043466E" w:rsidP="0043466E">
      <w:pPr>
        <w:pStyle w:val="Header"/>
        <w:tabs>
          <w:tab w:val="left" w:pos="720"/>
        </w:tabs>
        <w:rPr>
          <w:rFonts w:asciiTheme="minorHAnsi" w:hAnsiTheme="minorHAnsi"/>
          <w:bCs/>
          <w:lang w:val="en-GB"/>
        </w:rPr>
      </w:pPr>
      <w:r>
        <w:rPr>
          <w:rFonts w:asciiTheme="minorHAnsi" w:hAnsiTheme="minorHAnsi"/>
          <w:b/>
          <w:bCs/>
          <w:lang w:val="en-GB"/>
        </w:rPr>
        <w:t>Fixed part of Maximum Allowed Revenues (MAR</w:t>
      </w:r>
      <w:r>
        <w:rPr>
          <w:rFonts w:asciiTheme="minorHAnsi" w:hAnsiTheme="minorHAnsi"/>
          <w:b/>
          <w:bCs/>
          <w:vertAlign w:val="subscript"/>
          <w:lang w:val="en-GB"/>
        </w:rPr>
        <w:t>F</w:t>
      </w:r>
      <w:r>
        <w:rPr>
          <w:rFonts w:asciiTheme="minorHAnsi" w:hAnsiTheme="minorHAnsi"/>
          <w:b/>
          <w:bCs/>
          <w:lang w:val="en-GB"/>
        </w:rPr>
        <w:t xml:space="preserve">) </w:t>
      </w:r>
      <w:r>
        <w:rPr>
          <w:rFonts w:asciiTheme="minorHAnsi" w:hAnsiTheme="minorHAnsi"/>
          <w:b/>
          <w:bCs/>
          <w:lang w:val="en-GB"/>
        </w:rPr>
        <w:tab/>
        <w:t>€ 1,044,120</w:t>
      </w:r>
      <w:r>
        <w:rPr>
          <w:rFonts w:asciiTheme="minorHAnsi" w:hAnsiTheme="minorHAnsi"/>
          <w:bCs/>
          <w:lang w:val="en-GB"/>
        </w:rPr>
        <w:t>; and</w:t>
      </w:r>
    </w:p>
    <w:p w:rsidR="0043466E" w:rsidRDefault="0043466E" w:rsidP="0043466E">
      <w:pPr>
        <w:pStyle w:val="Header"/>
        <w:tabs>
          <w:tab w:val="left" w:pos="720"/>
        </w:tabs>
        <w:rPr>
          <w:rFonts w:asciiTheme="minorHAnsi" w:hAnsiTheme="minorHAnsi"/>
          <w:b/>
          <w:lang w:val="en-GB"/>
        </w:rPr>
      </w:pPr>
      <w:r>
        <w:rPr>
          <w:rFonts w:asciiTheme="minorHAnsi" w:hAnsiTheme="minorHAnsi"/>
          <w:b/>
          <w:lang w:val="en-GB"/>
        </w:rPr>
        <w:t xml:space="preserve">Variable part </w:t>
      </w:r>
      <w:r>
        <w:rPr>
          <w:rFonts w:asciiTheme="minorHAnsi" w:hAnsiTheme="minorHAnsi"/>
          <w:b/>
          <w:bCs/>
          <w:lang w:val="en-GB"/>
        </w:rPr>
        <w:t>of Allowed Revenue</w:t>
      </w:r>
      <w:r>
        <w:rPr>
          <w:rFonts w:asciiTheme="minorHAnsi" w:hAnsiTheme="minorHAnsi"/>
          <w:b/>
          <w:lang w:val="en-GB"/>
        </w:rPr>
        <w:t xml:space="preserve"> (MARv)</w:t>
      </w:r>
      <w:r>
        <w:rPr>
          <w:rFonts w:asciiTheme="minorHAnsi" w:hAnsiTheme="minorHAnsi"/>
          <w:b/>
          <w:lang w:val="en-GB"/>
        </w:rPr>
        <w:tab/>
      </w:r>
      <w:r w:rsidR="00F80936">
        <w:rPr>
          <w:rFonts w:asciiTheme="minorHAnsi" w:hAnsiTheme="minorHAnsi"/>
          <w:b/>
          <w:lang w:val="en-GB"/>
        </w:rPr>
        <w:t xml:space="preserve">                                                    </w:t>
      </w:r>
      <w:r>
        <w:rPr>
          <w:rFonts w:asciiTheme="minorHAnsi" w:hAnsiTheme="minorHAnsi"/>
          <w:b/>
          <w:lang w:val="en-GB"/>
        </w:rPr>
        <w:t>€ 5,916,682.</w:t>
      </w:r>
      <w:r>
        <w:rPr>
          <w:rFonts w:asciiTheme="minorHAnsi" w:hAnsiTheme="minorHAnsi"/>
          <w:sz w:val="22"/>
          <w:szCs w:val="22"/>
          <w:lang w:val="en-GB"/>
        </w:rPr>
        <w:tab/>
        <w:t xml:space="preserve"> </w:t>
      </w:r>
    </w:p>
    <w:p w:rsidR="0043466E" w:rsidRDefault="0043466E" w:rsidP="0043466E">
      <w:pPr>
        <w:pStyle w:val="Heading1"/>
        <w:numPr>
          <w:ilvl w:val="0"/>
          <w:numId w:val="33"/>
        </w:numPr>
        <w:tabs>
          <w:tab w:val="num" w:pos="1620"/>
        </w:tabs>
        <w:ind w:left="720"/>
        <w:rPr>
          <w:color w:val="000000" w:themeColor="text1"/>
          <w:lang w:val="en-GB"/>
        </w:rPr>
      </w:pPr>
      <w:r>
        <w:rPr>
          <w:color w:val="000000" w:themeColor="text1"/>
          <w:lang w:val="en-GB"/>
        </w:rPr>
        <w:t xml:space="preserve"> </w:t>
      </w:r>
      <w:bookmarkStart w:id="163" w:name="_Toc52186245"/>
      <w:bookmarkStart w:id="164" w:name="_Toc21514389"/>
      <w:bookmarkStart w:id="165" w:name="_Toc21513559"/>
      <w:r>
        <w:rPr>
          <w:color w:val="000000" w:themeColor="text1"/>
          <w:lang w:val="en-GB"/>
        </w:rPr>
        <w:t>Thermal Energy Balance</w:t>
      </w:r>
      <w:bookmarkEnd w:id="163"/>
      <w:bookmarkEnd w:id="164"/>
      <w:bookmarkEnd w:id="165"/>
    </w:p>
    <w:p w:rsidR="0043466E" w:rsidRDefault="0043466E" w:rsidP="0043466E">
      <w:pPr>
        <w:pStyle w:val="Header"/>
        <w:tabs>
          <w:tab w:val="left" w:pos="720"/>
        </w:tabs>
        <w:rPr>
          <w:rFonts w:asciiTheme="minorHAnsi" w:hAnsiTheme="minorHAnsi"/>
          <w:b/>
          <w:sz w:val="22"/>
          <w:szCs w:val="22"/>
          <w:lang w:val="en-GB"/>
        </w:rPr>
      </w:pPr>
    </w:p>
    <w:p w:rsidR="0043466E" w:rsidRDefault="0043466E" w:rsidP="0043466E">
      <w:pPr>
        <w:pStyle w:val="Header"/>
        <w:tabs>
          <w:tab w:val="left" w:pos="720"/>
        </w:tabs>
        <w:jc w:val="both"/>
        <w:rPr>
          <w:rFonts w:asciiTheme="minorHAnsi" w:hAnsiTheme="minorHAnsi"/>
          <w:sz w:val="22"/>
          <w:szCs w:val="22"/>
          <w:lang w:val="en-GB"/>
        </w:rPr>
      </w:pPr>
      <w:r>
        <w:rPr>
          <w:rFonts w:asciiTheme="minorHAnsi" w:hAnsiTheme="minorHAnsi"/>
          <w:sz w:val="22"/>
          <w:szCs w:val="22"/>
          <w:lang w:val="en-GB"/>
        </w:rPr>
        <w:t xml:space="preserve">The thermal energy balance is a very important component in the tariff review because projections for the production/purchase of thermal energy, losses in the network and finally the supply of customers are determined. For this reason, projections in the Balance Sheet have an impact on planning of the respective costs, and consequently on determination of the Allowed Revenues and tariffs. </w:t>
      </w:r>
    </w:p>
    <w:p w:rsidR="0043466E" w:rsidRDefault="0043466E" w:rsidP="0043466E">
      <w:pPr>
        <w:pStyle w:val="Header"/>
        <w:tabs>
          <w:tab w:val="left" w:pos="720"/>
        </w:tabs>
        <w:jc w:val="both"/>
        <w:rPr>
          <w:rFonts w:asciiTheme="minorHAnsi" w:hAnsiTheme="minorHAnsi"/>
          <w:sz w:val="22"/>
          <w:szCs w:val="22"/>
          <w:lang w:val="en-GB"/>
        </w:rPr>
      </w:pPr>
      <w:r>
        <w:rPr>
          <w:rFonts w:asciiTheme="minorHAnsi" w:hAnsiTheme="minorHAnsi"/>
          <w:sz w:val="22"/>
          <w:szCs w:val="22"/>
          <w:lang w:val="en-GB"/>
        </w:rPr>
        <w:t>Components of the Thermal Energy Balance for DH Termokos for the season 2020/2021 are summarized in the following tabular and graphical forms.</w:t>
      </w:r>
    </w:p>
    <w:p w:rsidR="0043466E" w:rsidRDefault="0043466E" w:rsidP="0043466E">
      <w:pPr>
        <w:pStyle w:val="Header"/>
        <w:tabs>
          <w:tab w:val="left" w:pos="720"/>
        </w:tabs>
        <w:jc w:val="both"/>
        <w:rPr>
          <w:rFonts w:asciiTheme="minorHAnsi" w:hAnsiTheme="minorHAnsi"/>
          <w:sz w:val="22"/>
          <w:szCs w:val="22"/>
          <w:lang w:val="en-GB"/>
        </w:rPr>
      </w:pPr>
    </w:p>
    <w:p w:rsidR="0043466E" w:rsidRDefault="0043466E" w:rsidP="0043466E">
      <w:pPr>
        <w:pStyle w:val="Heading3"/>
        <w:rPr>
          <w:lang w:val="en-GB"/>
        </w:rPr>
      </w:pPr>
      <w:bookmarkStart w:id="166" w:name="_Toc52186246"/>
      <w:bookmarkStart w:id="167" w:name="_Toc21521397"/>
      <w:bookmarkStart w:id="168" w:name="_Toc21515574"/>
      <w:bookmarkStart w:id="169" w:name="_Toc21514874"/>
      <w:bookmarkStart w:id="170" w:name="_Toc21514467"/>
      <w:bookmarkStart w:id="171" w:name="_Toc21514390"/>
      <w:bookmarkStart w:id="172" w:name="_Toc21513178"/>
      <w:r>
        <w:rPr>
          <w:lang w:val="en-GB"/>
        </w:rPr>
        <w:t>Table 7: Summary of Thermal Energy Balance</w:t>
      </w:r>
      <w:bookmarkEnd w:id="166"/>
      <w:bookmarkEnd w:id="167"/>
      <w:bookmarkEnd w:id="168"/>
      <w:bookmarkEnd w:id="169"/>
      <w:bookmarkEnd w:id="170"/>
      <w:bookmarkEnd w:id="171"/>
      <w:bookmarkEnd w:id="172"/>
    </w:p>
    <w:tbl>
      <w:tblPr>
        <w:tblW w:w="9094" w:type="dxa"/>
        <w:tblCellMar>
          <w:left w:w="0" w:type="dxa"/>
          <w:right w:w="0" w:type="dxa"/>
        </w:tblCellMar>
        <w:tblLook w:val="04A0" w:firstRow="1" w:lastRow="0" w:firstColumn="1" w:lastColumn="0" w:noHBand="0" w:noVBand="1"/>
      </w:tblPr>
      <w:tblGrid>
        <w:gridCol w:w="5751"/>
        <w:gridCol w:w="682"/>
        <w:gridCol w:w="1445"/>
        <w:gridCol w:w="1218"/>
      </w:tblGrid>
      <w:tr w:rsidR="0043466E" w:rsidTr="0043466E">
        <w:trPr>
          <w:trHeight w:val="442"/>
        </w:trPr>
        <w:tc>
          <w:tcPr>
            <w:tcW w:w="6433" w:type="dxa"/>
            <w:gridSpan w:val="2"/>
            <w:tcBorders>
              <w:top w:val="single" w:sz="8" w:space="0" w:color="000000"/>
              <w:left w:val="single" w:sz="8" w:space="0" w:color="000000"/>
              <w:bottom w:val="single" w:sz="8" w:space="0" w:color="000000"/>
              <w:right w:val="single" w:sz="8" w:space="0" w:color="000000"/>
            </w:tcBorders>
            <w:shd w:val="clear" w:color="auto" w:fill="B8CCE4"/>
            <w:noWrap/>
            <w:vAlign w:val="center"/>
            <w:hideMark/>
          </w:tcPr>
          <w:p w:rsidR="0043466E" w:rsidRDefault="0043466E">
            <w:pPr>
              <w:jc w:val="center"/>
              <w:rPr>
                <w:rFonts w:asciiTheme="minorHAnsi" w:hAnsiTheme="minorHAnsi"/>
                <w:b/>
                <w:bCs/>
                <w:color w:val="000000"/>
                <w:sz w:val="22"/>
                <w:szCs w:val="22"/>
                <w:lang w:val="en-GB"/>
              </w:rPr>
            </w:pPr>
            <w:r>
              <w:rPr>
                <w:rFonts w:asciiTheme="minorHAnsi" w:hAnsiTheme="minorHAnsi"/>
                <w:b/>
                <w:bCs/>
                <w:color w:val="000000"/>
                <w:sz w:val="22"/>
                <w:szCs w:val="22"/>
                <w:lang w:val="en-GB"/>
              </w:rPr>
              <w:t>Thermal Energy Balance - DH Termokos - season 2020/2021</w:t>
            </w:r>
          </w:p>
        </w:tc>
        <w:tc>
          <w:tcPr>
            <w:tcW w:w="1443" w:type="dxa"/>
            <w:tcBorders>
              <w:top w:val="single" w:sz="8" w:space="0" w:color="000000"/>
              <w:left w:val="nil"/>
              <w:bottom w:val="single" w:sz="8" w:space="0" w:color="000000"/>
              <w:right w:val="single" w:sz="8" w:space="0" w:color="000000"/>
            </w:tcBorders>
            <w:shd w:val="clear" w:color="auto" w:fill="B8CCE4"/>
            <w:vAlign w:val="bottom"/>
            <w:hideMark/>
          </w:tcPr>
          <w:p w:rsidR="0043466E" w:rsidRDefault="0043466E">
            <w:pPr>
              <w:jc w:val="center"/>
              <w:rPr>
                <w:rFonts w:asciiTheme="minorHAnsi" w:hAnsiTheme="minorHAnsi"/>
                <w:b/>
                <w:bCs/>
                <w:color w:val="000000"/>
                <w:sz w:val="22"/>
                <w:szCs w:val="22"/>
                <w:lang w:val="en-GB"/>
              </w:rPr>
            </w:pPr>
            <w:r>
              <w:rPr>
                <w:rFonts w:asciiTheme="minorHAnsi" w:hAnsiTheme="minorHAnsi"/>
                <w:b/>
                <w:bCs/>
                <w:color w:val="000000"/>
                <w:sz w:val="22"/>
                <w:szCs w:val="22"/>
                <w:lang w:val="en-GB"/>
              </w:rPr>
              <w:t xml:space="preserve">Proposed by DH Termokos </w:t>
            </w:r>
          </w:p>
        </w:tc>
        <w:tc>
          <w:tcPr>
            <w:tcW w:w="1218" w:type="dxa"/>
            <w:tcBorders>
              <w:top w:val="single" w:sz="8" w:space="0" w:color="000000"/>
              <w:left w:val="nil"/>
              <w:bottom w:val="single" w:sz="8" w:space="0" w:color="000000"/>
              <w:right w:val="single" w:sz="8" w:space="0" w:color="000000"/>
            </w:tcBorders>
            <w:shd w:val="clear" w:color="auto" w:fill="B8CCE4"/>
            <w:vAlign w:val="bottom"/>
            <w:hideMark/>
          </w:tcPr>
          <w:p w:rsidR="0043466E" w:rsidRDefault="0043466E">
            <w:pPr>
              <w:jc w:val="center"/>
              <w:rPr>
                <w:rFonts w:asciiTheme="minorHAnsi" w:hAnsiTheme="minorHAnsi"/>
                <w:b/>
                <w:bCs/>
                <w:color w:val="000000"/>
                <w:sz w:val="22"/>
                <w:szCs w:val="22"/>
                <w:lang w:val="en-GB"/>
              </w:rPr>
            </w:pPr>
            <w:r>
              <w:rPr>
                <w:rFonts w:asciiTheme="minorHAnsi" w:hAnsiTheme="minorHAnsi"/>
                <w:b/>
                <w:bCs/>
                <w:color w:val="000000"/>
                <w:sz w:val="22"/>
                <w:szCs w:val="22"/>
                <w:lang w:val="en-GB"/>
              </w:rPr>
              <w:t>Allowed by ERO</w:t>
            </w:r>
          </w:p>
        </w:tc>
      </w:tr>
      <w:tr w:rsidR="0043466E" w:rsidTr="0043466E">
        <w:trPr>
          <w:trHeight w:val="236"/>
        </w:trPr>
        <w:tc>
          <w:tcPr>
            <w:tcW w:w="0" w:type="auto"/>
            <w:tcBorders>
              <w:top w:val="nil"/>
              <w:left w:val="single" w:sz="8" w:space="0" w:color="000000"/>
              <w:bottom w:val="single" w:sz="8" w:space="0" w:color="000000"/>
              <w:right w:val="single" w:sz="8" w:space="0" w:color="000000"/>
            </w:tcBorders>
            <w:shd w:val="clear" w:color="auto" w:fill="FFFFCC"/>
            <w:noWrap/>
            <w:vAlign w:val="center"/>
            <w:hideMark/>
          </w:tcPr>
          <w:p w:rsidR="0043466E" w:rsidRDefault="0043466E">
            <w:pPr>
              <w:rPr>
                <w:rFonts w:asciiTheme="minorHAnsi" w:hAnsiTheme="minorHAnsi"/>
                <w:color w:val="000000"/>
                <w:sz w:val="22"/>
                <w:szCs w:val="22"/>
                <w:lang w:val="en-GB"/>
              </w:rPr>
            </w:pPr>
            <w:r>
              <w:rPr>
                <w:rFonts w:asciiTheme="minorHAnsi" w:hAnsiTheme="minorHAnsi"/>
                <w:color w:val="000000"/>
                <w:sz w:val="22"/>
                <w:szCs w:val="22"/>
                <w:lang w:val="en-GB"/>
              </w:rPr>
              <w:t xml:space="preserve">Gross Production of Thermal Energy </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center"/>
              <w:rPr>
                <w:rFonts w:asciiTheme="minorHAnsi" w:hAnsiTheme="minorHAnsi"/>
                <w:color w:val="000000"/>
                <w:sz w:val="22"/>
                <w:szCs w:val="22"/>
                <w:lang w:val="en-GB"/>
              </w:rPr>
            </w:pPr>
            <w:r>
              <w:rPr>
                <w:rFonts w:asciiTheme="minorHAnsi" w:hAnsiTheme="minorHAnsi"/>
                <w:color w:val="000000"/>
                <w:sz w:val="22"/>
                <w:szCs w:val="22"/>
                <w:lang w:val="en-GB"/>
              </w:rPr>
              <w:t>MWh</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6.820 </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6, 820</w:t>
            </w:r>
          </w:p>
        </w:tc>
      </w:tr>
      <w:tr w:rsidR="0043466E" w:rsidTr="0043466E">
        <w:trPr>
          <w:trHeight w:val="288"/>
        </w:trPr>
        <w:tc>
          <w:tcPr>
            <w:tcW w:w="0" w:type="auto"/>
            <w:tcBorders>
              <w:top w:val="nil"/>
              <w:left w:val="single" w:sz="8" w:space="0" w:color="000000"/>
              <w:bottom w:val="single" w:sz="8" w:space="0" w:color="000000"/>
              <w:right w:val="single" w:sz="8" w:space="0" w:color="000000"/>
            </w:tcBorders>
            <w:shd w:val="clear" w:color="auto" w:fill="FFFFCC"/>
            <w:noWrap/>
            <w:vAlign w:val="center"/>
            <w:hideMark/>
          </w:tcPr>
          <w:p w:rsidR="0043466E" w:rsidRDefault="0043466E">
            <w:pPr>
              <w:rPr>
                <w:rFonts w:asciiTheme="minorHAnsi" w:hAnsiTheme="minorHAnsi"/>
                <w:color w:val="000000"/>
                <w:sz w:val="22"/>
                <w:szCs w:val="22"/>
                <w:lang w:val="en-GB"/>
              </w:rPr>
            </w:pPr>
            <w:r>
              <w:rPr>
                <w:rFonts w:asciiTheme="minorHAnsi" w:hAnsiTheme="minorHAnsi"/>
                <w:color w:val="000000"/>
                <w:sz w:val="22"/>
                <w:szCs w:val="22"/>
                <w:lang w:val="en-GB"/>
              </w:rPr>
              <w:t>Gross Purchases of Thermal Energy (Network Access. Trans.)</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center"/>
              <w:rPr>
                <w:rFonts w:asciiTheme="minorHAnsi" w:hAnsiTheme="minorHAnsi"/>
                <w:color w:val="000000"/>
                <w:sz w:val="22"/>
                <w:szCs w:val="22"/>
                <w:lang w:val="en-GB"/>
              </w:rPr>
            </w:pPr>
            <w:r>
              <w:rPr>
                <w:rFonts w:asciiTheme="minorHAnsi" w:hAnsiTheme="minorHAnsi"/>
                <w:color w:val="000000"/>
                <w:sz w:val="22"/>
                <w:szCs w:val="22"/>
                <w:lang w:val="en-GB"/>
              </w:rPr>
              <w:t>MWh</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267.648 </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267.648 </w:t>
            </w:r>
          </w:p>
        </w:tc>
      </w:tr>
      <w:tr w:rsidR="0043466E" w:rsidTr="0043466E">
        <w:trPr>
          <w:trHeight w:val="288"/>
        </w:trPr>
        <w:tc>
          <w:tcPr>
            <w:tcW w:w="0" w:type="auto"/>
            <w:tcBorders>
              <w:top w:val="nil"/>
              <w:left w:val="single" w:sz="8" w:space="0" w:color="000000"/>
              <w:bottom w:val="nil"/>
              <w:right w:val="single" w:sz="8" w:space="0" w:color="000000"/>
            </w:tcBorders>
            <w:shd w:val="clear" w:color="auto" w:fill="DBE5F1"/>
            <w:noWrap/>
            <w:vAlign w:val="center"/>
            <w:hideMark/>
          </w:tcPr>
          <w:p w:rsidR="0043466E" w:rsidRDefault="0043466E">
            <w:pPr>
              <w:rPr>
                <w:rFonts w:asciiTheme="minorHAnsi" w:hAnsiTheme="minorHAnsi"/>
                <w:color w:val="000000"/>
                <w:sz w:val="22"/>
                <w:szCs w:val="22"/>
                <w:lang w:val="en-GB"/>
              </w:rPr>
            </w:pPr>
            <w:r>
              <w:rPr>
                <w:rFonts w:asciiTheme="minorHAnsi" w:hAnsiTheme="minorHAnsi"/>
                <w:color w:val="000000"/>
                <w:sz w:val="22"/>
                <w:szCs w:val="22"/>
                <w:lang w:val="en-GB"/>
              </w:rPr>
              <w:t>Net Purchases of Ther. Energy (Exit from the Network. Trans.)</w:t>
            </w:r>
          </w:p>
        </w:tc>
        <w:tc>
          <w:tcPr>
            <w:tcW w:w="0" w:type="auto"/>
            <w:tcBorders>
              <w:top w:val="nil"/>
              <w:left w:val="nil"/>
              <w:bottom w:val="single" w:sz="8" w:space="0" w:color="000000"/>
              <w:right w:val="single" w:sz="8" w:space="0" w:color="000000"/>
            </w:tcBorders>
            <w:shd w:val="clear" w:color="auto" w:fill="DBE5F1"/>
            <w:noWrap/>
            <w:vAlign w:val="center"/>
            <w:hideMark/>
          </w:tcPr>
          <w:p w:rsidR="0043466E" w:rsidRDefault="0043466E">
            <w:pPr>
              <w:jc w:val="center"/>
              <w:rPr>
                <w:rFonts w:asciiTheme="minorHAnsi" w:hAnsiTheme="minorHAnsi"/>
                <w:color w:val="000000"/>
                <w:sz w:val="22"/>
                <w:szCs w:val="22"/>
                <w:lang w:val="en-GB"/>
              </w:rPr>
            </w:pPr>
            <w:r>
              <w:rPr>
                <w:rFonts w:asciiTheme="minorHAnsi" w:hAnsiTheme="minorHAnsi"/>
                <w:color w:val="000000"/>
                <w:sz w:val="22"/>
                <w:szCs w:val="22"/>
                <w:lang w:val="en-GB"/>
              </w:rPr>
              <w:t>MWh</w:t>
            </w:r>
          </w:p>
        </w:tc>
        <w:tc>
          <w:tcPr>
            <w:tcW w:w="0" w:type="auto"/>
            <w:tcBorders>
              <w:top w:val="nil"/>
              <w:left w:val="nil"/>
              <w:bottom w:val="single" w:sz="8" w:space="0" w:color="000000"/>
              <w:right w:val="single" w:sz="8" w:space="0" w:color="000000"/>
            </w:tcBorders>
            <w:shd w:val="clear" w:color="auto" w:fill="DBE5F1"/>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262.295 </w:t>
            </w:r>
          </w:p>
        </w:tc>
        <w:tc>
          <w:tcPr>
            <w:tcW w:w="0" w:type="auto"/>
            <w:tcBorders>
              <w:top w:val="nil"/>
              <w:left w:val="nil"/>
              <w:bottom w:val="single" w:sz="8" w:space="0" w:color="000000"/>
              <w:right w:val="single" w:sz="8" w:space="0" w:color="000000"/>
            </w:tcBorders>
            <w:shd w:val="clear" w:color="auto" w:fill="DBE5F1"/>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262.295 </w:t>
            </w:r>
          </w:p>
        </w:tc>
      </w:tr>
      <w:tr w:rsidR="0043466E" w:rsidTr="0043466E">
        <w:trPr>
          <w:trHeight w:val="384"/>
        </w:trPr>
        <w:tc>
          <w:tcPr>
            <w:tcW w:w="0" w:type="auto"/>
            <w:tcBorders>
              <w:top w:val="single" w:sz="8" w:space="0" w:color="auto"/>
              <w:left w:val="single" w:sz="8" w:space="0" w:color="auto"/>
              <w:bottom w:val="single" w:sz="8" w:space="0" w:color="auto"/>
              <w:right w:val="single" w:sz="8" w:space="0" w:color="auto"/>
            </w:tcBorders>
            <w:shd w:val="clear" w:color="auto" w:fill="FFFFCC"/>
            <w:noWrap/>
            <w:vAlign w:val="center"/>
            <w:hideMark/>
          </w:tcPr>
          <w:p w:rsidR="0043466E" w:rsidRDefault="0043466E">
            <w:pPr>
              <w:rPr>
                <w:rFonts w:asciiTheme="minorHAnsi" w:hAnsiTheme="minorHAnsi"/>
                <w:color w:val="000000"/>
                <w:sz w:val="22"/>
                <w:szCs w:val="22"/>
                <w:lang w:val="en-GB"/>
              </w:rPr>
            </w:pPr>
            <w:r>
              <w:rPr>
                <w:rFonts w:asciiTheme="minorHAnsi" w:hAnsiTheme="minorHAnsi"/>
                <w:color w:val="000000"/>
                <w:sz w:val="22"/>
                <w:szCs w:val="22"/>
                <w:lang w:val="en-GB"/>
              </w:rPr>
              <w:t>Quantitative losses in the Transmission Network</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center"/>
              <w:rPr>
                <w:rFonts w:asciiTheme="minorHAnsi" w:hAnsiTheme="minorHAnsi"/>
                <w:color w:val="000000"/>
                <w:sz w:val="22"/>
                <w:szCs w:val="22"/>
                <w:lang w:val="en-GB"/>
              </w:rPr>
            </w:pPr>
            <w:r>
              <w:rPr>
                <w:rFonts w:asciiTheme="minorHAnsi" w:hAnsiTheme="minorHAnsi"/>
                <w:color w:val="000000"/>
                <w:sz w:val="22"/>
                <w:szCs w:val="22"/>
                <w:lang w:val="en-GB"/>
              </w:rPr>
              <w:t>MWh</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5.353 </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5.353 </w:t>
            </w:r>
          </w:p>
        </w:tc>
      </w:tr>
      <w:tr w:rsidR="0043466E" w:rsidTr="0043466E">
        <w:trPr>
          <w:trHeight w:val="228"/>
        </w:trPr>
        <w:tc>
          <w:tcPr>
            <w:tcW w:w="0" w:type="auto"/>
            <w:tcBorders>
              <w:top w:val="nil"/>
              <w:left w:val="single" w:sz="8" w:space="0" w:color="auto"/>
              <w:bottom w:val="single" w:sz="8" w:space="0" w:color="auto"/>
              <w:right w:val="single" w:sz="8" w:space="0" w:color="auto"/>
            </w:tcBorders>
            <w:shd w:val="clear" w:color="auto" w:fill="FFFFCC"/>
            <w:noWrap/>
            <w:vAlign w:val="bottom"/>
            <w:hideMark/>
          </w:tcPr>
          <w:p w:rsidR="0043466E" w:rsidRDefault="0043466E">
            <w:pPr>
              <w:rPr>
                <w:rFonts w:asciiTheme="minorHAnsi" w:hAnsiTheme="minorHAnsi"/>
                <w:color w:val="000000"/>
                <w:sz w:val="22"/>
                <w:szCs w:val="22"/>
                <w:lang w:val="en-GB"/>
              </w:rPr>
            </w:pPr>
            <w:r>
              <w:rPr>
                <w:rFonts w:asciiTheme="minorHAnsi" w:hAnsiTheme="minorHAnsi"/>
                <w:color w:val="000000"/>
                <w:sz w:val="22"/>
                <w:szCs w:val="22"/>
                <w:lang w:val="en-GB"/>
              </w:rPr>
              <w:t>Percentage losses in the Transmission Network</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center"/>
              <w:rPr>
                <w:rFonts w:asciiTheme="minorHAnsi" w:hAnsiTheme="minorHAnsi"/>
                <w:color w:val="000000"/>
                <w:sz w:val="22"/>
                <w:szCs w:val="22"/>
                <w:lang w:val="en-GB"/>
              </w:rPr>
            </w:pPr>
            <w:r>
              <w:rPr>
                <w:rFonts w:asciiTheme="minorHAnsi" w:hAnsiTheme="minorHAnsi"/>
                <w:color w:val="000000"/>
                <w:sz w:val="22"/>
                <w:szCs w:val="22"/>
                <w:lang w:val="en-GB"/>
              </w:rPr>
              <w:t>%</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2:00%</w:t>
            </w:r>
          </w:p>
        </w:tc>
        <w:tc>
          <w:tcPr>
            <w:tcW w:w="0" w:type="auto"/>
            <w:tcBorders>
              <w:top w:val="nil"/>
              <w:left w:val="nil"/>
              <w:bottom w:val="single" w:sz="8" w:space="0" w:color="000000"/>
              <w:right w:val="single" w:sz="8" w:space="0" w:color="000000"/>
            </w:tcBorders>
            <w:shd w:val="clear" w:color="auto" w:fill="FFFFCC"/>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2:00%</w:t>
            </w:r>
          </w:p>
        </w:tc>
      </w:tr>
      <w:tr w:rsidR="0043466E" w:rsidTr="0043466E">
        <w:trPr>
          <w:trHeight w:val="261"/>
        </w:trPr>
        <w:tc>
          <w:tcPr>
            <w:tcW w:w="0" w:type="auto"/>
            <w:tcBorders>
              <w:top w:val="nil"/>
              <w:left w:val="single" w:sz="8" w:space="0" w:color="000000"/>
              <w:bottom w:val="single" w:sz="8" w:space="0" w:color="000000"/>
              <w:right w:val="single" w:sz="8" w:space="0" w:color="000000"/>
            </w:tcBorders>
            <w:shd w:val="clear" w:color="auto" w:fill="DBE5F1"/>
            <w:noWrap/>
            <w:vAlign w:val="center"/>
            <w:hideMark/>
          </w:tcPr>
          <w:p w:rsidR="0043466E" w:rsidRDefault="0043466E">
            <w:pPr>
              <w:rPr>
                <w:rFonts w:asciiTheme="minorHAnsi" w:hAnsiTheme="minorHAnsi"/>
                <w:color w:val="000000"/>
                <w:sz w:val="22"/>
                <w:szCs w:val="22"/>
                <w:lang w:val="en-GB"/>
              </w:rPr>
            </w:pPr>
            <w:r>
              <w:rPr>
                <w:rFonts w:asciiTheme="minorHAnsi" w:hAnsiTheme="minorHAnsi"/>
                <w:color w:val="000000"/>
                <w:sz w:val="22"/>
                <w:szCs w:val="22"/>
                <w:lang w:val="en-GB"/>
              </w:rPr>
              <w:t>Gross Production + Gross Purchases of Thermal Energy</w:t>
            </w:r>
          </w:p>
        </w:tc>
        <w:tc>
          <w:tcPr>
            <w:tcW w:w="0" w:type="auto"/>
            <w:tcBorders>
              <w:top w:val="nil"/>
              <w:left w:val="nil"/>
              <w:bottom w:val="single" w:sz="8" w:space="0" w:color="000000"/>
              <w:right w:val="single" w:sz="8" w:space="0" w:color="000000"/>
            </w:tcBorders>
            <w:shd w:val="clear" w:color="auto" w:fill="DBE5F1"/>
            <w:noWrap/>
            <w:vAlign w:val="center"/>
            <w:hideMark/>
          </w:tcPr>
          <w:p w:rsidR="0043466E" w:rsidRDefault="0043466E">
            <w:pPr>
              <w:jc w:val="center"/>
              <w:rPr>
                <w:rFonts w:asciiTheme="minorHAnsi" w:hAnsiTheme="minorHAnsi"/>
                <w:color w:val="000000"/>
                <w:sz w:val="22"/>
                <w:szCs w:val="22"/>
                <w:lang w:val="en-GB"/>
              </w:rPr>
            </w:pPr>
            <w:r>
              <w:rPr>
                <w:rFonts w:asciiTheme="minorHAnsi" w:hAnsiTheme="minorHAnsi"/>
                <w:color w:val="000000"/>
                <w:sz w:val="22"/>
                <w:szCs w:val="22"/>
                <w:lang w:val="en-GB"/>
              </w:rPr>
              <w:t>MWh</w:t>
            </w:r>
          </w:p>
        </w:tc>
        <w:tc>
          <w:tcPr>
            <w:tcW w:w="0" w:type="auto"/>
            <w:tcBorders>
              <w:top w:val="nil"/>
              <w:left w:val="nil"/>
              <w:bottom w:val="single" w:sz="8" w:space="0" w:color="000000"/>
              <w:right w:val="single" w:sz="8" w:space="0" w:color="000000"/>
            </w:tcBorders>
            <w:shd w:val="clear" w:color="auto" w:fill="DBE5F1"/>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274.468 </w:t>
            </w:r>
          </w:p>
        </w:tc>
        <w:tc>
          <w:tcPr>
            <w:tcW w:w="0" w:type="auto"/>
            <w:tcBorders>
              <w:top w:val="nil"/>
              <w:left w:val="nil"/>
              <w:bottom w:val="single" w:sz="8" w:space="0" w:color="000000"/>
              <w:right w:val="single" w:sz="8" w:space="0" w:color="000000"/>
            </w:tcBorders>
            <w:shd w:val="clear" w:color="auto" w:fill="DBE5F1"/>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274.468 </w:t>
            </w:r>
          </w:p>
        </w:tc>
      </w:tr>
      <w:tr w:rsidR="0043466E" w:rsidTr="0043466E">
        <w:trPr>
          <w:trHeight w:val="288"/>
        </w:trPr>
        <w:tc>
          <w:tcPr>
            <w:tcW w:w="0" w:type="auto"/>
            <w:tcBorders>
              <w:top w:val="nil"/>
              <w:left w:val="single" w:sz="8" w:space="0" w:color="000000"/>
              <w:bottom w:val="single" w:sz="8" w:space="0" w:color="000000"/>
              <w:right w:val="single" w:sz="8" w:space="0" w:color="000000"/>
            </w:tcBorders>
            <w:shd w:val="clear" w:color="auto" w:fill="FCF6C8"/>
            <w:noWrap/>
            <w:vAlign w:val="center"/>
            <w:hideMark/>
          </w:tcPr>
          <w:p w:rsidR="0043466E" w:rsidRDefault="0043466E">
            <w:pPr>
              <w:rPr>
                <w:rFonts w:asciiTheme="minorHAnsi" w:hAnsiTheme="minorHAnsi"/>
                <w:color w:val="000000"/>
                <w:sz w:val="22"/>
                <w:szCs w:val="22"/>
                <w:lang w:val="en-GB"/>
              </w:rPr>
            </w:pPr>
            <w:r>
              <w:rPr>
                <w:rFonts w:asciiTheme="minorHAnsi" w:hAnsiTheme="minorHAnsi"/>
                <w:color w:val="000000"/>
                <w:sz w:val="22"/>
                <w:szCs w:val="22"/>
                <w:lang w:val="en-GB"/>
              </w:rPr>
              <w:t>Quantitative losses in the Network Trans. + Self-consumption</w:t>
            </w:r>
          </w:p>
        </w:tc>
        <w:tc>
          <w:tcPr>
            <w:tcW w:w="0" w:type="auto"/>
            <w:tcBorders>
              <w:top w:val="nil"/>
              <w:left w:val="nil"/>
              <w:bottom w:val="single" w:sz="8" w:space="0" w:color="000000"/>
              <w:right w:val="single" w:sz="8" w:space="0" w:color="000000"/>
            </w:tcBorders>
            <w:shd w:val="clear" w:color="auto" w:fill="FCF6C8"/>
            <w:noWrap/>
            <w:vAlign w:val="center"/>
            <w:hideMark/>
          </w:tcPr>
          <w:p w:rsidR="0043466E" w:rsidRDefault="0043466E">
            <w:pPr>
              <w:jc w:val="center"/>
              <w:rPr>
                <w:rFonts w:asciiTheme="minorHAnsi" w:hAnsiTheme="minorHAnsi"/>
                <w:color w:val="000000"/>
                <w:sz w:val="22"/>
                <w:szCs w:val="22"/>
                <w:lang w:val="en-GB"/>
              </w:rPr>
            </w:pPr>
            <w:r>
              <w:rPr>
                <w:rFonts w:asciiTheme="minorHAnsi" w:hAnsiTheme="minorHAnsi"/>
                <w:color w:val="000000"/>
                <w:sz w:val="22"/>
                <w:szCs w:val="22"/>
                <w:lang w:val="en-GB"/>
              </w:rPr>
              <w:t>MWh</w:t>
            </w:r>
          </w:p>
        </w:tc>
        <w:tc>
          <w:tcPr>
            <w:tcW w:w="0" w:type="auto"/>
            <w:tcBorders>
              <w:top w:val="nil"/>
              <w:left w:val="nil"/>
              <w:bottom w:val="single" w:sz="8" w:space="0" w:color="000000"/>
              <w:right w:val="single" w:sz="8" w:space="0" w:color="000000"/>
            </w:tcBorders>
            <w:shd w:val="clear" w:color="auto" w:fill="FCF6C8"/>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6.140 </w:t>
            </w:r>
          </w:p>
        </w:tc>
        <w:tc>
          <w:tcPr>
            <w:tcW w:w="0" w:type="auto"/>
            <w:tcBorders>
              <w:top w:val="nil"/>
              <w:left w:val="nil"/>
              <w:bottom w:val="single" w:sz="8" w:space="0" w:color="000000"/>
              <w:right w:val="single" w:sz="8" w:space="0" w:color="000000"/>
            </w:tcBorders>
            <w:shd w:val="clear" w:color="auto" w:fill="FCF6C8"/>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6.140 </w:t>
            </w:r>
          </w:p>
        </w:tc>
      </w:tr>
      <w:tr w:rsidR="0043466E" w:rsidTr="0043466E">
        <w:trPr>
          <w:trHeight w:val="252"/>
        </w:trPr>
        <w:tc>
          <w:tcPr>
            <w:tcW w:w="5751" w:type="dxa"/>
            <w:tcBorders>
              <w:top w:val="nil"/>
              <w:left w:val="single" w:sz="8" w:space="0" w:color="000000"/>
              <w:bottom w:val="single" w:sz="8" w:space="0" w:color="000000"/>
              <w:right w:val="single" w:sz="8" w:space="0" w:color="000000"/>
            </w:tcBorders>
            <w:shd w:val="clear" w:color="auto" w:fill="DBE5F1"/>
            <w:vAlign w:val="center"/>
            <w:hideMark/>
          </w:tcPr>
          <w:p w:rsidR="0043466E" w:rsidRDefault="0043466E">
            <w:pPr>
              <w:rPr>
                <w:rFonts w:asciiTheme="minorHAnsi" w:hAnsiTheme="minorHAnsi"/>
                <w:color w:val="000000"/>
                <w:sz w:val="20"/>
                <w:szCs w:val="20"/>
                <w:lang w:val="en-GB"/>
              </w:rPr>
            </w:pPr>
            <w:r>
              <w:rPr>
                <w:rFonts w:asciiTheme="minorHAnsi" w:hAnsiTheme="minorHAnsi"/>
                <w:color w:val="000000"/>
                <w:sz w:val="20"/>
                <w:szCs w:val="20"/>
                <w:lang w:val="en-GB"/>
              </w:rPr>
              <w:t>Net Production + Net Purchases of Ther. En. (Network Access. Share.)</w:t>
            </w:r>
          </w:p>
        </w:tc>
        <w:tc>
          <w:tcPr>
            <w:tcW w:w="0" w:type="auto"/>
            <w:tcBorders>
              <w:top w:val="nil"/>
              <w:left w:val="nil"/>
              <w:bottom w:val="single" w:sz="8" w:space="0" w:color="000000"/>
              <w:right w:val="single" w:sz="8" w:space="0" w:color="000000"/>
            </w:tcBorders>
            <w:shd w:val="clear" w:color="auto" w:fill="DBE5F1"/>
            <w:noWrap/>
            <w:vAlign w:val="center"/>
            <w:hideMark/>
          </w:tcPr>
          <w:p w:rsidR="0043466E" w:rsidRDefault="0043466E">
            <w:pPr>
              <w:jc w:val="center"/>
              <w:rPr>
                <w:rFonts w:asciiTheme="minorHAnsi" w:hAnsiTheme="minorHAnsi"/>
                <w:color w:val="000000"/>
                <w:sz w:val="22"/>
                <w:szCs w:val="22"/>
                <w:lang w:val="en-GB"/>
              </w:rPr>
            </w:pPr>
            <w:r>
              <w:rPr>
                <w:rFonts w:asciiTheme="minorHAnsi" w:hAnsiTheme="minorHAnsi"/>
                <w:color w:val="000000"/>
                <w:sz w:val="22"/>
                <w:szCs w:val="22"/>
                <w:lang w:val="en-GB"/>
              </w:rPr>
              <w:t>MWh</w:t>
            </w:r>
          </w:p>
        </w:tc>
        <w:tc>
          <w:tcPr>
            <w:tcW w:w="0" w:type="auto"/>
            <w:tcBorders>
              <w:top w:val="nil"/>
              <w:left w:val="nil"/>
              <w:bottom w:val="single" w:sz="8" w:space="0" w:color="000000"/>
              <w:right w:val="single" w:sz="8" w:space="0" w:color="000000"/>
            </w:tcBorders>
            <w:shd w:val="clear" w:color="auto" w:fill="DBE5F1"/>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268.328 </w:t>
            </w:r>
          </w:p>
        </w:tc>
        <w:tc>
          <w:tcPr>
            <w:tcW w:w="0" w:type="auto"/>
            <w:tcBorders>
              <w:top w:val="nil"/>
              <w:left w:val="nil"/>
              <w:bottom w:val="single" w:sz="8" w:space="0" w:color="000000"/>
              <w:right w:val="single" w:sz="8" w:space="0" w:color="000000"/>
            </w:tcBorders>
            <w:shd w:val="clear" w:color="auto" w:fill="DBE5F1"/>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268.328 </w:t>
            </w:r>
          </w:p>
        </w:tc>
      </w:tr>
      <w:tr w:rsidR="0043466E" w:rsidTr="0043466E">
        <w:trPr>
          <w:trHeight w:val="288"/>
        </w:trPr>
        <w:tc>
          <w:tcPr>
            <w:tcW w:w="0" w:type="auto"/>
            <w:tcBorders>
              <w:top w:val="nil"/>
              <w:left w:val="single" w:sz="8" w:space="0" w:color="000000"/>
              <w:bottom w:val="single" w:sz="8" w:space="0" w:color="000000"/>
              <w:right w:val="single" w:sz="8" w:space="0" w:color="000000"/>
            </w:tcBorders>
            <w:shd w:val="clear" w:color="auto" w:fill="FCF6C8"/>
            <w:noWrap/>
            <w:vAlign w:val="center"/>
            <w:hideMark/>
          </w:tcPr>
          <w:p w:rsidR="0043466E" w:rsidRDefault="0043466E">
            <w:pPr>
              <w:rPr>
                <w:rFonts w:asciiTheme="minorHAnsi" w:hAnsiTheme="minorHAnsi"/>
                <w:color w:val="000000"/>
                <w:sz w:val="22"/>
                <w:szCs w:val="22"/>
                <w:lang w:val="en-GB"/>
              </w:rPr>
            </w:pPr>
            <w:r>
              <w:rPr>
                <w:rFonts w:asciiTheme="minorHAnsi" w:hAnsiTheme="minorHAnsi"/>
                <w:color w:val="000000"/>
                <w:sz w:val="22"/>
                <w:szCs w:val="22"/>
                <w:lang w:val="en-GB"/>
              </w:rPr>
              <w:t>Quantitative losses in the Distribution Network</w:t>
            </w:r>
          </w:p>
        </w:tc>
        <w:tc>
          <w:tcPr>
            <w:tcW w:w="0" w:type="auto"/>
            <w:tcBorders>
              <w:top w:val="nil"/>
              <w:left w:val="nil"/>
              <w:bottom w:val="single" w:sz="8" w:space="0" w:color="000000"/>
              <w:right w:val="single" w:sz="8" w:space="0" w:color="000000"/>
            </w:tcBorders>
            <w:shd w:val="clear" w:color="auto" w:fill="FCF6C8"/>
            <w:noWrap/>
            <w:vAlign w:val="center"/>
            <w:hideMark/>
          </w:tcPr>
          <w:p w:rsidR="0043466E" w:rsidRDefault="0043466E">
            <w:pPr>
              <w:jc w:val="center"/>
              <w:rPr>
                <w:rFonts w:asciiTheme="minorHAnsi" w:hAnsiTheme="minorHAnsi"/>
                <w:color w:val="000000"/>
                <w:sz w:val="22"/>
                <w:szCs w:val="22"/>
                <w:lang w:val="en-GB"/>
              </w:rPr>
            </w:pPr>
            <w:r>
              <w:rPr>
                <w:rFonts w:asciiTheme="minorHAnsi" w:hAnsiTheme="minorHAnsi"/>
                <w:color w:val="000000"/>
                <w:sz w:val="22"/>
                <w:szCs w:val="22"/>
                <w:lang w:val="en-GB"/>
              </w:rPr>
              <w:t>MWh</w:t>
            </w:r>
          </w:p>
        </w:tc>
        <w:tc>
          <w:tcPr>
            <w:tcW w:w="0" w:type="auto"/>
            <w:tcBorders>
              <w:top w:val="nil"/>
              <w:left w:val="nil"/>
              <w:bottom w:val="single" w:sz="8" w:space="0" w:color="000000"/>
              <w:right w:val="single" w:sz="8" w:space="0" w:color="000000"/>
            </w:tcBorders>
            <w:shd w:val="clear" w:color="auto" w:fill="FCF6C8"/>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22.271 </w:t>
            </w:r>
          </w:p>
        </w:tc>
        <w:tc>
          <w:tcPr>
            <w:tcW w:w="0" w:type="auto"/>
            <w:tcBorders>
              <w:top w:val="nil"/>
              <w:left w:val="nil"/>
              <w:bottom w:val="single" w:sz="8" w:space="0" w:color="000000"/>
              <w:right w:val="single" w:sz="8" w:space="0" w:color="000000"/>
            </w:tcBorders>
            <w:shd w:val="clear" w:color="auto" w:fill="FCF6C8"/>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 xml:space="preserve">           22.271 </w:t>
            </w:r>
          </w:p>
        </w:tc>
      </w:tr>
      <w:tr w:rsidR="0043466E" w:rsidTr="0043466E">
        <w:trPr>
          <w:trHeight w:val="288"/>
        </w:trPr>
        <w:tc>
          <w:tcPr>
            <w:tcW w:w="0" w:type="auto"/>
            <w:tcBorders>
              <w:top w:val="nil"/>
              <w:left w:val="single" w:sz="8" w:space="0" w:color="000000"/>
              <w:bottom w:val="single" w:sz="8" w:space="0" w:color="000000"/>
              <w:right w:val="single" w:sz="8" w:space="0" w:color="000000"/>
            </w:tcBorders>
            <w:shd w:val="clear" w:color="auto" w:fill="FCF6C8"/>
            <w:noWrap/>
            <w:vAlign w:val="center"/>
            <w:hideMark/>
          </w:tcPr>
          <w:p w:rsidR="0043466E" w:rsidRDefault="0043466E">
            <w:pPr>
              <w:rPr>
                <w:rFonts w:asciiTheme="minorHAnsi" w:hAnsiTheme="minorHAnsi"/>
                <w:color w:val="000000"/>
                <w:sz w:val="22"/>
                <w:szCs w:val="22"/>
                <w:lang w:val="en-GB"/>
              </w:rPr>
            </w:pPr>
            <w:r>
              <w:rPr>
                <w:rFonts w:asciiTheme="minorHAnsi" w:hAnsiTheme="minorHAnsi"/>
                <w:color w:val="000000"/>
                <w:sz w:val="22"/>
                <w:szCs w:val="22"/>
                <w:lang w:val="en-GB"/>
              </w:rPr>
              <w:t>Percentage losses in the Distribution Network</w:t>
            </w:r>
          </w:p>
        </w:tc>
        <w:tc>
          <w:tcPr>
            <w:tcW w:w="0" w:type="auto"/>
            <w:tcBorders>
              <w:top w:val="nil"/>
              <w:left w:val="nil"/>
              <w:bottom w:val="single" w:sz="8" w:space="0" w:color="000000"/>
              <w:right w:val="single" w:sz="8" w:space="0" w:color="000000"/>
            </w:tcBorders>
            <w:shd w:val="clear" w:color="auto" w:fill="FCF6C8"/>
            <w:noWrap/>
            <w:vAlign w:val="center"/>
            <w:hideMark/>
          </w:tcPr>
          <w:p w:rsidR="0043466E" w:rsidRDefault="0043466E">
            <w:pPr>
              <w:jc w:val="center"/>
              <w:rPr>
                <w:rFonts w:asciiTheme="minorHAnsi" w:hAnsiTheme="minorHAnsi"/>
                <w:color w:val="000000"/>
                <w:sz w:val="22"/>
                <w:szCs w:val="22"/>
                <w:lang w:val="en-GB"/>
              </w:rPr>
            </w:pPr>
            <w:r>
              <w:rPr>
                <w:rFonts w:asciiTheme="minorHAnsi" w:hAnsiTheme="minorHAnsi"/>
                <w:color w:val="000000"/>
                <w:sz w:val="22"/>
                <w:szCs w:val="22"/>
                <w:lang w:val="en-GB"/>
              </w:rPr>
              <w:t>%</w:t>
            </w:r>
          </w:p>
        </w:tc>
        <w:tc>
          <w:tcPr>
            <w:tcW w:w="0" w:type="auto"/>
            <w:tcBorders>
              <w:top w:val="nil"/>
              <w:left w:val="nil"/>
              <w:bottom w:val="single" w:sz="8" w:space="0" w:color="000000"/>
              <w:right w:val="single" w:sz="8" w:space="0" w:color="000000"/>
            </w:tcBorders>
            <w:shd w:val="clear" w:color="auto" w:fill="FCF6C8"/>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8:30%</w:t>
            </w:r>
          </w:p>
        </w:tc>
        <w:tc>
          <w:tcPr>
            <w:tcW w:w="0" w:type="auto"/>
            <w:tcBorders>
              <w:top w:val="nil"/>
              <w:left w:val="nil"/>
              <w:bottom w:val="single" w:sz="8" w:space="0" w:color="000000"/>
              <w:right w:val="single" w:sz="8" w:space="0" w:color="000000"/>
            </w:tcBorders>
            <w:shd w:val="clear" w:color="auto" w:fill="FCF6C8"/>
            <w:noWrap/>
            <w:vAlign w:val="center"/>
            <w:hideMark/>
          </w:tcPr>
          <w:p w:rsidR="0043466E" w:rsidRDefault="0043466E">
            <w:pPr>
              <w:jc w:val="right"/>
              <w:rPr>
                <w:rFonts w:asciiTheme="minorHAnsi" w:hAnsiTheme="minorHAnsi"/>
                <w:color w:val="000000"/>
                <w:sz w:val="22"/>
                <w:szCs w:val="22"/>
                <w:lang w:val="en-GB"/>
              </w:rPr>
            </w:pPr>
            <w:r>
              <w:rPr>
                <w:rFonts w:asciiTheme="minorHAnsi" w:hAnsiTheme="minorHAnsi"/>
                <w:color w:val="000000"/>
                <w:sz w:val="22"/>
                <w:szCs w:val="22"/>
                <w:lang w:val="en-GB"/>
              </w:rPr>
              <w:t>8:30%</w:t>
            </w:r>
          </w:p>
        </w:tc>
      </w:tr>
      <w:tr w:rsidR="0043466E" w:rsidTr="0043466E">
        <w:trPr>
          <w:trHeight w:val="442"/>
        </w:trPr>
        <w:tc>
          <w:tcPr>
            <w:tcW w:w="0" w:type="auto"/>
            <w:tcBorders>
              <w:top w:val="nil"/>
              <w:left w:val="single" w:sz="8" w:space="0" w:color="000000"/>
              <w:bottom w:val="single" w:sz="4" w:space="0" w:color="auto"/>
              <w:right w:val="single" w:sz="8" w:space="0" w:color="000000"/>
            </w:tcBorders>
            <w:shd w:val="clear" w:color="auto" w:fill="DBE5F1"/>
            <w:noWrap/>
            <w:vAlign w:val="center"/>
            <w:hideMark/>
          </w:tcPr>
          <w:p w:rsidR="0043466E" w:rsidRDefault="0043466E">
            <w:pPr>
              <w:rPr>
                <w:rFonts w:asciiTheme="minorHAnsi" w:hAnsiTheme="minorHAnsi"/>
                <w:b/>
                <w:bCs/>
                <w:color w:val="000000"/>
                <w:sz w:val="22"/>
                <w:szCs w:val="22"/>
                <w:lang w:val="en-GB"/>
              </w:rPr>
            </w:pPr>
            <w:r>
              <w:rPr>
                <w:rFonts w:asciiTheme="minorHAnsi" w:hAnsiTheme="minorHAnsi"/>
                <w:b/>
                <w:bCs/>
                <w:color w:val="000000"/>
                <w:sz w:val="22"/>
                <w:szCs w:val="22"/>
                <w:lang w:val="en-GB"/>
              </w:rPr>
              <w:t>Supply / Consumption of Thermal Energy</w:t>
            </w:r>
          </w:p>
        </w:tc>
        <w:tc>
          <w:tcPr>
            <w:tcW w:w="0" w:type="auto"/>
            <w:tcBorders>
              <w:top w:val="nil"/>
              <w:left w:val="nil"/>
              <w:bottom w:val="single" w:sz="4" w:space="0" w:color="auto"/>
              <w:right w:val="single" w:sz="8" w:space="0" w:color="000000"/>
            </w:tcBorders>
            <w:shd w:val="clear" w:color="auto" w:fill="DBE5F1"/>
            <w:noWrap/>
            <w:vAlign w:val="center"/>
            <w:hideMark/>
          </w:tcPr>
          <w:p w:rsidR="0043466E" w:rsidRDefault="0043466E">
            <w:pPr>
              <w:jc w:val="center"/>
              <w:rPr>
                <w:rFonts w:asciiTheme="minorHAnsi" w:hAnsiTheme="minorHAnsi"/>
                <w:b/>
                <w:bCs/>
                <w:color w:val="000000"/>
                <w:sz w:val="22"/>
                <w:szCs w:val="22"/>
                <w:lang w:val="en-GB"/>
              </w:rPr>
            </w:pPr>
            <w:r>
              <w:rPr>
                <w:rFonts w:asciiTheme="minorHAnsi" w:hAnsiTheme="minorHAnsi"/>
                <w:b/>
                <w:bCs/>
                <w:color w:val="000000"/>
                <w:sz w:val="22"/>
                <w:szCs w:val="22"/>
                <w:lang w:val="en-GB"/>
              </w:rPr>
              <w:t>MWh</w:t>
            </w:r>
          </w:p>
        </w:tc>
        <w:tc>
          <w:tcPr>
            <w:tcW w:w="0" w:type="auto"/>
            <w:tcBorders>
              <w:top w:val="nil"/>
              <w:left w:val="nil"/>
              <w:bottom w:val="single" w:sz="4" w:space="0" w:color="auto"/>
              <w:right w:val="single" w:sz="8" w:space="0" w:color="000000"/>
            </w:tcBorders>
            <w:shd w:val="clear" w:color="auto" w:fill="DBE5F1"/>
            <w:noWrap/>
            <w:vAlign w:val="center"/>
            <w:hideMark/>
          </w:tcPr>
          <w:p w:rsidR="0043466E" w:rsidRDefault="0043466E">
            <w:pPr>
              <w:jc w:val="right"/>
              <w:rPr>
                <w:rFonts w:asciiTheme="minorHAnsi" w:hAnsiTheme="minorHAnsi"/>
                <w:b/>
                <w:bCs/>
                <w:color w:val="000000"/>
                <w:sz w:val="22"/>
                <w:szCs w:val="22"/>
                <w:lang w:val="en-GB"/>
              </w:rPr>
            </w:pPr>
            <w:r>
              <w:rPr>
                <w:rFonts w:asciiTheme="minorHAnsi" w:hAnsiTheme="minorHAnsi"/>
                <w:b/>
                <w:bCs/>
                <w:color w:val="000000"/>
                <w:sz w:val="22"/>
                <w:szCs w:val="22"/>
                <w:lang w:val="en-GB"/>
              </w:rPr>
              <w:t xml:space="preserve">              246.056 </w:t>
            </w:r>
          </w:p>
        </w:tc>
        <w:tc>
          <w:tcPr>
            <w:tcW w:w="0" w:type="auto"/>
            <w:tcBorders>
              <w:top w:val="nil"/>
              <w:left w:val="nil"/>
              <w:bottom w:val="single" w:sz="4" w:space="0" w:color="auto"/>
              <w:right w:val="single" w:sz="8" w:space="0" w:color="000000"/>
            </w:tcBorders>
            <w:shd w:val="clear" w:color="auto" w:fill="DBE5F1"/>
            <w:noWrap/>
            <w:vAlign w:val="center"/>
            <w:hideMark/>
          </w:tcPr>
          <w:p w:rsidR="0043466E" w:rsidRDefault="0043466E">
            <w:pPr>
              <w:jc w:val="right"/>
              <w:rPr>
                <w:rFonts w:asciiTheme="minorHAnsi" w:hAnsiTheme="minorHAnsi"/>
                <w:b/>
                <w:bCs/>
                <w:color w:val="000000"/>
                <w:sz w:val="22"/>
                <w:szCs w:val="22"/>
                <w:lang w:val="en-GB"/>
              </w:rPr>
            </w:pPr>
            <w:r>
              <w:rPr>
                <w:rFonts w:asciiTheme="minorHAnsi" w:hAnsiTheme="minorHAnsi"/>
                <w:b/>
                <w:bCs/>
                <w:color w:val="000000"/>
                <w:sz w:val="22"/>
                <w:szCs w:val="22"/>
                <w:lang w:val="en-GB"/>
              </w:rPr>
              <w:t xml:space="preserve">         246.056 </w:t>
            </w:r>
          </w:p>
        </w:tc>
      </w:tr>
    </w:tbl>
    <w:p w:rsidR="00C32914" w:rsidRPr="00EC4212" w:rsidRDefault="00C32914" w:rsidP="0043466E">
      <w:pPr>
        <w:jc w:val="both"/>
        <w:rPr>
          <w:lang w:val="en-GB"/>
        </w:rPr>
      </w:pPr>
    </w:p>
    <w:sectPr w:rsidR="00C32914" w:rsidRPr="00EC4212" w:rsidSect="0085259A">
      <w:headerReference w:type="default" r:id="rId18"/>
      <w:footerReference w:type="default" r:id="rId19"/>
      <w:headerReference w:type="first" r:id="rId20"/>
      <w:footerReference w:type="first" r:id="rId21"/>
      <w:pgSz w:w="11909" w:h="16834" w:code="9"/>
      <w:pgMar w:top="1765" w:right="1418" w:bottom="1418" w:left="1418" w:header="45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C30" w:rsidRDefault="00A34C30">
      <w:r>
        <w:separator/>
      </w:r>
    </w:p>
  </w:endnote>
  <w:endnote w:type="continuationSeparator" w:id="0">
    <w:p w:rsidR="00A34C30" w:rsidRDefault="00A3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F" w:rsidRPr="00954DC8" w:rsidRDefault="00E31F7F">
    <w:pPr>
      <w:pStyle w:val="Footer"/>
      <w:jc w:val="right"/>
      <w:rPr>
        <w:rFonts w:asciiTheme="minorHAnsi" w:hAnsiTheme="minorHAnsi"/>
        <w:sz w:val="22"/>
        <w:szCs w:val="22"/>
      </w:rPr>
    </w:pPr>
    <w:r w:rsidRPr="00954DC8">
      <w:rPr>
        <w:rFonts w:asciiTheme="minorHAnsi" w:hAnsiTheme="minorHAnsi"/>
        <w:sz w:val="22"/>
        <w:szCs w:val="22"/>
      </w:rPr>
      <w:fldChar w:fldCharType="begin"/>
    </w:r>
    <w:r w:rsidRPr="00954DC8">
      <w:rPr>
        <w:rFonts w:asciiTheme="minorHAnsi" w:hAnsiTheme="minorHAnsi"/>
        <w:sz w:val="22"/>
        <w:szCs w:val="22"/>
      </w:rPr>
      <w:instrText xml:space="preserve"> PAGE   \* MERGEFORMAT </w:instrText>
    </w:r>
    <w:r w:rsidRPr="00954DC8">
      <w:rPr>
        <w:rFonts w:asciiTheme="minorHAnsi" w:hAnsiTheme="minorHAnsi"/>
        <w:sz w:val="22"/>
        <w:szCs w:val="22"/>
      </w:rPr>
      <w:fldChar w:fldCharType="separate"/>
    </w:r>
    <w:r w:rsidR="00EC29FC">
      <w:rPr>
        <w:rFonts w:asciiTheme="minorHAnsi" w:hAnsiTheme="minorHAnsi"/>
        <w:noProof/>
        <w:sz w:val="22"/>
        <w:szCs w:val="22"/>
      </w:rPr>
      <w:t>16</w:t>
    </w:r>
    <w:r w:rsidRPr="00954DC8">
      <w:rPr>
        <w:rFonts w:asciiTheme="minorHAnsi" w:hAnsiTheme="minorHAnsi"/>
        <w:sz w:val="22"/>
        <w:szCs w:val="22"/>
      </w:rPr>
      <w:fldChar w:fldCharType="end"/>
    </w:r>
  </w:p>
  <w:p w:rsidR="00E31F7F" w:rsidRDefault="00E31F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F" w:rsidRPr="00F65B6C" w:rsidRDefault="00E31F7F" w:rsidP="00CC5C73">
    <w:pPr>
      <w:pStyle w:val="Footer"/>
      <w:tabs>
        <w:tab w:val="clear" w:pos="8640"/>
        <w:tab w:val="left" w:pos="6240"/>
      </w:tabs>
      <w:ind w:left="-57"/>
      <w:jc w:val="right"/>
      <w:rPr>
        <w:rFonts w:ascii="Calibri" w:hAnsi="Calibri"/>
        <w:color w:val="FFFFFF"/>
        <w:sz w:val="18"/>
        <w:szCs w:val="18"/>
      </w:rPr>
    </w:pPr>
    <w:r>
      <w:rPr>
        <w:rFonts w:ascii="Calibri" w:hAnsi="Calibri"/>
        <w:noProof/>
        <w:color w:val="FFFFFF"/>
        <w:sz w:val="18"/>
        <w:szCs w:val="18"/>
        <w:lang w:val="sq-AL" w:eastAsia="sq-AL"/>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31750</wp:posOffset>
              </wp:positionV>
              <wp:extent cx="5702300" cy="635"/>
              <wp:effectExtent l="0" t="0" r="12700" b="184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635"/>
                      </a:xfrm>
                      <a:prstGeom prst="straightConnector1">
                        <a:avLst/>
                      </a:prstGeom>
                      <a:noFill/>
                      <a:ln w="9525">
                        <a:solidFill>
                          <a:srgbClr val="00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170A7" id="_x0000_t32" coordsize="21600,21600" o:spt="32" o:oned="t" path="m,l21600,21600e" filled="f">
              <v:path arrowok="t" fillok="f" o:connecttype="none"/>
              <o:lock v:ext="edit" shapetype="t"/>
            </v:shapetype>
            <v:shape id="AutoShape 1" o:spid="_x0000_s1026" type="#_x0000_t32" style="position:absolute;margin-left:2.25pt;margin-top:2.5pt;width:44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" strokecolor="#005f91"/>
          </w:pict>
        </mc:Fallback>
      </mc:AlternateContent>
    </w:r>
    <w:r w:rsidRPr="00F65B6C">
      <w:rPr>
        <w:color w:val="FFFFFF"/>
      </w:rPr>
      <w:fldChar w:fldCharType="begin"/>
    </w:r>
    <w:r w:rsidRPr="00F65B6C">
      <w:rPr>
        <w:color w:val="FFFFFF"/>
      </w:rPr>
      <w:instrText xml:space="preserve"> PAGE   \* MERGEFORMAT </w:instrText>
    </w:r>
    <w:r w:rsidRPr="00F65B6C">
      <w:rPr>
        <w:color w:val="FFFFFF"/>
      </w:rPr>
      <w:fldChar w:fldCharType="separate"/>
    </w:r>
    <w:r w:rsidR="00EC29FC">
      <w:rPr>
        <w:noProof/>
        <w:color w:val="FFFFFF"/>
      </w:rPr>
      <w:t>1</w:t>
    </w:r>
    <w:r w:rsidRPr="00F65B6C">
      <w:rPr>
        <w:color w:val="FFFFFF"/>
      </w:rPr>
      <w:fldChar w:fldCharType="end"/>
    </w:r>
  </w:p>
  <w:p w:rsidR="00E31F7F" w:rsidRDefault="00E31F7F" w:rsidP="00CC5C73">
    <w:pPr>
      <w:pStyle w:val="Footer"/>
      <w:tabs>
        <w:tab w:val="clear" w:pos="8640"/>
        <w:tab w:val="left" w:pos="6240"/>
      </w:tabs>
      <w:ind w:left="-57"/>
      <w:rPr>
        <w:rFonts w:ascii="Calibri" w:hAnsi="Calibri"/>
        <w:color w:val="005F91"/>
        <w:sz w:val="18"/>
        <w:szCs w:val="18"/>
      </w:rPr>
    </w:pPr>
    <w:r>
      <w:rPr>
        <w:rFonts w:ascii="Calibri" w:hAnsi="Calibri"/>
        <w:color w:val="005F91"/>
        <w:sz w:val="18"/>
        <w:szCs w:val="18"/>
      </w:rPr>
      <w:t>Address: St. Dervish Rozhaja no. 12, 10000 Prishtina, Kosovo</w:t>
    </w:r>
  </w:p>
  <w:p w:rsidR="00E31F7F" w:rsidRPr="00CC5C73" w:rsidRDefault="00E31F7F" w:rsidP="00CC5C73">
    <w:pPr>
      <w:pStyle w:val="Footer"/>
      <w:tabs>
        <w:tab w:val="clear" w:pos="8640"/>
        <w:tab w:val="left" w:pos="6240"/>
      </w:tabs>
      <w:ind w:left="-57"/>
      <w:rPr>
        <w:rFonts w:ascii="Calibri" w:hAnsi="Calibri"/>
        <w:color w:val="005F91"/>
        <w:sz w:val="18"/>
        <w:szCs w:val="18"/>
      </w:rPr>
    </w:pPr>
    <w:r>
      <w:rPr>
        <w:rFonts w:ascii="Calibri" w:hAnsi="Calibri"/>
        <w:color w:val="005F91"/>
        <w:sz w:val="18"/>
        <w:szCs w:val="18"/>
      </w:rPr>
      <w:t>Tel: 038 247 615 ext. 101, Fax: 038 247 620, E-mail: info@ero-ks.org, web: www.ero-ks.org</w:t>
    </w:r>
  </w:p>
  <w:p w:rsidR="00E31F7F" w:rsidRDefault="00E31F7F" w:rsidP="00CC5C73">
    <w:pPr>
      <w:pStyle w:val="Footer"/>
      <w:tabs>
        <w:tab w:val="clear" w:pos="4320"/>
        <w:tab w:val="clear" w:pos="8640"/>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C30" w:rsidRDefault="00A34C30">
      <w:r>
        <w:separator/>
      </w:r>
    </w:p>
  </w:footnote>
  <w:footnote w:type="continuationSeparator" w:id="0">
    <w:p w:rsidR="00A34C30" w:rsidRDefault="00A34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F" w:rsidRPr="00E075FD" w:rsidRDefault="00E31F7F" w:rsidP="00F2047B">
    <w:pPr>
      <w:pStyle w:val="Header"/>
      <w:tabs>
        <w:tab w:val="clear" w:pos="4320"/>
        <w:tab w:val="clear" w:pos="8640"/>
        <w:tab w:val="left" w:pos="810"/>
      </w:tabs>
      <w:ind w:left="-993" w:firstLine="223"/>
      <w:rPr>
        <w:szCs w:val="22"/>
      </w:rPr>
    </w:pPr>
    <w:r>
      <w:object w:dxaOrig="1171"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8.5pt">
          <v:imagedata r:id="rId1" o:title=""/>
        </v:shape>
        <o:OLEObject Type="Embed" ProgID="CorelDRAW.Graphic.14" ShapeID="_x0000_i1025" DrawAspect="Content" ObjectID="_1662889780" r:id="rId2"/>
      </w:objec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F" w:rsidRPr="00C54EA0" w:rsidRDefault="00E31F7F" w:rsidP="00974BC8">
    <w:pPr>
      <w:pStyle w:val="Header"/>
      <w:tabs>
        <w:tab w:val="clear" w:pos="4320"/>
        <w:tab w:val="clear" w:pos="8640"/>
        <w:tab w:val="center" w:pos="4500"/>
        <w:tab w:val="right" w:pos="9000"/>
      </w:tabs>
      <w:ind w:right="73"/>
      <w:rPr>
        <w:b/>
      </w:rPr>
    </w:pPr>
    <w:r>
      <w:rPr>
        <w:b/>
        <w:noProof/>
        <w:lang w:val="sq-AL" w:eastAsia="sq-AL"/>
      </w:rPr>
      <w:drawing>
        <wp:inline distT="0" distB="0" distL="0" distR="0">
          <wp:extent cx="5762625" cy="11811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rsidR="00E31F7F" w:rsidRPr="0085259A" w:rsidRDefault="00E31F7F" w:rsidP="00974BC8">
    <w:pPr>
      <w:pStyle w:val="Header"/>
      <w:tabs>
        <w:tab w:val="clear" w:pos="4320"/>
        <w:tab w:val="clear" w:pos="8640"/>
        <w:tab w:val="center" w:pos="4500"/>
        <w:tab w:val="right" w:pos="9000"/>
      </w:tabs>
      <w:ind w:right="73"/>
      <w:rPr>
        <w:b/>
        <w:u w:val="dott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C05"/>
    <w:multiLevelType w:val="hybridMultilevel"/>
    <w:tmpl w:val="50DA0A90"/>
    <w:lvl w:ilvl="0" w:tplc="0F185A5E">
      <w:start w:val="3"/>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F0619"/>
    <w:multiLevelType w:val="hybridMultilevel"/>
    <w:tmpl w:val="BEDEC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0A46"/>
    <w:multiLevelType w:val="hybridMultilevel"/>
    <w:tmpl w:val="B70247E0"/>
    <w:lvl w:ilvl="0" w:tplc="B9602E3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74CF1"/>
    <w:multiLevelType w:val="hybridMultilevel"/>
    <w:tmpl w:val="E19489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D11EE2"/>
    <w:multiLevelType w:val="hybridMultilevel"/>
    <w:tmpl w:val="61EC365A"/>
    <w:lvl w:ilvl="0" w:tplc="0F185A5E">
      <w:start w:val="3"/>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145DB"/>
    <w:multiLevelType w:val="hybridMultilevel"/>
    <w:tmpl w:val="0EC26C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CA5B45"/>
    <w:multiLevelType w:val="hybridMultilevel"/>
    <w:tmpl w:val="549073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A20DF"/>
    <w:multiLevelType w:val="hybridMultilevel"/>
    <w:tmpl w:val="0ED69FB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83AB4"/>
    <w:multiLevelType w:val="multilevel"/>
    <w:tmpl w:val="E34A50A8"/>
    <w:lvl w:ilvl="0">
      <w:start w:val="1"/>
      <w:numFmt w:val="decimal"/>
      <w:lvlText w:val="%1."/>
      <w:lvlJc w:val="left"/>
      <w:pPr>
        <w:ind w:left="720" w:hanging="360"/>
      </w:pPr>
      <w:rPr>
        <w:rFonts w:hint="default"/>
        <w:b/>
        <w:color w:val="auto"/>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D18FE"/>
    <w:multiLevelType w:val="hybridMultilevel"/>
    <w:tmpl w:val="59629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BD074F"/>
    <w:multiLevelType w:val="multilevel"/>
    <w:tmpl w:val="3A369DB8"/>
    <w:lvl w:ilvl="0">
      <w:start w:val="1"/>
      <w:numFmt w:val="decimal"/>
      <w:pStyle w:val="Heading1"/>
      <w:lvlText w:val="%1"/>
      <w:lvlJc w:val="left"/>
      <w:pPr>
        <w:tabs>
          <w:tab w:val="num" w:pos="2340"/>
        </w:tabs>
        <w:ind w:left="2340" w:hanging="720"/>
      </w:pPr>
      <w:rPr>
        <w:rFonts w:cs="Times New Roman"/>
        <w:b/>
        <w:bCs w:val="0"/>
        <w:i w:val="0"/>
        <w:iCs w:val="0"/>
        <w:caps w:val="0"/>
        <w:smallCaps w:val="0"/>
        <w:strike w:val="0"/>
        <w:dstrike w:val="0"/>
        <w:noProof w:val="0"/>
        <w:vanish w:val="0"/>
        <w:color w:val="auto"/>
        <w:spacing w:val="0"/>
        <w:kern w:val="0"/>
        <w:position w:val="0"/>
        <w:u w:val="none"/>
        <w:vertAlign w:val="baseline"/>
        <w:em w:val="none"/>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6154F10"/>
    <w:multiLevelType w:val="hybridMultilevel"/>
    <w:tmpl w:val="BF6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27D1D"/>
    <w:multiLevelType w:val="hybridMultilevel"/>
    <w:tmpl w:val="F6EAFC7C"/>
    <w:lvl w:ilvl="0" w:tplc="4948B4C2">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DC7835"/>
    <w:multiLevelType w:val="hybridMultilevel"/>
    <w:tmpl w:val="C0FAB2EE"/>
    <w:lvl w:ilvl="0" w:tplc="523418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4FB"/>
    <w:multiLevelType w:val="hybridMultilevel"/>
    <w:tmpl w:val="22D23D5C"/>
    <w:lvl w:ilvl="0" w:tplc="4D6C90E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7593A"/>
    <w:multiLevelType w:val="hybridMultilevel"/>
    <w:tmpl w:val="9044E5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6B46C7"/>
    <w:multiLevelType w:val="hybridMultilevel"/>
    <w:tmpl w:val="2A323B2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9" w15:restartNumberingAfterBreak="0">
    <w:nsid w:val="682F2202"/>
    <w:multiLevelType w:val="hybridMultilevel"/>
    <w:tmpl w:val="E214CF20"/>
    <w:lvl w:ilvl="0" w:tplc="04090011">
      <w:start w:val="1"/>
      <w:numFmt w:val="decimal"/>
      <w:lvlText w:val="%1)"/>
      <w:lvlJc w:val="left"/>
      <w:pPr>
        <w:tabs>
          <w:tab w:val="num" w:pos="720"/>
        </w:tabs>
        <w:ind w:left="720" w:hanging="360"/>
      </w:pPr>
      <w:rPr>
        <w:rFonts w:hint="default"/>
      </w:rPr>
    </w:lvl>
    <w:lvl w:ilvl="1" w:tplc="D9EA87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E45270"/>
    <w:multiLevelType w:val="multilevel"/>
    <w:tmpl w:val="E2E0471A"/>
    <w:lvl w:ilvl="0">
      <w:start w:val="1"/>
      <w:numFmt w:val="decimal"/>
      <w:lvlText w:val="%1"/>
      <w:lvlJc w:val="left"/>
      <w:pPr>
        <w:ind w:left="1530" w:hanging="360"/>
      </w:pPr>
      <w:rPr>
        <w:rFonts w:ascii="Calibri" w:hAnsi="Calibri" w:cs="Times New Roman"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050"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850" w:hanging="1800"/>
      </w:pPr>
      <w:rPr>
        <w:rFonts w:hint="default"/>
      </w:rPr>
    </w:lvl>
  </w:abstractNum>
  <w:abstractNum w:abstractNumId="22" w15:restartNumberingAfterBreak="0">
    <w:nsid w:val="710F1702"/>
    <w:multiLevelType w:val="hybridMultilevel"/>
    <w:tmpl w:val="C7EAD0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911F99"/>
    <w:multiLevelType w:val="hybridMultilevel"/>
    <w:tmpl w:val="BEC07A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73DAD1AC">
      <w:start w:val="482"/>
      <w:numFmt w:val="bullet"/>
      <w:lvlText w:val=""/>
      <w:lvlJc w:val="left"/>
      <w:pPr>
        <w:ind w:left="5040" w:hanging="360"/>
      </w:pPr>
      <w:rPr>
        <w:rFonts w:ascii="Wingdings" w:eastAsia="MS Mincho" w:hAnsi="Wingdings" w:cs="Times New Roman" w:hint="default"/>
        <w:u w:val="none"/>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F6573"/>
    <w:multiLevelType w:val="hybridMultilevel"/>
    <w:tmpl w:val="26A63990"/>
    <w:lvl w:ilvl="0" w:tplc="DA128BEA">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20"/>
  </w:num>
  <w:num w:numId="4">
    <w:abstractNumId w:val="12"/>
  </w:num>
  <w:num w:numId="5">
    <w:abstractNumId w:val="19"/>
  </w:num>
  <w:num w:numId="6">
    <w:abstractNumId w:val="4"/>
  </w:num>
  <w:num w:numId="7">
    <w:abstractNumId w:val="23"/>
  </w:num>
  <w:num w:numId="8">
    <w:abstractNumId w:val="16"/>
  </w:num>
  <w:num w:numId="9">
    <w:abstractNumId w:val="7"/>
  </w:num>
  <w:num w:numId="10">
    <w:abstractNumId w:val="11"/>
  </w:num>
  <w:num w:numId="11">
    <w:abstractNumId w:val="6"/>
  </w:num>
  <w:num w:numId="12">
    <w:abstractNumId w:val="1"/>
  </w:num>
  <w:num w:numId="13">
    <w:abstractNumId w:val="5"/>
  </w:num>
  <w:num w:numId="14">
    <w:abstractNumId w:val="22"/>
  </w:num>
  <w:num w:numId="15">
    <w:abstractNumId w:val="0"/>
  </w:num>
  <w:num w:numId="16">
    <w:abstractNumId w:val="3"/>
  </w:num>
  <w:num w:numId="17">
    <w:abstractNumId w:val="13"/>
  </w:num>
  <w:num w:numId="18">
    <w:abstractNumId w:val="8"/>
  </w:num>
  <w:num w:numId="19">
    <w:abstractNumId w:val="2"/>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1"/>
  </w:num>
  <w:num w:numId="26">
    <w:abstractNumId w:val="18"/>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7"/>
  </w:num>
  <w:num w:numId="3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2"/>
    </w:lvlOverride>
    <w:lvlOverride w:ilvl="2">
      <w:startOverride w:val="5"/>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4"/>
  </w:num>
  <w:num w:numId="3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o:colormru v:ext="edit" colors="#005f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wNrcws7A0NzIzNTRT0lEKTi0uzszPAykwqgUAP9gibCwAAAA="/>
  </w:docVars>
  <w:rsids>
    <w:rsidRoot w:val="00E84532"/>
    <w:rsid w:val="00002250"/>
    <w:rsid w:val="00003D33"/>
    <w:rsid w:val="00004C69"/>
    <w:rsid w:val="00004CC2"/>
    <w:rsid w:val="00005251"/>
    <w:rsid w:val="00005331"/>
    <w:rsid w:val="00005439"/>
    <w:rsid w:val="00007DF6"/>
    <w:rsid w:val="000110F2"/>
    <w:rsid w:val="00011862"/>
    <w:rsid w:val="00011B9A"/>
    <w:rsid w:val="00012C1B"/>
    <w:rsid w:val="00021732"/>
    <w:rsid w:val="000218A7"/>
    <w:rsid w:val="00023141"/>
    <w:rsid w:val="00024980"/>
    <w:rsid w:val="00027D14"/>
    <w:rsid w:val="00027E99"/>
    <w:rsid w:val="000342A2"/>
    <w:rsid w:val="0004249C"/>
    <w:rsid w:val="00042E83"/>
    <w:rsid w:val="0004531B"/>
    <w:rsid w:val="00045FBF"/>
    <w:rsid w:val="00050381"/>
    <w:rsid w:val="00050A80"/>
    <w:rsid w:val="0005216D"/>
    <w:rsid w:val="0005432A"/>
    <w:rsid w:val="00060F0B"/>
    <w:rsid w:val="00062152"/>
    <w:rsid w:val="000656DC"/>
    <w:rsid w:val="0006650C"/>
    <w:rsid w:val="00066B59"/>
    <w:rsid w:val="0007026B"/>
    <w:rsid w:val="00071F93"/>
    <w:rsid w:val="000726EB"/>
    <w:rsid w:val="00073134"/>
    <w:rsid w:val="0007635B"/>
    <w:rsid w:val="00077A77"/>
    <w:rsid w:val="00077F47"/>
    <w:rsid w:val="00080A99"/>
    <w:rsid w:val="000833A7"/>
    <w:rsid w:val="00083512"/>
    <w:rsid w:val="000843DF"/>
    <w:rsid w:val="00085767"/>
    <w:rsid w:val="00092E1D"/>
    <w:rsid w:val="000955E2"/>
    <w:rsid w:val="000A154C"/>
    <w:rsid w:val="000A2821"/>
    <w:rsid w:val="000A28A8"/>
    <w:rsid w:val="000A3719"/>
    <w:rsid w:val="000A44C3"/>
    <w:rsid w:val="000A600F"/>
    <w:rsid w:val="000A6BC1"/>
    <w:rsid w:val="000B110C"/>
    <w:rsid w:val="000B15D4"/>
    <w:rsid w:val="000B2755"/>
    <w:rsid w:val="000B3666"/>
    <w:rsid w:val="000B3EF3"/>
    <w:rsid w:val="000B5CA6"/>
    <w:rsid w:val="000B74CA"/>
    <w:rsid w:val="000C22AA"/>
    <w:rsid w:val="000C57CC"/>
    <w:rsid w:val="000C6431"/>
    <w:rsid w:val="000C723C"/>
    <w:rsid w:val="000D0ED7"/>
    <w:rsid w:val="000D0FD1"/>
    <w:rsid w:val="000D7A54"/>
    <w:rsid w:val="000E0E10"/>
    <w:rsid w:val="000E149B"/>
    <w:rsid w:val="000E4282"/>
    <w:rsid w:val="000E7116"/>
    <w:rsid w:val="000F1941"/>
    <w:rsid w:val="000F4AC2"/>
    <w:rsid w:val="000F6AC3"/>
    <w:rsid w:val="000F70BD"/>
    <w:rsid w:val="00101414"/>
    <w:rsid w:val="00101A59"/>
    <w:rsid w:val="0010289D"/>
    <w:rsid w:val="001037F2"/>
    <w:rsid w:val="00104108"/>
    <w:rsid w:val="00111CBE"/>
    <w:rsid w:val="001128AE"/>
    <w:rsid w:val="00112CD1"/>
    <w:rsid w:val="001138D0"/>
    <w:rsid w:val="001302E4"/>
    <w:rsid w:val="00133E11"/>
    <w:rsid w:val="00135853"/>
    <w:rsid w:val="00137A43"/>
    <w:rsid w:val="0014047E"/>
    <w:rsid w:val="001428F0"/>
    <w:rsid w:val="0014453F"/>
    <w:rsid w:val="00145358"/>
    <w:rsid w:val="0014601B"/>
    <w:rsid w:val="00150D3E"/>
    <w:rsid w:val="00152D91"/>
    <w:rsid w:val="00153A2D"/>
    <w:rsid w:val="00155DB2"/>
    <w:rsid w:val="001576C0"/>
    <w:rsid w:val="00157D83"/>
    <w:rsid w:val="001604CE"/>
    <w:rsid w:val="00162839"/>
    <w:rsid w:val="00165AFE"/>
    <w:rsid w:val="00166396"/>
    <w:rsid w:val="00175E12"/>
    <w:rsid w:val="0017670B"/>
    <w:rsid w:val="0018149C"/>
    <w:rsid w:val="001823C2"/>
    <w:rsid w:val="001845F9"/>
    <w:rsid w:val="001850DD"/>
    <w:rsid w:val="0018590D"/>
    <w:rsid w:val="0018673A"/>
    <w:rsid w:val="00196A61"/>
    <w:rsid w:val="001A2042"/>
    <w:rsid w:val="001A2258"/>
    <w:rsid w:val="001A3657"/>
    <w:rsid w:val="001A7485"/>
    <w:rsid w:val="001A74E6"/>
    <w:rsid w:val="001B060D"/>
    <w:rsid w:val="001B1A2A"/>
    <w:rsid w:val="001B1CF9"/>
    <w:rsid w:val="001B5874"/>
    <w:rsid w:val="001B5E9C"/>
    <w:rsid w:val="001B6D12"/>
    <w:rsid w:val="001C16F5"/>
    <w:rsid w:val="001C43EE"/>
    <w:rsid w:val="001C4925"/>
    <w:rsid w:val="001D156F"/>
    <w:rsid w:val="001D2483"/>
    <w:rsid w:val="001D2628"/>
    <w:rsid w:val="001D30B4"/>
    <w:rsid w:val="001E38F4"/>
    <w:rsid w:val="001F2843"/>
    <w:rsid w:val="001F2B48"/>
    <w:rsid w:val="001F361C"/>
    <w:rsid w:val="001F646D"/>
    <w:rsid w:val="001F6D03"/>
    <w:rsid w:val="001F7EF2"/>
    <w:rsid w:val="002007EE"/>
    <w:rsid w:val="0020082B"/>
    <w:rsid w:val="002021F3"/>
    <w:rsid w:val="00204C02"/>
    <w:rsid w:val="002050CB"/>
    <w:rsid w:val="002072E4"/>
    <w:rsid w:val="0020752C"/>
    <w:rsid w:val="002106EA"/>
    <w:rsid w:val="00212A04"/>
    <w:rsid w:val="0021327A"/>
    <w:rsid w:val="002158B4"/>
    <w:rsid w:val="002209E6"/>
    <w:rsid w:val="00222D84"/>
    <w:rsid w:val="00224FA4"/>
    <w:rsid w:val="0022608D"/>
    <w:rsid w:val="00226A31"/>
    <w:rsid w:val="00232C55"/>
    <w:rsid w:val="002336F8"/>
    <w:rsid w:val="00234B7D"/>
    <w:rsid w:val="002410BB"/>
    <w:rsid w:val="00243487"/>
    <w:rsid w:val="0025037D"/>
    <w:rsid w:val="002505F8"/>
    <w:rsid w:val="00251E37"/>
    <w:rsid w:val="00253113"/>
    <w:rsid w:val="0025775D"/>
    <w:rsid w:val="00261756"/>
    <w:rsid w:val="002666B2"/>
    <w:rsid w:val="00267C88"/>
    <w:rsid w:val="00277C1B"/>
    <w:rsid w:val="00277F79"/>
    <w:rsid w:val="002813B0"/>
    <w:rsid w:val="00282D21"/>
    <w:rsid w:val="00285C15"/>
    <w:rsid w:val="00294453"/>
    <w:rsid w:val="002964ED"/>
    <w:rsid w:val="00296ECD"/>
    <w:rsid w:val="0029721C"/>
    <w:rsid w:val="002A283F"/>
    <w:rsid w:val="002A2B71"/>
    <w:rsid w:val="002A34F5"/>
    <w:rsid w:val="002C5E07"/>
    <w:rsid w:val="002D37B8"/>
    <w:rsid w:val="002D3B8D"/>
    <w:rsid w:val="002D46FC"/>
    <w:rsid w:val="002E0A19"/>
    <w:rsid w:val="002E35FD"/>
    <w:rsid w:val="002E756E"/>
    <w:rsid w:val="002F07DA"/>
    <w:rsid w:val="002F152A"/>
    <w:rsid w:val="002F4A3F"/>
    <w:rsid w:val="002F6ED3"/>
    <w:rsid w:val="00301181"/>
    <w:rsid w:val="00303D46"/>
    <w:rsid w:val="003043CD"/>
    <w:rsid w:val="003043F5"/>
    <w:rsid w:val="003072E2"/>
    <w:rsid w:val="003118CF"/>
    <w:rsid w:val="003134A0"/>
    <w:rsid w:val="00316DAF"/>
    <w:rsid w:val="00317B50"/>
    <w:rsid w:val="0032194A"/>
    <w:rsid w:val="00322BC6"/>
    <w:rsid w:val="00323063"/>
    <w:rsid w:val="00326F1F"/>
    <w:rsid w:val="003270FC"/>
    <w:rsid w:val="00332D82"/>
    <w:rsid w:val="00334119"/>
    <w:rsid w:val="003350EA"/>
    <w:rsid w:val="0033750C"/>
    <w:rsid w:val="003468ED"/>
    <w:rsid w:val="003513FC"/>
    <w:rsid w:val="00351D47"/>
    <w:rsid w:val="00352212"/>
    <w:rsid w:val="00356338"/>
    <w:rsid w:val="00356AD0"/>
    <w:rsid w:val="003654CA"/>
    <w:rsid w:val="00367F56"/>
    <w:rsid w:val="003709DE"/>
    <w:rsid w:val="00371C72"/>
    <w:rsid w:val="003736CF"/>
    <w:rsid w:val="00376DB3"/>
    <w:rsid w:val="00382204"/>
    <w:rsid w:val="0038486A"/>
    <w:rsid w:val="0038681D"/>
    <w:rsid w:val="00386836"/>
    <w:rsid w:val="00390090"/>
    <w:rsid w:val="00395296"/>
    <w:rsid w:val="0039769A"/>
    <w:rsid w:val="003A13BC"/>
    <w:rsid w:val="003A59B4"/>
    <w:rsid w:val="003A7C36"/>
    <w:rsid w:val="003B47C4"/>
    <w:rsid w:val="003B612F"/>
    <w:rsid w:val="003C0D66"/>
    <w:rsid w:val="003C3F30"/>
    <w:rsid w:val="003C3F74"/>
    <w:rsid w:val="003C5247"/>
    <w:rsid w:val="003D5EBE"/>
    <w:rsid w:val="003E14D9"/>
    <w:rsid w:val="003E2CC0"/>
    <w:rsid w:val="003E4526"/>
    <w:rsid w:val="003E56E4"/>
    <w:rsid w:val="003F2075"/>
    <w:rsid w:val="003F21FB"/>
    <w:rsid w:val="003F4BA2"/>
    <w:rsid w:val="003F7DEA"/>
    <w:rsid w:val="00405D8C"/>
    <w:rsid w:val="00406802"/>
    <w:rsid w:val="00407A96"/>
    <w:rsid w:val="00407E6E"/>
    <w:rsid w:val="00411B0B"/>
    <w:rsid w:val="00412F72"/>
    <w:rsid w:val="004143C2"/>
    <w:rsid w:val="004158BE"/>
    <w:rsid w:val="00416207"/>
    <w:rsid w:val="00416842"/>
    <w:rsid w:val="0042318A"/>
    <w:rsid w:val="00424D48"/>
    <w:rsid w:val="00427EB8"/>
    <w:rsid w:val="00430C40"/>
    <w:rsid w:val="00430D98"/>
    <w:rsid w:val="00430F8F"/>
    <w:rsid w:val="0043352B"/>
    <w:rsid w:val="0043466E"/>
    <w:rsid w:val="0043499B"/>
    <w:rsid w:val="00435EB9"/>
    <w:rsid w:val="00440C6C"/>
    <w:rsid w:val="00442253"/>
    <w:rsid w:val="00445E9C"/>
    <w:rsid w:val="00446A88"/>
    <w:rsid w:val="00450F10"/>
    <w:rsid w:val="004515A1"/>
    <w:rsid w:val="00454435"/>
    <w:rsid w:val="00456B8A"/>
    <w:rsid w:val="0046376D"/>
    <w:rsid w:val="00467049"/>
    <w:rsid w:val="00467E86"/>
    <w:rsid w:val="00470196"/>
    <w:rsid w:val="00470B67"/>
    <w:rsid w:val="00475290"/>
    <w:rsid w:val="00477F9E"/>
    <w:rsid w:val="00480BBF"/>
    <w:rsid w:val="00486130"/>
    <w:rsid w:val="00486702"/>
    <w:rsid w:val="004A017B"/>
    <w:rsid w:val="004A2B83"/>
    <w:rsid w:val="004A2DDD"/>
    <w:rsid w:val="004A5384"/>
    <w:rsid w:val="004A64EF"/>
    <w:rsid w:val="004A6E35"/>
    <w:rsid w:val="004B4AC6"/>
    <w:rsid w:val="004B5B28"/>
    <w:rsid w:val="004C1ADE"/>
    <w:rsid w:val="004C2827"/>
    <w:rsid w:val="004C2980"/>
    <w:rsid w:val="004C2B1E"/>
    <w:rsid w:val="004C5A3C"/>
    <w:rsid w:val="004D0853"/>
    <w:rsid w:val="004D0D8D"/>
    <w:rsid w:val="004D35CB"/>
    <w:rsid w:val="004E1106"/>
    <w:rsid w:val="004E1584"/>
    <w:rsid w:val="004E1876"/>
    <w:rsid w:val="004E53B5"/>
    <w:rsid w:val="004E6A7D"/>
    <w:rsid w:val="004F2481"/>
    <w:rsid w:val="004F4D64"/>
    <w:rsid w:val="0050131C"/>
    <w:rsid w:val="00504D96"/>
    <w:rsid w:val="00505393"/>
    <w:rsid w:val="00505BFB"/>
    <w:rsid w:val="00512570"/>
    <w:rsid w:val="00513CA0"/>
    <w:rsid w:val="005140DA"/>
    <w:rsid w:val="00520274"/>
    <w:rsid w:val="00520A4D"/>
    <w:rsid w:val="00523B71"/>
    <w:rsid w:val="0053170C"/>
    <w:rsid w:val="005333AF"/>
    <w:rsid w:val="005342C8"/>
    <w:rsid w:val="005412A4"/>
    <w:rsid w:val="00541FF5"/>
    <w:rsid w:val="00542D27"/>
    <w:rsid w:val="005442DC"/>
    <w:rsid w:val="00545A18"/>
    <w:rsid w:val="005472AE"/>
    <w:rsid w:val="005523DC"/>
    <w:rsid w:val="00552765"/>
    <w:rsid w:val="00557307"/>
    <w:rsid w:val="00557A2C"/>
    <w:rsid w:val="005603CA"/>
    <w:rsid w:val="00561E55"/>
    <w:rsid w:val="00563547"/>
    <w:rsid w:val="00564302"/>
    <w:rsid w:val="00566769"/>
    <w:rsid w:val="00567E78"/>
    <w:rsid w:val="00572CEE"/>
    <w:rsid w:val="00573F16"/>
    <w:rsid w:val="00574271"/>
    <w:rsid w:val="00580081"/>
    <w:rsid w:val="00582514"/>
    <w:rsid w:val="00583210"/>
    <w:rsid w:val="00584C38"/>
    <w:rsid w:val="00584F27"/>
    <w:rsid w:val="005874A4"/>
    <w:rsid w:val="00592CE7"/>
    <w:rsid w:val="005963C1"/>
    <w:rsid w:val="0059648C"/>
    <w:rsid w:val="005A1D60"/>
    <w:rsid w:val="005A4F01"/>
    <w:rsid w:val="005A66D0"/>
    <w:rsid w:val="005A789C"/>
    <w:rsid w:val="005B038E"/>
    <w:rsid w:val="005B29B6"/>
    <w:rsid w:val="005B2FC2"/>
    <w:rsid w:val="005B4C30"/>
    <w:rsid w:val="005B5285"/>
    <w:rsid w:val="005B57AD"/>
    <w:rsid w:val="005B5B59"/>
    <w:rsid w:val="005C0961"/>
    <w:rsid w:val="005C1FD2"/>
    <w:rsid w:val="005D29E7"/>
    <w:rsid w:val="005E0C78"/>
    <w:rsid w:val="005E207C"/>
    <w:rsid w:val="005E4311"/>
    <w:rsid w:val="005E51D2"/>
    <w:rsid w:val="005F0C1C"/>
    <w:rsid w:val="005F128A"/>
    <w:rsid w:val="005F5120"/>
    <w:rsid w:val="005F5EB4"/>
    <w:rsid w:val="005F6AE1"/>
    <w:rsid w:val="005F737A"/>
    <w:rsid w:val="005F7877"/>
    <w:rsid w:val="005F7C2C"/>
    <w:rsid w:val="00600749"/>
    <w:rsid w:val="00602CD9"/>
    <w:rsid w:val="00602E62"/>
    <w:rsid w:val="00605CCA"/>
    <w:rsid w:val="00606207"/>
    <w:rsid w:val="00606D7E"/>
    <w:rsid w:val="00607622"/>
    <w:rsid w:val="00607673"/>
    <w:rsid w:val="00611DF2"/>
    <w:rsid w:val="006122E6"/>
    <w:rsid w:val="006145D4"/>
    <w:rsid w:val="006220B5"/>
    <w:rsid w:val="006223A7"/>
    <w:rsid w:val="00622F48"/>
    <w:rsid w:val="00627F79"/>
    <w:rsid w:val="00630F3E"/>
    <w:rsid w:val="00631BE8"/>
    <w:rsid w:val="00631DD3"/>
    <w:rsid w:val="006324A8"/>
    <w:rsid w:val="006368D7"/>
    <w:rsid w:val="0064056D"/>
    <w:rsid w:val="006411C5"/>
    <w:rsid w:val="006415A1"/>
    <w:rsid w:val="00642719"/>
    <w:rsid w:val="0064283F"/>
    <w:rsid w:val="00642B1A"/>
    <w:rsid w:val="00643023"/>
    <w:rsid w:val="00646304"/>
    <w:rsid w:val="006468D5"/>
    <w:rsid w:val="00650DBF"/>
    <w:rsid w:val="0065155A"/>
    <w:rsid w:val="00661073"/>
    <w:rsid w:val="00667D9B"/>
    <w:rsid w:val="00673A1A"/>
    <w:rsid w:val="00675166"/>
    <w:rsid w:val="00675445"/>
    <w:rsid w:val="00680367"/>
    <w:rsid w:val="00681623"/>
    <w:rsid w:val="006825AE"/>
    <w:rsid w:val="00693924"/>
    <w:rsid w:val="00695CD4"/>
    <w:rsid w:val="00696B36"/>
    <w:rsid w:val="006A0A83"/>
    <w:rsid w:val="006A18FA"/>
    <w:rsid w:val="006A2001"/>
    <w:rsid w:val="006A5709"/>
    <w:rsid w:val="006B1EC9"/>
    <w:rsid w:val="006B49A2"/>
    <w:rsid w:val="006B5D6F"/>
    <w:rsid w:val="006D004B"/>
    <w:rsid w:val="006D7352"/>
    <w:rsid w:val="006D7A8D"/>
    <w:rsid w:val="006E4464"/>
    <w:rsid w:val="006E486B"/>
    <w:rsid w:val="006E696A"/>
    <w:rsid w:val="006F04B6"/>
    <w:rsid w:val="006F0801"/>
    <w:rsid w:val="006F2494"/>
    <w:rsid w:val="006F3EC4"/>
    <w:rsid w:val="006F4D56"/>
    <w:rsid w:val="006F6324"/>
    <w:rsid w:val="006F66D2"/>
    <w:rsid w:val="00710569"/>
    <w:rsid w:val="007110F6"/>
    <w:rsid w:val="0071203F"/>
    <w:rsid w:val="00713738"/>
    <w:rsid w:val="00714EE1"/>
    <w:rsid w:val="00721ECC"/>
    <w:rsid w:val="00724CAA"/>
    <w:rsid w:val="00724F02"/>
    <w:rsid w:val="00726E0F"/>
    <w:rsid w:val="00727101"/>
    <w:rsid w:val="00727726"/>
    <w:rsid w:val="0073299B"/>
    <w:rsid w:val="007353D4"/>
    <w:rsid w:val="00740374"/>
    <w:rsid w:val="007405FF"/>
    <w:rsid w:val="007408F9"/>
    <w:rsid w:val="00745B89"/>
    <w:rsid w:val="00747E71"/>
    <w:rsid w:val="00750BF8"/>
    <w:rsid w:val="007556CB"/>
    <w:rsid w:val="0075686A"/>
    <w:rsid w:val="00763C7F"/>
    <w:rsid w:val="00764B78"/>
    <w:rsid w:val="00767177"/>
    <w:rsid w:val="00770890"/>
    <w:rsid w:val="00776392"/>
    <w:rsid w:val="00783092"/>
    <w:rsid w:val="00784C89"/>
    <w:rsid w:val="00784FC4"/>
    <w:rsid w:val="007918F7"/>
    <w:rsid w:val="00792012"/>
    <w:rsid w:val="007942DC"/>
    <w:rsid w:val="0079745F"/>
    <w:rsid w:val="00797A55"/>
    <w:rsid w:val="007A09E1"/>
    <w:rsid w:val="007A17A0"/>
    <w:rsid w:val="007A22C0"/>
    <w:rsid w:val="007A43DB"/>
    <w:rsid w:val="007A5476"/>
    <w:rsid w:val="007A640E"/>
    <w:rsid w:val="007B08A6"/>
    <w:rsid w:val="007B08BE"/>
    <w:rsid w:val="007B08E6"/>
    <w:rsid w:val="007B1C78"/>
    <w:rsid w:val="007B2086"/>
    <w:rsid w:val="007B2A90"/>
    <w:rsid w:val="007B3A71"/>
    <w:rsid w:val="007B3BE1"/>
    <w:rsid w:val="007B437F"/>
    <w:rsid w:val="007C1316"/>
    <w:rsid w:val="007C16D5"/>
    <w:rsid w:val="007C2A99"/>
    <w:rsid w:val="007D15C5"/>
    <w:rsid w:val="007D4970"/>
    <w:rsid w:val="007D4A9A"/>
    <w:rsid w:val="007D5147"/>
    <w:rsid w:val="007E396E"/>
    <w:rsid w:val="007E5A07"/>
    <w:rsid w:val="007E6998"/>
    <w:rsid w:val="007E702E"/>
    <w:rsid w:val="007F0A6B"/>
    <w:rsid w:val="007F2756"/>
    <w:rsid w:val="007F4EB2"/>
    <w:rsid w:val="007F54E5"/>
    <w:rsid w:val="007F63BD"/>
    <w:rsid w:val="007F7AB0"/>
    <w:rsid w:val="00804CC5"/>
    <w:rsid w:val="00814195"/>
    <w:rsid w:val="00820334"/>
    <w:rsid w:val="00821EE3"/>
    <w:rsid w:val="00824A6B"/>
    <w:rsid w:val="008256C8"/>
    <w:rsid w:val="00825D02"/>
    <w:rsid w:val="00826F59"/>
    <w:rsid w:val="0083623E"/>
    <w:rsid w:val="00840AD2"/>
    <w:rsid w:val="00844ADB"/>
    <w:rsid w:val="0084631B"/>
    <w:rsid w:val="00851800"/>
    <w:rsid w:val="0085259A"/>
    <w:rsid w:val="00853BBF"/>
    <w:rsid w:val="00854EBD"/>
    <w:rsid w:val="00857223"/>
    <w:rsid w:val="008573C3"/>
    <w:rsid w:val="00860633"/>
    <w:rsid w:val="00861E78"/>
    <w:rsid w:val="00863557"/>
    <w:rsid w:val="008654EF"/>
    <w:rsid w:val="008667EB"/>
    <w:rsid w:val="00866B9E"/>
    <w:rsid w:val="008675BD"/>
    <w:rsid w:val="00870F7F"/>
    <w:rsid w:val="00872F75"/>
    <w:rsid w:val="00874084"/>
    <w:rsid w:val="00876419"/>
    <w:rsid w:val="00880B10"/>
    <w:rsid w:val="00881AF9"/>
    <w:rsid w:val="00885990"/>
    <w:rsid w:val="00887097"/>
    <w:rsid w:val="008873A1"/>
    <w:rsid w:val="00893021"/>
    <w:rsid w:val="00893CF3"/>
    <w:rsid w:val="008A09F9"/>
    <w:rsid w:val="008A242B"/>
    <w:rsid w:val="008A5B5D"/>
    <w:rsid w:val="008A6938"/>
    <w:rsid w:val="008B5F16"/>
    <w:rsid w:val="008B60DE"/>
    <w:rsid w:val="008C02CB"/>
    <w:rsid w:val="008C26EE"/>
    <w:rsid w:val="008C5143"/>
    <w:rsid w:val="008C532D"/>
    <w:rsid w:val="008D1ECF"/>
    <w:rsid w:val="008E09B3"/>
    <w:rsid w:val="008E2746"/>
    <w:rsid w:val="008E4C1F"/>
    <w:rsid w:val="008F5B59"/>
    <w:rsid w:val="009051D3"/>
    <w:rsid w:val="0091187E"/>
    <w:rsid w:val="0091242A"/>
    <w:rsid w:val="00923408"/>
    <w:rsid w:val="009240E0"/>
    <w:rsid w:val="00925947"/>
    <w:rsid w:val="009260FF"/>
    <w:rsid w:val="009318CB"/>
    <w:rsid w:val="00931FD1"/>
    <w:rsid w:val="009341C6"/>
    <w:rsid w:val="0093750B"/>
    <w:rsid w:val="0093769C"/>
    <w:rsid w:val="009413B5"/>
    <w:rsid w:val="0094279C"/>
    <w:rsid w:val="00945060"/>
    <w:rsid w:val="00946074"/>
    <w:rsid w:val="009466A9"/>
    <w:rsid w:val="00946856"/>
    <w:rsid w:val="00946FB7"/>
    <w:rsid w:val="009501B1"/>
    <w:rsid w:val="00950FC4"/>
    <w:rsid w:val="00953CAB"/>
    <w:rsid w:val="00954B3B"/>
    <w:rsid w:val="00954DC8"/>
    <w:rsid w:val="00954E2B"/>
    <w:rsid w:val="00957A8F"/>
    <w:rsid w:val="00957FFB"/>
    <w:rsid w:val="00961454"/>
    <w:rsid w:val="009642C9"/>
    <w:rsid w:val="009644BB"/>
    <w:rsid w:val="00965F15"/>
    <w:rsid w:val="00967FB1"/>
    <w:rsid w:val="009715F0"/>
    <w:rsid w:val="00971815"/>
    <w:rsid w:val="009721EA"/>
    <w:rsid w:val="009732A4"/>
    <w:rsid w:val="00974BC8"/>
    <w:rsid w:val="00974F60"/>
    <w:rsid w:val="00977044"/>
    <w:rsid w:val="009773E0"/>
    <w:rsid w:val="0098314B"/>
    <w:rsid w:val="0098348E"/>
    <w:rsid w:val="009836FD"/>
    <w:rsid w:val="00984553"/>
    <w:rsid w:val="009851EF"/>
    <w:rsid w:val="009857FA"/>
    <w:rsid w:val="00986558"/>
    <w:rsid w:val="00991172"/>
    <w:rsid w:val="00997440"/>
    <w:rsid w:val="009978E8"/>
    <w:rsid w:val="009A7162"/>
    <w:rsid w:val="009B3870"/>
    <w:rsid w:val="009C06E9"/>
    <w:rsid w:val="009C4005"/>
    <w:rsid w:val="009C44A3"/>
    <w:rsid w:val="009C4985"/>
    <w:rsid w:val="009C4ABB"/>
    <w:rsid w:val="009D00CD"/>
    <w:rsid w:val="009E11E5"/>
    <w:rsid w:val="009E15EB"/>
    <w:rsid w:val="009E1C77"/>
    <w:rsid w:val="009E6CB6"/>
    <w:rsid w:val="009F22A2"/>
    <w:rsid w:val="009F3C9E"/>
    <w:rsid w:val="00A03E85"/>
    <w:rsid w:val="00A071EF"/>
    <w:rsid w:val="00A10444"/>
    <w:rsid w:val="00A10EFF"/>
    <w:rsid w:val="00A1104A"/>
    <w:rsid w:val="00A12A15"/>
    <w:rsid w:val="00A2269F"/>
    <w:rsid w:val="00A22A1E"/>
    <w:rsid w:val="00A3265F"/>
    <w:rsid w:val="00A34213"/>
    <w:rsid w:val="00A34C30"/>
    <w:rsid w:val="00A35218"/>
    <w:rsid w:val="00A368BA"/>
    <w:rsid w:val="00A40132"/>
    <w:rsid w:val="00A40497"/>
    <w:rsid w:val="00A41953"/>
    <w:rsid w:val="00A4260F"/>
    <w:rsid w:val="00A43928"/>
    <w:rsid w:val="00A54217"/>
    <w:rsid w:val="00A5454B"/>
    <w:rsid w:val="00A5506B"/>
    <w:rsid w:val="00A55E04"/>
    <w:rsid w:val="00A55F94"/>
    <w:rsid w:val="00A57092"/>
    <w:rsid w:val="00A60DB4"/>
    <w:rsid w:val="00A61C6F"/>
    <w:rsid w:val="00A62672"/>
    <w:rsid w:val="00A66056"/>
    <w:rsid w:val="00A66EE1"/>
    <w:rsid w:val="00A67350"/>
    <w:rsid w:val="00A704CD"/>
    <w:rsid w:val="00A7135F"/>
    <w:rsid w:val="00A71E16"/>
    <w:rsid w:val="00A72D2D"/>
    <w:rsid w:val="00A74A17"/>
    <w:rsid w:val="00A75C8C"/>
    <w:rsid w:val="00A83D9C"/>
    <w:rsid w:val="00A915A4"/>
    <w:rsid w:val="00A97E27"/>
    <w:rsid w:val="00AA17FD"/>
    <w:rsid w:val="00AA3833"/>
    <w:rsid w:val="00AA4138"/>
    <w:rsid w:val="00AA4D69"/>
    <w:rsid w:val="00AB6FBC"/>
    <w:rsid w:val="00AB778B"/>
    <w:rsid w:val="00AC1F89"/>
    <w:rsid w:val="00AC1FFA"/>
    <w:rsid w:val="00AC36A9"/>
    <w:rsid w:val="00AC4452"/>
    <w:rsid w:val="00AC54C8"/>
    <w:rsid w:val="00AD0112"/>
    <w:rsid w:val="00AD1BD8"/>
    <w:rsid w:val="00AD1F56"/>
    <w:rsid w:val="00AD3F90"/>
    <w:rsid w:val="00AD453A"/>
    <w:rsid w:val="00AD59A3"/>
    <w:rsid w:val="00AD6892"/>
    <w:rsid w:val="00AE04F4"/>
    <w:rsid w:val="00AE17B6"/>
    <w:rsid w:val="00AE63F9"/>
    <w:rsid w:val="00AF3B90"/>
    <w:rsid w:val="00AF3EC3"/>
    <w:rsid w:val="00B02C5C"/>
    <w:rsid w:val="00B046C0"/>
    <w:rsid w:val="00B0672C"/>
    <w:rsid w:val="00B0778C"/>
    <w:rsid w:val="00B10092"/>
    <w:rsid w:val="00B158A9"/>
    <w:rsid w:val="00B1610E"/>
    <w:rsid w:val="00B174BE"/>
    <w:rsid w:val="00B25166"/>
    <w:rsid w:val="00B2796B"/>
    <w:rsid w:val="00B3191F"/>
    <w:rsid w:val="00B320DD"/>
    <w:rsid w:val="00B35D67"/>
    <w:rsid w:val="00B41BDA"/>
    <w:rsid w:val="00B42597"/>
    <w:rsid w:val="00B42DBB"/>
    <w:rsid w:val="00B42FC8"/>
    <w:rsid w:val="00B4402D"/>
    <w:rsid w:val="00B44274"/>
    <w:rsid w:val="00B5008F"/>
    <w:rsid w:val="00B553B1"/>
    <w:rsid w:val="00B55894"/>
    <w:rsid w:val="00B63F1E"/>
    <w:rsid w:val="00B64DAB"/>
    <w:rsid w:val="00B650B9"/>
    <w:rsid w:val="00B80FF6"/>
    <w:rsid w:val="00B813C5"/>
    <w:rsid w:val="00B81844"/>
    <w:rsid w:val="00B8207D"/>
    <w:rsid w:val="00B82B97"/>
    <w:rsid w:val="00B836CF"/>
    <w:rsid w:val="00B94258"/>
    <w:rsid w:val="00B9439A"/>
    <w:rsid w:val="00B95373"/>
    <w:rsid w:val="00B95AD8"/>
    <w:rsid w:val="00B95E32"/>
    <w:rsid w:val="00BA136C"/>
    <w:rsid w:val="00BA1DD0"/>
    <w:rsid w:val="00BA2669"/>
    <w:rsid w:val="00BB0F40"/>
    <w:rsid w:val="00BB3CD9"/>
    <w:rsid w:val="00BB4CD8"/>
    <w:rsid w:val="00BC2151"/>
    <w:rsid w:val="00BC2A5C"/>
    <w:rsid w:val="00BC2F2A"/>
    <w:rsid w:val="00BC327D"/>
    <w:rsid w:val="00BC3900"/>
    <w:rsid w:val="00BD0875"/>
    <w:rsid w:val="00BD0E3F"/>
    <w:rsid w:val="00BD4EC9"/>
    <w:rsid w:val="00BE3EA5"/>
    <w:rsid w:val="00BE449A"/>
    <w:rsid w:val="00BE46F0"/>
    <w:rsid w:val="00BE51D4"/>
    <w:rsid w:val="00BE5D90"/>
    <w:rsid w:val="00BF0F89"/>
    <w:rsid w:val="00BF2563"/>
    <w:rsid w:val="00BF6BFC"/>
    <w:rsid w:val="00C0130C"/>
    <w:rsid w:val="00C0542C"/>
    <w:rsid w:val="00C05D5D"/>
    <w:rsid w:val="00C1160E"/>
    <w:rsid w:val="00C12747"/>
    <w:rsid w:val="00C133D5"/>
    <w:rsid w:val="00C13CBE"/>
    <w:rsid w:val="00C13D39"/>
    <w:rsid w:val="00C15F77"/>
    <w:rsid w:val="00C17788"/>
    <w:rsid w:val="00C2046A"/>
    <w:rsid w:val="00C22F4C"/>
    <w:rsid w:val="00C24292"/>
    <w:rsid w:val="00C247EA"/>
    <w:rsid w:val="00C27411"/>
    <w:rsid w:val="00C27F4C"/>
    <w:rsid w:val="00C30623"/>
    <w:rsid w:val="00C31636"/>
    <w:rsid w:val="00C32914"/>
    <w:rsid w:val="00C33DF9"/>
    <w:rsid w:val="00C34B6C"/>
    <w:rsid w:val="00C35FEC"/>
    <w:rsid w:val="00C42993"/>
    <w:rsid w:val="00C43D1A"/>
    <w:rsid w:val="00C46BD6"/>
    <w:rsid w:val="00C46C4D"/>
    <w:rsid w:val="00C51657"/>
    <w:rsid w:val="00C520E7"/>
    <w:rsid w:val="00C52B03"/>
    <w:rsid w:val="00C54EA0"/>
    <w:rsid w:val="00C559D5"/>
    <w:rsid w:val="00C562AB"/>
    <w:rsid w:val="00C56590"/>
    <w:rsid w:val="00C57090"/>
    <w:rsid w:val="00C60280"/>
    <w:rsid w:val="00C605FE"/>
    <w:rsid w:val="00C6394A"/>
    <w:rsid w:val="00C63D85"/>
    <w:rsid w:val="00C651FF"/>
    <w:rsid w:val="00C65536"/>
    <w:rsid w:val="00C6668E"/>
    <w:rsid w:val="00C7000E"/>
    <w:rsid w:val="00C70463"/>
    <w:rsid w:val="00C73733"/>
    <w:rsid w:val="00C73E1C"/>
    <w:rsid w:val="00C75D50"/>
    <w:rsid w:val="00C803ED"/>
    <w:rsid w:val="00C80E46"/>
    <w:rsid w:val="00C82811"/>
    <w:rsid w:val="00C82C26"/>
    <w:rsid w:val="00C83CAD"/>
    <w:rsid w:val="00C8423F"/>
    <w:rsid w:val="00C84275"/>
    <w:rsid w:val="00C84CE3"/>
    <w:rsid w:val="00C850DC"/>
    <w:rsid w:val="00C86B65"/>
    <w:rsid w:val="00C86D6C"/>
    <w:rsid w:val="00C871AD"/>
    <w:rsid w:val="00C91FB6"/>
    <w:rsid w:val="00C92411"/>
    <w:rsid w:val="00C928AC"/>
    <w:rsid w:val="00C93565"/>
    <w:rsid w:val="00C95BA4"/>
    <w:rsid w:val="00CA08D2"/>
    <w:rsid w:val="00CA2078"/>
    <w:rsid w:val="00CA285D"/>
    <w:rsid w:val="00CB0217"/>
    <w:rsid w:val="00CB0BD3"/>
    <w:rsid w:val="00CB0C52"/>
    <w:rsid w:val="00CB2633"/>
    <w:rsid w:val="00CB2D15"/>
    <w:rsid w:val="00CB6C95"/>
    <w:rsid w:val="00CB6D1D"/>
    <w:rsid w:val="00CC4FCD"/>
    <w:rsid w:val="00CC5C73"/>
    <w:rsid w:val="00CD187E"/>
    <w:rsid w:val="00CD544B"/>
    <w:rsid w:val="00CD5A33"/>
    <w:rsid w:val="00CD60AF"/>
    <w:rsid w:val="00CD6AE4"/>
    <w:rsid w:val="00CE0F8E"/>
    <w:rsid w:val="00CE3EEC"/>
    <w:rsid w:val="00CE6C40"/>
    <w:rsid w:val="00CE7ED3"/>
    <w:rsid w:val="00CF306C"/>
    <w:rsid w:val="00CF3C2C"/>
    <w:rsid w:val="00CF7096"/>
    <w:rsid w:val="00D01999"/>
    <w:rsid w:val="00D030E1"/>
    <w:rsid w:val="00D04242"/>
    <w:rsid w:val="00D04C76"/>
    <w:rsid w:val="00D1188C"/>
    <w:rsid w:val="00D11995"/>
    <w:rsid w:val="00D12DE0"/>
    <w:rsid w:val="00D136C9"/>
    <w:rsid w:val="00D20417"/>
    <w:rsid w:val="00D21880"/>
    <w:rsid w:val="00D235A0"/>
    <w:rsid w:val="00D23EEE"/>
    <w:rsid w:val="00D25932"/>
    <w:rsid w:val="00D25B5A"/>
    <w:rsid w:val="00D25E6A"/>
    <w:rsid w:val="00D3143E"/>
    <w:rsid w:val="00D32D40"/>
    <w:rsid w:val="00D3307A"/>
    <w:rsid w:val="00D33431"/>
    <w:rsid w:val="00D33BA9"/>
    <w:rsid w:val="00D33EDA"/>
    <w:rsid w:val="00D375EC"/>
    <w:rsid w:val="00D4259A"/>
    <w:rsid w:val="00D43C74"/>
    <w:rsid w:val="00D4473B"/>
    <w:rsid w:val="00D451B7"/>
    <w:rsid w:val="00D57FCA"/>
    <w:rsid w:val="00D60AFA"/>
    <w:rsid w:val="00D6376B"/>
    <w:rsid w:val="00D66CD8"/>
    <w:rsid w:val="00D67D0A"/>
    <w:rsid w:val="00D74A11"/>
    <w:rsid w:val="00D81C7B"/>
    <w:rsid w:val="00D825FC"/>
    <w:rsid w:val="00D82C50"/>
    <w:rsid w:val="00D84227"/>
    <w:rsid w:val="00D87D1C"/>
    <w:rsid w:val="00D92548"/>
    <w:rsid w:val="00D93ACE"/>
    <w:rsid w:val="00D93CDF"/>
    <w:rsid w:val="00D93ED4"/>
    <w:rsid w:val="00D951FD"/>
    <w:rsid w:val="00D96DF5"/>
    <w:rsid w:val="00D973DB"/>
    <w:rsid w:val="00DA1CC6"/>
    <w:rsid w:val="00DB27D8"/>
    <w:rsid w:val="00DB5480"/>
    <w:rsid w:val="00DB765D"/>
    <w:rsid w:val="00DB7FBA"/>
    <w:rsid w:val="00DC050D"/>
    <w:rsid w:val="00DC221E"/>
    <w:rsid w:val="00DC72F7"/>
    <w:rsid w:val="00DD09E1"/>
    <w:rsid w:val="00DD1428"/>
    <w:rsid w:val="00DD2D25"/>
    <w:rsid w:val="00DD2F30"/>
    <w:rsid w:val="00DD31C6"/>
    <w:rsid w:val="00DD4F5E"/>
    <w:rsid w:val="00DD7D3A"/>
    <w:rsid w:val="00DE5B8F"/>
    <w:rsid w:val="00DE7F1D"/>
    <w:rsid w:val="00DF251D"/>
    <w:rsid w:val="00DF4A4A"/>
    <w:rsid w:val="00DF4B83"/>
    <w:rsid w:val="00DF5564"/>
    <w:rsid w:val="00DF5A25"/>
    <w:rsid w:val="00E02821"/>
    <w:rsid w:val="00E04DA8"/>
    <w:rsid w:val="00E06885"/>
    <w:rsid w:val="00E06DA7"/>
    <w:rsid w:val="00E075FD"/>
    <w:rsid w:val="00E07F8D"/>
    <w:rsid w:val="00E12739"/>
    <w:rsid w:val="00E14EED"/>
    <w:rsid w:val="00E15313"/>
    <w:rsid w:val="00E15DE3"/>
    <w:rsid w:val="00E16F37"/>
    <w:rsid w:val="00E20D47"/>
    <w:rsid w:val="00E22267"/>
    <w:rsid w:val="00E22564"/>
    <w:rsid w:val="00E2354E"/>
    <w:rsid w:val="00E247A5"/>
    <w:rsid w:val="00E2500A"/>
    <w:rsid w:val="00E30F03"/>
    <w:rsid w:val="00E31F7F"/>
    <w:rsid w:val="00E33810"/>
    <w:rsid w:val="00E34778"/>
    <w:rsid w:val="00E436C3"/>
    <w:rsid w:val="00E4381F"/>
    <w:rsid w:val="00E524D0"/>
    <w:rsid w:val="00E63798"/>
    <w:rsid w:val="00E649E1"/>
    <w:rsid w:val="00E658BF"/>
    <w:rsid w:val="00E673F0"/>
    <w:rsid w:val="00E75E28"/>
    <w:rsid w:val="00E7623D"/>
    <w:rsid w:val="00E7760C"/>
    <w:rsid w:val="00E77D7B"/>
    <w:rsid w:val="00E80502"/>
    <w:rsid w:val="00E80781"/>
    <w:rsid w:val="00E807F8"/>
    <w:rsid w:val="00E80DD7"/>
    <w:rsid w:val="00E81D56"/>
    <w:rsid w:val="00E83DF6"/>
    <w:rsid w:val="00E84532"/>
    <w:rsid w:val="00E852A4"/>
    <w:rsid w:val="00E8537B"/>
    <w:rsid w:val="00E94DDD"/>
    <w:rsid w:val="00E978DB"/>
    <w:rsid w:val="00E97E89"/>
    <w:rsid w:val="00EA14E0"/>
    <w:rsid w:val="00EA1A95"/>
    <w:rsid w:val="00EA1D2C"/>
    <w:rsid w:val="00EA24FA"/>
    <w:rsid w:val="00EA333F"/>
    <w:rsid w:val="00EA60AC"/>
    <w:rsid w:val="00EB245E"/>
    <w:rsid w:val="00EB2D08"/>
    <w:rsid w:val="00EB2DE4"/>
    <w:rsid w:val="00EB47DD"/>
    <w:rsid w:val="00EB5731"/>
    <w:rsid w:val="00EB57D1"/>
    <w:rsid w:val="00EC29FC"/>
    <w:rsid w:val="00EC2F75"/>
    <w:rsid w:val="00EC4212"/>
    <w:rsid w:val="00EC65DA"/>
    <w:rsid w:val="00ED00C3"/>
    <w:rsid w:val="00ED06DA"/>
    <w:rsid w:val="00ED1C6D"/>
    <w:rsid w:val="00ED2628"/>
    <w:rsid w:val="00ED2F3F"/>
    <w:rsid w:val="00ED45AE"/>
    <w:rsid w:val="00ED461C"/>
    <w:rsid w:val="00EE17D9"/>
    <w:rsid w:val="00EE3268"/>
    <w:rsid w:val="00EE738A"/>
    <w:rsid w:val="00EF1A8F"/>
    <w:rsid w:val="00EF2F21"/>
    <w:rsid w:val="00F02724"/>
    <w:rsid w:val="00F02EC6"/>
    <w:rsid w:val="00F03EF6"/>
    <w:rsid w:val="00F04799"/>
    <w:rsid w:val="00F048A0"/>
    <w:rsid w:val="00F10403"/>
    <w:rsid w:val="00F11703"/>
    <w:rsid w:val="00F11F43"/>
    <w:rsid w:val="00F1737B"/>
    <w:rsid w:val="00F177E5"/>
    <w:rsid w:val="00F20044"/>
    <w:rsid w:val="00F2047B"/>
    <w:rsid w:val="00F2300E"/>
    <w:rsid w:val="00F23BDC"/>
    <w:rsid w:val="00F23C29"/>
    <w:rsid w:val="00F266FA"/>
    <w:rsid w:val="00F312C2"/>
    <w:rsid w:val="00F317E3"/>
    <w:rsid w:val="00F329C8"/>
    <w:rsid w:val="00F32DCB"/>
    <w:rsid w:val="00F33C2D"/>
    <w:rsid w:val="00F37A6C"/>
    <w:rsid w:val="00F4052C"/>
    <w:rsid w:val="00F40687"/>
    <w:rsid w:val="00F4170D"/>
    <w:rsid w:val="00F43BE6"/>
    <w:rsid w:val="00F44BF5"/>
    <w:rsid w:val="00F46897"/>
    <w:rsid w:val="00F50B70"/>
    <w:rsid w:val="00F5214C"/>
    <w:rsid w:val="00F53075"/>
    <w:rsid w:val="00F538EE"/>
    <w:rsid w:val="00F53E76"/>
    <w:rsid w:val="00F5590E"/>
    <w:rsid w:val="00F5721A"/>
    <w:rsid w:val="00F57347"/>
    <w:rsid w:val="00F61D47"/>
    <w:rsid w:val="00F62039"/>
    <w:rsid w:val="00F62FD4"/>
    <w:rsid w:val="00F65B6C"/>
    <w:rsid w:val="00F664B6"/>
    <w:rsid w:val="00F7259A"/>
    <w:rsid w:val="00F80936"/>
    <w:rsid w:val="00F85118"/>
    <w:rsid w:val="00F8525E"/>
    <w:rsid w:val="00F90B33"/>
    <w:rsid w:val="00F91448"/>
    <w:rsid w:val="00F91558"/>
    <w:rsid w:val="00F91880"/>
    <w:rsid w:val="00F93628"/>
    <w:rsid w:val="00F93EF9"/>
    <w:rsid w:val="00F95233"/>
    <w:rsid w:val="00F96267"/>
    <w:rsid w:val="00F97D29"/>
    <w:rsid w:val="00FA0EA1"/>
    <w:rsid w:val="00FA1405"/>
    <w:rsid w:val="00FA3995"/>
    <w:rsid w:val="00FA3D60"/>
    <w:rsid w:val="00FA3F18"/>
    <w:rsid w:val="00FB00C5"/>
    <w:rsid w:val="00FB6166"/>
    <w:rsid w:val="00FC0729"/>
    <w:rsid w:val="00FC0B6C"/>
    <w:rsid w:val="00FC3531"/>
    <w:rsid w:val="00FC4ECD"/>
    <w:rsid w:val="00FC5DFB"/>
    <w:rsid w:val="00FD03F7"/>
    <w:rsid w:val="00FD157B"/>
    <w:rsid w:val="00FD22C2"/>
    <w:rsid w:val="00FD3908"/>
    <w:rsid w:val="00FD3BC4"/>
    <w:rsid w:val="00FD5C96"/>
    <w:rsid w:val="00FD671B"/>
    <w:rsid w:val="00FD77CF"/>
    <w:rsid w:val="00FE01E3"/>
    <w:rsid w:val="00FE3884"/>
    <w:rsid w:val="00FE5A19"/>
    <w:rsid w:val="00FE69F4"/>
    <w:rsid w:val="00FE7097"/>
    <w:rsid w:val="00FF0422"/>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f91"/>
    </o:shapedefaults>
    <o:shapelayout v:ext="edit">
      <o:idmap v:ext="edit" data="1"/>
    </o:shapelayout>
  </w:shapeDefaults>
  <w:decimalSymbol w:val=","/>
  <w:listSeparator w:val=";"/>
  <w15:docId w15:val="{9F7EF7DF-DA54-4BFE-9112-7D834672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F8"/>
    <w:rPr>
      <w:rFonts w:eastAsia="MS Mincho"/>
      <w:sz w:val="24"/>
      <w:szCs w:val="24"/>
    </w:rPr>
  </w:style>
  <w:style w:type="paragraph" w:styleId="Heading1">
    <w:name w:val="heading 1"/>
    <w:basedOn w:val="Normal"/>
    <w:next w:val="Normal"/>
    <w:link w:val="Heading1Char"/>
    <w:qFormat/>
    <w:rsid w:val="006F0801"/>
    <w:pPr>
      <w:keepNext/>
      <w:numPr>
        <w:numId w:val="21"/>
      </w:numPr>
      <w:spacing w:before="360"/>
      <w:outlineLvl w:val="0"/>
    </w:pPr>
    <w:rPr>
      <w:rFonts w:ascii="Calibri" w:hAnsi="Calibri"/>
      <w:b/>
      <w:bCs/>
      <w:color w:val="003366"/>
      <w:sz w:val="28"/>
    </w:rPr>
  </w:style>
  <w:style w:type="paragraph" w:styleId="Heading2">
    <w:name w:val="heading 2"/>
    <w:basedOn w:val="Normal"/>
    <w:next w:val="Normal"/>
    <w:link w:val="Heading2Char"/>
    <w:qFormat/>
    <w:rsid w:val="00512570"/>
    <w:pPr>
      <w:keepNext/>
      <w:numPr>
        <w:ilvl w:val="1"/>
        <w:numId w:val="21"/>
      </w:numPr>
      <w:autoSpaceDE w:val="0"/>
      <w:autoSpaceDN w:val="0"/>
      <w:adjustRightInd w:val="0"/>
      <w:outlineLvl w:val="1"/>
    </w:pPr>
    <w:rPr>
      <w:rFonts w:ascii="Calibri" w:hAnsi="Calibri"/>
      <w:b/>
      <w:bCs/>
      <w:color w:val="003366"/>
      <w:szCs w:val="22"/>
    </w:rPr>
  </w:style>
  <w:style w:type="paragraph" w:styleId="Heading3">
    <w:name w:val="heading 3"/>
    <w:basedOn w:val="Heading2"/>
    <w:next w:val="Normal"/>
    <w:link w:val="Heading3Char"/>
    <w:autoRedefine/>
    <w:qFormat/>
    <w:rsid w:val="006122E6"/>
    <w:pPr>
      <w:numPr>
        <w:ilvl w:val="0"/>
        <w:numId w:val="0"/>
      </w:numPr>
      <w:tabs>
        <w:tab w:val="left" w:pos="720"/>
      </w:tabs>
      <w:outlineLvl w:val="2"/>
    </w:pPr>
    <w:rPr>
      <w:rFonts w:asciiTheme="minorHAnsi" w:hAnsiTheme="minorHAnsi" w:cstheme="minorHAnsi"/>
      <w:i/>
      <w:color w:val="auto"/>
      <w:sz w:val="22"/>
    </w:rPr>
  </w:style>
  <w:style w:type="paragraph" w:styleId="Heading4">
    <w:name w:val="heading 4"/>
    <w:basedOn w:val="Normal"/>
    <w:next w:val="Normal"/>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5">
    <w:name w:val="heading 5"/>
    <w:basedOn w:val="Normal"/>
    <w:next w:val="Normal"/>
    <w:link w:val="Heading5Char"/>
    <w:qFormat/>
    <w:rsid w:val="00E807F8"/>
    <w:pPr>
      <w:keepNext/>
      <w:ind w:firstLine="720"/>
      <w:jc w:val="both"/>
      <w:outlineLvl w:val="4"/>
    </w:pPr>
    <w:rPr>
      <w:sz w:val="22"/>
      <w:u w:val="single"/>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paragraph" w:styleId="Heading7">
    <w:name w:val="heading 7"/>
    <w:basedOn w:val="Normal"/>
    <w:next w:val="Normal"/>
    <w:link w:val="Heading7Char"/>
    <w:qFormat/>
    <w:rsid w:val="00E807F8"/>
    <w:pPr>
      <w:keepNext/>
      <w:outlineLvl w:val="6"/>
    </w:pPr>
    <w:rPr>
      <w:b/>
      <w:bCs/>
      <w:sz w:val="22"/>
    </w:rPr>
  </w:style>
  <w:style w:type="paragraph" w:styleId="Heading8">
    <w:name w:val="heading 8"/>
    <w:basedOn w:val="Normal"/>
    <w:next w:val="Normal"/>
    <w:link w:val="Heading8Char"/>
    <w:qFormat/>
    <w:rsid w:val="00E807F8"/>
    <w:pPr>
      <w:keepNext/>
      <w:outlineLvl w:val="7"/>
    </w:pPr>
    <w:rPr>
      <w:rFonts w:ascii="Arial" w:hAnsi="Arial" w:cs="Arial"/>
      <w:b/>
      <w:bCs/>
    </w:rPr>
  </w:style>
  <w:style w:type="paragraph" w:styleId="Heading9">
    <w:name w:val="heading 9"/>
    <w:basedOn w:val="Normal"/>
    <w:next w:val="Normal"/>
    <w:link w:val="Heading9Char"/>
    <w:qFormat/>
    <w:rsid w:val="00E807F8"/>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FD"/>
    <w:pPr>
      <w:tabs>
        <w:tab w:val="center" w:pos="4320"/>
        <w:tab w:val="right" w:pos="8640"/>
      </w:tabs>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b/>
    </w:rPr>
  </w:style>
  <w:style w:type="paragraph" w:styleId="BalloonText">
    <w:name w:val="Balloon Text"/>
    <w:basedOn w:val="Normal"/>
    <w:link w:val="BalloonTextChar"/>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semiHidden/>
    <w:rsid w:val="00445E9C"/>
    <w:rPr>
      <w:sz w:val="20"/>
    </w:rPr>
  </w:style>
  <w:style w:type="character" w:styleId="FootnoteReference">
    <w:name w:val="footnote reference"/>
    <w:basedOn w:val="DefaultParagraphFont"/>
    <w:semiHidden/>
    <w:rsid w:val="00445E9C"/>
    <w:rPr>
      <w:vertAlign w:val="superscript"/>
    </w:rPr>
  </w:style>
  <w:style w:type="paragraph" w:customStyle="1" w:styleId="Text">
    <w:name w:val="Text"/>
    <w:basedOn w:val="Normal"/>
    <w:rsid w:val="00445E9C"/>
    <w:pPr>
      <w:spacing w:after="240"/>
    </w:p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072E4"/>
    <w:pPr>
      <w:spacing w:before="60" w:after="60"/>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rPr>
  </w:style>
  <w:style w:type="character" w:customStyle="1" w:styleId="BalloonTextChar">
    <w:name w:val="Balloon Text Char"/>
    <w:basedOn w:val="DefaultParagraphFont"/>
    <w:link w:val="BalloonText"/>
    <w:semiHidden/>
    <w:rsid w:val="00E075FD"/>
    <w:rPr>
      <w:rFonts w:ascii="Tahoma" w:hAnsi="Tahoma" w:cs="Tahoma"/>
      <w:sz w:val="16"/>
      <w:szCs w:val="16"/>
      <w:lang w:val="en-US" w:eastAsia="en-US" w:bidi="ar-SA"/>
    </w:rPr>
  </w:style>
  <w:style w:type="paragraph" w:styleId="TOC1">
    <w:name w:val="toc 1"/>
    <w:basedOn w:val="Normal"/>
    <w:next w:val="Normal"/>
    <w:link w:val="TOC1Char"/>
    <w:autoRedefine/>
    <w:uiPriority w:val="39"/>
    <w:qFormat/>
    <w:rsid w:val="00382204"/>
    <w:pPr>
      <w:tabs>
        <w:tab w:val="left" w:pos="475"/>
        <w:tab w:val="right" w:leader="dot" w:pos="9063"/>
      </w:tabs>
      <w:jc w:val="center"/>
    </w:pPr>
    <w:rPr>
      <w:rFonts w:asciiTheme="minorHAnsi" w:hAnsiTheme="minorHAnsi" w:cs="Calibri"/>
      <w:noProof/>
      <w:sz w:val="22"/>
      <w:szCs w:val="22"/>
    </w:rPr>
  </w:style>
  <w:style w:type="paragraph" w:styleId="TOC2">
    <w:name w:val="toc 2"/>
    <w:basedOn w:val="Normal"/>
    <w:next w:val="Normal"/>
    <w:autoRedefine/>
    <w:uiPriority w:val="39"/>
    <w:qFormat/>
    <w:rsid w:val="00382204"/>
    <w:pPr>
      <w:tabs>
        <w:tab w:val="left" w:pos="880"/>
        <w:tab w:val="right" w:leader="dot" w:pos="9063"/>
      </w:tabs>
      <w:spacing w:after="100"/>
      <w:ind w:left="245"/>
    </w:pPr>
    <w:rPr>
      <w:rFonts w:asciiTheme="minorHAnsi" w:hAnsiTheme="minorHAnsi" w:cstheme="minorHAnsi"/>
      <w:noProof/>
      <w:sz w:val="22"/>
      <w:szCs w:val="22"/>
    </w:rPr>
  </w:style>
  <w:style w:type="paragraph" w:styleId="TOC3">
    <w:name w:val="toc 3"/>
    <w:basedOn w:val="Normal"/>
    <w:next w:val="Normal"/>
    <w:autoRedefine/>
    <w:uiPriority w:val="39"/>
    <w:qFormat/>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US" w:eastAsia="en-US" w:bidi="ar-SA"/>
    </w:rPr>
  </w:style>
  <w:style w:type="character" w:customStyle="1" w:styleId="HeaderChar">
    <w:name w:val="Header Char"/>
    <w:basedOn w:val="DefaultParagraphFont"/>
    <w:link w:val="Header"/>
    <w:uiPriority w:val="99"/>
    <w:rsid w:val="00A2269F"/>
    <w:rPr>
      <w:rFonts w:ascii="Calibri" w:hAnsi="Calibri" w:cs="Arial"/>
      <w:sz w:val="22"/>
      <w:szCs w:val="24"/>
      <w:lang w:val="en-US" w:eastAsia="en-US"/>
    </w:rPr>
  </w:style>
  <w:style w:type="paragraph" w:styleId="ListParagraph">
    <w:name w:val="List Paragraph"/>
    <w:aliases w:val="List Paragraph_Num123"/>
    <w:basedOn w:val="Normal"/>
    <w:uiPriority w:val="34"/>
    <w:qFormat/>
    <w:rsid w:val="00A2269F"/>
    <w:pPr>
      <w:ind w:left="720"/>
      <w:contextualSpacing/>
    </w:pPr>
  </w:style>
  <w:style w:type="paragraph" w:customStyle="1" w:styleId="corbel">
    <w:name w:val="corbel"/>
    <w:basedOn w:val="Normal"/>
    <w:rsid w:val="00A2269F"/>
    <w:pPr>
      <w:autoSpaceDE w:val="0"/>
      <w:autoSpaceDN w:val="0"/>
      <w:adjustRightInd w:val="0"/>
    </w:pPr>
    <w:rPr>
      <w:rFonts w:ascii="Arial" w:hAnsi="Arial"/>
      <w:szCs w:val="22"/>
    </w:rPr>
  </w:style>
  <w:style w:type="character" w:customStyle="1" w:styleId="Heading1Char">
    <w:name w:val="Heading 1 Char"/>
    <w:basedOn w:val="DefaultParagraphFont"/>
    <w:link w:val="Heading1"/>
    <w:rsid w:val="006F0801"/>
    <w:rPr>
      <w:rFonts w:ascii="Calibri" w:eastAsia="MS Mincho" w:hAnsi="Calibri"/>
      <w:b/>
      <w:bCs/>
      <w:color w:val="003366"/>
      <w:sz w:val="28"/>
      <w:szCs w:val="24"/>
      <w:lang w:val="en-US"/>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US" w:eastAsia="en-US"/>
    </w:rPr>
  </w:style>
  <w:style w:type="paragraph" w:styleId="BlockText">
    <w:name w:val="Block Text"/>
    <w:basedOn w:val="Normal"/>
    <w:rsid w:val="0007026B"/>
    <w:pPr>
      <w:spacing w:after="120"/>
      <w:ind w:left="1440" w:right="1440"/>
    </w:pPr>
  </w:style>
  <w:style w:type="character" w:customStyle="1" w:styleId="Heading5Char">
    <w:name w:val="Heading 5 Char"/>
    <w:basedOn w:val="DefaultParagraphFont"/>
    <w:link w:val="Heading5"/>
    <w:rsid w:val="00E807F8"/>
    <w:rPr>
      <w:rFonts w:eastAsia="MS Mincho"/>
      <w:sz w:val="22"/>
      <w:szCs w:val="24"/>
      <w:u w:val="single"/>
      <w:lang w:val="en-US"/>
    </w:rPr>
  </w:style>
  <w:style w:type="character" w:customStyle="1" w:styleId="Heading7Char">
    <w:name w:val="Heading 7 Char"/>
    <w:basedOn w:val="DefaultParagraphFont"/>
    <w:link w:val="Heading7"/>
    <w:rsid w:val="00E807F8"/>
    <w:rPr>
      <w:rFonts w:eastAsia="MS Mincho"/>
      <w:b/>
      <w:bCs/>
      <w:sz w:val="22"/>
      <w:szCs w:val="24"/>
      <w:lang w:val="en-US"/>
    </w:rPr>
  </w:style>
  <w:style w:type="character" w:customStyle="1" w:styleId="Heading8Char">
    <w:name w:val="Heading 8 Char"/>
    <w:basedOn w:val="DefaultParagraphFont"/>
    <w:link w:val="Heading8"/>
    <w:rsid w:val="00E807F8"/>
    <w:rPr>
      <w:rFonts w:ascii="Arial" w:eastAsia="MS Mincho" w:hAnsi="Arial" w:cs="Arial"/>
      <w:b/>
      <w:bCs/>
      <w:sz w:val="24"/>
      <w:szCs w:val="24"/>
      <w:lang w:val="en-US"/>
    </w:rPr>
  </w:style>
  <w:style w:type="character" w:customStyle="1" w:styleId="Heading9Char">
    <w:name w:val="Heading 9 Char"/>
    <w:basedOn w:val="DefaultParagraphFont"/>
    <w:link w:val="Heading9"/>
    <w:rsid w:val="00E807F8"/>
    <w:rPr>
      <w:rFonts w:ascii="Arial" w:eastAsia="MS Mincho" w:hAnsi="Arial" w:cs="Arial"/>
      <w:b/>
      <w:bCs/>
      <w:szCs w:val="24"/>
      <w:lang w:val="en-US"/>
    </w:rPr>
  </w:style>
  <w:style w:type="paragraph" w:styleId="BodyTextIndent2">
    <w:name w:val="Body Text Indent 2"/>
    <w:basedOn w:val="Normal"/>
    <w:link w:val="BodyTextIndent2Char"/>
    <w:rsid w:val="00E807F8"/>
    <w:pPr>
      <w:ind w:left="1080" w:hanging="360"/>
    </w:pPr>
    <w:rPr>
      <w:sz w:val="22"/>
      <w:szCs w:val="22"/>
    </w:rPr>
  </w:style>
  <w:style w:type="character" w:customStyle="1" w:styleId="BodyTextIndent2Char">
    <w:name w:val="Body Text Indent 2 Char"/>
    <w:basedOn w:val="DefaultParagraphFont"/>
    <w:link w:val="BodyTextIndent2"/>
    <w:rsid w:val="00E807F8"/>
    <w:rPr>
      <w:rFonts w:eastAsia="MS Mincho"/>
      <w:sz w:val="22"/>
      <w:szCs w:val="22"/>
      <w:lang w:val="en-US"/>
    </w:rPr>
  </w:style>
  <w:style w:type="paragraph" w:styleId="BodyTextIndent3">
    <w:name w:val="Body Text Indent 3"/>
    <w:basedOn w:val="Normal"/>
    <w:link w:val="BodyTextIndent3Char"/>
    <w:rsid w:val="00E807F8"/>
    <w:pPr>
      <w:ind w:left="360"/>
      <w:jc w:val="both"/>
    </w:pPr>
    <w:rPr>
      <w:sz w:val="22"/>
    </w:rPr>
  </w:style>
  <w:style w:type="character" w:customStyle="1" w:styleId="BodyTextIndent3Char">
    <w:name w:val="Body Text Indent 3 Char"/>
    <w:basedOn w:val="DefaultParagraphFont"/>
    <w:link w:val="BodyTextIndent3"/>
    <w:rsid w:val="00E807F8"/>
    <w:rPr>
      <w:rFonts w:eastAsia="MS Mincho"/>
      <w:sz w:val="22"/>
      <w:szCs w:val="24"/>
      <w:lang w:val="en-US"/>
    </w:rPr>
  </w:style>
  <w:style w:type="paragraph" w:customStyle="1" w:styleId="font0">
    <w:name w:val="font0"/>
    <w:basedOn w:val="Normal"/>
    <w:rsid w:val="00E807F8"/>
    <w:pPr>
      <w:spacing w:before="100" w:beforeAutospacing="1" w:after="100" w:afterAutospacing="1"/>
    </w:pPr>
    <w:rPr>
      <w:rFonts w:ascii="Arial" w:hAnsi="Arial" w:cs="Arial"/>
      <w:sz w:val="20"/>
      <w:szCs w:val="20"/>
    </w:rPr>
  </w:style>
  <w:style w:type="paragraph" w:customStyle="1" w:styleId="Default">
    <w:name w:val="Default"/>
    <w:rsid w:val="00E807F8"/>
    <w:pPr>
      <w:autoSpaceDE w:val="0"/>
      <w:autoSpaceDN w:val="0"/>
      <w:adjustRightInd w:val="0"/>
    </w:pPr>
    <w:rPr>
      <w:rFonts w:ascii="Calibri" w:eastAsia="MS Mincho" w:hAnsi="Calibri" w:cs="Calibri"/>
      <w:color w:val="000000"/>
      <w:sz w:val="24"/>
      <w:szCs w:val="24"/>
    </w:rPr>
  </w:style>
  <w:style w:type="character" w:styleId="FollowedHyperlink">
    <w:name w:val="FollowedHyperlink"/>
    <w:basedOn w:val="DefaultParagraphFont"/>
    <w:rsid w:val="00E807F8"/>
    <w:rPr>
      <w:color w:val="800080"/>
      <w:u w:val="single"/>
    </w:rPr>
  </w:style>
  <w:style w:type="character" w:styleId="Strong">
    <w:name w:val="Strong"/>
    <w:basedOn w:val="DefaultParagraphFont"/>
    <w:qFormat/>
    <w:rsid w:val="00E807F8"/>
    <w:rPr>
      <w:b/>
      <w:bCs/>
    </w:rPr>
  </w:style>
  <w:style w:type="paragraph" w:customStyle="1" w:styleId="Style1">
    <w:name w:val="Style1"/>
    <w:basedOn w:val="Normal"/>
    <w:link w:val="Style1Char"/>
    <w:qFormat/>
    <w:rsid w:val="00E807F8"/>
    <w:pPr>
      <w:jc w:val="both"/>
    </w:pPr>
    <w:rPr>
      <w:rFonts w:ascii="Calibri" w:hAnsi="Calibri"/>
      <w:b/>
      <w:sz w:val="22"/>
    </w:rPr>
  </w:style>
  <w:style w:type="character" w:customStyle="1" w:styleId="Style1Char">
    <w:name w:val="Style1 Char"/>
    <w:basedOn w:val="DefaultParagraphFont"/>
    <w:link w:val="Style1"/>
    <w:rsid w:val="00E807F8"/>
    <w:rPr>
      <w:rFonts w:ascii="Calibri" w:eastAsia="MS Mincho" w:hAnsi="Calibri"/>
      <w:b/>
      <w:sz w:val="22"/>
      <w:szCs w:val="24"/>
      <w:lang w:val="en-US"/>
    </w:rPr>
  </w:style>
  <w:style w:type="paragraph" w:styleId="TOC4">
    <w:name w:val="toc 4"/>
    <w:basedOn w:val="Normal"/>
    <w:next w:val="Normal"/>
    <w:autoRedefine/>
    <w:uiPriority w:val="39"/>
    <w:rsid w:val="00E807F8"/>
    <w:pPr>
      <w:ind w:left="720"/>
    </w:pPr>
  </w:style>
  <w:style w:type="paragraph" w:styleId="TOCHeading">
    <w:name w:val="TOC Heading"/>
    <w:basedOn w:val="Heading1"/>
    <w:next w:val="Normal"/>
    <w:uiPriority w:val="39"/>
    <w:unhideWhenUsed/>
    <w:qFormat/>
    <w:rsid w:val="00E807F8"/>
    <w:pPr>
      <w:keepLines/>
      <w:numPr>
        <w:numId w:val="0"/>
      </w:numPr>
      <w:spacing w:before="480"/>
      <w:outlineLvl w:val="9"/>
    </w:pPr>
    <w:rPr>
      <w:rFonts w:ascii="Cambria" w:hAnsi="Cambria"/>
      <w:color w:val="365F91"/>
      <w:szCs w:val="28"/>
    </w:rPr>
  </w:style>
  <w:style w:type="paragraph" w:styleId="TableofFigures">
    <w:name w:val="table of figures"/>
    <w:basedOn w:val="Normal"/>
    <w:next w:val="Normal"/>
    <w:uiPriority w:val="99"/>
    <w:rsid w:val="00B02C5C"/>
    <w:rPr>
      <w:rFonts w:asciiTheme="minorHAnsi" w:hAnsiTheme="minorHAnsi"/>
      <w:i/>
      <w:sz w:val="20"/>
    </w:rPr>
  </w:style>
  <w:style w:type="character" w:styleId="Emphasis">
    <w:name w:val="Emphasis"/>
    <w:basedOn w:val="DefaultParagraphFont"/>
    <w:qFormat/>
    <w:rsid w:val="00E807F8"/>
    <w:rPr>
      <w:rFonts w:asciiTheme="minorHAnsi" w:hAnsiTheme="minorHAnsi"/>
      <w:iCs/>
      <w:sz w:val="22"/>
    </w:rPr>
  </w:style>
  <w:style w:type="paragraph" w:customStyle="1" w:styleId="Style2">
    <w:name w:val="Style2"/>
    <w:basedOn w:val="TOC1"/>
    <w:link w:val="Style2Char"/>
    <w:autoRedefine/>
    <w:qFormat/>
    <w:rsid w:val="00B02C5C"/>
  </w:style>
  <w:style w:type="paragraph" w:customStyle="1" w:styleId="Tabelat">
    <w:name w:val="Tabelat"/>
    <w:basedOn w:val="Subtitle"/>
    <w:link w:val="TabelatChar"/>
    <w:qFormat/>
    <w:rsid w:val="00B02C5C"/>
    <w:rPr>
      <w:rFonts w:asciiTheme="minorHAnsi" w:hAnsiTheme="minorHAnsi"/>
      <w:i/>
      <w:sz w:val="20"/>
    </w:rPr>
  </w:style>
  <w:style w:type="character" w:customStyle="1" w:styleId="TOC1Char">
    <w:name w:val="TOC 1 Char"/>
    <w:basedOn w:val="DefaultParagraphFont"/>
    <w:link w:val="TOC1"/>
    <w:uiPriority w:val="39"/>
    <w:rsid w:val="00382204"/>
    <w:rPr>
      <w:rFonts w:asciiTheme="minorHAnsi" w:eastAsia="MS Mincho" w:hAnsiTheme="minorHAnsi" w:cs="Calibri"/>
      <w:noProof/>
      <w:sz w:val="22"/>
      <w:szCs w:val="22"/>
      <w:lang w:val="en-US"/>
    </w:rPr>
  </w:style>
  <w:style w:type="character" w:customStyle="1" w:styleId="Style2Char">
    <w:name w:val="Style2 Char"/>
    <w:basedOn w:val="TOC1Char"/>
    <w:link w:val="Style2"/>
    <w:rsid w:val="00B02C5C"/>
    <w:rPr>
      <w:rFonts w:asciiTheme="minorHAnsi" w:eastAsia="MS Mincho" w:hAnsiTheme="minorHAnsi" w:cs="Calibri"/>
      <w:b w:val="0"/>
      <w:i w:val="0"/>
      <w:noProof/>
      <w:sz w:val="22"/>
      <w:szCs w:val="22"/>
      <w:lang w:val="en-US"/>
    </w:rPr>
  </w:style>
  <w:style w:type="paragraph" w:customStyle="1" w:styleId="Style3">
    <w:name w:val="Style3"/>
    <w:basedOn w:val="Tabelat"/>
    <w:link w:val="Style3Char"/>
    <w:qFormat/>
    <w:rsid w:val="00B02C5C"/>
    <w:rPr>
      <w:b/>
    </w:rPr>
  </w:style>
  <w:style w:type="character" w:customStyle="1" w:styleId="SubtitleChar">
    <w:name w:val="Subtitle Char"/>
    <w:basedOn w:val="DefaultParagraphFont"/>
    <w:link w:val="Subtitle"/>
    <w:rsid w:val="00B02C5C"/>
    <w:rPr>
      <w:rFonts w:ascii="Arial" w:eastAsia="MS Mincho" w:hAnsi="Arial"/>
      <w:sz w:val="28"/>
      <w:szCs w:val="24"/>
      <w:lang w:val="en-US"/>
    </w:rPr>
  </w:style>
  <w:style w:type="character" w:customStyle="1" w:styleId="TabelatChar">
    <w:name w:val="Tabelat Char"/>
    <w:basedOn w:val="SubtitleChar"/>
    <w:link w:val="Tabelat"/>
    <w:rsid w:val="00B02C5C"/>
    <w:rPr>
      <w:rFonts w:asciiTheme="minorHAnsi" w:eastAsia="MS Mincho" w:hAnsiTheme="minorHAnsi"/>
      <w:i/>
      <w:sz w:val="28"/>
      <w:szCs w:val="24"/>
      <w:lang w:val="en-US"/>
    </w:rPr>
  </w:style>
  <w:style w:type="paragraph" w:customStyle="1" w:styleId="Style4">
    <w:name w:val="Style4"/>
    <w:basedOn w:val="Style3"/>
    <w:link w:val="Style4Char"/>
    <w:autoRedefine/>
    <w:qFormat/>
    <w:rsid w:val="00B02C5C"/>
    <w:pPr>
      <w:spacing w:line="360" w:lineRule="auto"/>
      <w:jc w:val="center"/>
    </w:pPr>
  </w:style>
  <w:style w:type="character" w:customStyle="1" w:styleId="Style3Char">
    <w:name w:val="Style3 Char"/>
    <w:basedOn w:val="TabelatChar"/>
    <w:link w:val="Style3"/>
    <w:rsid w:val="00B02C5C"/>
    <w:rPr>
      <w:rFonts w:asciiTheme="minorHAnsi" w:eastAsia="MS Mincho" w:hAnsiTheme="minorHAnsi"/>
      <w:b/>
      <w:i/>
      <w:sz w:val="28"/>
      <w:szCs w:val="24"/>
      <w:lang w:val="en-US"/>
    </w:rPr>
  </w:style>
  <w:style w:type="character" w:customStyle="1" w:styleId="Style4Char">
    <w:name w:val="Style4 Char"/>
    <w:basedOn w:val="Style3Char"/>
    <w:link w:val="Style4"/>
    <w:rsid w:val="00B02C5C"/>
    <w:rPr>
      <w:rFonts w:asciiTheme="minorHAnsi" w:eastAsia="MS Mincho" w:hAnsiTheme="minorHAnsi"/>
      <w:b/>
      <w:i/>
      <w:sz w:val="28"/>
      <w:szCs w:val="24"/>
      <w:lang w:val="en-US"/>
    </w:rPr>
  </w:style>
  <w:style w:type="paragraph" w:customStyle="1" w:styleId="Style5">
    <w:name w:val="Style5"/>
    <w:basedOn w:val="Heading3"/>
    <w:link w:val="Style5Char"/>
    <w:autoRedefine/>
    <w:qFormat/>
    <w:rsid w:val="00382204"/>
    <w:rPr>
      <w:i w:val="0"/>
    </w:rPr>
  </w:style>
  <w:style w:type="character" w:customStyle="1" w:styleId="Heading2Char">
    <w:name w:val="Heading 2 Char"/>
    <w:basedOn w:val="DefaultParagraphFont"/>
    <w:link w:val="Heading2"/>
    <w:rsid w:val="00F90B33"/>
    <w:rPr>
      <w:rFonts w:ascii="Calibri" w:eastAsia="MS Mincho" w:hAnsi="Calibri"/>
      <w:b/>
      <w:bCs/>
      <w:color w:val="003366"/>
      <w:sz w:val="24"/>
      <w:szCs w:val="22"/>
      <w:lang w:val="en-US"/>
    </w:rPr>
  </w:style>
  <w:style w:type="character" w:customStyle="1" w:styleId="Heading3Char">
    <w:name w:val="Heading 3 Char"/>
    <w:basedOn w:val="Heading2Char"/>
    <w:link w:val="Heading3"/>
    <w:rsid w:val="006122E6"/>
    <w:rPr>
      <w:rFonts w:asciiTheme="minorHAnsi" w:eastAsia="MS Mincho" w:hAnsiTheme="minorHAnsi" w:cstheme="minorHAnsi"/>
      <w:b/>
      <w:bCs/>
      <w:i/>
      <w:color w:val="003366"/>
      <w:sz w:val="22"/>
      <w:szCs w:val="22"/>
      <w:lang w:val="en-US"/>
    </w:rPr>
  </w:style>
  <w:style w:type="character" w:customStyle="1" w:styleId="Style5Char">
    <w:name w:val="Style5 Char"/>
    <w:basedOn w:val="Heading3Char"/>
    <w:link w:val="Style5"/>
    <w:rsid w:val="00382204"/>
    <w:rPr>
      <w:rFonts w:ascii="Calibri" w:eastAsia="MS Mincho" w:hAnsi="Calibri" w:cstheme="minorHAnsi"/>
      <w:b/>
      <w:bCs/>
      <w:i w:val="0"/>
      <w:color w:val="003366"/>
      <w:sz w:val="22"/>
      <w:szCs w:val="22"/>
      <w:lang w:val="en-US"/>
    </w:rPr>
  </w:style>
  <w:style w:type="paragraph" w:styleId="NormalWeb">
    <w:name w:val="Normal (Web)"/>
    <w:basedOn w:val="Normal"/>
    <w:uiPriority w:val="99"/>
    <w:semiHidden/>
    <w:unhideWhenUsed/>
    <w:rsid w:val="0064302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116073484">
      <w:bodyDiv w:val="1"/>
      <w:marLeft w:val="0"/>
      <w:marRight w:val="0"/>
      <w:marTop w:val="0"/>
      <w:marBottom w:val="0"/>
      <w:divBdr>
        <w:top w:val="none" w:sz="0" w:space="0" w:color="auto"/>
        <w:left w:val="none" w:sz="0" w:space="0" w:color="auto"/>
        <w:bottom w:val="none" w:sz="0" w:space="0" w:color="auto"/>
        <w:right w:val="none" w:sz="0" w:space="0" w:color="auto"/>
      </w:divBdr>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217909250">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762533263">
      <w:bodyDiv w:val="1"/>
      <w:marLeft w:val="0"/>
      <w:marRight w:val="0"/>
      <w:marTop w:val="0"/>
      <w:marBottom w:val="0"/>
      <w:divBdr>
        <w:top w:val="none" w:sz="0" w:space="0" w:color="auto"/>
        <w:left w:val="none" w:sz="0" w:space="0" w:color="auto"/>
        <w:bottom w:val="none" w:sz="0" w:space="0" w:color="auto"/>
        <w:right w:val="none" w:sz="0" w:space="0" w:color="auto"/>
      </w:divBdr>
    </w:div>
    <w:div w:id="800616723">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pData\Local\Microsoft\Windows\Temporary%20Internet%20Files\Content.Outlook\2X7CP1LE\TE%20ARDHURAT%20E%20LEJUARA%20p&#235;r%20NQ%20TERMOKOS_SEZONI%202012-13_v1_Shqip.doc" TargetMode="External"/><Relationship Id="rId13" Type="http://schemas.openxmlformats.org/officeDocument/2006/relationships/hyperlink" Target="file:///C:\Users\AppData\Local\Microsoft\Windows\Temporary%20Internet%20Files\Content.Outlook\2X7CP1LE\TE%20ARDHURAT%20E%20LEJUARA%20p&#235;r%20NQ%20TERMOKOS_SEZONI%202012-13_v1_Shqip.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dataworldbank.org/country/kosov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dataworldbank.org/country/kosovo" TargetMode="External"/><Relationship Id="rId23" Type="http://schemas.openxmlformats.org/officeDocument/2006/relationships/theme" Target="theme/theme1.xml"/><Relationship Id="rId10" Type="http://schemas.openxmlformats.org/officeDocument/2006/relationships/hyperlink" Target="file:///C:\Users\AppData\Local\Microsoft\Windows\Temporary%20Internet%20Files\Content.Outlook\2X7CP1LE\TE%20ARDHURAT%20E%20LEJUARA%20p&#235;r%20NQ%20TERMOKOS_SEZONI%202012-13_v1_Shqip.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AppData\Local\Microsoft\Windows\Temporary%20Internet%20Files\Content.Outlook\2X7CP1LE\TE%20ARDHURAT%20E%20LEJUARA%20p&#235;r%20NQ%20TERMOKOS_SEZONI%202012-13_v1_Shqip.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aqini\Desktop\Leter%20Sqaruese_Vendimi%20per%20lirimin%20nga%20pagesa%20e%20takses%20vjetore%20te%20licencimit.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araqini\Documents\Shqyrtimi%20Tarifor%20NQ\Shqyrt.%20Tarifor%20NQ_sez.%202020-21\NQ%20Termokos\Rap.&amp;Mod.%20etj._20-21\Tabelat%20per%20raportin%20e%20shqyrtimit%20tarifor%20NQ%20Termokos_2020_2021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Operational costs - season 2020/21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23851370114573"/>
          <c:y val="0.1480065782916376"/>
          <c:w val="0.60287746454901414"/>
          <c:h val="0.71494335359978889"/>
        </c:manualLayout>
      </c:layout>
      <c:bar3DChart>
        <c:barDir val="col"/>
        <c:grouping val="stacked"/>
        <c:varyColors val="0"/>
        <c:ser>
          <c:idx val="0"/>
          <c:order val="0"/>
          <c:tx>
            <c:strRef>
              <c:f>Tabela1OC!$C$36</c:f>
              <c:strCache>
                <c:ptCount val="1"/>
                <c:pt idx="0">
                  <c:v>Kostot operacionale </c:v>
                </c:pt>
              </c:strCache>
            </c:strRef>
          </c:tx>
          <c:invertIfNegative val="0"/>
          <c:dPt>
            <c:idx val="0"/>
            <c:invertIfNegative val="0"/>
            <c:bubble3D val="0"/>
            <c:spPr>
              <a:solidFill>
                <a:schemeClr val="accent2">
                  <a:lumMod val="40000"/>
                  <a:lumOff val="60000"/>
                </a:schemeClr>
              </a:solidFill>
            </c:spPr>
            <c:extLst>
              <c:ext xmlns:c16="http://schemas.microsoft.com/office/drawing/2014/chart" uri="{C3380CC4-5D6E-409C-BE32-E72D297353CC}">
                <c16:uniqueId val="{00000001-870A-41EB-8E14-BA7EE78BBB4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Tabela1OC!$D$36:$E$36</c:f>
              <c:strCache>
                <c:ptCount val="2"/>
                <c:pt idx="0">
                  <c:v>Të propozuara NQ Termokos</c:v>
                </c:pt>
                <c:pt idx="1">
                  <c:v>Të lejuara nga ZRRE</c:v>
                </c:pt>
              </c:strCache>
            </c:strRef>
          </c:cat>
          <c:val>
            <c:numRef>
              <c:f>Tabela1OC!$D$37:$E$37</c:f>
              <c:numCache>
                <c:formatCode>#,##0</c:formatCode>
                <c:ptCount val="2"/>
                <c:pt idx="0">
                  <c:v>5826853</c:v>
                </c:pt>
                <c:pt idx="1">
                  <c:v>4666516</c:v>
                </c:pt>
              </c:numCache>
            </c:numRef>
          </c:val>
          <c:extLst>
            <c:ext xmlns:c16="http://schemas.microsoft.com/office/drawing/2014/chart" uri="{C3380CC4-5D6E-409C-BE32-E72D297353CC}">
              <c16:uniqueId val="{00000002-870A-41EB-8E14-BA7EE78BBB4A}"/>
            </c:ext>
          </c:extLst>
        </c:ser>
        <c:dLbls>
          <c:showLegendKey val="0"/>
          <c:showVal val="0"/>
          <c:showCatName val="0"/>
          <c:showSerName val="0"/>
          <c:showPercent val="0"/>
          <c:showBubbleSize val="0"/>
        </c:dLbls>
        <c:gapWidth val="150"/>
        <c:shape val="box"/>
        <c:axId val="-293330048"/>
        <c:axId val="-293314272"/>
        <c:axId val="0"/>
      </c:bar3DChart>
      <c:catAx>
        <c:axId val="-293330048"/>
        <c:scaling>
          <c:orientation val="minMax"/>
        </c:scaling>
        <c:delete val="1"/>
        <c:axPos val="b"/>
        <c:numFmt formatCode="General" sourceLinked="0"/>
        <c:majorTickMark val="cross"/>
        <c:minorTickMark val="none"/>
        <c:tickLblPos val="nextTo"/>
        <c:crossAx val="-293314272"/>
        <c:crosses val="autoZero"/>
        <c:auto val="1"/>
        <c:lblAlgn val="ctr"/>
        <c:lblOffset val="100"/>
        <c:noMultiLvlLbl val="0"/>
      </c:catAx>
      <c:valAx>
        <c:axId val="-293314272"/>
        <c:scaling>
          <c:orientation val="minMax"/>
          <c:min val="0"/>
        </c:scaling>
        <c:delete val="0"/>
        <c:axPos val="l"/>
        <c:numFmt formatCode="#,##0" sourceLinked="1"/>
        <c:majorTickMark val="out"/>
        <c:minorTickMark val="none"/>
        <c:tickLblPos val="nextTo"/>
        <c:crossAx val="-29333004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0.07859</cdr:x>
      <cdr:y>0.18056</cdr:y>
    </cdr:from>
    <cdr:to>
      <cdr:x>0.15521</cdr:x>
      <cdr:y>0.22917</cdr:y>
    </cdr:to>
    <cdr:sp macro="" textlink="">
      <cdr:nvSpPr>
        <cdr:cNvPr id="2" name="TextBox 1"/>
        <cdr:cNvSpPr txBox="1"/>
      </cdr:nvSpPr>
      <cdr:spPr>
        <a:xfrm xmlns:a="http://schemas.openxmlformats.org/drawingml/2006/main">
          <a:off x="381000" y="495300"/>
          <a:ext cx="3714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0.11395</cdr:x>
      <cdr:y>0.17361</cdr:y>
    </cdr:from>
    <cdr:to>
      <cdr:x>0.17878</cdr:x>
      <cdr:y>0.25347</cdr:y>
    </cdr:to>
    <cdr:sp macro="" textlink="">
      <cdr:nvSpPr>
        <cdr:cNvPr id="3" name="TextBox 2"/>
        <cdr:cNvSpPr txBox="1"/>
      </cdr:nvSpPr>
      <cdr:spPr>
        <a:xfrm xmlns:a="http://schemas.openxmlformats.org/drawingml/2006/main">
          <a:off x="552450" y="476250"/>
          <a:ext cx="314325" cy="219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Calibri"/>
              <a:cs typeface="Calibri"/>
            </a:rPr>
            <a:t>€</a:t>
          </a:r>
          <a:endParaRPr lang="en-US" sz="1100"/>
        </a:p>
      </cdr:txBody>
    </cdr:sp>
  </cdr:relSizeAnchor>
  <cdr:relSizeAnchor xmlns:cdr="http://schemas.openxmlformats.org/drawingml/2006/chartDrawing">
    <cdr:from>
      <cdr:x>0.76719</cdr:x>
      <cdr:y>0.87601</cdr:y>
    </cdr:from>
    <cdr:to>
      <cdr:x>1</cdr:x>
      <cdr:y>1</cdr:y>
    </cdr:to>
    <cdr:sp macro="" textlink="">
      <cdr:nvSpPr>
        <cdr:cNvPr id="4" name="Text Box 2"/>
        <cdr:cNvSpPr txBox="1">
          <a:spLocks xmlns:a="http://schemas.openxmlformats.org/drawingml/2006/main" noChangeArrowheads="1"/>
        </cdr:cNvSpPr>
      </cdr:nvSpPr>
      <cdr:spPr bwMode="auto">
        <a:xfrm xmlns:a="http://schemas.openxmlformats.org/drawingml/2006/main">
          <a:off x="5004435" y="7381875"/>
          <a:ext cx="1073150" cy="37909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28F8-F72A-4E61-BE53-872D33CB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Leter Sqaruese_Vendimi per lirimin nga pagesa e takses vjetore te licencimit.dotx</Template>
  <TotalTime>1</TotalTime>
  <Pages>17</Pages>
  <Words>9487</Words>
  <Characters>54078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Vedim per Kodine e Energjise me ere</vt:lpstr>
    </vt:vector>
  </TitlesOfParts>
  <Company>cru</Company>
  <LinksUpToDate>false</LinksUpToDate>
  <CharactersWithSpaces>63439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Vedim per Kodine e Energjise me ere</dc:title>
  <dc:subject/>
  <dc:creator>asaraqini</dc:creator>
  <cp:keywords/>
  <dc:description/>
  <cp:lastModifiedBy>Adelina Murtezaj</cp:lastModifiedBy>
  <cp:revision>2</cp:revision>
  <cp:lastPrinted>2019-10-15T13:24:00Z</cp:lastPrinted>
  <dcterms:created xsi:type="dcterms:W3CDTF">2020-09-29T11:03:00Z</dcterms:created>
  <dcterms:modified xsi:type="dcterms:W3CDTF">2020-09-29T11:03:00Z</dcterms:modified>
</cp:coreProperties>
</file>