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B2862" w14:textId="77777777" w:rsidR="001264F5" w:rsidRPr="003A4BA9" w:rsidRDefault="001264F5" w:rsidP="001264F5"/>
    <w:p w14:paraId="51293448" w14:textId="77777777" w:rsidR="001264F5" w:rsidRPr="003A4BA9" w:rsidRDefault="001264F5" w:rsidP="001264F5"/>
    <w:p w14:paraId="34C79196" w14:textId="77777777" w:rsidR="001264F5" w:rsidRPr="003A4BA9" w:rsidRDefault="001264F5" w:rsidP="001264F5"/>
    <w:p w14:paraId="672902C1" w14:textId="77777777" w:rsidR="00B9189E" w:rsidRPr="0050005A" w:rsidRDefault="00B9189E" w:rsidP="00B9189E">
      <w:pPr>
        <w:pStyle w:val="ReportTitle"/>
        <w:rPr>
          <w:color w:val="F79646"/>
          <w:lang w:val="sq-AL"/>
        </w:rPr>
      </w:pPr>
      <w:r w:rsidRPr="0050005A">
        <w:rPr>
          <w:color w:val="F79646"/>
          <w:lang w:val="sq-AL"/>
        </w:rPr>
        <w:t xml:space="preserve">Raport Konsultativ </w:t>
      </w:r>
    </w:p>
    <w:p w14:paraId="2B5B8918" w14:textId="77777777" w:rsidR="00B9189E" w:rsidRPr="0050005A" w:rsidRDefault="00B9189E" w:rsidP="00B9189E">
      <w:pPr>
        <w:pStyle w:val="Title"/>
        <w:shd w:val="clear" w:color="auto" w:fill="005D97"/>
        <w:spacing w:before="0" w:after="0"/>
        <w:jc w:val="center"/>
        <w:rPr>
          <w:color w:val="F79646"/>
        </w:rPr>
      </w:pPr>
    </w:p>
    <w:p w14:paraId="71A73588" w14:textId="77777777" w:rsidR="00B9189E" w:rsidRPr="0050005A" w:rsidRDefault="00B9189E" w:rsidP="00B9189E">
      <w:pPr>
        <w:pStyle w:val="Title"/>
        <w:shd w:val="clear" w:color="auto" w:fill="005D97"/>
        <w:spacing w:before="0" w:after="0"/>
        <w:jc w:val="center"/>
        <w:rPr>
          <w:color w:val="F79646"/>
          <w:sz w:val="28"/>
        </w:rPr>
      </w:pPr>
      <w:r>
        <w:rPr>
          <w:color w:val="F79646"/>
          <w:sz w:val="28"/>
        </w:rPr>
        <w:t>Përshta</w:t>
      </w:r>
      <w:r w:rsidRPr="0050005A">
        <w:rPr>
          <w:color w:val="F79646"/>
          <w:sz w:val="28"/>
        </w:rPr>
        <w:t>tjet vjetore t</w:t>
      </w:r>
      <w:r>
        <w:rPr>
          <w:color w:val="F79646"/>
          <w:sz w:val="28"/>
        </w:rPr>
        <w:t>ë</w:t>
      </w:r>
      <w:r w:rsidRPr="0050005A">
        <w:rPr>
          <w:color w:val="F79646"/>
          <w:sz w:val="28"/>
        </w:rPr>
        <w:t xml:space="preserve"> </w:t>
      </w:r>
      <w:proofErr w:type="spellStart"/>
      <w:r w:rsidRPr="0050005A">
        <w:rPr>
          <w:color w:val="F79646"/>
          <w:sz w:val="28"/>
        </w:rPr>
        <w:t>T</w:t>
      </w:r>
      <w:r>
        <w:rPr>
          <w:color w:val="F79646"/>
          <w:sz w:val="28"/>
        </w:rPr>
        <w:t>ë</w:t>
      </w:r>
      <w:proofErr w:type="spellEnd"/>
      <w:r w:rsidRPr="0050005A">
        <w:rPr>
          <w:color w:val="F79646"/>
          <w:sz w:val="28"/>
        </w:rPr>
        <w:t xml:space="preserve"> Hyrave t</w:t>
      </w:r>
      <w:r>
        <w:rPr>
          <w:color w:val="F79646"/>
          <w:sz w:val="28"/>
        </w:rPr>
        <w:t>ë</w:t>
      </w:r>
      <w:r w:rsidRPr="0050005A">
        <w:rPr>
          <w:color w:val="F79646"/>
          <w:sz w:val="28"/>
        </w:rPr>
        <w:t xml:space="preserve"> Lejuara Maksimale</w:t>
      </w:r>
      <w:r>
        <w:rPr>
          <w:color w:val="F79646"/>
          <w:sz w:val="28"/>
        </w:rPr>
        <w:t xml:space="preserve"> p</w:t>
      </w:r>
      <w:r w:rsidRPr="00AC7EB7">
        <w:rPr>
          <w:rFonts w:cs="Calibri"/>
          <w:color w:val="F79646"/>
          <w:sz w:val="28"/>
        </w:rPr>
        <w:t>ë</w:t>
      </w:r>
      <w:r>
        <w:rPr>
          <w:color w:val="F79646"/>
          <w:sz w:val="28"/>
        </w:rPr>
        <w:t>r FSHU</w:t>
      </w:r>
      <w:r w:rsidRPr="0050005A">
        <w:rPr>
          <w:color w:val="F79646"/>
          <w:sz w:val="28"/>
        </w:rPr>
        <w:t xml:space="preserve"> </w:t>
      </w:r>
    </w:p>
    <w:p w14:paraId="36BD9E1D" w14:textId="77777777" w:rsidR="00B9189E" w:rsidRPr="0050005A" w:rsidRDefault="00B9189E" w:rsidP="00B9189E">
      <w:pPr>
        <w:pStyle w:val="Title"/>
        <w:shd w:val="clear" w:color="auto" w:fill="005D97"/>
        <w:spacing w:before="0" w:after="0"/>
        <w:jc w:val="center"/>
        <w:rPr>
          <w:color w:val="F79646"/>
          <w:sz w:val="28"/>
        </w:rPr>
      </w:pPr>
    </w:p>
    <w:p w14:paraId="2367942E" w14:textId="12F4A084" w:rsidR="00B9189E" w:rsidRDefault="00B9189E" w:rsidP="00B9189E">
      <w:pPr>
        <w:pStyle w:val="Title"/>
        <w:shd w:val="clear" w:color="auto" w:fill="005D97"/>
        <w:spacing w:before="0" w:after="0"/>
        <w:jc w:val="center"/>
        <w:rPr>
          <w:color w:val="F79646"/>
          <w:sz w:val="28"/>
        </w:rPr>
      </w:pPr>
      <w:r>
        <w:rPr>
          <w:color w:val="F79646"/>
          <w:sz w:val="28"/>
        </w:rPr>
        <w:t>(Prill 202</w:t>
      </w:r>
      <w:r w:rsidR="0082211D">
        <w:rPr>
          <w:color w:val="F79646"/>
          <w:sz w:val="28"/>
        </w:rPr>
        <w:t>1</w:t>
      </w:r>
      <w:r w:rsidRPr="0050005A">
        <w:rPr>
          <w:color w:val="F79646"/>
          <w:sz w:val="28"/>
        </w:rPr>
        <w:t xml:space="preserve"> - mars 202</w:t>
      </w:r>
      <w:r w:rsidR="0082211D">
        <w:rPr>
          <w:color w:val="F79646"/>
          <w:sz w:val="28"/>
        </w:rPr>
        <w:t>2</w:t>
      </w:r>
      <w:r w:rsidRPr="0050005A">
        <w:rPr>
          <w:color w:val="F79646"/>
          <w:sz w:val="28"/>
        </w:rPr>
        <w:t>)</w:t>
      </w:r>
    </w:p>
    <w:p w14:paraId="57AC73CA" w14:textId="77777777" w:rsidR="00B9189E" w:rsidRPr="0050005A" w:rsidRDefault="00B9189E" w:rsidP="00B9189E">
      <w:pPr>
        <w:pStyle w:val="Title"/>
        <w:shd w:val="clear" w:color="auto" w:fill="005D97"/>
        <w:spacing w:before="0" w:after="0"/>
        <w:jc w:val="center"/>
        <w:rPr>
          <w:color w:val="F79646"/>
          <w:sz w:val="28"/>
        </w:rPr>
      </w:pPr>
    </w:p>
    <w:p w14:paraId="0DE2E660" w14:textId="77777777" w:rsidR="001264F5" w:rsidRPr="003A4BA9" w:rsidRDefault="001264F5" w:rsidP="001264F5"/>
    <w:p w14:paraId="54ACAA1F" w14:textId="77777777" w:rsidR="001264F5" w:rsidRPr="003A4BA9" w:rsidRDefault="001264F5" w:rsidP="001264F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1264F5" w:rsidRPr="003A4BA9" w14:paraId="0A14E120" w14:textId="77777777" w:rsidTr="00343289">
        <w:tc>
          <w:tcPr>
            <w:tcW w:w="9198" w:type="dxa"/>
            <w:shd w:val="clear" w:color="auto" w:fill="E0E0E0"/>
          </w:tcPr>
          <w:p w14:paraId="7F073868" w14:textId="77777777" w:rsidR="001264F5" w:rsidRPr="003A4BA9" w:rsidRDefault="001264F5" w:rsidP="00343289">
            <w:pPr>
              <w:spacing w:before="120"/>
              <w:jc w:val="center"/>
              <w:rPr>
                <w:b/>
                <w:color w:val="005D97"/>
              </w:rPr>
            </w:pPr>
            <w:r w:rsidRPr="003A4BA9">
              <w:rPr>
                <w:b/>
                <w:color w:val="005D97"/>
              </w:rPr>
              <w:t>DEKLARATË</w:t>
            </w:r>
          </w:p>
          <w:p w14:paraId="530BE31E" w14:textId="77777777" w:rsidR="001264F5" w:rsidRPr="003A4BA9" w:rsidRDefault="001264F5" w:rsidP="00343289">
            <w:pPr>
              <w:keepNext/>
              <w:jc w:val="both"/>
              <w:rPr>
                <w:b/>
                <w:bCs/>
              </w:rPr>
            </w:pPr>
            <w:r w:rsidRPr="003A4BA9">
              <w:rPr>
                <w:b/>
                <w:color w:val="005D97"/>
              </w:rPr>
              <w:t xml:space="preserve">Ky Raport Konsultativ është përgatitur nga ana e ZRRE-së me qëllim të informimit të palëve të interesit. </w:t>
            </w:r>
            <w:r w:rsidRPr="003A4BA9">
              <w:rPr>
                <w:b/>
                <w:color w:val="005D97"/>
                <w:u w:val="single"/>
              </w:rPr>
              <w:t>Raporti nuk paraqet ndonjë vendim të ZRRE-së dhe nuk duhet të interpretohet si i tillë.</w:t>
            </w:r>
          </w:p>
        </w:tc>
      </w:tr>
    </w:tbl>
    <w:p w14:paraId="5E0D3954" w14:textId="77777777" w:rsidR="001264F5" w:rsidRPr="003A4BA9" w:rsidRDefault="001264F5" w:rsidP="001264F5"/>
    <w:p w14:paraId="3C5D27E7" w14:textId="77777777" w:rsidR="001264F5" w:rsidRPr="003A4BA9" w:rsidRDefault="001264F5" w:rsidP="001264F5"/>
    <w:p w14:paraId="5CD0A155" w14:textId="77777777" w:rsidR="001264F5" w:rsidRPr="003A4BA9" w:rsidRDefault="001264F5" w:rsidP="001264F5"/>
    <w:p w14:paraId="4ACA209B" w14:textId="77777777" w:rsidR="001264F5" w:rsidRPr="003A4BA9" w:rsidRDefault="001264F5" w:rsidP="001264F5"/>
    <w:p w14:paraId="4751B545" w14:textId="77777777" w:rsidR="001264F5" w:rsidRPr="003A4BA9" w:rsidRDefault="001264F5" w:rsidP="001264F5"/>
    <w:p w14:paraId="24A4058A" w14:textId="77777777" w:rsidR="001264F5" w:rsidRPr="003A4BA9" w:rsidRDefault="001264F5" w:rsidP="001264F5"/>
    <w:p w14:paraId="43754112" w14:textId="77777777" w:rsidR="001264F5" w:rsidRPr="003A4BA9" w:rsidRDefault="001264F5" w:rsidP="001264F5">
      <w:pPr>
        <w:pStyle w:val="ReportDate"/>
        <w:rPr>
          <w:highlight w:val="yellow"/>
        </w:rPr>
      </w:pPr>
    </w:p>
    <w:p w14:paraId="044E2363" w14:textId="77777777" w:rsidR="001264F5" w:rsidRPr="003A4BA9" w:rsidRDefault="001264F5" w:rsidP="001264F5">
      <w:pPr>
        <w:pStyle w:val="ReportDate"/>
        <w:rPr>
          <w:highlight w:val="yellow"/>
        </w:rPr>
      </w:pPr>
    </w:p>
    <w:p w14:paraId="44B04A42" w14:textId="1A2CCC42" w:rsidR="001264F5" w:rsidRPr="003A4BA9" w:rsidRDefault="00DB707A" w:rsidP="001264F5">
      <w:pPr>
        <w:pStyle w:val="ReportDate"/>
        <w:rPr>
          <w:b w:val="0"/>
          <w:bCs w:val="0"/>
          <w:sz w:val="28"/>
          <w:szCs w:val="28"/>
        </w:rPr>
      </w:pPr>
      <w:r>
        <w:t>Gusht</w:t>
      </w:r>
      <w:r w:rsidR="00AD287E">
        <w:t xml:space="preserve"> </w:t>
      </w:r>
      <w:r w:rsidR="001264F5" w:rsidRPr="003A4BA9">
        <w:t>20</w:t>
      </w:r>
      <w:r>
        <w:t>21</w:t>
      </w:r>
    </w:p>
    <w:p w14:paraId="3A1D8FC8" w14:textId="77777777" w:rsidR="00FB3B1E" w:rsidRDefault="00FB3B1E">
      <w:pPr>
        <w:rPr>
          <w:rFonts w:eastAsia="Times New Roman" w:cstheme="minorHAnsi"/>
          <w:b/>
          <w:bCs/>
          <w:color w:val="003366"/>
          <w:sz w:val="28"/>
          <w:szCs w:val="24"/>
        </w:rPr>
      </w:pPr>
      <w:r>
        <w:rPr>
          <w:rFonts w:cstheme="minorHAnsi"/>
        </w:rPr>
        <w:br w:type="page"/>
      </w:r>
    </w:p>
    <w:sdt>
      <w:sdtPr>
        <w:rPr>
          <w:rFonts w:asciiTheme="minorHAnsi" w:eastAsia="MS Mincho" w:hAnsiTheme="minorHAnsi" w:cstheme="minorBidi"/>
          <w:b w:val="0"/>
          <w:bCs w:val="0"/>
          <w:color w:val="auto"/>
          <w:sz w:val="22"/>
          <w:szCs w:val="22"/>
          <w:lang w:val="sq-AL"/>
        </w:rPr>
        <w:id w:val="546984360"/>
        <w:docPartObj>
          <w:docPartGallery w:val="Table of Contents"/>
          <w:docPartUnique/>
        </w:docPartObj>
      </w:sdtPr>
      <w:sdtEndPr/>
      <w:sdtContent>
        <w:p w14:paraId="1B21C247" w14:textId="77777777" w:rsidR="00FB3B1E" w:rsidRPr="00FB3B1E" w:rsidRDefault="00FB3B1E" w:rsidP="00FB3B1E">
          <w:pPr>
            <w:pStyle w:val="TOCHeading"/>
            <w:spacing w:before="0" w:after="240"/>
          </w:pPr>
        </w:p>
        <w:p w14:paraId="7926D05E" w14:textId="77777777" w:rsidR="00FB3B1E" w:rsidRPr="00FB3B1E" w:rsidRDefault="00FB3B1E" w:rsidP="00FB3B1E">
          <w:pPr>
            <w:pStyle w:val="TOCHeading"/>
            <w:spacing w:before="0" w:after="240"/>
            <w:rPr>
              <w:lang w:val="sq-AL"/>
            </w:rPr>
          </w:pPr>
          <w:r w:rsidRPr="00FB3B1E">
            <w:rPr>
              <w:lang w:val="sq-AL"/>
            </w:rPr>
            <w:t>Përmbajtja</w:t>
          </w:r>
        </w:p>
        <w:p w14:paraId="1243A65F" w14:textId="1E53C116" w:rsidR="00D17A05" w:rsidRDefault="00D17A05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690013" w:history="1">
            <w:r w:rsidRPr="00AA31C2">
              <w:rPr>
                <w:rStyle w:val="Hyperlink"/>
                <w:rFonts w:cstheme="minorHAnsi"/>
                <w:noProof/>
              </w:rPr>
              <w:t>Hyrje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_Toc80690013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235AC" w14:textId="1322D2AF" w:rsidR="00D17A05" w:rsidRDefault="009930EB">
          <w:pPr>
            <w:pStyle w:val="TOC1"/>
            <w:tabs>
              <w:tab w:val="left" w:pos="440"/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hyperlink w:anchor="_Toc80690014" w:history="1">
            <w:r w:rsidR="00D17A05" w:rsidRPr="00AA31C2">
              <w:rPr>
                <w:rStyle w:val="Hyperlink"/>
                <w:rFonts w:cstheme="minorHAnsi"/>
                <w:noProof/>
                <w:lang w:val="en-GB"/>
              </w:rPr>
              <w:t>1</w:t>
            </w:r>
            <w:r w:rsidR="00D17A05">
              <w:rPr>
                <w:rFonts w:eastAsiaTheme="minorEastAsia"/>
                <w:noProof/>
                <w:lang w:val="en-US"/>
              </w:rPr>
              <w:tab/>
            </w:r>
            <w:r w:rsidR="00D17A05" w:rsidRPr="00AA31C2">
              <w:rPr>
                <w:rStyle w:val="Hyperlink"/>
                <w:rFonts w:cstheme="minorHAnsi"/>
                <w:noProof/>
              </w:rPr>
              <w:t>Bilanci i energjisë elektrike 2021</w:t>
            </w:r>
            <w:r w:rsidR="00D17A05">
              <w:rPr>
                <w:noProof/>
                <w:webHidden/>
              </w:rPr>
              <w:tab/>
            </w:r>
            <w:r w:rsidR="00D17A05">
              <w:rPr>
                <w:noProof/>
                <w:webHidden/>
              </w:rPr>
              <w:fldChar w:fldCharType="begin"/>
            </w:r>
            <w:r w:rsidR="00D17A05">
              <w:rPr>
                <w:noProof/>
                <w:webHidden/>
              </w:rPr>
              <w:instrText xml:space="preserve"> PAGEREF _Toc80690014 \h </w:instrText>
            </w:r>
            <w:r w:rsidR="00D17A05">
              <w:rPr>
                <w:noProof/>
                <w:webHidden/>
              </w:rPr>
            </w:r>
            <w:r w:rsidR="00D17A05">
              <w:rPr>
                <w:noProof/>
                <w:webHidden/>
              </w:rPr>
              <w:fldChar w:fldCharType="separate"/>
            </w:r>
            <w:r w:rsidR="00D17A05">
              <w:rPr>
                <w:noProof/>
                <w:webHidden/>
              </w:rPr>
              <w:t>4</w:t>
            </w:r>
            <w:r w:rsidR="00D17A05">
              <w:rPr>
                <w:noProof/>
                <w:webHidden/>
              </w:rPr>
              <w:fldChar w:fldCharType="end"/>
            </w:r>
          </w:hyperlink>
        </w:p>
        <w:p w14:paraId="14E1D2F1" w14:textId="7F07E1C0" w:rsidR="00D17A05" w:rsidRDefault="009930EB">
          <w:pPr>
            <w:pStyle w:val="TOC1"/>
            <w:tabs>
              <w:tab w:val="left" w:pos="440"/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hyperlink w:anchor="_Toc80690015" w:history="1">
            <w:r w:rsidR="00D17A05" w:rsidRPr="00AA31C2">
              <w:rPr>
                <w:rStyle w:val="Hyperlink"/>
                <w:rFonts w:cstheme="minorHAnsi"/>
                <w:noProof/>
                <w:lang w:val="en-GB"/>
              </w:rPr>
              <w:t>2</w:t>
            </w:r>
            <w:r w:rsidR="00D17A05">
              <w:rPr>
                <w:rFonts w:eastAsiaTheme="minorEastAsia"/>
                <w:noProof/>
                <w:lang w:val="en-US"/>
              </w:rPr>
              <w:tab/>
            </w:r>
            <w:r w:rsidR="00D17A05" w:rsidRPr="00AA31C2">
              <w:rPr>
                <w:rStyle w:val="Hyperlink"/>
                <w:rFonts w:cstheme="minorHAnsi"/>
                <w:noProof/>
              </w:rPr>
              <w:t>Kostot me shumicë - blerjet e energjisë</w:t>
            </w:r>
            <w:r w:rsidR="00D17A05">
              <w:rPr>
                <w:noProof/>
                <w:webHidden/>
              </w:rPr>
              <w:tab/>
            </w:r>
            <w:r w:rsidR="00D17A05">
              <w:rPr>
                <w:noProof/>
                <w:webHidden/>
              </w:rPr>
              <w:fldChar w:fldCharType="begin"/>
            </w:r>
            <w:r w:rsidR="00D17A05">
              <w:rPr>
                <w:noProof/>
                <w:webHidden/>
              </w:rPr>
              <w:instrText xml:space="preserve"> PAGEREF _Toc80690015 \h </w:instrText>
            </w:r>
            <w:r w:rsidR="00D17A05">
              <w:rPr>
                <w:noProof/>
                <w:webHidden/>
              </w:rPr>
            </w:r>
            <w:r w:rsidR="00D17A05">
              <w:rPr>
                <w:noProof/>
                <w:webHidden/>
              </w:rPr>
              <w:fldChar w:fldCharType="separate"/>
            </w:r>
            <w:r w:rsidR="00D17A05">
              <w:rPr>
                <w:noProof/>
                <w:webHidden/>
              </w:rPr>
              <w:t>5</w:t>
            </w:r>
            <w:r w:rsidR="00D17A05">
              <w:rPr>
                <w:noProof/>
                <w:webHidden/>
              </w:rPr>
              <w:fldChar w:fldCharType="end"/>
            </w:r>
          </w:hyperlink>
        </w:p>
        <w:p w14:paraId="366617A8" w14:textId="032C9F21" w:rsidR="00D17A05" w:rsidRDefault="009930EB">
          <w:pPr>
            <w:pStyle w:val="TOC2"/>
            <w:tabs>
              <w:tab w:val="left" w:pos="880"/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hyperlink w:anchor="_Toc80690016" w:history="1">
            <w:r w:rsidR="00D17A05" w:rsidRPr="00AA31C2">
              <w:rPr>
                <w:rStyle w:val="Hyperlink"/>
                <w:noProof/>
              </w:rPr>
              <w:t>2.1</w:t>
            </w:r>
            <w:r w:rsidR="00D17A05">
              <w:rPr>
                <w:rFonts w:eastAsiaTheme="minorEastAsia"/>
                <w:noProof/>
                <w:lang w:val="en-US"/>
              </w:rPr>
              <w:tab/>
            </w:r>
            <w:r w:rsidR="00D17A05" w:rsidRPr="00AA31C2">
              <w:rPr>
                <w:rStyle w:val="Hyperlink"/>
                <w:noProof/>
              </w:rPr>
              <w:t>Përshtatjet e të hyrave për vitin 2020</w:t>
            </w:r>
            <w:r w:rsidR="00D17A05">
              <w:rPr>
                <w:noProof/>
                <w:webHidden/>
              </w:rPr>
              <w:tab/>
            </w:r>
            <w:r w:rsidR="00D17A05">
              <w:rPr>
                <w:noProof/>
                <w:webHidden/>
              </w:rPr>
              <w:fldChar w:fldCharType="begin"/>
            </w:r>
            <w:r w:rsidR="00D17A05">
              <w:rPr>
                <w:noProof/>
                <w:webHidden/>
              </w:rPr>
              <w:instrText xml:space="preserve"> PAGEREF _Toc80690016 \h </w:instrText>
            </w:r>
            <w:r w:rsidR="00D17A05">
              <w:rPr>
                <w:noProof/>
                <w:webHidden/>
              </w:rPr>
            </w:r>
            <w:r w:rsidR="00D17A05">
              <w:rPr>
                <w:noProof/>
                <w:webHidden/>
              </w:rPr>
              <w:fldChar w:fldCharType="separate"/>
            </w:r>
            <w:r w:rsidR="00D17A05">
              <w:rPr>
                <w:noProof/>
                <w:webHidden/>
              </w:rPr>
              <w:t>6</w:t>
            </w:r>
            <w:r w:rsidR="00D17A05">
              <w:rPr>
                <w:noProof/>
                <w:webHidden/>
              </w:rPr>
              <w:fldChar w:fldCharType="end"/>
            </w:r>
          </w:hyperlink>
        </w:p>
        <w:p w14:paraId="05A6530A" w14:textId="22BAFFA1" w:rsidR="00D17A05" w:rsidRDefault="009930EB">
          <w:pPr>
            <w:pStyle w:val="TOC1"/>
            <w:tabs>
              <w:tab w:val="left" w:pos="440"/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hyperlink w:anchor="_Toc80690017" w:history="1">
            <w:r w:rsidR="00D17A05" w:rsidRPr="00AA31C2">
              <w:rPr>
                <w:rStyle w:val="Hyperlink"/>
                <w:rFonts w:cstheme="minorHAnsi"/>
                <w:noProof/>
                <w:lang w:val="en-GB"/>
              </w:rPr>
              <w:t>3</w:t>
            </w:r>
            <w:r w:rsidR="00D17A05">
              <w:rPr>
                <w:rFonts w:eastAsiaTheme="minorEastAsia"/>
                <w:noProof/>
                <w:lang w:val="en-US"/>
              </w:rPr>
              <w:tab/>
            </w:r>
            <w:r w:rsidR="00D17A05" w:rsidRPr="00AA31C2">
              <w:rPr>
                <w:rStyle w:val="Hyperlink"/>
                <w:rFonts w:cstheme="minorHAnsi"/>
                <w:noProof/>
              </w:rPr>
              <w:t>Kostot e bartshme</w:t>
            </w:r>
            <w:r w:rsidR="00D17A05">
              <w:rPr>
                <w:noProof/>
                <w:webHidden/>
              </w:rPr>
              <w:tab/>
            </w:r>
            <w:r w:rsidR="00D17A05">
              <w:rPr>
                <w:noProof/>
                <w:webHidden/>
              </w:rPr>
              <w:fldChar w:fldCharType="begin"/>
            </w:r>
            <w:r w:rsidR="00D17A05">
              <w:rPr>
                <w:noProof/>
                <w:webHidden/>
              </w:rPr>
              <w:instrText xml:space="preserve"> PAGEREF _Toc80690017 \h </w:instrText>
            </w:r>
            <w:r w:rsidR="00D17A05">
              <w:rPr>
                <w:noProof/>
                <w:webHidden/>
              </w:rPr>
            </w:r>
            <w:r w:rsidR="00D17A05">
              <w:rPr>
                <w:noProof/>
                <w:webHidden/>
              </w:rPr>
              <w:fldChar w:fldCharType="separate"/>
            </w:r>
            <w:r w:rsidR="00D17A05">
              <w:rPr>
                <w:noProof/>
                <w:webHidden/>
              </w:rPr>
              <w:t>8</w:t>
            </w:r>
            <w:r w:rsidR="00D17A05">
              <w:rPr>
                <w:noProof/>
                <w:webHidden/>
              </w:rPr>
              <w:fldChar w:fldCharType="end"/>
            </w:r>
          </w:hyperlink>
        </w:p>
        <w:p w14:paraId="58CC534A" w14:textId="2BFF5269" w:rsidR="00D17A05" w:rsidRDefault="009930EB">
          <w:pPr>
            <w:pStyle w:val="TOC1"/>
            <w:tabs>
              <w:tab w:val="left" w:pos="440"/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hyperlink w:anchor="_Toc80690018" w:history="1">
            <w:r w:rsidR="00D17A05" w:rsidRPr="00AA31C2">
              <w:rPr>
                <w:rStyle w:val="Hyperlink"/>
                <w:rFonts w:cstheme="minorHAnsi"/>
                <w:noProof/>
                <w:lang w:val="en-GB"/>
              </w:rPr>
              <w:t>4</w:t>
            </w:r>
            <w:r w:rsidR="00D17A05">
              <w:rPr>
                <w:rFonts w:eastAsiaTheme="minorEastAsia"/>
                <w:noProof/>
                <w:lang w:val="en-US"/>
              </w:rPr>
              <w:tab/>
            </w:r>
            <w:r w:rsidR="00D17A05" w:rsidRPr="00AA31C2">
              <w:rPr>
                <w:rStyle w:val="Hyperlink"/>
                <w:rFonts w:cstheme="minorHAnsi"/>
                <w:noProof/>
              </w:rPr>
              <w:t>Kostot me pakicë të furnizuesit</w:t>
            </w:r>
            <w:r w:rsidR="00D17A05">
              <w:rPr>
                <w:noProof/>
                <w:webHidden/>
              </w:rPr>
              <w:tab/>
            </w:r>
            <w:r w:rsidR="00D17A05">
              <w:rPr>
                <w:noProof/>
                <w:webHidden/>
              </w:rPr>
              <w:fldChar w:fldCharType="begin"/>
            </w:r>
            <w:r w:rsidR="00D17A05">
              <w:rPr>
                <w:noProof/>
                <w:webHidden/>
              </w:rPr>
              <w:instrText xml:space="preserve"> PAGEREF _Toc80690018 \h </w:instrText>
            </w:r>
            <w:r w:rsidR="00D17A05">
              <w:rPr>
                <w:noProof/>
                <w:webHidden/>
              </w:rPr>
            </w:r>
            <w:r w:rsidR="00D17A05">
              <w:rPr>
                <w:noProof/>
                <w:webHidden/>
              </w:rPr>
              <w:fldChar w:fldCharType="separate"/>
            </w:r>
            <w:r w:rsidR="00D17A05">
              <w:rPr>
                <w:noProof/>
                <w:webHidden/>
              </w:rPr>
              <w:t>8</w:t>
            </w:r>
            <w:r w:rsidR="00D17A05">
              <w:rPr>
                <w:noProof/>
                <w:webHidden/>
              </w:rPr>
              <w:fldChar w:fldCharType="end"/>
            </w:r>
          </w:hyperlink>
        </w:p>
        <w:p w14:paraId="31A4219D" w14:textId="00D52323" w:rsidR="00D17A05" w:rsidRDefault="009930EB">
          <w:pPr>
            <w:pStyle w:val="TOC1"/>
            <w:tabs>
              <w:tab w:val="left" w:pos="440"/>
              <w:tab w:val="right" w:leader="dot" w:pos="9019"/>
            </w:tabs>
            <w:rPr>
              <w:rFonts w:eastAsiaTheme="minorEastAsia"/>
              <w:noProof/>
              <w:lang w:val="en-US"/>
            </w:rPr>
          </w:pPr>
          <w:hyperlink w:anchor="_Toc80690019" w:history="1">
            <w:r w:rsidR="00D17A05" w:rsidRPr="00AA31C2">
              <w:rPr>
                <w:rStyle w:val="Hyperlink"/>
                <w:rFonts w:cstheme="minorHAnsi"/>
                <w:noProof/>
                <w:lang w:val="en-GB"/>
              </w:rPr>
              <w:t>5</w:t>
            </w:r>
            <w:r w:rsidR="00D17A05">
              <w:rPr>
                <w:rFonts w:eastAsiaTheme="minorEastAsia"/>
                <w:noProof/>
                <w:lang w:val="en-US"/>
              </w:rPr>
              <w:tab/>
            </w:r>
            <w:r w:rsidR="00D17A05" w:rsidRPr="00AA31C2">
              <w:rPr>
                <w:rStyle w:val="Hyperlink"/>
                <w:rFonts w:cstheme="minorHAnsi"/>
                <w:noProof/>
              </w:rPr>
              <w:t>Të hyrat e lejuara maksimale</w:t>
            </w:r>
            <w:r w:rsidR="00D17A05">
              <w:rPr>
                <w:noProof/>
                <w:webHidden/>
              </w:rPr>
              <w:tab/>
            </w:r>
            <w:r w:rsidR="00D17A05">
              <w:rPr>
                <w:noProof/>
                <w:webHidden/>
              </w:rPr>
              <w:fldChar w:fldCharType="begin"/>
            </w:r>
            <w:r w:rsidR="00D17A05">
              <w:rPr>
                <w:noProof/>
                <w:webHidden/>
              </w:rPr>
              <w:instrText xml:space="preserve"> PAGEREF _Toc80690019 \h </w:instrText>
            </w:r>
            <w:r w:rsidR="00D17A05">
              <w:rPr>
                <w:noProof/>
                <w:webHidden/>
              </w:rPr>
            </w:r>
            <w:r w:rsidR="00D17A05">
              <w:rPr>
                <w:noProof/>
                <w:webHidden/>
              </w:rPr>
              <w:fldChar w:fldCharType="separate"/>
            </w:r>
            <w:r w:rsidR="00D17A05">
              <w:rPr>
                <w:noProof/>
                <w:webHidden/>
              </w:rPr>
              <w:t>9</w:t>
            </w:r>
            <w:r w:rsidR="00D17A05">
              <w:rPr>
                <w:noProof/>
                <w:webHidden/>
              </w:rPr>
              <w:fldChar w:fldCharType="end"/>
            </w:r>
          </w:hyperlink>
        </w:p>
        <w:p w14:paraId="37A3B5F2" w14:textId="4961F068" w:rsidR="00FB3B1E" w:rsidRDefault="00D17A05">
          <w:r>
            <w:fldChar w:fldCharType="end"/>
          </w:r>
        </w:p>
      </w:sdtContent>
    </w:sdt>
    <w:p w14:paraId="1E87CF9F" w14:textId="77777777" w:rsidR="00FB3B1E" w:rsidRDefault="00FB3B1E">
      <w:pPr>
        <w:rPr>
          <w:rFonts w:eastAsia="Times New Roman" w:cstheme="minorHAnsi"/>
          <w:b/>
          <w:bCs/>
          <w:color w:val="003366"/>
          <w:sz w:val="28"/>
          <w:szCs w:val="24"/>
        </w:rPr>
      </w:pPr>
      <w:r>
        <w:rPr>
          <w:rFonts w:cstheme="minorHAnsi"/>
        </w:rPr>
        <w:br w:type="page"/>
      </w:r>
    </w:p>
    <w:p w14:paraId="5B34BDE8" w14:textId="77777777" w:rsidR="00A200BD" w:rsidRPr="00A200BD" w:rsidRDefault="00AD287E" w:rsidP="00A200BD">
      <w:pPr>
        <w:pStyle w:val="Heading1"/>
        <w:numPr>
          <w:ilvl w:val="0"/>
          <w:numId w:val="0"/>
        </w:numPr>
        <w:spacing w:before="0"/>
        <w:ind w:left="720"/>
        <w:rPr>
          <w:rFonts w:asciiTheme="minorHAnsi" w:hAnsiTheme="minorHAnsi" w:cstheme="minorHAnsi"/>
        </w:rPr>
      </w:pPr>
      <w:bookmarkStart w:id="0" w:name="_Toc80690013"/>
      <w:r>
        <w:rPr>
          <w:rFonts w:asciiTheme="minorHAnsi" w:hAnsiTheme="minorHAnsi" w:cstheme="minorHAnsi"/>
        </w:rPr>
        <w:lastRenderedPageBreak/>
        <w:t>Hyrje</w:t>
      </w:r>
      <w:bookmarkEnd w:id="0"/>
    </w:p>
    <w:p w14:paraId="11666180" w14:textId="01BA4ED8" w:rsidR="00A200BD" w:rsidRDefault="00B9189E" w:rsidP="008773FD">
      <w:pPr>
        <w:jc w:val="both"/>
      </w:pPr>
      <w:r w:rsidRPr="008E6219">
        <w:rPr>
          <w:rFonts w:cs="Calibri"/>
        </w:rPr>
        <w:t xml:space="preserve">Zyra e Rregullatorit për Energji (ZRRE) aktualisht është duke kryer Përshtatjen e Rregullt Vjetore për të Hyrat e Lejuara Maksimale (MAR) që do të mbulohen nga Kompanitë e Rregulluara. Në këtë proces, ZRRE-ja do të bëjë propozimin fillestar për MAR-in e azhurnuar për Operatorin e Sistemit të Transmetimit dhe Tregut (OST/OT, KOSTT), Operatorin e Sistemit të Shpërndarjes (OSSH, KEDS) </w:t>
      </w:r>
      <w:r w:rsidR="00A67D35" w:rsidRPr="008E6219">
        <w:rPr>
          <w:rFonts w:cs="Calibri"/>
        </w:rPr>
        <w:t xml:space="preserve">dhe </w:t>
      </w:r>
      <w:r w:rsidR="00A67D35">
        <w:rPr>
          <w:rFonts w:cs="Calibri"/>
        </w:rPr>
        <w:t>do të përcaktojë të hyrat e Furnizuesit</w:t>
      </w:r>
      <w:r w:rsidR="00A67D35" w:rsidRPr="008E6219">
        <w:rPr>
          <w:rFonts w:cs="Calibri"/>
        </w:rPr>
        <w:t xml:space="preserve"> me Shërbim Universal (FSHU)</w:t>
      </w:r>
      <w:r w:rsidRPr="008E6219">
        <w:rPr>
          <w:rFonts w:cs="Calibri"/>
        </w:rPr>
        <w:t xml:space="preserve">. Ky vlerësim fillestar bazohet në propozimet e dorëzuara nga kompanitë e rregulluara si dhe vendimet për Të Hyrat e Lejuara Maksimale për periudhën </w:t>
      </w:r>
      <w:proofErr w:type="spellStart"/>
      <w:r w:rsidRPr="008E6219">
        <w:rPr>
          <w:rFonts w:cs="Calibri"/>
        </w:rPr>
        <w:t>rregullative</w:t>
      </w:r>
      <w:proofErr w:type="spellEnd"/>
      <w:r w:rsidRPr="008E6219">
        <w:rPr>
          <w:rFonts w:cs="Calibri"/>
        </w:rPr>
        <w:t xml:space="preserve"> 2018-2022</w:t>
      </w:r>
      <w:r w:rsidR="00DB707A">
        <w:rPr>
          <w:rFonts w:cs="Calibri"/>
        </w:rPr>
        <w:t xml:space="preserve"> për OST/OT dhe OSSH</w:t>
      </w:r>
      <w:r w:rsidR="00DB707A" w:rsidRPr="008E6219">
        <w:rPr>
          <w:rFonts w:cs="Calibri"/>
        </w:rPr>
        <w:t xml:space="preserve">. </w:t>
      </w:r>
      <w:r w:rsidR="00C601D7">
        <w:t xml:space="preserve"> </w:t>
      </w:r>
    </w:p>
    <w:p w14:paraId="33CF5AC4" w14:textId="1AB53AC5" w:rsidR="00B52624" w:rsidRPr="001471C5" w:rsidRDefault="00A200BD" w:rsidP="00B52624">
      <w:pPr>
        <w:jc w:val="both"/>
        <w:rPr>
          <w:rFonts w:cs="Calibri"/>
        </w:rPr>
      </w:pPr>
      <w:r>
        <w:t xml:space="preserve">Ky Raport Konsultativ paraqet vlerësimin e ZRRE-së për propozimin për </w:t>
      </w:r>
      <w:r w:rsidR="00AD287E">
        <w:t xml:space="preserve">të </w:t>
      </w:r>
      <w:r w:rsidR="00C601D7">
        <w:t>hyrat e lejuara maksimale (</w:t>
      </w:r>
      <w:r>
        <w:t>MAR</w:t>
      </w:r>
      <w:r w:rsidR="00C601D7">
        <w:t xml:space="preserve">) për Furnizuesin me Shërbim Universal </w:t>
      </w:r>
      <w:r w:rsidR="004B0CBA">
        <w:t xml:space="preserve">(FSHU) </w:t>
      </w:r>
      <w:r w:rsidR="00C601D7">
        <w:t xml:space="preserve">për vitin </w:t>
      </w:r>
      <w:r w:rsidR="004B0CBA">
        <w:t xml:space="preserve">relevant tarifor </w:t>
      </w:r>
      <w:r w:rsidR="00E825FD">
        <w:t>20</w:t>
      </w:r>
      <w:r w:rsidR="00B9189E">
        <w:t>2</w:t>
      </w:r>
      <w:r w:rsidR="004923F4">
        <w:t>1</w:t>
      </w:r>
      <w:r w:rsidR="00C601D7">
        <w:t xml:space="preserve">. </w:t>
      </w:r>
      <w:r w:rsidR="00B52624">
        <w:rPr>
          <w:rFonts w:cs="Calibri"/>
        </w:rPr>
        <w:t>Procesi i përshtatj</w:t>
      </w:r>
      <w:r w:rsidR="00A67D35">
        <w:rPr>
          <w:rFonts w:cs="Calibri"/>
        </w:rPr>
        <w:t>e</w:t>
      </w:r>
      <w:r w:rsidR="00B52624">
        <w:rPr>
          <w:rFonts w:cs="Calibri"/>
        </w:rPr>
        <w:t xml:space="preserve">ve për vitin relevant tarifor 2021 përfshin periudhën 1 prill 2021 - 31mars 2022, por duke marr parasysh mungesën e Bordit, procesi i tillë është </w:t>
      </w:r>
      <w:proofErr w:type="spellStart"/>
      <w:r w:rsidR="00B52624">
        <w:rPr>
          <w:rFonts w:cs="Calibri"/>
        </w:rPr>
        <w:t>shtyer</w:t>
      </w:r>
      <w:proofErr w:type="spellEnd"/>
      <w:r w:rsidR="00B52624">
        <w:rPr>
          <w:rFonts w:cs="Calibri"/>
        </w:rPr>
        <w:t xml:space="preserve">. Vonesa e marrjes së vendimeve për të Hyrat e Lejuara Maksimale dhe të tarifave për këtë vit relevant tarifor, do të </w:t>
      </w:r>
      <w:proofErr w:type="spellStart"/>
      <w:r w:rsidR="00B52624">
        <w:rPr>
          <w:rFonts w:cs="Calibri"/>
        </w:rPr>
        <w:t>azhustohet</w:t>
      </w:r>
      <w:proofErr w:type="spellEnd"/>
      <w:r w:rsidR="00B52624">
        <w:rPr>
          <w:rFonts w:cs="Calibri"/>
        </w:rPr>
        <w:t xml:space="preserve"> në vitin e ardhshëm relevant tarifor 2022.</w:t>
      </w:r>
    </w:p>
    <w:p w14:paraId="4D96E0BA" w14:textId="1110C9C2" w:rsidR="00770DD6" w:rsidRPr="0050005A" w:rsidRDefault="00770DD6" w:rsidP="00770DD6">
      <w:pPr>
        <w:jc w:val="both"/>
        <w:rPr>
          <w:rFonts w:cs="Calibri"/>
        </w:rPr>
      </w:pPr>
      <w:r w:rsidRPr="0050005A">
        <w:rPr>
          <w:rFonts w:cs="Calibri"/>
        </w:rPr>
        <w:t xml:space="preserve">Palët të cilat dëshirojnë të paraqesin komentet e tyre eventuale rreth propozimeve të ZRRE-së ftohen që të dorëzojnë komentet e tyre me shkrim në postën elektronike </w:t>
      </w:r>
      <w:hyperlink r:id="rId8" w:history="1">
        <w:r w:rsidRPr="0050005A">
          <w:rPr>
            <w:rStyle w:val="Hyperlink"/>
            <w:rFonts w:cs="Calibri"/>
          </w:rPr>
          <w:t>ero.pricing-tariffs@ero-ks.org</w:t>
        </w:r>
      </w:hyperlink>
      <w:r w:rsidRPr="0050005A">
        <w:rPr>
          <w:rFonts w:cs="Calibri"/>
        </w:rPr>
        <w:t xml:space="preserve"> jo më vonë se </w:t>
      </w:r>
      <w:r w:rsidR="0082211D">
        <w:rPr>
          <w:rFonts w:cs="Calibri"/>
        </w:rPr>
        <w:t>7</w:t>
      </w:r>
      <w:bookmarkStart w:id="1" w:name="_GoBack"/>
      <w:bookmarkEnd w:id="1"/>
      <w:r w:rsidR="00811875" w:rsidRPr="000A596D">
        <w:rPr>
          <w:rFonts w:cs="Calibri"/>
        </w:rPr>
        <w:t xml:space="preserve"> shtator</w:t>
      </w:r>
      <w:r w:rsidRPr="000A596D">
        <w:rPr>
          <w:rFonts w:cs="Calibri"/>
        </w:rPr>
        <w:t xml:space="preserve"> 20</w:t>
      </w:r>
      <w:r w:rsidR="009F466A" w:rsidRPr="000A596D">
        <w:rPr>
          <w:rFonts w:cs="Calibri"/>
        </w:rPr>
        <w:t>2</w:t>
      </w:r>
      <w:r w:rsidR="003466AB" w:rsidRPr="00811875">
        <w:rPr>
          <w:rFonts w:cs="Calibri"/>
        </w:rPr>
        <w:t>1</w:t>
      </w:r>
      <w:r w:rsidRPr="00811875">
        <w:rPr>
          <w:rFonts w:cs="Calibri"/>
        </w:rPr>
        <w:t>.</w:t>
      </w:r>
      <w:r w:rsidRPr="0050005A">
        <w:rPr>
          <w:rFonts w:cs="Calibri"/>
          <w:b/>
        </w:rPr>
        <w:t xml:space="preserve"> </w:t>
      </w:r>
      <w:r w:rsidRPr="0050005A">
        <w:rPr>
          <w:rFonts w:cs="Calibri"/>
        </w:rPr>
        <w:t>Gjithashtu,</w:t>
      </w:r>
      <w:r w:rsidRPr="0050005A">
        <w:rPr>
          <w:rFonts w:cs="Calibri"/>
          <w:b/>
        </w:rPr>
        <w:t xml:space="preserve"> </w:t>
      </w:r>
      <w:r w:rsidRPr="0050005A">
        <w:rPr>
          <w:rFonts w:cs="Calibri"/>
        </w:rPr>
        <w:t>komentet mund të dërgohen me postë në</w:t>
      </w:r>
      <w:r>
        <w:rPr>
          <w:rFonts w:cs="Calibri"/>
        </w:rPr>
        <w:t xml:space="preserve"> adres</w:t>
      </w:r>
      <w:r w:rsidRPr="00327460">
        <w:rPr>
          <w:rFonts w:cs="Calibri"/>
        </w:rPr>
        <w:t>ë</w:t>
      </w:r>
      <w:r>
        <w:rPr>
          <w:rFonts w:cs="Calibri"/>
        </w:rPr>
        <w:t>n</w:t>
      </w:r>
      <w:r w:rsidRPr="0050005A">
        <w:rPr>
          <w:rFonts w:cs="Calibri"/>
        </w:rPr>
        <w:t>:</w:t>
      </w:r>
    </w:p>
    <w:p w14:paraId="30381E95" w14:textId="77777777" w:rsidR="00770DD6" w:rsidRPr="00327460" w:rsidRDefault="00770DD6" w:rsidP="00770DD6">
      <w:pPr>
        <w:spacing w:after="0" w:line="240" w:lineRule="auto"/>
        <w:rPr>
          <w:rFonts w:cs="Calibri"/>
          <w:i/>
        </w:rPr>
      </w:pPr>
      <w:r w:rsidRPr="00327460">
        <w:rPr>
          <w:rFonts w:cs="Calibri"/>
          <w:i/>
        </w:rPr>
        <w:t>Zyra e Rregullatorit për Energji</w:t>
      </w:r>
    </w:p>
    <w:p w14:paraId="73F9F9E4" w14:textId="77777777" w:rsidR="00770DD6" w:rsidRPr="00327460" w:rsidRDefault="00770DD6" w:rsidP="00770DD6">
      <w:pPr>
        <w:spacing w:after="0" w:line="240" w:lineRule="auto"/>
        <w:rPr>
          <w:rFonts w:cs="Calibri"/>
          <w:i/>
        </w:rPr>
      </w:pPr>
      <w:r w:rsidRPr="00327460">
        <w:rPr>
          <w:rFonts w:cs="Calibri"/>
          <w:i/>
        </w:rPr>
        <w:t xml:space="preserve">Departamenti për Tarifa dhe </w:t>
      </w:r>
      <w:r w:rsidRPr="00327460">
        <w:rPr>
          <w:rFonts w:cs="Calibri"/>
          <w:i/>
          <w:caps/>
        </w:rPr>
        <w:t>ç</w:t>
      </w:r>
      <w:r w:rsidRPr="00327460">
        <w:rPr>
          <w:rFonts w:cs="Calibri"/>
          <w:i/>
        </w:rPr>
        <w:t>mime</w:t>
      </w:r>
    </w:p>
    <w:p w14:paraId="57F48FC5" w14:textId="77777777" w:rsidR="00770DD6" w:rsidRPr="00327460" w:rsidRDefault="00770DD6" w:rsidP="00770DD6">
      <w:pPr>
        <w:jc w:val="both"/>
        <w:rPr>
          <w:rFonts w:cs="Calibri"/>
          <w:i/>
        </w:rPr>
      </w:pPr>
      <w:r w:rsidRPr="00327460">
        <w:rPr>
          <w:rFonts w:cs="Calibri"/>
          <w:i/>
        </w:rPr>
        <w:t xml:space="preserve">Rr. Dervish </w:t>
      </w:r>
      <w:proofErr w:type="spellStart"/>
      <w:r w:rsidRPr="00327460">
        <w:rPr>
          <w:rFonts w:cs="Calibri"/>
          <w:i/>
        </w:rPr>
        <w:t>Rozhaja</w:t>
      </w:r>
      <w:proofErr w:type="spellEnd"/>
      <w:r w:rsidRPr="00327460">
        <w:rPr>
          <w:rFonts w:cs="Calibri"/>
          <w:i/>
        </w:rPr>
        <w:t xml:space="preserve"> Nr. 12, Prishtinë, 10000, Kosovë</w:t>
      </w:r>
    </w:p>
    <w:p w14:paraId="5C3C60CA" w14:textId="77777777" w:rsidR="00770DD6" w:rsidRPr="00B254DC" w:rsidRDefault="00770DD6" w:rsidP="00770DD6">
      <w:pPr>
        <w:rPr>
          <w:rFonts w:cs="Calibri"/>
          <w:b/>
        </w:rPr>
      </w:pPr>
      <w:r w:rsidRPr="00B254DC">
        <w:rPr>
          <w:rFonts w:cs="Calibri"/>
        </w:rPr>
        <w:t xml:space="preserve">   </w:t>
      </w:r>
      <w:r w:rsidRPr="00B254DC">
        <w:rPr>
          <w:rFonts w:cs="Calibri"/>
          <w:b/>
        </w:rPr>
        <w:t>Do</w:t>
      </w:r>
      <w:r>
        <w:rPr>
          <w:rFonts w:cs="Calibri"/>
          <w:b/>
        </w:rPr>
        <w:t>k</w:t>
      </w:r>
      <w:r w:rsidRPr="00B254DC">
        <w:rPr>
          <w:rFonts w:cs="Calibri"/>
          <w:b/>
        </w:rPr>
        <w:t>umentet relevante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041"/>
      </w:tblGrid>
      <w:tr w:rsidR="00770DD6" w:rsidRPr="004923F4" w14:paraId="08B03E91" w14:textId="77777777" w:rsidTr="008E1C63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35A18A0" w14:textId="2F177A91" w:rsidR="00770DD6" w:rsidRPr="00E21740" w:rsidRDefault="00770DD6" w:rsidP="00811875">
            <w:pPr>
              <w:spacing w:before="120" w:after="0" w:line="240" w:lineRule="auto"/>
              <w:rPr>
                <w:rFonts w:cs="Calibri"/>
              </w:rPr>
            </w:pPr>
            <w:r w:rsidRPr="00E21740">
              <w:rPr>
                <w:rFonts w:cs="Calibri"/>
              </w:rPr>
              <w:t>Aplikimi tarifor i FSHU për vitin 202</w:t>
            </w:r>
            <w:r w:rsidR="00811875" w:rsidRPr="00E21740">
              <w:rPr>
                <w:rFonts w:cs="Calibri"/>
              </w:rPr>
              <w:t>1</w:t>
            </w:r>
          </w:p>
        </w:tc>
        <w:tc>
          <w:tcPr>
            <w:tcW w:w="5041" w:type="dxa"/>
            <w:shd w:val="clear" w:color="auto" w:fill="auto"/>
          </w:tcPr>
          <w:p w14:paraId="026F738B" w14:textId="409060F2" w:rsidR="00770DD6" w:rsidRPr="00E21740" w:rsidRDefault="00E21740" w:rsidP="007C4CE3">
            <w:pPr>
              <w:spacing w:before="120" w:after="0" w:line="240" w:lineRule="auto"/>
              <w:rPr>
                <w:rStyle w:val="Hyperlink"/>
              </w:rPr>
            </w:pPr>
            <w:r w:rsidRPr="00E21740">
              <w:rPr>
                <w:rStyle w:val="Hyperlink"/>
              </w:rPr>
              <w:t>https://www.ero-ks.org/zrre/sites/default/files/Konsultimet%20Publike/Aplikimi%20i%20FUSH-s%C3%AB%202021%20-%208%20Mars%202021.pdf</w:t>
            </w:r>
          </w:p>
        </w:tc>
      </w:tr>
      <w:tr w:rsidR="00770DD6" w:rsidRPr="004923F4" w14:paraId="33B5CE6B" w14:textId="77777777" w:rsidTr="008E1C63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C5CF474" w14:textId="26E4243A" w:rsidR="00770DD6" w:rsidRPr="00E21740" w:rsidRDefault="00770DD6" w:rsidP="00811875">
            <w:pPr>
              <w:spacing w:before="120" w:after="0" w:line="240" w:lineRule="auto"/>
              <w:rPr>
                <w:rFonts w:cs="Calibri"/>
              </w:rPr>
            </w:pPr>
            <w:r w:rsidRPr="00E21740">
              <w:rPr>
                <w:rFonts w:cs="Calibri"/>
              </w:rPr>
              <w:t>Aplikimi tarifor i KOSTT për vitin 202</w:t>
            </w:r>
            <w:r w:rsidR="00811875" w:rsidRPr="00E21740">
              <w:rPr>
                <w:rFonts w:cs="Calibri"/>
              </w:rPr>
              <w:t>1</w:t>
            </w:r>
          </w:p>
        </w:tc>
        <w:tc>
          <w:tcPr>
            <w:tcW w:w="5041" w:type="dxa"/>
            <w:shd w:val="clear" w:color="auto" w:fill="auto"/>
          </w:tcPr>
          <w:p w14:paraId="451AE451" w14:textId="255043A6" w:rsidR="00770DD6" w:rsidRPr="00E21740" w:rsidRDefault="00E21740" w:rsidP="007C4CE3">
            <w:pPr>
              <w:spacing w:before="120" w:after="0" w:line="240" w:lineRule="auto"/>
              <w:rPr>
                <w:rStyle w:val="Hyperlink"/>
              </w:rPr>
            </w:pPr>
            <w:r w:rsidRPr="00E21740">
              <w:rPr>
                <w:rStyle w:val="Hyperlink"/>
              </w:rPr>
              <w:t>https://www.ero-ks.org/zrre/sites/default/files/Konsultimet%20Publike/Aplikacioni_%20p%C3%ABrshtetjet%20vjetore%202021_%20KOSTT.pdf</w:t>
            </w:r>
          </w:p>
        </w:tc>
      </w:tr>
      <w:tr w:rsidR="00770DD6" w:rsidRPr="00B254DC" w14:paraId="11EF8A3A" w14:textId="77777777" w:rsidTr="008E1C63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0BCB44A" w14:textId="28CED027" w:rsidR="00770DD6" w:rsidRPr="00E21740" w:rsidRDefault="00770DD6" w:rsidP="00770DD6">
            <w:pPr>
              <w:spacing w:before="120" w:after="0" w:line="240" w:lineRule="auto"/>
              <w:rPr>
                <w:rFonts w:cs="Calibri"/>
              </w:rPr>
            </w:pPr>
            <w:r w:rsidRPr="00E21740">
              <w:rPr>
                <w:rFonts w:cs="Calibri"/>
              </w:rPr>
              <w:t>Apliki</w:t>
            </w:r>
            <w:r w:rsidR="00811875" w:rsidRPr="00E21740">
              <w:rPr>
                <w:rFonts w:cs="Calibri"/>
              </w:rPr>
              <w:t>mi tarifor i KEDS për vitin 2021</w:t>
            </w:r>
          </w:p>
        </w:tc>
        <w:tc>
          <w:tcPr>
            <w:tcW w:w="5041" w:type="dxa"/>
            <w:shd w:val="clear" w:color="auto" w:fill="auto"/>
          </w:tcPr>
          <w:p w14:paraId="425D576B" w14:textId="54E733FB" w:rsidR="00770DD6" w:rsidRPr="00E21740" w:rsidRDefault="00E21740" w:rsidP="007C4CE3">
            <w:pPr>
              <w:spacing w:before="120" w:after="0" w:line="240" w:lineRule="auto"/>
            </w:pPr>
            <w:r w:rsidRPr="00E21740">
              <w:rPr>
                <w:rStyle w:val="Hyperlink"/>
              </w:rPr>
              <w:t>https://www.ero-ks.org/zrre/sites/default/files/Konsultimet%20Publike/Aplikimi%20i%20OSSH-s%C3%AB%202021%20-%208%20Mars%202021.pdf</w:t>
            </w:r>
          </w:p>
        </w:tc>
      </w:tr>
    </w:tbl>
    <w:p w14:paraId="2D968B31" w14:textId="77777777" w:rsidR="001264F5" w:rsidRDefault="001264F5" w:rsidP="008773FD">
      <w:pPr>
        <w:jc w:val="both"/>
      </w:pPr>
    </w:p>
    <w:p w14:paraId="0366B284" w14:textId="77777777" w:rsidR="001264F5" w:rsidRDefault="001264F5" w:rsidP="008773FD">
      <w:pPr>
        <w:jc w:val="both"/>
      </w:pPr>
    </w:p>
    <w:p w14:paraId="15DB3205" w14:textId="77777777" w:rsidR="001264F5" w:rsidRDefault="001264F5" w:rsidP="008773FD">
      <w:pPr>
        <w:jc w:val="both"/>
      </w:pPr>
    </w:p>
    <w:p w14:paraId="151AA8E9" w14:textId="77777777" w:rsidR="00343289" w:rsidRDefault="00343289">
      <w:r>
        <w:br w:type="page"/>
      </w:r>
    </w:p>
    <w:p w14:paraId="3ACEA3E0" w14:textId="3E2E3B2C" w:rsidR="00A200BD" w:rsidRDefault="00A200BD" w:rsidP="008773FD">
      <w:pPr>
        <w:pStyle w:val="Heading1"/>
        <w:numPr>
          <w:ilvl w:val="0"/>
          <w:numId w:val="2"/>
        </w:numPr>
        <w:spacing w:before="0"/>
        <w:rPr>
          <w:rFonts w:asciiTheme="minorHAnsi" w:hAnsiTheme="minorHAnsi" w:cstheme="minorHAnsi"/>
        </w:rPr>
      </w:pPr>
      <w:bookmarkStart w:id="2" w:name="_Toc80690014"/>
      <w:r>
        <w:rPr>
          <w:rFonts w:asciiTheme="minorHAnsi" w:hAnsiTheme="minorHAnsi" w:cstheme="minorHAnsi"/>
        </w:rPr>
        <w:lastRenderedPageBreak/>
        <w:t>Bilanci i energjisë elektrike 20</w:t>
      </w:r>
      <w:r w:rsidR="00770DD6">
        <w:rPr>
          <w:rFonts w:asciiTheme="minorHAnsi" w:hAnsiTheme="minorHAnsi" w:cstheme="minorHAnsi"/>
        </w:rPr>
        <w:t>2</w:t>
      </w:r>
      <w:r w:rsidR="004923F4">
        <w:rPr>
          <w:rFonts w:asciiTheme="minorHAnsi" w:hAnsiTheme="minorHAnsi" w:cstheme="minorHAnsi"/>
        </w:rPr>
        <w:t>1</w:t>
      </w:r>
      <w:bookmarkEnd w:id="2"/>
    </w:p>
    <w:p w14:paraId="6ECBB2CF" w14:textId="02E8440C" w:rsidR="004923F4" w:rsidRDefault="004923F4" w:rsidP="00343289">
      <w:pPr>
        <w:jc w:val="both"/>
      </w:pPr>
      <w:r w:rsidRPr="0009487F">
        <w:t>Në këtë shqyrtim tarifor ZRRE ka përdorur bilancin e aprovuar</w:t>
      </w:r>
      <w:r>
        <w:t xml:space="preserve"> p</w:t>
      </w:r>
      <w:r w:rsidR="00A67D35">
        <w:t>ë</w:t>
      </w:r>
      <w:r>
        <w:t>r vitin 2021. Megjithat</w:t>
      </w:r>
      <w:r w:rsidR="00A67D35">
        <w:t>ë</w:t>
      </w:r>
      <w:r>
        <w:t>, trajtimi i konsumit t</w:t>
      </w:r>
      <w:r w:rsidR="00A67D35">
        <w:t>ë</w:t>
      </w:r>
      <w:r>
        <w:t xml:space="preserve"> energjis</w:t>
      </w:r>
      <w:r w:rsidR="00A67D35">
        <w:t>ë</w:t>
      </w:r>
      <w:r>
        <w:t xml:space="preserve"> elektrike nga konsumator</w:t>
      </w:r>
      <w:r w:rsidR="00A67D35">
        <w:t>ë</w:t>
      </w:r>
      <w:r>
        <w:t xml:space="preserve">t e </w:t>
      </w:r>
      <w:r w:rsidRPr="0009487F">
        <w:t>kyçur në nivelin e tensionit 35kV</w:t>
      </w:r>
      <w:r>
        <w:t xml:space="preserve"> dhe 10</w:t>
      </w:r>
      <w:r w:rsidR="00A67D35">
        <w:t>k</w:t>
      </w:r>
      <w:r>
        <w:t xml:space="preserve">V, </w:t>
      </w:r>
      <w:r w:rsidR="00A67D35">
        <w:t>ë</w:t>
      </w:r>
      <w:r>
        <w:t>sht</w:t>
      </w:r>
      <w:r w:rsidR="00A67D35">
        <w:t>ë</w:t>
      </w:r>
      <w:r>
        <w:t xml:space="preserve"> b</w:t>
      </w:r>
      <w:r w:rsidR="00A67D35">
        <w:t>ë</w:t>
      </w:r>
      <w:r>
        <w:t>r</w:t>
      </w:r>
      <w:r w:rsidR="00A67D35">
        <w:t>ë</w:t>
      </w:r>
      <w:r>
        <w:t xml:space="preserve"> n</w:t>
      </w:r>
      <w:r w:rsidR="00A67D35">
        <w:t>ë</w:t>
      </w:r>
      <w:r>
        <w:t xml:space="preserve"> pajtim me q</w:t>
      </w:r>
      <w:r w:rsidR="00A67D35">
        <w:t>ë</w:t>
      </w:r>
      <w:r>
        <w:t>ndrimin e Bordit t</w:t>
      </w:r>
      <w:r w:rsidR="00A67D35">
        <w:t>ë</w:t>
      </w:r>
      <w:r>
        <w:t xml:space="preserve"> ZRRE-s</w:t>
      </w:r>
      <w:r w:rsidR="00A67D35">
        <w:t>ë</w:t>
      </w:r>
      <w:r>
        <w:t xml:space="preserve"> p</w:t>
      </w:r>
      <w:r w:rsidR="00A67D35">
        <w:t>ë</w:t>
      </w:r>
      <w:r>
        <w:t>r vazhdim t</w:t>
      </w:r>
      <w:r w:rsidR="00A67D35">
        <w:t>ë</w:t>
      </w:r>
      <w:r>
        <w:t xml:space="preserve"> </w:t>
      </w:r>
      <w:proofErr w:type="spellStart"/>
      <w:r>
        <w:t>furnizmit</w:t>
      </w:r>
      <w:proofErr w:type="spellEnd"/>
      <w:r>
        <w:t xml:space="preserve"> t</w:t>
      </w:r>
      <w:r w:rsidR="00A67D35">
        <w:t>ë</w:t>
      </w:r>
      <w:r>
        <w:t xml:space="preserve"> k</w:t>
      </w:r>
      <w:r w:rsidR="00A67D35">
        <w:t>ë</w:t>
      </w:r>
      <w:r>
        <w:t>tyre konsumato</w:t>
      </w:r>
      <w:r w:rsidR="00A67D35">
        <w:t>rë</w:t>
      </w:r>
      <w:r w:rsidR="00811875">
        <w:t>ve nga FSHU</w:t>
      </w:r>
      <w:r>
        <w:t xml:space="preserve"> me tarifa t</w:t>
      </w:r>
      <w:r w:rsidR="00A67D35">
        <w:t>ë</w:t>
      </w:r>
      <w:r>
        <w:t xml:space="preserve"> rregulluara</w:t>
      </w:r>
      <w:r w:rsidRPr="0009487F">
        <w:t xml:space="preserve">. </w:t>
      </w:r>
      <w:r w:rsidR="00A67D35">
        <w:t>Duke qenë se KESCO</w:t>
      </w:r>
      <w:r>
        <w:t xml:space="preserve"> ka aplikuar p</w:t>
      </w:r>
      <w:r w:rsidR="00A67D35">
        <w:t>ë</w:t>
      </w:r>
      <w:r>
        <w:t>r MAR-in e vitit 2021 duke marr</w:t>
      </w:r>
      <w:r w:rsidR="00A67D35">
        <w:t>ë</w:t>
      </w:r>
      <w:r>
        <w:t xml:space="preserve"> p</w:t>
      </w:r>
      <w:r w:rsidR="00A67D35">
        <w:t>ë</w:t>
      </w:r>
      <w:r>
        <w:t>r baz</w:t>
      </w:r>
      <w:r w:rsidR="00A67D35">
        <w:t>ë</w:t>
      </w:r>
      <w:r w:rsidR="00811875">
        <w:t xml:space="preserve"> </w:t>
      </w:r>
      <w:proofErr w:type="spellStart"/>
      <w:r>
        <w:t>derregullimin</w:t>
      </w:r>
      <w:proofErr w:type="spellEnd"/>
      <w:r>
        <w:t xml:space="preserve"> e konsumator</w:t>
      </w:r>
      <w:r w:rsidR="00A67D35">
        <w:t>ë</w:t>
      </w:r>
      <w:r>
        <w:t>ve t</w:t>
      </w:r>
      <w:r w:rsidR="00A67D35">
        <w:t>ë</w:t>
      </w:r>
      <w:r>
        <w:t xml:space="preserve"> </w:t>
      </w:r>
      <w:r w:rsidRPr="0009487F">
        <w:t>kyçur në nivelin e tensionit 35kV</w:t>
      </w:r>
      <w:r>
        <w:t xml:space="preserve"> dhe 10kV, do t</w:t>
      </w:r>
      <w:r w:rsidR="00A67D35">
        <w:t>ë</w:t>
      </w:r>
      <w:r>
        <w:t xml:space="preserve"> ket</w:t>
      </w:r>
      <w:r w:rsidR="00A67D35">
        <w:t>ë</w:t>
      </w:r>
      <w:r>
        <w:t xml:space="preserve"> dallime n</w:t>
      </w:r>
      <w:r w:rsidR="00A67D35">
        <w:t>ë</w:t>
      </w:r>
      <w:r>
        <w:t xml:space="preserve"> baz</w:t>
      </w:r>
      <w:r w:rsidR="00A67D35">
        <w:t>ë</w:t>
      </w:r>
      <w:r>
        <w:t>n e analizave t</w:t>
      </w:r>
      <w:r w:rsidR="00A67D35">
        <w:t>ë</w:t>
      </w:r>
      <w:r>
        <w:t xml:space="preserve"> p</w:t>
      </w:r>
      <w:r w:rsidR="00A67D35">
        <w:t>ë</w:t>
      </w:r>
      <w:r>
        <w:t>rdorura nga ZRRE.</w:t>
      </w:r>
    </w:p>
    <w:p w14:paraId="247188D1" w14:textId="6CEB6533" w:rsidR="00343289" w:rsidRDefault="00543654" w:rsidP="00343289">
      <w:pPr>
        <w:jc w:val="both"/>
      </w:pPr>
      <w:r>
        <w:t xml:space="preserve">Ky bilanc </w:t>
      </w:r>
      <w:r w:rsidR="00343289">
        <w:t xml:space="preserve">duhet të reflektojë vetëm kostot e furnizimit me energji elektrike për konsumatorët që gëzojnë të drejtën e furnizimit në kushte të shërbimit universal. </w:t>
      </w:r>
      <w:r w:rsidR="00D52EE6">
        <w:t>Në këtë kuptim edhe volumet për blerjet e energjisë me shumicë pë</w:t>
      </w:r>
      <w:r w:rsidR="009720DC">
        <w:t>r FSHU</w:t>
      </w:r>
      <w:r w:rsidR="00D52EE6">
        <w:t xml:space="preserve"> janë:</w:t>
      </w:r>
    </w:p>
    <w:p w14:paraId="329A757F" w14:textId="77777777" w:rsidR="00D52EE6" w:rsidRDefault="00D52EE6" w:rsidP="00D52EE6">
      <w:pPr>
        <w:pStyle w:val="ListParagraph"/>
        <w:numPr>
          <w:ilvl w:val="0"/>
          <w:numId w:val="11"/>
        </w:numPr>
        <w:jc w:val="both"/>
      </w:pPr>
      <w:r>
        <w:t>Blerjet e energjisë nga KEK SH.A;</w:t>
      </w:r>
    </w:p>
    <w:p w14:paraId="6A9A4C1F" w14:textId="77777777" w:rsidR="00D52EE6" w:rsidRDefault="00D52EE6" w:rsidP="00D52EE6">
      <w:pPr>
        <w:pStyle w:val="ListParagraph"/>
        <w:numPr>
          <w:ilvl w:val="0"/>
          <w:numId w:val="11"/>
        </w:numPr>
        <w:jc w:val="both"/>
      </w:pPr>
      <w:r>
        <w:t xml:space="preserve">Blerjet e energjisë nga gjeneratorët </w:t>
      </w:r>
      <w:r w:rsidR="001D1277">
        <w:t>e</w:t>
      </w:r>
      <w:r>
        <w:t xml:space="preserve"> kyçur në nivel të transmetimit;</w:t>
      </w:r>
    </w:p>
    <w:p w14:paraId="3C6729F0" w14:textId="77777777" w:rsidR="00D52EE6" w:rsidRDefault="00D52EE6" w:rsidP="00D52EE6">
      <w:pPr>
        <w:pStyle w:val="ListParagraph"/>
        <w:numPr>
          <w:ilvl w:val="0"/>
          <w:numId w:val="11"/>
        </w:numPr>
        <w:jc w:val="both"/>
      </w:pPr>
      <w:r>
        <w:t xml:space="preserve">Blerjet e energjisë nga gjeneratorët </w:t>
      </w:r>
      <w:r w:rsidR="001D1277">
        <w:t>e</w:t>
      </w:r>
      <w:r>
        <w:t xml:space="preserve"> kyçur në nivel të shpërndarjes; dhe</w:t>
      </w:r>
    </w:p>
    <w:p w14:paraId="5CC0AC82" w14:textId="77777777" w:rsidR="00D52EE6" w:rsidRDefault="00D52EE6" w:rsidP="00D52EE6">
      <w:pPr>
        <w:pStyle w:val="ListParagraph"/>
        <w:numPr>
          <w:ilvl w:val="0"/>
          <w:numId w:val="11"/>
        </w:numPr>
        <w:jc w:val="both"/>
      </w:pPr>
      <w:r>
        <w:t>Importi.</w:t>
      </w:r>
    </w:p>
    <w:p w14:paraId="6D0F77FC" w14:textId="25FAE0A6" w:rsidR="00C0378D" w:rsidRDefault="00D52EE6" w:rsidP="004923F4">
      <w:pPr>
        <w:jc w:val="both"/>
      </w:pPr>
      <w:r>
        <w:t>Sasia e energjisë për eksport gjatë këtij parashikimi nuk është</w:t>
      </w:r>
      <w:r w:rsidR="009720DC">
        <w:t xml:space="preserve"> konsideruar si energji e FSHU</w:t>
      </w:r>
      <w:r>
        <w:t>-së, pasi që F</w:t>
      </w:r>
      <w:r w:rsidR="009720DC">
        <w:t>SHU</w:t>
      </w:r>
      <w:r>
        <w:t xml:space="preserve"> duhet të </w:t>
      </w:r>
      <w:proofErr w:type="spellStart"/>
      <w:r w:rsidR="009720DC">
        <w:t>n</w:t>
      </w:r>
      <w:r>
        <w:t>ominojë</w:t>
      </w:r>
      <w:proofErr w:type="spellEnd"/>
      <w:r>
        <w:t xml:space="preserve"> vetëm sasitë e nevojshme për mbuli</w:t>
      </w:r>
      <w:r w:rsidR="00FF6F17">
        <w:t>min</w:t>
      </w:r>
      <w:r>
        <w:t xml:space="preserve"> e </w:t>
      </w:r>
      <w:r w:rsidR="00FF6F17">
        <w:t xml:space="preserve">konsumit të </w:t>
      </w:r>
      <w:r>
        <w:t>konsumatorëve me shërbim universal. Kjo sasi e energjisë duhet të menaxhohet nga prodhuesi përkatës</w:t>
      </w:r>
      <w:r w:rsidR="00FF6F17">
        <w:t xml:space="preserve"> në pajtim me prioritetet e </w:t>
      </w:r>
      <w:proofErr w:type="spellStart"/>
      <w:r w:rsidR="00FF6F17">
        <w:t>dispeçimit</w:t>
      </w:r>
      <w:proofErr w:type="spellEnd"/>
      <w:r w:rsidR="00FF6F17">
        <w:t xml:space="preserve">. </w:t>
      </w:r>
      <w:r w:rsidR="002D7E52">
        <w:t xml:space="preserve">Konsumi i konsumatorëve me shërbim universal </w:t>
      </w:r>
      <w:r w:rsidR="00C0378D">
        <w:t>nuk përfshin</w:t>
      </w:r>
      <w:r w:rsidR="00C0378D" w:rsidRPr="00F44BF8">
        <w:rPr>
          <w:rFonts w:ascii="Calibri" w:hAnsi="Calibri" w:cs="Calibri"/>
        </w:rPr>
        <w:t>ë</w:t>
      </w:r>
      <w:r w:rsidR="004923F4">
        <w:t xml:space="preserve"> </w:t>
      </w:r>
      <w:r w:rsidR="00C6478E">
        <w:t>k</w:t>
      </w:r>
      <w:r w:rsidR="002D7E52">
        <w:t>ategoritë e konsumatorëve të kyçur në nivel të transmetimit</w:t>
      </w:r>
      <w:r w:rsidR="000025F6">
        <w:t xml:space="preserve"> </w:t>
      </w:r>
    </w:p>
    <w:p w14:paraId="057AE38E" w14:textId="77777777" w:rsidR="00D52EE6" w:rsidRDefault="00A1639C" w:rsidP="00C0378D">
      <w:pPr>
        <w:jc w:val="both"/>
      </w:pPr>
      <w:r>
        <w:t xml:space="preserve">Në tabelën në vijim </w:t>
      </w:r>
      <w:r w:rsidR="00BF7B36">
        <w:t xml:space="preserve">janë dhënë burimet e furnizimit për të mbuluar kërkesën e konsumatorëve të FSHU-së. </w:t>
      </w:r>
    </w:p>
    <w:p w14:paraId="56786C5E" w14:textId="77777777" w:rsidR="005129C7" w:rsidRPr="005129C7" w:rsidRDefault="005129C7" w:rsidP="005129C7">
      <w:pPr>
        <w:tabs>
          <w:tab w:val="left" w:pos="3218"/>
        </w:tabs>
        <w:spacing w:after="0"/>
        <w:jc w:val="center"/>
        <w:rPr>
          <w:b/>
          <w:i/>
          <w:color w:val="17365D" w:themeColor="text2" w:themeShade="BF"/>
        </w:rPr>
      </w:pPr>
      <w:r w:rsidRPr="00A67D35">
        <w:rPr>
          <w:b/>
          <w:i/>
          <w:color w:val="17365D" w:themeColor="text2" w:themeShade="BF"/>
        </w:rPr>
        <w:t>Tabela</w:t>
      </w:r>
      <w:r w:rsidR="00AD630F" w:rsidRPr="00A67D35">
        <w:rPr>
          <w:b/>
          <w:i/>
          <w:color w:val="17365D" w:themeColor="text2" w:themeShade="BF"/>
        </w:rPr>
        <w:t xml:space="preserve"> 1</w:t>
      </w:r>
      <w:r w:rsidRPr="00A67D35">
        <w:rPr>
          <w:b/>
          <w:i/>
          <w:color w:val="17365D" w:themeColor="text2" w:themeShade="BF"/>
        </w:rPr>
        <w:t>: Bilanci i energjisë elektrike për FSHU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40"/>
        <w:gridCol w:w="2189"/>
      </w:tblGrid>
      <w:tr w:rsidR="00BD043F" w:rsidRPr="00AD630F" w14:paraId="682C2680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64E22B50" w14:textId="77777777" w:rsidR="00BD043F" w:rsidRPr="00AD630F" w:rsidRDefault="00BD043F" w:rsidP="00BD043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AD630F">
              <w:rPr>
                <w:rFonts w:eastAsia="Times New Roman" w:cstheme="minorHAnsi"/>
                <w:b/>
                <w:bCs/>
                <w:color w:val="FFFFFF"/>
              </w:rPr>
              <w:t>Blerjet e energjisë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53A47BBF" w14:textId="77777777" w:rsidR="00BD043F" w:rsidRPr="00AD630F" w:rsidRDefault="00BD043F" w:rsidP="00BD04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proofErr w:type="spellStart"/>
            <w:r w:rsidRPr="00AD630F">
              <w:rPr>
                <w:rFonts w:eastAsia="Times New Roman" w:cstheme="minorHAnsi"/>
                <w:b/>
                <w:bCs/>
                <w:color w:val="FFFFFF"/>
              </w:rPr>
              <w:t>G</w:t>
            </w:r>
            <w:r w:rsidR="00C6478E">
              <w:rPr>
                <w:rFonts w:eastAsia="Times New Roman" w:cstheme="minorHAnsi"/>
                <w:b/>
                <w:bCs/>
                <w:color w:val="FFFFFF"/>
              </w:rPr>
              <w:t>W</w:t>
            </w:r>
            <w:r w:rsidRPr="00AD630F">
              <w:rPr>
                <w:rFonts w:eastAsia="Times New Roman" w:cstheme="minorHAnsi"/>
                <w:b/>
                <w:bCs/>
                <w:color w:val="FFFFFF"/>
              </w:rPr>
              <w:t>h</w:t>
            </w:r>
            <w:proofErr w:type="spellEnd"/>
          </w:p>
        </w:tc>
      </w:tr>
      <w:tr w:rsidR="00BD043F" w:rsidRPr="00AD630F" w14:paraId="726A2011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DEDB9" w14:textId="77777777" w:rsidR="00BD043F" w:rsidRPr="00AD630F" w:rsidRDefault="00BD043F" w:rsidP="00AD630F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>Sasitë e furnizuara nga KEK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570ED" w14:textId="5F68657D" w:rsidR="00BD043F" w:rsidRPr="00AD630F" w:rsidRDefault="00BD043F" w:rsidP="00DC53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         </w:t>
            </w:r>
            <w:r w:rsidR="00C6478E">
              <w:rPr>
                <w:rFonts w:eastAsia="Times New Roman" w:cstheme="minorHAnsi"/>
                <w:color w:val="000000"/>
              </w:rPr>
              <w:t>3,</w:t>
            </w:r>
            <w:r w:rsidR="00127C6A">
              <w:rPr>
                <w:rFonts w:eastAsia="Times New Roman" w:cstheme="minorHAnsi"/>
                <w:color w:val="000000"/>
              </w:rPr>
              <w:t>732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D043F" w:rsidRPr="00AD630F" w14:paraId="0CBBCF5C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D2E2D" w14:textId="634B6E47" w:rsidR="00BD043F" w:rsidRPr="00AD630F" w:rsidRDefault="00127C6A" w:rsidP="00AD630F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</w:t>
            </w:r>
            <w:r w:rsidR="00BD043F" w:rsidRPr="00AD630F">
              <w:rPr>
                <w:rFonts w:eastAsia="Times New Roman" w:cstheme="minorHAnsi"/>
                <w:color w:val="000000"/>
              </w:rPr>
              <w:t>jeneratorë</w:t>
            </w:r>
            <w:r>
              <w:rPr>
                <w:rFonts w:eastAsia="Times New Roman" w:cstheme="minorHAnsi"/>
                <w:color w:val="000000"/>
              </w:rPr>
              <w:t>t</w:t>
            </w:r>
            <w:r w:rsidR="00BD043F" w:rsidRPr="00AD630F">
              <w:rPr>
                <w:rFonts w:eastAsia="Times New Roman" w:cstheme="minorHAnsi"/>
                <w:color w:val="000000"/>
              </w:rPr>
              <w:t xml:space="preserve"> në nivel të OST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153E1" w14:textId="30EED6E4" w:rsidR="00BD043F" w:rsidRPr="00AD630F" w:rsidRDefault="00DC5348" w:rsidP="00C647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  <w:r w:rsidR="00127C6A">
              <w:rPr>
                <w:rFonts w:eastAsia="Times New Roman" w:cstheme="minorHAnsi"/>
                <w:color w:val="000000"/>
              </w:rPr>
              <w:t>16</w:t>
            </w:r>
          </w:p>
        </w:tc>
      </w:tr>
      <w:tr w:rsidR="00BD043F" w:rsidRPr="00AD630F" w14:paraId="3AA6B422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EB020" w14:textId="77777777" w:rsidR="00BD043F" w:rsidRPr="00AD630F" w:rsidRDefault="00BD043F" w:rsidP="00AD630F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>Gjeneratorë</w:t>
            </w:r>
            <w:r w:rsidR="001D1277">
              <w:rPr>
                <w:rFonts w:eastAsia="Times New Roman" w:cstheme="minorHAnsi"/>
                <w:color w:val="000000"/>
              </w:rPr>
              <w:t>t</w:t>
            </w:r>
            <w:r w:rsidRPr="00AD630F">
              <w:rPr>
                <w:rFonts w:eastAsia="Times New Roman" w:cstheme="minorHAnsi"/>
                <w:color w:val="000000"/>
              </w:rPr>
              <w:t xml:space="preserve"> në nivel të </w:t>
            </w:r>
            <w:proofErr w:type="spellStart"/>
            <w:r w:rsidRPr="00AD630F">
              <w:rPr>
                <w:rFonts w:eastAsia="Times New Roman" w:cstheme="minorHAnsi"/>
                <w:color w:val="000000"/>
              </w:rPr>
              <w:t>OSSh</w:t>
            </w:r>
            <w:proofErr w:type="spellEnd"/>
            <w:r w:rsidRPr="00AD630F">
              <w:rPr>
                <w:rFonts w:eastAsia="Times New Roman" w:cstheme="minorHAnsi"/>
                <w:color w:val="000000"/>
              </w:rPr>
              <w:t>-së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77BD6" w14:textId="76E11582" w:rsidR="00BD043F" w:rsidRPr="00AD630F" w:rsidRDefault="00BD043F" w:rsidP="00DC53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             </w:t>
            </w:r>
            <w:r w:rsidR="00127C6A">
              <w:rPr>
                <w:rFonts w:eastAsia="Times New Roman" w:cstheme="minorHAnsi"/>
                <w:color w:val="000000"/>
              </w:rPr>
              <w:t>199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D043F" w:rsidRPr="00AD630F" w14:paraId="6DA87DA7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94BB4" w14:textId="77777777" w:rsidR="00BD043F" w:rsidRPr="00AD630F" w:rsidRDefault="00BD043F" w:rsidP="00AD630F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>Importi</w:t>
            </w:r>
          </w:p>
        </w:tc>
        <w:tc>
          <w:tcPr>
            <w:tcW w:w="121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9F995" w14:textId="09029D1F" w:rsidR="00BD043F" w:rsidRPr="00AD630F" w:rsidRDefault="00127C6A" w:rsidP="00A1639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83</w:t>
            </w:r>
          </w:p>
        </w:tc>
      </w:tr>
      <w:tr w:rsidR="00BD043F" w:rsidRPr="00AD630F" w14:paraId="41BE258B" w14:textId="77777777" w:rsidTr="00AD630F">
        <w:trPr>
          <w:trHeight w:val="351"/>
          <w:jc w:val="center"/>
        </w:trPr>
        <w:tc>
          <w:tcPr>
            <w:tcW w:w="378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9562B" w14:textId="77777777" w:rsidR="00BD043F" w:rsidRPr="00AD630F" w:rsidRDefault="00BD043F" w:rsidP="00BD043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630F">
              <w:rPr>
                <w:rFonts w:eastAsia="Times New Roman" w:cstheme="minorHAnsi"/>
                <w:b/>
                <w:bCs/>
              </w:rPr>
              <w:t xml:space="preserve"> Total sasitë e furnizuara </w:t>
            </w:r>
          </w:p>
        </w:tc>
        <w:tc>
          <w:tcPr>
            <w:tcW w:w="121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B9C0B" w14:textId="4A5213FC" w:rsidR="00BD043F" w:rsidRPr="00AD630F" w:rsidRDefault="00BD043F" w:rsidP="00DC53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AD630F">
              <w:rPr>
                <w:rFonts w:eastAsia="Times New Roman" w:cstheme="minorHAnsi"/>
                <w:b/>
                <w:bCs/>
              </w:rPr>
              <w:t xml:space="preserve">            </w:t>
            </w:r>
            <w:r w:rsidR="00214901">
              <w:rPr>
                <w:rFonts w:eastAsia="Times New Roman" w:cstheme="minorHAnsi"/>
                <w:b/>
                <w:bCs/>
              </w:rPr>
              <w:fldChar w:fldCharType="begin"/>
            </w:r>
            <w:r w:rsidR="00DC5348">
              <w:rPr>
                <w:rFonts w:eastAsia="Times New Roman" w:cstheme="minorHAnsi"/>
                <w:b/>
                <w:bCs/>
              </w:rPr>
              <w:instrText xml:space="preserve"> =SUM(ABOVE) </w:instrText>
            </w:r>
            <w:r w:rsidR="00214901">
              <w:rPr>
                <w:rFonts w:eastAsia="Times New Roman" w:cstheme="minorHAnsi"/>
                <w:b/>
                <w:bCs/>
              </w:rPr>
              <w:fldChar w:fldCharType="separate"/>
            </w:r>
            <w:r w:rsidR="00127C6A">
              <w:rPr>
                <w:rFonts w:eastAsia="Times New Roman" w:cstheme="minorHAnsi"/>
                <w:b/>
                <w:bCs/>
                <w:noProof/>
              </w:rPr>
              <w:t>4,23</w:t>
            </w:r>
            <w:r w:rsidR="00214901">
              <w:rPr>
                <w:rFonts w:eastAsia="Times New Roman" w:cstheme="minorHAnsi"/>
                <w:b/>
                <w:bCs/>
              </w:rPr>
              <w:fldChar w:fldCharType="end"/>
            </w:r>
            <w:r w:rsidR="00127C6A">
              <w:rPr>
                <w:rFonts w:eastAsia="Times New Roman" w:cstheme="minorHAnsi"/>
                <w:b/>
                <w:bCs/>
              </w:rPr>
              <w:t>1</w:t>
            </w:r>
          </w:p>
        </w:tc>
      </w:tr>
      <w:tr w:rsidR="00BD043F" w:rsidRPr="00AD630F" w14:paraId="457AF5BF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30D47" w14:textId="77777777" w:rsidR="00BD043F" w:rsidRPr="00AD630F" w:rsidRDefault="00BD043F" w:rsidP="00BD043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630F">
              <w:rPr>
                <w:rFonts w:eastAsia="Times New Roman" w:cstheme="minorHAnsi"/>
                <w:b/>
                <w:bCs/>
              </w:rPr>
              <w:t xml:space="preserve"> Konsumi sipas kategorive të konsumatorëve FSHU </w:t>
            </w:r>
          </w:p>
        </w:tc>
        <w:tc>
          <w:tcPr>
            <w:tcW w:w="121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13716" w14:textId="77777777" w:rsidR="00BD043F" w:rsidRPr="00AD630F" w:rsidRDefault="00BD043F" w:rsidP="00A1639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AD630F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BD043F" w:rsidRPr="00AD630F" w14:paraId="0662232C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2876A" w14:textId="77777777" w:rsidR="00BD043F" w:rsidRPr="00AD630F" w:rsidRDefault="00BD043F" w:rsidP="00AD630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Konsumatorët 35 </w:t>
            </w:r>
            <w:proofErr w:type="spellStart"/>
            <w:r w:rsidRPr="00AD630F">
              <w:rPr>
                <w:rFonts w:eastAsia="Times New Roman" w:cstheme="minorHAnsi"/>
                <w:color w:val="000000"/>
              </w:rPr>
              <w:t>kV</w:t>
            </w:r>
            <w:proofErr w:type="spellEnd"/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1BDFB" w14:textId="4E377AE7" w:rsidR="00BD043F" w:rsidRPr="00AD630F" w:rsidRDefault="00127C6A" w:rsidP="00DC53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59</w:t>
            </w:r>
          </w:p>
        </w:tc>
      </w:tr>
      <w:tr w:rsidR="00BD043F" w:rsidRPr="00AD630F" w14:paraId="5693B44F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C126B" w14:textId="77777777" w:rsidR="00BD043F" w:rsidRPr="00AD630F" w:rsidRDefault="00BD043F" w:rsidP="00AD630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Konsumatorët 10 </w:t>
            </w:r>
            <w:proofErr w:type="spellStart"/>
            <w:r w:rsidRPr="00AD630F">
              <w:rPr>
                <w:rFonts w:eastAsia="Times New Roman" w:cstheme="minorHAnsi"/>
                <w:color w:val="000000"/>
              </w:rPr>
              <w:t>kV</w:t>
            </w:r>
            <w:proofErr w:type="spellEnd"/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B7EFE" w14:textId="0C1B24CC" w:rsidR="00BD043F" w:rsidRPr="00AD630F" w:rsidRDefault="00BD043F" w:rsidP="00DC53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             </w:t>
            </w:r>
            <w:r w:rsidR="00127C6A">
              <w:rPr>
                <w:rFonts w:eastAsia="Times New Roman" w:cstheme="minorHAnsi"/>
                <w:color w:val="000000"/>
              </w:rPr>
              <w:t>450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D043F" w:rsidRPr="00AD630F" w14:paraId="253EDF99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912F6" w14:textId="77777777" w:rsidR="00BD043F" w:rsidRPr="00AD630F" w:rsidRDefault="00BD043F" w:rsidP="00AD630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Konsumatorët 0.4 </w:t>
            </w:r>
            <w:proofErr w:type="spellStart"/>
            <w:r w:rsidRPr="00AD630F">
              <w:rPr>
                <w:rFonts w:eastAsia="Times New Roman" w:cstheme="minorHAnsi"/>
                <w:color w:val="000000"/>
              </w:rPr>
              <w:t>kV</w:t>
            </w:r>
            <w:proofErr w:type="spellEnd"/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96685" w14:textId="2943D363" w:rsidR="00BD043F" w:rsidRPr="00AD630F" w:rsidRDefault="00180CE9" w:rsidP="00DC53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</w:t>
            </w:r>
            <w:r w:rsidR="00127C6A">
              <w:rPr>
                <w:rFonts w:eastAsia="Times New Roman" w:cstheme="minorHAnsi"/>
                <w:color w:val="000000"/>
              </w:rPr>
              <w:t>722</w:t>
            </w:r>
          </w:p>
        </w:tc>
      </w:tr>
      <w:tr w:rsidR="00BD043F" w:rsidRPr="00AD630F" w14:paraId="18848DD3" w14:textId="77777777" w:rsidTr="00AD630F">
        <w:trPr>
          <w:trHeight w:val="319"/>
          <w:jc w:val="center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7814BDFB" w14:textId="77777777" w:rsidR="00BD043F" w:rsidRPr="00AD630F" w:rsidRDefault="00BD043F" w:rsidP="00BD043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AD630F">
              <w:rPr>
                <w:rFonts w:eastAsia="Times New Roman" w:cstheme="minorHAnsi"/>
                <w:b/>
                <w:bCs/>
                <w:color w:val="FFFFFF"/>
              </w:rPr>
              <w:t xml:space="preserve"> Total konsumi i konsumatorëve </w:t>
            </w:r>
            <w:r w:rsidR="001D1277">
              <w:rPr>
                <w:rFonts w:eastAsia="Times New Roman" w:cstheme="minorHAnsi"/>
                <w:b/>
                <w:bCs/>
                <w:color w:val="FFFFFF"/>
              </w:rPr>
              <w:t xml:space="preserve">të </w:t>
            </w:r>
            <w:r w:rsidRPr="00AD630F">
              <w:rPr>
                <w:rFonts w:eastAsia="Times New Roman" w:cstheme="minorHAnsi"/>
                <w:b/>
                <w:bCs/>
                <w:color w:val="FFFFFF"/>
              </w:rPr>
              <w:t xml:space="preserve">FSHU 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4EC93860" w14:textId="6AB44D88" w:rsidR="00BD043F" w:rsidRPr="00AD630F" w:rsidRDefault="00180CE9" w:rsidP="00DC534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 xml:space="preserve">            </w:t>
            </w:r>
            <w:r w:rsidR="00DC5348">
              <w:rPr>
                <w:rFonts w:eastAsia="Times New Roman" w:cstheme="minorHAnsi"/>
                <w:b/>
                <w:bCs/>
                <w:color w:val="FFFFFF"/>
              </w:rPr>
              <w:t>4,</w:t>
            </w:r>
            <w:r w:rsidR="00127C6A">
              <w:rPr>
                <w:rFonts w:eastAsia="Times New Roman" w:cstheme="minorHAnsi"/>
                <w:b/>
                <w:bCs/>
                <w:color w:val="FFFFFF"/>
              </w:rPr>
              <w:t>231</w:t>
            </w:r>
          </w:p>
        </w:tc>
      </w:tr>
    </w:tbl>
    <w:p w14:paraId="30418E0D" w14:textId="77777777" w:rsidR="001D1277" w:rsidRDefault="001D1277" w:rsidP="001D1277">
      <w:pPr>
        <w:spacing w:after="0"/>
        <w:ind w:left="360"/>
        <w:jc w:val="both"/>
      </w:pPr>
    </w:p>
    <w:p w14:paraId="5DF35D9D" w14:textId="758E9276" w:rsidR="00BF7B36" w:rsidRDefault="00BF7B36" w:rsidP="001C3094">
      <w:pPr>
        <w:jc w:val="both"/>
      </w:pPr>
      <w:r>
        <w:t xml:space="preserve">Siç shihet nga tabela sasia e energjisë që planifikohet të konsumohet nga konsumatorët me </w:t>
      </w:r>
      <w:r w:rsidR="004923F4">
        <w:t xml:space="preserve">të </w:t>
      </w:r>
      <w:r>
        <w:t>drejtë të shërbimit universal është e barabartë me sasitë që duhet të mbulohen nga burimet e ndryshme të furnizimit.</w:t>
      </w:r>
      <w:r w:rsidR="00A67D35">
        <w:t xml:space="preserve"> </w:t>
      </w:r>
      <w:proofErr w:type="spellStart"/>
      <w:r w:rsidR="00A67D35">
        <w:t>Alokimi</w:t>
      </w:r>
      <w:proofErr w:type="spellEnd"/>
      <w:r w:rsidR="00A67D35">
        <w:t xml:space="preserve"> i energjisë</w:t>
      </w:r>
      <w:r w:rsidR="00127C6A">
        <w:t xml:space="preserve"> p</w:t>
      </w:r>
      <w:r w:rsidR="00A67D35">
        <w:t>ë</w:t>
      </w:r>
      <w:r w:rsidR="00127C6A">
        <w:t>r konsumator</w:t>
      </w:r>
      <w:r w:rsidR="00A67D35">
        <w:t>ë</w:t>
      </w:r>
      <w:r w:rsidR="00127C6A">
        <w:t>t me sh</w:t>
      </w:r>
      <w:r w:rsidR="00A67D35">
        <w:t>ë</w:t>
      </w:r>
      <w:r w:rsidR="00127C6A">
        <w:t xml:space="preserve">rbim universal </w:t>
      </w:r>
      <w:r w:rsidR="00466297">
        <w:t>p</w:t>
      </w:r>
      <w:r w:rsidR="00A67D35">
        <w:t>ë</w:t>
      </w:r>
      <w:r w:rsidR="00466297">
        <w:t>r</w:t>
      </w:r>
      <w:r w:rsidR="00127C6A">
        <w:t xml:space="preserve"> energjin</w:t>
      </w:r>
      <w:r w:rsidR="00A67D35">
        <w:t>ë</w:t>
      </w:r>
      <w:r w:rsidR="00127C6A">
        <w:t xml:space="preserve"> nga burimet e </w:t>
      </w:r>
      <w:proofErr w:type="spellStart"/>
      <w:r w:rsidR="00466297">
        <w:t>rip</w:t>
      </w:r>
      <w:r w:rsidR="00A67D35">
        <w:t>ë</w:t>
      </w:r>
      <w:r w:rsidR="00466297">
        <w:t>rt</w:t>
      </w:r>
      <w:r w:rsidR="00A67D35">
        <w:t>ë</w:t>
      </w:r>
      <w:r w:rsidR="00466297">
        <w:t>rithsme</w:t>
      </w:r>
      <w:proofErr w:type="spellEnd"/>
      <w:r w:rsidR="00466297">
        <w:t xml:space="preserve">, </w:t>
      </w:r>
      <w:r w:rsidR="00A67D35">
        <w:t>ë</w:t>
      </w:r>
      <w:r w:rsidR="00466297">
        <w:t>sht</w:t>
      </w:r>
      <w:r w:rsidR="00A67D35">
        <w:t>ë</w:t>
      </w:r>
      <w:r w:rsidR="00466297">
        <w:t xml:space="preserve"> b</w:t>
      </w:r>
      <w:r w:rsidR="00A67D35">
        <w:t>ë</w:t>
      </w:r>
      <w:r w:rsidR="00466297">
        <w:t>r</w:t>
      </w:r>
      <w:r w:rsidR="00A67D35">
        <w:t>ë</w:t>
      </w:r>
      <w:r w:rsidR="00466297">
        <w:t xml:space="preserve"> proporcionalisht n</w:t>
      </w:r>
      <w:r w:rsidR="00A67D35">
        <w:t>ë</w:t>
      </w:r>
      <w:r w:rsidR="00466297">
        <w:t xml:space="preserve"> mes t</w:t>
      </w:r>
      <w:r w:rsidR="00A67D35">
        <w:t>ë</w:t>
      </w:r>
      <w:r w:rsidR="00466297">
        <w:t xml:space="preserve"> konsumit t</w:t>
      </w:r>
      <w:r w:rsidR="00A67D35">
        <w:t>ë ko</w:t>
      </w:r>
      <w:r w:rsidR="00466297">
        <w:t>n</w:t>
      </w:r>
      <w:r w:rsidR="00A67D35">
        <w:t>s</w:t>
      </w:r>
      <w:r w:rsidR="00466297">
        <w:t>umator</w:t>
      </w:r>
      <w:r w:rsidR="00A67D35">
        <w:t>ë</w:t>
      </w:r>
      <w:r w:rsidR="00466297">
        <w:t>ve t</w:t>
      </w:r>
      <w:r w:rsidR="00A67D35">
        <w:t>ë</w:t>
      </w:r>
      <w:r w:rsidR="00466297">
        <w:t xml:space="preserve"> rregulluar dhe atyre t</w:t>
      </w:r>
      <w:r w:rsidR="00A67D35">
        <w:t>ë</w:t>
      </w:r>
      <w:r w:rsidR="00466297">
        <w:t xml:space="preserve"> parregulluar. Nd</w:t>
      </w:r>
      <w:r w:rsidR="00A67D35">
        <w:t>ë</w:t>
      </w:r>
      <w:r w:rsidR="00466297">
        <w:t>rsa energjia e prodhuar nga Hidrocentralet me t</w:t>
      </w:r>
      <w:r w:rsidR="00A67D35">
        <w:t>ë</w:t>
      </w:r>
      <w:r w:rsidR="00466297">
        <w:t xml:space="preserve"> cilat FSHU ka marr</w:t>
      </w:r>
      <w:r w:rsidR="00A67D35">
        <w:t>ë</w:t>
      </w:r>
      <w:r w:rsidR="00466297">
        <w:t xml:space="preserve">veshje </w:t>
      </w:r>
      <w:proofErr w:type="spellStart"/>
      <w:r w:rsidR="00466297">
        <w:t>koncesionare</w:t>
      </w:r>
      <w:proofErr w:type="spellEnd"/>
      <w:r w:rsidR="00466297">
        <w:t xml:space="preserve">, i </w:t>
      </w:r>
      <w:r w:rsidR="00A67D35">
        <w:t>ë</w:t>
      </w:r>
      <w:r w:rsidR="00466297">
        <w:t>sht</w:t>
      </w:r>
      <w:r w:rsidR="00A67D35">
        <w:t>ë</w:t>
      </w:r>
      <w:r w:rsidR="00466297">
        <w:t xml:space="preserve"> </w:t>
      </w:r>
      <w:proofErr w:type="spellStart"/>
      <w:r w:rsidR="00466297">
        <w:t>alokuar</w:t>
      </w:r>
      <w:proofErr w:type="spellEnd"/>
      <w:r w:rsidR="00466297">
        <w:t xml:space="preserve"> konsumator</w:t>
      </w:r>
      <w:r w:rsidR="00A67D35">
        <w:t>ë</w:t>
      </w:r>
      <w:r w:rsidR="00466297">
        <w:t xml:space="preserve">ve </w:t>
      </w:r>
      <w:r w:rsidR="00811875">
        <w:t xml:space="preserve">të </w:t>
      </w:r>
      <w:r w:rsidR="00466297">
        <w:t>FSHU</w:t>
      </w:r>
      <w:r w:rsidR="00811875">
        <w:t>-së</w:t>
      </w:r>
      <w:r w:rsidR="00466297">
        <w:t xml:space="preserve">, </w:t>
      </w:r>
      <w:proofErr w:type="spellStart"/>
      <w:r w:rsidR="00466297">
        <w:t>konform</w:t>
      </w:r>
      <w:proofErr w:type="spellEnd"/>
      <w:r w:rsidR="00466297">
        <w:t xml:space="preserve"> marr</w:t>
      </w:r>
      <w:r w:rsidR="00A67D35">
        <w:t>ë</w:t>
      </w:r>
      <w:r w:rsidR="00466297">
        <w:t>veshjeve n</w:t>
      </w:r>
      <w:r w:rsidR="00A67D35">
        <w:t>ë</w:t>
      </w:r>
      <w:r w:rsidR="00466297">
        <w:t xml:space="preserve"> mes pal</w:t>
      </w:r>
      <w:r w:rsidR="00A67D35">
        <w:t>ë</w:t>
      </w:r>
      <w:r w:rsidR="00466297">
        <w:t xml:space="preserve">ve. </w:t>
      </w:r>
    </w:p>
    <w:p w14:paraId="12DAB90A" w14:textId="77777777" w:rsidR="00404139" w:rsidRDefault="00404139" w:rsidP="00404139">
      <w:pPr>
        <w:jc w:val="both"/>
      </w:pPr>
    </w:p>
    <w:p w14:paraId="34F9F327" w14:textId="27A81014" w:rsidR="005129C7" w:rsidRDefault="005129C7" w:rsidP="00404139">
      <w:pPr>
        <w:jc w:val="both"/>
      </w:pPr>
      <w:r>
        <w:t xml:space="preserve">Mbulimi i humbjeve në sistemin e transmetimit dhe të shpërndarjes janë përgjegjësi e operatorëve të rrjeteve përkatëse dhe siç shihet ato nuk janë paraqitur në këtë tabelë. Trajtimi i tyre është bërë në </w:t>
      </w:r>
      <w:r w:rsidR="009720DC">
        <w:t>R</w:t>
      </w:r>
      <w:r>
        <w:t xml:space="preserve">aportet Konsultative për MAR-et e OST/OT-së dhe </w:t>
      </w:r>
      <w:proofErr w:type="spellStart"/>
      <w:r>
        <w:t>OSSh</w:t>
      </w:r>
      <w:proofErr w:type="spellEnd"/>
      <w:r>
        <w:t>-së</w:t>
      </w:r>
      <w:r w:rsidR="00811875">
        <w:t xml:space="preserve"> për vitin 2021</w:t>
      </w:r>
      <w:r>
        <w:t>.</w:t>
      </w:r>
    </w:p>
    <w:p w14:paraId="73F1FB07" w14:textId="146AB0EB" w:rsidR="008773FD" w:rsidRDefault="008773FD" w:rsidP="008773FD">
      <w:pPr>
        <w:pStyle w:val="Heading1"/>
        <w:numPr>
          <w:ilvl w:val="0"/>
          <w:numId w:val="2"/>
        </w:numPr>
        <w:spacing w:before="0"/>
        <w:rPr>
          <w:rFonts w:asciiTheme="minorHAnsi" w:hAnsiTheme="minorHAnsi" w:cstheme="minorHAnsi"/>
        </w:rPr>
      </w:pPr>
      <w:bookmarkStart w:id="3" w:name="_Toc80690015"/>
      <w:r w:rsidRPr="008773FD">
        <w:rPr>
          <w:rFonts w:asciiTheme="minorHAnsi" w:hAnsiTheme="minorHAnsi" w:cstheme="minorHAnsi"/>
        </w:rPr>
        <w:t>Kostot me shumic</w:t>
      </w:r>
      <w:r w:rsidR="004923F4" w:rsidRPr="004923F4">
        <w:rPr>
          <w:rFonts w:asciiTheme="minorHAnsi" w:hAnsiTheme="minorHAnsi" w:cstheme="minorHAnsi"/>
        </w:rPr>
        <w:t>ë</w:t>
      </w:r>
      <w:r w:rsidR="00912C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912C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blerjet e energjisë</w:t>
      </w:r>
      <w:bookmarkEnd w:id="3"/>
    </w:p>
    <w:p w14:paraId="25382FE9" w14:textId="7F7291A3" w:rsidR="005D35F3" w:rsidRDefault="005129C7" w:rsidP="00BF21DC">
      <w:pPr>
        <w:spacing w:before="120" w:after="120"/>
        <w:jc w:val="both"/>
      </w:pPr>
      <w:r>
        <w:t>Pas përcaktimit të sasive të nevojshme për furni</w:t>
      </w:r>
      <w:r w:rsidR="00024C9E">
        <w:t>zim me qëllim të mbulimit të kërkesave të konsumatorë</w:t>
      </w:r>
      <w:r w:rsidR="001D1277">
        <w:t>ve</w:t>
      </w:r>
      <w:r w:rsidR="00024C9E">
        <w:t xml:space="preserve"> të FSHU-së, duhet të bëhet edhe kalkulimi i kostove për blerje të energjisë në tregun me shumicë. </w:t>
      </w:r>
      <w:r w:rsidR="000458E8">
        <w:t xml:space="preserve">Në pajtim me Rregullën për të Hyrat e FSHU-së, </w:t>
      </w:r>
      <w:r w:rsidR="005D35F3" w:rsidRPr="005D35F3">
        <w:t xml:space="preserve">Furnizuesi i Shërbimit Universal është i detyruar të sigurojë energji elektrike në mënyrë transparente, konkurruese dhe efikase. Furnizuesi </w:t>
      </w:r>
      <w:r w:rsidR="001C3094">
        <w:t>me</w:t>
      </w:r>
      <w:r w:rsidR="005D35F3" w:rsidRPr="005D35F3">
        <w:t xml:space="preserve"> Shërbim Universal duhet të demonstrojë se çmimet e parashikuara të energjisë elektrike që do të prokurohen janë të arsyeshme. </w:t>
      </w:r>
    </w:p>
    <w:p w14:paraId="694A1EB0" w14:textId="04345A85" w:rsidR="00404139" w:rsidRDefault="00404139" w:rsidP="00526E92">
      <w:pPr>
        <w:spacing w:after="0"/>
        <w:jc w:val="both"/>
      </w:pPr>
      <w:r>
        <w:t xml:space="preserve">Nga hulumtimi i blerjeve të blerjeve të energjisë nga rregullatori, është gjetur se shitjet e energjisë nga HC </w:t>
      </w:r>
      <w:proofErr w:type="spellStart"/>
      <w:r>
        <w:t>Ujmani</w:t>
      </w:r>
      <w:proofErr w:type="spellEnd"/>
      <w:r>
        <w:t xml:space="preserve"> që është hidrocentrali më i madh në vend, realizohen përmes një kontrate të </w:t>
      </w:r>
      <w:proofErr w:type="spellStart"/>
      <w:r>
        <w:t>arrtitur</w:t>
      </w:r>
      <w:proofErr w:type="spellEnd"/>
      <w:r>
        <w:t xml:space="preserve"> </w:t>
      </w:r>
      <w:r w:rsidR="0005589A">
        <w:t>në maj të vitit 2019 me afat një vjeçar (</w:t>
      </w:r>
      <w:r w:rsidR="0005589A" w:rsidRPr="00E452B2">
        <w:rPr>
          <w:rFonts w:cstheme="minorHAnsi"/>
          <w:color w:val="212121"/>
          <w:shd w:val="clear" w:color="auto" w:fill="FFFFFF"/>
        </w:rPr>
        <w:t>nga data 17.05.2019 deri 16.05.2020</w:t>
      </w:r>
      <w:r w:rsidR="0005589A">
        <w:rPr>
          <w:rFonts w:cstheme="minorHAnsi"/>
          <w:color w:val="212121"/>
          <w:shd w:val="clear" w:color="auto" w:fill="FFFFFF"/>
        </w:rPr>
        <w:t>). Pas skadimit të kontratës në kundërshtim me P</w:t>
      </w:r>
      <w:r>
        <w:t>rocedurë</w:t>
      </w:r>
      <w:r w:rsidR="0005589A">
        <w:t>n</w:t>
      </w:r>
      <w:r>
        <w:t xml:space="preserve"> për </w:t>
      </w:r>
      <w:r w:rsidR="0005589A">
        <w:t>S</w:t>
      </w:r>
      <w:r>
        <w:t xml:space="preserve">hitblerje të </w:t>
      </w:r>
      <w:r w:rsidR="0005589A">
        <w:t>E</w:t>
      </w:r>
      <w:r>
        <w:t>nergjisë</w:t>
      </w:r>
      <w:r w:rsidR="0005589A">
        <w:t xml:space="preserve"> është bërë vazhdimi i shitblerjeve të energjisë nga HC </w:t>
      </w:r>
      <w:proofErr w:type="spellStart"/>
      <w:r w:rsidR="0005589A">
        <w:t>Ujman</w:t>
      </w:r>
      <w:proofErr w:type="spellEnd"/>
      <w:r w:rsidR="00A20B1B">
        <w:t xml:space="preserve"> deri me datën 31 dhjetor 2020</w:t>
      </w:r>
      <w:r>
        <w:t xml:space="preserve">. Kjo ka pamundësuar që KESCO-FSHU të realizojë blerje të energjisë në mënyrë më </w:t>
      </w:r>
      <w:proofErr w:type="spellStart"/>
      <w:r>
        <w:t>efiç</w:t>
      </w:r>
      <w:r w:rsidR="00A20B1B">
        <w:t>iente</w:t>
      </w:r>
      <w:proofErr w:type="spellEnd"/>
      <w:r w:rsidR="00A20B1B">
        <w:t xml:space="preserve"> për furnizim të konsumatorëve të rregulluar. </w:t>
      </w:r>
    </w:p>
    <w:p w14:paraId="5BF7FCFE" w14:textId="078083C3" w:rsidR="00A20B1B" w:rsidRDefault="00D336CF" w:rsidP="00BF21DC">
      <w:pPr>
        <w:spacing w:before="120" w:after="120"/>
        <w:jc w:val="both"/>
      </w:pPr>
      <w:r>
        <w:t xml:space="preserve">KESCO-FSHU nuk </w:t>
      </w:r>
      <w:r w:rsidR="00811875">
        <w:t xml:space="preserve">ka </w:t>
      </w:r>
      <w:r>
        <w:t xml:space="preserve">parashikuar blerje të energjisë nga HC </w:t>
      </w:r>
      <w:proofErr w:type="spellStart"/>
      <w:r>
        <w:t>Ujman</w:t>
      </w:r>
      <w:proofErr w:type="spellEnd"/>
      <w:r w:rsidR="00E94F4E">
        <w:t xml:space="preserve"> as për vitin tarifor 2021, prandaj KESCO-FSHU duhet të dëshmojë </w:t>
      </w:r>
      <w:r w:rsidR="009C79CC">
        <w:t xml:space="preserve">se </w:t>
      </w:r>
      <w:proofErr w:type="spellStart"/>
      <w:r w:rsidR="009C79CC">
        <w:t>alternavitat</w:t>
      </w:r>
      <w:proofErr w:type="spellEnd"/>
      <w:r w:rsidR="009C79CC">
        <w:t xml:space="preserve"> nga të cilat është </w:t>
      </w:r>
      <w:proofErr w:type="spellStart"/>
      <w:r w:rsidR="009C79CC">
        <w:t>zëvëndësuar</w:t>
      </w:r>
      <w:proofErr w:type="spellEnd"/>
      <w:r w:rsidR="009C79CC">
        <w:t xml:space="preserve"> kjo energji janë më të favorshme p</w:t>
      </w:r>
      <w:r w:rsidR="00811875">
        <w:t>ër konsumatorët fundor ashtu siç</w:t>
      </w:r>
      <w:r w:rsidR="009C79CC">
        <w:t xml:space="preserve"> kërkohet nga rregullat e të hyrave. </w:t>
      </w:r>
    </w:p>
    <w:p w14:paraId="5225FDFC" w14:textId="1A9B8499" w:rsidR="005D35F3" w:rsidRDefault="005D35F3" w:rsidP="00BF21DC">
      <w:pPr>
        <w:spacing w:before="120" w:after="120"/>
        <w:jc w:val="both"/>
      </w:pPr>
      <w:r>
        <w:t xml:space="preserve">Gjatë procesit të negocimit të kontratave për blerje të energjisë të FSHU-së nga </w:t>
      </w:r>
      <w:r w:rsidR="001B277C">
        <w:t>gjenerimi</w:t>
      </w:r>
      <w:r>
        <w:t xml:space="preserve"> vendor duhe</w:t>
      </w:r>
      <w:r w:rsidR="001B277C">
        <w:t>t</w:t>
      </w:r>
      <w:r>
        <w:t xml:space="preserve"> </w:t>
      </w:r>
      <w:r w:rsidR="001B277C">
        <w:t xml:space="preserve">pasur parasysh faktin se çmimet e parashikuara </w:t>
      </w:r>
      <w:r w:rsidR="001B277C" w:rsidRPr="00BF21DC">
        <w:t xml:space="preserve">janë në përputhje me çmimet historike dhe ato të projektuara të tregut me shumicë të Kosovës. </w:t>
      </w:r>
    </w:p>
    <w:p w14:paraId="5B3AACE2" w14:textId="4E68D936" w:rsidR="00811875" w:rsidRPr="00BF21DC" w:rsidRDefault="00811875" w:rsidP="00811875">
      <w:pPr>
        <w:jc w:val="both"/>
      </w:pPr>
      <w:r>
        <w:t xml:space="preserve">Në vlerësimin e kostos së blerjes së energjisë me shumicë, ZRRE ka marrë parasysh kostot </w:t>
      </w:r>
      <w:proofErr w:type="spellStart"/>
      <w:r>
        <w:t>direkte</w:t>
      </w:r>
      <w:proofErr w:type="spellEnd"/>
      <w:r>
        <w:t xml:space="preserve"> të Furnizuesit ndaj BRE-ve sipas rregullës për Skemën Mbështetëse, kostot për blerjen e energjisë nga gjeneratorët tjerë si</w:t>
      </w:r>
      <w:r>
        <w:rPr>
          <w:rFonts w:ascii="Calibri" w:hAnsi="Calibri" w:cs="Calibri"/>
        </w:rPr>
        <w:t xml:space="preserve">pas kushteve </w:t>
      </w:r>
      <w:proofErr w:type="spellStart"/>
      <w:r>
        <w:rPr>
          <w:rFonts w:ascii="Calibri" w:hAnsi="Calibri" w:cs="Calibri"/>
        </w:rPr>
        <w:t>kontraktuale</w:t>
      </w:r>
      <w:proofErr w:type="spellEnd"/>
      <w:r>
        <w:rPr>
          <w:rFonts w:ascii="Calibri" w:hAnsi="Calibri" w:cs="Calibri"/>
        </w:rPr>
        <w:t>.</w:t>
      </w:r>
    </w:p>
    <w:p w14:paraId="168D8830" w14:textId="77777777" w:rsidR="00024C9E" w:rsidRPr="00024C9E" w:rsidRDefault="00024C9E" w:rsidP="00024C9E">
      <w:pPr>
        <w:spacing w:after="0" w:line="240" w:lineRule="auto"/>
        <w:rPr>
          <w:sz w:val="15"/>
          <w:szCs w:val="15"/>
        </w:rPr>
      </w:pPr>
      <w:r w:rsidRPr="00024C9E">
        <w:rPr>
          <w:rFonts w:eastAsia="Calibri" w:cs="Calibri"/>
        </w:rPr>
        <w:t>K</w:t>
      </w:r>
      <w:r w:rsidRPr="00024C9E">
        <w:rPr>
          <w:rFonts w:eastAsia="Calibri" w:cs="Calibri"/>
          <w:spacing w:val="1"/>
        </w:rPr>
        <w:t>o</w:t>
      </w:r>
      <w:r w:rsidRPr="00024C9E">
        <w:rPr>
          <w:rFonts w:eastAsia="Calibri" w:cs="Calibri"/>
        </w:rPr>
        <w:t>s</w:t>
      </w:r>
      <w:r w:rsidRPr="00024C9E">
        <w:rPr>
          <w:rFonts w:eastAsia="Calibri" w:cs="Calibri"/>
          <w:spacing w:val="-2"/>
        </w:rPr>
        <w:t>t</w:t>
      </w:r>
      <w:r w:rsidRPr="00024C9E">
        <w:rPr>
          <w:rFonts w:eastAsia="Calibri" w:cs="Calibri"/>
          <w:spacing w:val="1"/>
        </w:rPr>
        <w:t>o</w:t>
      </w:r>
      <w:r w:rsidRPr="00024C9E">
        <w:rPr>
          <w:rFonts w:eastAsia="Calibri" w:cs="Calibri"/>
        </w:rPr>
        <w:t>t</w:t>
      </w:r>
      <w:r w:rsidRPr="00024C9E">
        <w:rPr>
          <w:rFonts w:eastAsia="Calibri" w:cs="Calibri"/>
          <w:spacing w:val="-2"/>
        </w:rPr>
        <w:t xml:space="preserve"> </w:t>
      </w:r>
      <w:r w:rsidRPr="00024C9E">
        <w:rPr>
          <w:rFonts w:eastAsia="Calibri" w:cs="Calibri"/>
        </w:rPr>
        <w:t>e</w:t>
      </w:r>
      <w:r w:rsidRPr="00024C9E">
        <w:rPr>
          <w:rFonts w:eastAsia="Calibri" w:cs="Calibri"/>
          <w:spacing w:val="1"/>
        </w:rPr>
        <w:t xml:space="preserve"> </w:t>
      </w:r>
      <w:r w:rsidRPr="00024C9E">
        <w:rPr>
          <w:rFonts w:eastAsia="Calibri" w:cs="Calibri"/>
          <w:spacing w:val="-2"/>
        </w:rPr>
        <w:t>l</w:t>
      </w:r>
      <w:r w:rsidRPr="00024C9E">
        <w:rPr>
          <w:rFonts w:eastAsia="Calibri" w:cs="Calibri"/>
        </w:rPr>
        <w:t>ejua</w:t>
      </w:r>
      <w:r w:rsidRPr="00024C9E">
        <w:rPr>
          <w:rFonts w:eastAsia="Calibri" w:cs="Calibri"/>
          <w:spacing w:val="-1"/>
        </w:rPr>
        <w:t>r</w:t>
      </w:r>
      <w:r w:rsidRPr="00024C9E">
        <w:rPr>
          <w:rFonts w:eastAsia="Calibri" w:cs="Calibri"/>
        </w:rPr>
        <w:t xml:space="preserve">a </w:t>
      </w:r>
      <w:r w:rsidRPr="00024C9E">
        <w:rPr>
          <w:rFonts w:eastAsia="Calibri" w:cs="Calibri"/>
          <w:spacing w:val="-2"/>
        </w:rPr>
        <w:t>t</w:t>
      </w:r>
      <w:r w:rsidRPr="00024C9E">
        <w:rPr>
          <w:rFonts w:eastAsia="Calibri" w:cs="Calibri"/>
        </w:rPr>
        <w:t>ë</w:t>
      </w:r>
      <w:r w:rsidRPr="00024C9E">
        <w:rPr>
          <w:rFonts w:eastAsia="Calibri" w:cs="Calibri"/>
          <w:spacing w:val="1"/>
        </w:rPr>
        <w:t xml:space="preserve"> </w:t>
      </w:r>
      <w:r w:rsidRPr="00024C9E">
        <w:rPr>
          <w:rFonts w:eastAsia="Calibri" w:cs="Calibri"/>
          <w:spacing w:val="2"/>
        </w:rPr>
        <w:t>e</w:t>
      </w:r>
      <w:r w:rsidRPr="00024C9E">
        <w:rPr>
          <w:rFonts w:eastAsia="Calibri" w:cs="Calibri"/>
          <w:spacing w:val="-3"/>
        </w:rPr>
        <w:t>n</w:t>
      </w:r>
      <w:r w:rsidRPr="00024C9E">
        <w:rPr>
          <w:rFonts w:eastAsia="Calibri" w:cs="Calibri"/>
        </w:rPr>
        <w:t>ergj</w:t>
      </w:r>
      <w:r w:rsidRPr="00024C9E">
        <w:rPr>
          <w:rFonts w:eastAsia="Calibri" w:cs="Calibri"/>
          <w:spacing w:val="-1"/>
        </w:rPr>
        <w:t>i</w:t>
      </w:r>
      <w:r w:rsidRPr="00024C9E">
        <w:rPr>
          <w:rFonts w:eastAsia="Calibri" w:cs="Calibri"/>
          <w:spacing w:val="-2"/>
        </w:rPr>
        <w:t>s</w:t>
      </w:r>
      <w:r w:rsidRPr="00024C9E">
        <w:rPr>
          <w:rFonts w:eastAsia="Calibri" w:cs="Calibri"/>
        </w:rPr>
        <w:t>ë</w:t>
      </w:r>
      <w:r w:rsidRPr="00024C9E">
        <w:rPr>
          <w:rFonts w:eastAsia="Calibri" w:cs="Calibri"/>
          <w:spacing w:val="1"/>
        </w:rPr>
        <w:t xml:space="preserve"> </w:t>
      </w:r>
      <w:r w:rsidRPr="00024C9E">
        <w:rPr>
          <w:rFonts w:eastAsia="Calibri" w:cs="Calibri"/>
          <w:spacing w:val="-1"/>
        </w:rPr>
        <w:t>m</w:t>
      </w:r>
      <w:r w:rsidRPr="00024C9E">
        <w:rPr>
          <w:rFonts w:eastAsia="Calibri" w:cs="Calibri"/>
        </w:rPr>
        <w:t>e</w:t>
      </w:r>
      <w:r w:rsidRPr="00024C9E">
        <w:rPr>
          <w:rFonts w:eastAsia="Calibri" w:cs="Calibri"/>
          <w:spacing w:val="1"/>
        </w:rPr>
        <w:t xml:space="preserve"> </w:t>
      </w:r>
      <w:r w:rsidRPr="00024C9E">
        <w:rPr>
          <w:rFonts w:eastAsia="Calibri" w:cs="Calibri"/>
        </w:rPr>
        <w:t>s</w:t>
      </w:r>
      <w:r w:rsidRPr="00024C9E">
        <w:rPr>
          <w:rFonts w:eastAsia="Calibri" w:cs="Calibri"/>
          <w:spacing w:val="-1"/>
        </w:rPr>
        <w:t>h</w:t>
      </w:r>
      <w:r w:rsidRPr="00024C9E">
        <w:rPr>
          <w:rFonts w:eastAsia="Calibri" w:cs="Calibri"/>
          <w:spacing w:val="-3"/>
        </w:rPr>
        <w:t>u</w:t>
      </w:r>
      <w:r w:rsidRPr="00024C9E">
        <w:rPr>
          <w:rFonts w:eastAsia="Calibri" w:cs="Calibri"/>
          <w:spacing w:val="1"/>
        </w:rPr>
        <w:t>m</w:t>
      </w:r>
      <w:r w:rsidRPr="00024C9E">
        <w:rPr>
          <w:rFonts w:eastAsia="Calibri" w:cs="Calibri"/>
        </w:rPr>
        <w:t>icë</w:t>
      </w:r>
      <w:r w:rsidRPr="00024C9E">
        <w:rPr>
          <w:rFonts w:eastAsia="Calibri" w:cs="Calibri"/>
          <w:spacing w:val="-2"/>
        </w:rPr>
        <w:t xml:space="preserve"> </w:t>
      </w:r>
      <w:r w:rsidRPr="00024C9E">
        <w:rPr>
          <w:rFonts w:eastAsia="Calibri" w:cs="Calibri"/>
          <w:spacing w:val="1"/>
        </w:rPr>
        <w:t>(</w:t>
      </w:r>
      <w:r w:rsidR="00C6478E">
        <w:rPr>
          <w:rFonts w:eastAsia="Calibri" w:cs="Calibri"/>
        </w:rPr>
        <w:t>W</w:t>
      </w:r>
      <w:r w:rsidRPr="00024C9E">
        <w:rPr>
          <w:rFonts w:eastAsia="Calibri" w:cs="Calibri"/>
        </w:rPr>
        <w:t>HPC</w:t>
      </w:r>
      <w:r w:rsidRPr="00024C9E">
        <w:rPr>
          <w:rFonts w:eastAsia="Calibri" w:cs="Calibri"/>
          <w:spacing w:val="-1"/>
          <w:position w:val="-3"/>
          <w:sz w:val="14"/>
          <w:szCs w:val="14"/>
        </w:rPr>
        <w:t>t</w:t>
      </w:r>
      <w:r w:rsidRPr="00024C9E">
        <w:rPr>
          <w:rFonts w:eastAsia="Calibri" w:cs="Calibri"/>
        </w:rPr>
        <w:t>)</w:t>
      </w:r>
      <w:r w:rsidRPr="00024C9E">
        <w:rPr>
          <w:rFonts w:eastAsia="Calibri" w:cs="Calibri"/>
          <w:spacing w:val="1"/>
        </w:rPr>
        <w:t xml:space="preserve"> </w:t>
      </w:r>
      <w:r w:rsidRPr="00024C9E">
        <w:rPr>
          <w:rFonts w:eastAsia="Calibri" w:cs="Calibri"/>
          <w:spacing w:val="-1"/>
        </w:rPr>
        <w:t>du</w:t>
      </w:r>
      <w:r w:rsidRPr="00024C9E">
        <w:rPr>
          <w:rFonts w:eastAsia="Calibri" w:cs="Calibri"/>
          <w:spacing w:val="-3"/>
        </w:rPr>
        <w:t>h</w:t>
      </w:r>
      <w:r w:rsidRPr="00024C9E">
        <w:rPr>
          <w:rFonts w:eastAsia="Calibri" w:cs="Calibri"/>
        </w:rPr>
        <w:t>et</w:t>
      </w:r>
      <w:r w:rsidRPr="00024C9E">
        <w:rPr>
          <w:rFonts w:eastAsia="Calibri" w:cs="Calibri"/>
          <w:spacing w:val="1"/>
        </w:rPr>
        <w:t xml:space="preserve"> </w:t>
      </w:r>
      <w:r w:rsidRPr="00024C9E">
        <w:rPr>
          <w:rFonts w:eastAsia="Calibri" w:cs="Calibri"/>
          <w:spacing w:val="-2"/>
        </w:rPr>
        <w:t>t</w:t>
      </w:r>
      <w:r w:rsidRPr="00024C9E">
        <w:rPr>
          <w:rFonts w:eastAsia="Calibri" w:cs="Calibri"/>
        </w:rPr>
        <w:t>ë</w:t>
      </w:r>
      <w:r w:rsidRPr="00024C9E">
        <w:rPr>
          <w:rFonts w:eastAsia="Calibri" w:cs="Calibri"/>
          <w:spacing w:val="1"/>
        </w:rPr>
        <w:t xml:space="preserve"> </w:t>
      </w:r>
      <w:r w:rsidRPr="00024C9E">
        <w:rPr>
          <w:rFonts w:eastAsia="Calibri" w:cs="Calibri"/>
        </w:rPr>
        <w:t>ll</w:t>
      </w:r>
      <w:r w:rsidRPr="00024C9E">
        <w:rPr>
          <w:rFonts w:eastAsia="Calibri" w:cs="Calibri"/>
          <w:spacing w:val="1"/>
        </w:rPr>
        <w:t>o</w:t>
      </w:r>
      <w:r w:rsidRPr="00024C9E">
        <w:rPr>
          <w:rFonts w:eastAsia="Calibri" w:cs="Calibri"/>
          <w:spacing w:val="-1"/>
        </w:rPr>
        <w:t>g</w:t>
      </w:r>
      <w:r w:rsidRPr="00024C9E">
        <w:rPr>
          <w:rFonts w:eastAsia="Calibri" w:cs="Calibri"/>
        </w:rPr>
        <w:t>ar</w:t>
      </w:r>
      <w:r w:rsidRPr="00024C9E">
        <w:rPr>
          <w:rFonts w:eastAsia="Calibri" w:cs="Calibri"/>
          <w:spacing w:val="-3"/>
        </w:rPr>
        <w:t>i</w:t>
      </w:r>
      <w:r w:rsidRPr="00024C9E">
        <w:rPr>
          <w:rFonts w:eastAsia="Calibri" w:cs="Calibri"/>
        </w:rPr>
        <w:t>t</w:t>
      </w:r>
      <w:r w:rsidRPr="00024C9E">
        <w:rPr>
          <w:rFonts w:eastAsia="Calibri" w:cs="Calibri"/>
          <w:spacing w:val="1"/>
        </w:rPr>
        <w:t>e</w:t>
      </w:r>
      <w:r w:rsidRPr="00024C9E">
        <w:rPr>
          <w:rFonts w:eastAsia="Calibri" w:cs="Calibri"/>
        </w:rPr>
        <w:t>n</w:t>
      </w:r>
      <w:r w:rsidRPr="00024C9E">
        <w:rPr>
          <w:rFonts w:eastAsia="Calibri" w:cs="Calibri"/>
          <w:spacing w:val="-1"/>
        </w:rPr>
        <w:t xml:space="preserve"> </w:t>
      </w:r>
      <w:r w:rsidRPr="00024C9E">
        <w:rPr>
          <w:rFonts w:eastAsia="Calibri" w:cs="Calibri"/>
        </w:rPr>
        <w:t>sip</w:t>
      </w:r>
      <w:r w:rsidRPr="00024C9E">
        <w:rPr>
          <w:rFonts w:eastAsia="Calibri" w:cs="Calibri"/>
          <w:spacing w:val="-1"/>
        </w:rPr>
        <w:t>a</w:t>
      </w:r>
      <w:r w:rsidRPr="00024C9E">
        <w:rPr>
          <w:rFonts w:eastAsia="Calibri" w:cs="Calibri"/>
        </w:rPr>
        <w:t>s</w:t>
      </w:r>
      <w:r w:rsidRPr="00024C9E">
        <w:rPr>
          <w:rFonts w:eastAsia="Calibri" w:cs="Calibri"/>
          <w:spacing w:val="-2"/>
        </w:rPr>
        <w:t xml:space="preserve"> </w:t>
      </w:r>
      <w:r w:rsidRPr="00024C9E">
        <w:rPr>
          <w:rFonts w:eastAsia="Calibri" w:cs="Calibri"/>
        </w:rPr>
        <w:t>f</w:t>
      </w:r>
      <w:r w:rsidRPr="00024C9E">
        <w:rPr>
          <w:rFonts w:eastAsia="Calibri" w:cs="Calibri"/>
          <w:spacing w:val="1"/>
        </w:rPr>
        <w:t>o</w:t>
      </w:r>
      <w:r w:rsidRPr="00024C9E">
        <w:rPr>
          <w:rFonts w:eastAsia="Calibri" w:cs="Calibri"/>
          <w:spacing w:val="-3"/>
        </w:rPr>
        <w:t>r</w:t>
      </w:r>
      <w:r w:rsidRPr="00024C9E">
        <w:rPr>
          <w:rFonts w:eastAsia="Calibri" w:cs="Calibri"/>
          <w:spacing w:val="1"/>
        </w:rPr>
        <w:t>m</w:t>
      </w:r>
      <w:r w:rsidRPr="00024C9E">
        <w:rPr>
          <w:rFonts w:eastAsia="Calibri" w:cs="Calibri"/>
          <w:spacing w:val="-3"/>
        </w:rPr>
        <w:t>u</w:t>
      </w:r>
      <w:r w:rsidRPr="00024C9E">
        <w:rPr>
          <w:rFonts w:eastAsia="Calibri" w:cs="Calibri"/>
        </w:rPr>
        <w:t>lës:</w:t>
      </w:r>
    </w:p>
    <w:p w14:paraId="4EAE5288" w14:textId="77777777" w:rsidR="00024C9E" w:rsidRPr="00E96FEF" w:rsidRDefault="00024C9E" w:rsidP="00024C9E">
      <w:pPr>
        <w:pStyle w:val="ListParagraph"/>
        <w:rPr>
          <w:rFonts w:eastAsia="Calibri" w:cs="Calibri"/>
          <w:i/>
        </w:rPr>
      </w:pPr>
    </w:p>
    <w:p w14:paraId="10A114FC" w14:textId="77777777" w:rsidR="00024C9E" w:rsidRDefault="00C6478E" w:rsidP="00024C9E">
      <w:pPr>
        <w:pStyle w:val="ListParagraph"/>
        <w:rPr>
          <w:rFonts w:eastAsia="Calibri" w:cs="Calibri"/>
          <w:i/>
          <w:spacing w:val="-1"/>
        </w:rPr>
      </w:pPr>
      <w:r>
        <w:rPr>
          <w:rFonts w:eastAsia="Calibri" w:cs="Calibri"/>
          <w:i/>
        </w:rPr>
        <w:t>W</w:t>
      </w:r>
      <w:r w:rsidR="00024C9E" w:rsidRPr="00B35EAB">
        <w:rPr>
          <w:rFonts w:eastAsia="Calibri" w:cs="Calibri"/>
          <w:i/>
        </w:rPr>
        <w:t>HPC</w:t>
      </w:r>
      <w:r w:rsidR="00024C9E" w:rsidRPr="00B35EAB">
        <w:rPr>
          <w:rFonts w:eastAsia="Calibri" w:cs="Calibri"/>
          <w:i/>
          <w:position w:val="-3"/>
          <w:sz w:val="14"/>
          <w:szCs w:val="14"/>
        </w:rPr>
        <w:t>t</w:t>
      </w:r>
      <w:r w:rsidR="00024C9E" w:rsidRPr="00B35EAB">
        <w:rPr>
          <w:rFonts w:eastAsia="Calibri" w:cs="Calibri"/>
          <w:i/>
          <w:spacing w:val="-1"/>
          <w:position w:val="-3"/>
          <w:sz w:val="14"/>
          <w:szCs w:val="14"/>
        </w:rPr>
        <w:t xml:space="preserve"> </w:t>
      </w:r>
      <w:r w:rsidR="00024C9E" w:rsidRPr="00B35EAB">
        <w:rPr>
          <w:rFonts w:eastAsia="Calibri" w:cs="Calibri"/>
          <w:i/>
        </w:rPr>
        <w:t>=</w:t>
      </w:r>
      <w:r w:rsidR="00024C9E" w:rsidRPr="00B35EAB">
        <w:rPr>
          <w:rFonts w:eastAsia="Calibri" w:cs="Calibri"/>
          <w:i/>
          <w:spacing w:val="1"/>
        </w:rPr>
        <w:t xml:space="preserve"> (</w:t>
      </w:r>
      <w:r w:rsidR="00024C9E" w:rsidRPr="00B35EAB">
        <w:rPr>
          <w:rFonts w:eastAsia="Calibri" w:cs="Calibri"/>
          <w:i/>
        </w:rPr>
        <w:t>GE</w:t>
      </w:r>
      <w:r w:rsidR="00024C9E" w:rsidRPr="00B35EAB">
        <w:rPr>
          <w:rFonts w:eastAsia="Calibri" w:cs="Calibri"/>
          <w:i/>
          <w:spacing w:val="-1"/>
        </w:rPr>
        <w:t>N</w:t>
      </w:r>
      <w:r w:rsidR="00024C9E" w:rsidRPr="00B35EAB">
        <w:rPr>
          <w:rFonts w:eastAsia="Calibri" w:cs="Calibri"/>
          <w:i/>
          <w:spacing w:val="1"/>
        </w:rPr>
        <w:t>C</w:t>
      </w:r>
      <w:r w:rsidR="00024C9E" w:rsidRPr="00B35EAB">
        <w:rPr>
          <w:rFonts w:eastAsia="Calibri" w:cs="Calibri"/>
          <w:i/>
          <w:position w:val="-3"/>
          <w:sz w:val="14"/>
          <w:szCs w:val="14"/>
        </w:rPr>
        <w:t>t</w:t>
      </w:r>
      <w:r w:rsidR="00024C9E" w:rsidRPr="00B35EAB">
        <w:rPr>
          <w:rFonts w:eastAsia="Calibri" w:cs="Calibri"/>
          <w:i/>
          <w:spacing w:val="17"/>
          <w:position w:val="-3"/>
          <w:sz w:val="14"/>
          <w:szCs w:val="14"/>
        </w:rPr>
        <w:t xml:space="preserve"> </w:t>
      </w:r>
      <w:r w:rsidR="00024C9E" w:rsidRPr="00B35EAB">
        <w:rPr>
          <w:rFonts w:eastAsia="Calibri" w:cs="Calibri"/>
          <w:i/>
        </w:rPr>
        <w:t>+</w:t>
      </w:r>
      <w:r w:rsidR="00024C9E" w:rsidRPr="00B35EAB">
        <w:rPr>
          <w:rFonts w:eastAsia="Calibri" w:cs="Calibri"/>
          <w:i/>
          <w:spacing w:val="1"/>
        </w:rPr>
        <w:t xml:space="preserve"> </w:t>
      </w:r>
      <w:r w:rsidR="00024C9E" w:rsidRPr="00B35EAB">
        <w:rPr>
          <w:rFonts w:eastAsia="Calibri" w:cs="Calibri"/>
          <w:i/>
          <w:spacing w:val="-3"/>
        </w:rPr>
        <w:t>I</w:t>
      </w:r>
      <w:r w:rsidR="00024C9E" w:rsidRPr="00B35EAB">
        <w:rPr>
          <w:rFonts w:eastAsia="Calibri" w:cs="Calibri"/>
          <w:i/>
          <w:spacing w:val="1"/>
        </w:rPr>
        <w:t>M</w:t>
      </w:r>
      <w:r w:rsidR="00024C9E" w:rsidRPr="00B35EAB">
        <w:rPr>
          <w:rFonts w:eastAsia="Calibri" w:cs="Calibri"/>
          <w:i/>
          <w:spacing w:val="-1"/>
        </w:rPr>
        <w:t>P</w:t>
      </w:r>
      <w:r w:rsidR="00024C9E" w:rsidRPr="00B35EAB">
        <w:rPr>
          <w:rFonts w:eastAsia="Calibri" w:cs="Calibri"/>
          <w:i/>
        </w:rPr>
        <w:t>C</w:t>
      </w:r>
      <w:r w:rsidR="00024C9E" w:rsidRPr="00B35EAB">
        <w:rPr>
          <w:rFonts w:eastAsia="Calibri" w:cs="Calibri"/>
          <w:i/>
          <w:position w:val="-3"/>
          <w:sz w:val="14"/>
          <w:szCs w:val="14"/>
        </w:rPr>
        <w:t>t</w:t>
      </w:r>
      <w:r w:rsidR="00024C9E" w:rsidRPr="00B35EAB">
        <w:rPr>
          <w:rFonts w:eastAsia="Calibri" w:cs="Calibri"/>
          <w:i/>
          <w:spacing w:val="17"/>
          <w:position w:val="-3"/>
          <w:sz w:val="14"/>
          <w:szCs w:val="14"/>
        </w:rPr>
        <w:t xml:space="preserve"> </w:t>
      </w:r>
      <w:r w:rsidR="00024C9E" w:rsidRPr="00B35EAB">
        <w:rPr>
          <w:rFonts w:eastAsia="Calibri" w:cs="Calibri"/>
          <w:i/>
        </w:rPr>
        <w:t>+</w:t>
      </w:r>
      <w:r w:rsidR="00024C9E" w:rsidRPr="00B35EAB">
        <w:rPr>
          <w:rFonts w:eastAsia="Calibri" w:cs="Calibri"/>
          <w:i/>
          <w:spacing w:val="1"/>
        </w:rPr>
        <w:t xml:space="preserve"> </w:t>
      </w:r>
      <w:r w:rsidR="00024C9E" w:rsidRPr="00B35EAB">
        <w:rPr>
          <w:rFonts w:eastAsia="Calibri" w:cs="Calibri"/>
          <w:i/>
          <w:spacing w:val="-3"/>
        </w:rPr>
        <w:t>I</w:t>
      </w:r>
      <w:r w:rsidR="00024C9E" w:rsidRPr="00B35EAB">
        <w:rPr>
          <w:rFonts w:eastAsia="Calibri" w:cs="Calibri"/>
          <w:i/>
          <w:spacing w:val="1"/>
        </w:rPr>
        <w:t>M</w:t>
      </w:r>
      <w:r w:rsidR="00024C9E" w:rsidRPr="00B35EAB">
        <w:rPr>
          <w:rFonts w:eastAsia="Calibri" w:cs="Calibri"/>
          <w:i/>
        </w:rPr>
        <w:t>B</w:t>
      </w:r>
      <w:r w:rsidR="00024C9E" w:rsidRPr="00B35EAB">
        <w:rPr>
          <w:rFonts w:eastAsia="Calibri" w:cs="Calibri"/>
          <w:i/>
          <w:spacing w:val="1"/>
        </w:rPr>
        <w:t>C</w:t>
      </w:r>
      <w:r w:rsidR="00024C9E" w:rsidRPr="00B35EAB">
        <w:rPr>
          <w:rFonts w:eastAsia="Calibri" w:cs="Calibri"/>
          <w:i/>
          <w:position w:val="-3"/>
          <w:sz w:val="14"/>
          <w:szCs w:val="14"/>
        </w:rPr>
        <w:t>t</w:t>
      </w:r>
      <w:r w:rsidR="00024C9E" w:rsidRPr="00B35EAB">
        <w:rPr>
          <w:rFonts w:eastAsia="Calibri" w:cs="Calibri"/>
          <w:i/>
          <w:spacing w:val="17"/>
          <w:position w:val="-3"/>
          <w:sz w:val="14"/>
          <w:szCs w:val="14"/>
        </w:rPr>
        <w:t xml:space="preserve"> </w:t>
      </w:r>
      <w:r w:rsidR="00024C9E" w:rsidRPr="00B35EAB">
        <w:rPr>
          <w:rFonts w:eastAsia="Calibri" w:cs="Calibri"/>
          <w:i/>
        </w:rPr>
        <w:t>*</w:t>
      </w:r>
      <w:r w:rsidR="00024C9E" w:rsidRPr="00B35EAB">
        <w:rPr>
          <w:rFonts w:eastAsia="Calibri" w:cs="Calibri"/>
          <w:i/>
          <w:spacing w:val="1"/>
        </w:rPr>
        <w:t xml:space="preserve"> </w:t>
      </w:r>
      <w:r w:rsidR="00024C9E" w:rsidRPr="00B35EAB">
        <w:rPr>
          <w:rFonts w:eastAsia="Calibri" w:cs="Calibri"/>
          <w:i/>
          <w:spacing w:val="-3"/>
        </w:rPr>
        <w:t>I</w:t>
      </w:r>
      <w:r w:rsidR="00024C9E" w:rsidRPr="00B35EAB">
        <w:rPr>
          <w:rFonts w:eastAsia="Calibri" w:cs="Calibri"/>
          <w:i/>
          <w:spacing w:val="1"/>
        </w:rPr>
        <w:t>M</w:t>
      </w:r>
      <w:r w:rsidR="00024C9E" w:rsidRPr="00B35EAB">
        <w:rPr>
          <w:rFonts w:eastAsia="Calibri" w:cs="Calibri"/>
          <w:i/>
          <w:spacing w:val="-2"/>
        </w:rPr>
        <w:t>B</w:t>
      </w:r>
      <w:r w:rsidR="00024C9E" w:rsidRPr="00B35EAB">
        <w:rPr>
          <w:rFonts w:eastAsia="Calibri" w:cs="Calibri"/>
          <w:i/>
        </w:rPr>
        <w:t>F</w:t>
      </w:r>
      <w:r w:rsidR="00024C9E" w:rsidRPr="00B35EAB">
        <w:rPr>
          <w:rFonts w:eastAsia="Calibri" w:cs="Calibri"/>
          <w:i/>
          <w:position w:val="-3"/>
          <w:sz w:val="14"/>
          <w:szCs w:val="14"/>
        </w:rPr>
        <w:t xml:space="preserve">t </w:t>
      </w:r>
      <w:r w:rsidR="00024C9E" w:rsidRPr="00B35EAB">
        <w:rPr>
          <w:rFonts w:eastAsia="Calibri" w:cs="Calibri"/>
          <w:i/>
          <w:spacing w:val="-1"/>
        </w:rPr>
        <w:t>)*(1+RETM</w:t>
      </w:r>
      <w:r w:rsidR="00024C9E" w:rsidRPr="00BE3DAB">
        <w:rPr>
          <w:rFonts w:eastAsia="Calibri" w:cs="Calibri"/>
          <w:i/>
          <w:spacing w:val="-1"/>
          <w:vertAlign w:val="subscript"/>
        </w:rPr>
        <w:t>t</w:t>
      </w:r>
      <w:r w:rsidR="00024C9E" w:rsidRPr="00B35EAB">
        <w:rPr>
          <w:rFonts w:eastAsia="Calibri" w:cs="Calibri"/>
          <w:i/>
          <w:spacing w:val="-1"/>
        </w:rPr>
        <w:t>)</w:t>
      </w:r>
    </w:p>
    <w:p w14:paraId="0EAEB867" w14:textId="77777777" w:rsidR="00024C9E" w:rsidRPr="00024C9E" w:rsidRDefault="00024C9E" w:rsidP="00024C9E">
      <w:pPr>
        <w:pStyle w:val="ListParagraph"/>
        <w:rPr>
          <w:rFonts w:eastAsia="Calibri" w:cs="Calibri"/>
          <w:i/>
          <w:spacing w:val="-1"/>
          <w:sz w:val="12"/>
          <w:szCs w:val="12"/>
        </w:rPr>
      </w:pPr>
    </w:p>
    <w:p w14:paraId="5FE50B60" w14:textId="77777777" w:rsidR="00024C9E" w:rsidRDefault="00024C9E" w:rsidP="00564792">
      <w:pPr>
        <w:pStyle w:val="ListParagraph"/>
        <w:spacing w:after="0" w:line="240" w:lineRule="auto"/>
        <w:rPr>
          <w:rFonts w:eastAsia="Calibri" w:cs="Calibri"/>
          <w:i/>
        </w:rPr>
      </w:pPr>
      <w:r w:rsidRPr="00B35EAB">
        <w:rPr>
          <w:rFonts w:eastAsia="Calibri" w:cs="Calibri"/>
          <w:i/>
        </w:rPr>
        <w:t>Ku:</w:t>
      </w:r>
    </w:p>
    <w:p w14:paraId="70F25869" w14:textId="77777777" w:rsidR="00024C9E" w:rsidRPr="00024C9E" w:rsidRDefault="00024C9E" w:rsidP="00564792">
      <w:pPr>
        <w:pStyle w:val="ListParagraph"/>
        <w:spacing w:after="0" w:line="240" w:lineRule="auto"/>
        <w:rPr>
          <w:rFonts w:eastAsia="Calibri" w:cs="Calibri"/>
          <w:sz w:val="12"/>
          <w:szCs w:val="12"/>
        </w:rPr>
      </w:pPr>
    </w:p>
    <w:p w14:paraId="1C369B9F" w14:textId="77777777" w:rsidR="00024C9E" w:rsidRPr="0012315E" w:rsidRDefault="00024C9E" w:rsidP="00564792">
      <w:pPr>
        <w:pStyle w:val="ListParagraph"/>
        <w:spacing w:after="0" w:line="240" w:lineRule="auto"/>
        <w:ind w:left="1710" w:hanging="990"/>
        <w:jc w:val="both"/>
        <w:rPr>
          <w:rFonts w:eastAsia="Calibri" w:cs="Calibri"/>
          <w:i/>
        </w:rPr>
      </w:pPr>
      <w:proofErr w:type="spellStart"/>
      <w:r w:rsidRPr="00B35EAB">
        <w:rPr>
          <w:rFonts w:eastAsia="Calibri" w:cs="Calibri"/>
          <w:i/>
        </w:rPr>
        <w:t>GE</w:t>
      </w:r>
      <w:r w:rsidRPr="0012315E">
        <w:rPr>
          <w:rFonts w:eastAsia="Calibri" w:cs="Calibri"/>
          <w:i/>
        </w:rPr>
        <w:t>N</w:t>
      </w:r>
      <w:r w:rsidRPr="00B35EAB">
        <w:rPr>
          <w:rFonts w:eastAsia="Calibri" w:cs="Calibri"/>
          <w:i/>
        </w:rPr>
        <w:t>C</w:t>
      </w:r>
      <w:r w:rsidRPr="00BE3DAB">
        <w:rPr>
          <w:rFonts w:eastAsia="Calibri" w:cs="Calibri"/>
          <w:i/>
          <w:vertAlign w:val="subscript"/>
        </w:rPr>
        <w:t>t</w:t>
      </w:r>
      <w:proofErr w:type="spellEnd"/>
      <w:r w:rsidRPr="0012315E">
        <w:rPr>
          <w:rFonts w:eastAsia="Calibri" w:cs="Calibri"/>
          <w:i/>
        </w:rPr>
        <w:t xml:space="preserve">      </w:t>
      </w:r>
      <w:r w:rsidR="001C3094">
        <w:rPr>
          <w:rFonts w:eastAsia="Calibri" w:cs="Calibri"/>
          <w:i/>
        </w:rPr>
        <w:t xml:space="preserve">   </w:t>
      </w:r>
      <w:r w:rsidRPr="00B35EAB">
        <w:rPr>
          <w:rFonts w:eastAsia="Calibri" w:cs="Calibri"/>
          <w:i/>
        </w:rPr>
        <w:t>Kos</w:t>
      </w:r>
      <w:r w:rsidRPr="0012315E">
        <w:rPr>
          <w:rFonts w:eastAsia="Calibri" w:cs="Calibri"/>
          <w:i/>
        </w:rPr>
        <w:t>t</w:t>
      </w:r>
      <w:r w:rsidRPr="00B35EAB">
        <w:rPr>
          <w:rFonts w:eastAsia="Calibri" w:cs="Calibri"/>
          <w:i/>
        </w:rPr>
        <w:t>ot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e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lej</w:t>
      </w:r>
      <w:r w:rsidRPr="0012315E">
        <w:rPr>
          <w:rFonts w:eastAsia="Calibri" w:cs="Calibri"/>
          <w:i/>
        </w:rPr>
        <w:t>uar</w:t>
      </w:r>
      <w:r w:rsidRPr="00B35EAB">
        <w:rPr>
          <w:rFonts w:eastAsia="Calibri" w:cs="Calibri"/>
          <w:i/>
        </w:rPr>
        <w:t>a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të</w:t>
      </w:r>
      <w:r w:rsidRPr="0012315E">
        <w:rPr>
          <w:rFonts w:eastAsia="Calibri" w:cs="Calibri"/>
          <w:i/>
        </w:rPr>
        <w:t xml:space="preserve"> b</w:t>
      </w:r>
      <w:r w:rsidRPr="00B35EAB">
        <w:rPr>
          <w:rFonts w:eastAsia="Calibri" w:cs="Calibri"/>
          <w:i/>
        </w:rPr>
        <w:t>le</w:t>
      </w:r>
      <w:r w:rsidRPr="0012315E">
        <w:rPr>
          <w:rFonts w:eastAsia="Calibri" w:cs="Calibri"/>
          <w:i/>
        </w:rPr>
        <w:t>rj</w:t>
      </w:r>
      <w:r w:rsidRPr="00B35EAB">
        <w:rPr>
          <w:rFonts w:eastAsia="Calibri" w:cs="Calibri"/>
          <w:i/>
        </w:rPr>
        <w:t>es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së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e</w:t>
      </w:r>
      <w:r w:rsidRPr="0012315E">
        <w:rPr>
          <w:rFonts w:eastAsia="Calibri" w:cs="Calibri"/>
          <w:i/>
        </w:rPr>
        <w:t>n</w:t>
      </w:r>
      <w:r w:rsidRPr="00B35EAB">
        <w:rPr>
          <w:rFonts w:eastAsia="Calibri" w:cs="Calibri"/>
          <w:i/>
        </w:rPr>
        <w:t>e</w:t>
      </w:r>
      <w:r w:rsidRPr="0012315E">
        <w:rPr>
          <w:rFonts w:eastAsia="Calibri" w:cs="Calibri"/>
          <w:i/>
        </w:rPr>
        <w:t>rg</w:t>
      </w:r>
      <w:r w:rsidRPr="00B35EAB">
        <w:rPr>
          <w:rFonts w:eastAsia="Calibri" w:cs="Calibri"/>
          <w:i/>
        </w:rPr>
        <w:t>ji</w:t>
      </w:r>
      <w:r w:rsidRPr="0012315E">
        <w:rPr>
          <w:rFonts w:eastAsia="Calibri" w:cs="Calibri"/>
          <w:i/>
        </w:rPr>
        <w:t>s</w:t>
      </w:r>
      <w:r w:rsidRPr="00B35EAB">
        <w:rPr>
          <w:rFonts w:eastAsia="Calibri" w:cs="Calibri"/>
          <w:i/>
        </w:rPr>
        <w:t>ë</w:t>
      </w:r>
      <w:r w:rsidRPr="0012315E">
        <w:rPr>
          <w:rFonts w:eastAsia="Calibri" w:cs="Calibri"/>
          <w:i/>
        </w:rPr>
        <w:t xml:space="preserve"> ng</w:t>
      </w:r>
      <w:r w:rsidRPr="00B35EAB">
        <w:rPr>
          <w:rFonts w:eastAsia="Calibri" w:cs="Calibri"/>
          <w:i/>
        </w:rPr>
        <w:t>a</w:t>
      </w:r>
      <w:r w:rsidRPr="0012315E">
        <w:rPr>
          <w:rFonts w:eastAsia="Calibri" w:cs="Calibri"/>
          <w:i/>
        </w:rPr>
        <w:t xml:space="preserve"> g</w:t>
      </w:r>
      <w:r w:rsidRPr="00B35EAB">
        <w:rPr>
          <w:rFonts w:eastAsia="Calibri" w:cs="Calibri"/>
          <w:i/>
        </w:rPr>
        <w:t>jen</w:t>
      </w:r>
      <w:r w:rsidRPr="0012315E">
        <w:rPr>
          <w:rFonts w:eastAsia="Calibri" w:cs="Calibri"/>
          <w:i/>
        </w:rPr>
        <w:t>era</w:t>
      </w:r>
      <w:r w:rsidRPr="00B35EAB">
        <w:rPr>
          <w:rFonts w:eastAsia="Calibri" w:cs="Calibri"/>
          <w:i/>
        </w:rPr>
        <w:t>to</w:t>
      </w:r>
      <w:r w:rsidRPr="0012315E">
        <w:rPr>
          <w:rFonts w:eastAsia="Calibri" w:cs="Calibri"/>
          <w:i/>
        </w:rPr>
        <w:t>r</w:t>
      </w:r>
      <w:r w:rsidRPr="00B35EAB">
        <w:rPr>
          <w:rFonts w:eastAsia="Calibri" w:cs="Calibri"/>
          <w:i/>
        </w:rPr>
        <w:t>ët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ve</w:t>
      </w:r>
      <w:r w:rsidRPr="0012315E">
        <w:rPr>
          <w:rFonts w:eastAsia="Calibri" w:cs="Calibri"/>
          <w:i/>
        </w:rPr>
        <w:t>nd</w:t>
      </w:r>
      <w:r w:rsidRPr="00B35EAB">
        <w:rPr>
          <w:rFonts w:eastAsia="Calibri" w:cs="Calibri"/>
          <w:i/>
        </w:rPr>
        <w:t>o</w:t>
      </w:r>
      <w:r w:rsidRPr="0012315E">
        <w:rPr>
          <w:rFonts w:eastAsia="Calibri" w:cs="Calibri"/>
          <w:i/>
        </w:rPr>
        <w:t>r</w:t>
      </w:r>
      <w:r w:rsidRPr="00B35EAB">
        <w:rPr>
          <w:rFonts w:eastAsia="Calibri" w:cs="Calibri"/>
          <w:i/>
        </w:rPr>
        <w:t>ë</w:t>
      </w:r>
      <w:r w:rsidRPr="0012315E">
        <w:rPr>
          <w:rFonts w:eastAsia="Calibri" w:cs="Calibri"/>
          <w:i/>
        </w:rPr>
        <w:t xml:space="preserve"> n</w:t>
      </w:r>
      <w:r w:rsidRPr="00B35EAB">
        <w:rPr>
          <w:rFonts w:eastAsia="Calibri" w:cs="Calibri"/>
          <w:i/>
        </w:rPr>
        <w:t>ë vitin</w:t>
      </w:r>
      <w:r w:rsidRPr="0012315E">
        <w:rPr>
          <w:rFonts w:eastAsia="Calibri" w:cs="Calibri"/>
          <w:i/>
        </w:rPr>
        <w:t xml:space="preserve"> r</w:t>
      </w:r>
      <w:r w:rsidRPr="00B35EAB">
        <w:rPr>
          <w:rFonts w:eastAsia="Calibri" w:cs="Calibri"/>
          <w:i/>
        </w:rPr>
        <w:t>elev</w:t>
      </w:r>
      <w:r w:rsidRPr="0012315E">
        <w:rPr>
          <w:rFonts w:eastAsia="Calibri" w:cs="Calibri"/>
          <w:i/>
        </w:rPr>
        <w:t>an</w:t>
      </w:r>
      <w:r w:rsidRPr="00B35EAB">
        <w:rPr>
          <w:rFonts w:eastAsia="Calibri" w:cs="Calibri"/>
          <w:i/>
        </w:rPr>
        <w:t>t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t</w:t>
      </w:r>
      <w:r w:rsidRPr="0012315E">
        <w:rPr>
          <w:rFonts w:eastAsia="Calibri" w:cs="Calibri"/>
          <w:i/>
        </w:rPr>
        <w:t xml:space="preserve"> </w:t>
      </w:r>
    </w:p>
    <w:p w14:paraId="75FCF6C1" w14:textId="77777777" w:rsidR="00024C9E" w:rsidRPr="00614AA2" w:rsidRDefault="00024C9E" w:rsidP="00564792">
      <w:pPr>
        <w:spacing w:after="0" w:line="240" w:lineRule="auto"/>
        <w:ind w:left="1710" w:hanging="720"/>
      </w:pPr>
    </w:p>
    <w:p w14:paraId="04933BB5" w14:textId="77777777" w:rsidR="00024C9E" w:rsidRPr="0012315E" w:rsidRDefault="00024C9E" w:rsidP="00564792">
      <w:pPr>
        <w:pStyle w:val="ListParagraph"/>
        <w:spacing w:after="0" w:line="240" w:lineRule="auto"/>
        <w:ind w:left="1710" w:hanging="990"/>
        <w:jc w:val="both"/>
        <w:rPr>
          <w:rFonts w:eastAsia="Calibri" w:cs="Calibri"/>
          <w:i/>
        </w:rPr>
      </w:pPr>
      <w:proofErr w:type="spellStart"/>
      <w:r w:rsidRPr="00B35EAB">
        <w:rPr>
          <w:rFonts w:eastAsia="Calibri" w:cs="Calibri"/>
          <w:i/>
        </w:rPr>
        <w:t>IM</w:t>
      </w:r>
      <w:r w:rsidRPr="0012315E">
        <w:rPr>
          <w:rFonts w:eastAsia="Calibri" w:cs="Calibri"/>
          <w:i/>
        </w:rPr>
        <w:t>P</w:t>
      </w:r>
      <w:r w:rsidRPr="00B35EAB">
        <w:rPr>
          <w:rFonts w:eastAsia="Calibri" w:cs="Calibri"/>
          <w:i/>
        </w:rPr>
        <w:t>C</w:t>
      </w:r>
      <w:r w:rsidRPr="00BE3DAB">
        <w:rPr>
          <w:rFonts w:eastAsia="Calibri" w:cs="Calibri"/>
          <w:i/>
          <w:vertAlign w:val="subscript"/>
        </w:rPr>
        <w:t>t</w:t>
      </w:r>
      <w:proofErr w:type="spellEnd"/>
      <w:r w:rsidRPr="0012315E">
        <w:rPr>
          <w:rFonts w:eastAsia="Calibri" w:cs="Calibri"/>
          <w:i/>
        </w:rPr>
        <w:t xml:space="preserve">     </w:t>
      </w:r>
      <w:r w:rsidR="001C3094">
        <w:rPr>
          <w:rFonts w:eastAsia="Calibri" w:cs="Calibri"/>
          <w:i/>
        </w:rPr>
        <w:t xml:space="preserve">    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Kos</w:t>
      </w:r>
      <w:r w:rsidRPr="0012315E">
        <w:rPr>
          <w:rFonts w:eastAsia="Calibri" w:cs="Calibri"/>
          <w:i/>
        </w:rPr>
        <w:t>t</w:t>
      </w:r>
      <w:r w:rsidRPr="00B35EAB">
        <w:rPr>
          <w:rFonts w:eastAsia="Calibri" w:cs="Calibri"/>
          <w:i/>
        </w:rPr>
        <w:t>ot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e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lej</w:t>
      </w:r>
      <w:r w:rsidRPr="0012315E">
        <w:rPr>
          <w:rFonts w:eastAsia="Calibri" w:cs="Calibri"/>
          <w:i/>
        </w:rPr>
        <w:t>uar</w:t>
      </w:r>
      <w:r w:rsidRPr="00B35EAB">
        <w:rPr>
          <w:rFonts w:eastAsia="Calibri" w:cs="Calibri"/>
          <w:i/>
        </w:rPr>
        <w:t>a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të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energj</w:t>
      </w:r>
      <w:r w:rsidRPr="0012315E">
        <w:rPr>
          <w:rFonts w:eastAsia="Calibri" w:cs="Calibri"/>
          <w:i/>
        </w:rPr>
        <w:t>i</w:t>
      </w:r>
      <w:r w:rsidRPr="00B35EAB">
        <w:rPr>
          <w:rFonts w:eastAsia="Calibri" w:cs="Calibri"/>
          <w:i/>
        </w:rPr>
        <w:t>së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së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imp</w:t>
      </w:r>
      <w:r w:rsidRPr="0012315E">
        <w:rPr>
          <w:rFonts w:eastAsia="Calibri" w:cs="Calibri"/>
          <w:i/>
        </w:rPr>
        <w:t>or</w:t>
      </w:r>
      <w:r w:rsidRPr="00B35EAB">
        <w:rPr>
          <w:rFonts w:eastAsia="Calibri" w:cs="Calibri"/>
          <w:i/>
        </w:rPr>
        <w:t>tit</w:t>
      </w:r>
      <w:r w:rsidRPr="0012315E">
        <w:rPr>
          <w:rFonts w:eastAsia="Calibri" w:cs="Calibri"/>
          <w:i/>
        </w:rPr>
        <w:t xml:space="preserve"> n</w:t>
      </w:r>
      <w:r w:rsidRPr="00B35EAB">
        <w:rPr>
          <w:rFonts w:eastAsia="Calibri" w:cs="Calibri"/>
          <w:i/>
        </w:rPr>
        <w:t>ë</w:t>
      </w:r>
      <w:r w:rsidRPr="0012315E">
        <w:rPr>
          <w:rFonts w:eastAsia="Calibri" w:cs="Calibri"/>
          <w:i/>
        </w:rPr>
        <w:t xml:space="preserve"> v</w:t>
      </w:r>
      <w:r w:rsidRPr="00B35EAB">
        <w:rPr>
          <w:rFonts w:eastAsia="Calibri" w:cs="Calibri"/>
          <w:i/>
        </w:rPr>
        <w:t>itin</w:t>
      </w:r>
      <w:r w:rsidRPr="0012315E">
        <w:rPr>
          <w:rFonts w:eastAsia="Calibri" w:cs="Calibri"/>
          <w:i/>
        </w:rPr>
        <w:t xml:space="preserve"> r</w:t>
      </w:r>
      <w:r w:rsidRPr="00B35EAB">
        <w:rPr>
          <w:rFonts w:eastAsia="Calibri" w:cs="Calibri"/>
          <w:i/>
        </w:rPr>
        <w:t>el</w:t>
      </w:r>
      <w:r w:rsidRPr="0012315E">
        <w:rPr>
          <w:rFonts w:eastAsia="Calibri" w:cs="Calibri"/>
          <w:i/>
        </w:rPr>
        <w:t>e</w:t>
      </w:r>
      <w:r w:rsidRPr="00B35EAB">
        <w:rPr>
          <w:rFonts w:eastAsia="Calibri" w:cs="Calibri"/>
          <w:i/>
        </w:rPr>
        <w:t>v</w:t>
      </w:r>
      <w:r w:rsidRPr="0012315E">
        <w:rPr>
          <w:rFonts w:eastAsia="Calibri" w:cs="Calibri"/>
          <w:i/>
        </w:rPr>
        <w:t>an</w:t>
      </w:r>
      <w:r w:rsidRPr="00B35EAB">
        <w:rPr>
          <w:rFonts w:eastAsia="Calibri" w:cs="Calibri"/>
          <w:i/>
        </w:rPr>
        <w:t>t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t</w:t>
      </w:r>
      <w:r w:rsidRPr="0012315E">
        <w:rPr>
          <w:rFonts w:eastAsia="Calibri" w:cs="Calibri"/>
          <w:i/>
        </w:rPr>
        <w:t xml:space="preserve"> </w:t>
      </w:r>
    </w:p>
    <w:p w14:paraId="1F665052" w14:textId="77777777" w:rsidR="00024C9E" w:rsidRPr="0012315E" w:rsidRDefault="00024C9E" w:rsidP="00564792">
      <w:pPr>
        <w:spacing w:after="0" w:line="240" w:lineRule="auto"/>
        <w:ind w:left="1710"/>
        <w:rPr>
          <w:rFonts w:ascii="Calibri" w:eastAsia="Calibri" w:hAnsi="Calibri" w:cs="Calibri"/>
          <w:i/>
        </w:rPr>
      </w:pPr>
    </w:p>
    <w:p w14:paraId="33240ACB" w14:textId="77777777" w:rsidR="00024C9E" w:rsidRPr="0012315E" w:rsidRDefault="00024C9E" w:rsidP="00564792">
      <w:pPr>
        <w:pStyle w:val="ListParagraph"/>
        <w:spacing w:after="0" w:line="240" w:lineRule="auto"/>
        <w:ind w:left="1710" w:hanging="990"/>
        <w:rPr>
          <w:rFonts w:eastAsia="Calibri" w:cs="Calibri"/>
          <w:i/>
        </w:rPr>
      </w:pPr>
      <w:proofErr w:type="spellStart"/>
      <w:r w:rsidRPr="00B35EAB">
        <w:rPr>
          <w:rFonts w:eastAsia="Calibri" w:cs="Calibri"/>
          <w:i/>
        </w:rPr>
        <w:t>IMBC</w:t>
      </w:r>
      <w:r w:rsidRPr="00BE3DAB">
        <w:rPr>
          <w:rFonts w:eastAsia="Calibri" w:cs="Calibri"/>
          <w:i/>
          <w:vertAlign w:val="subscript"/>
        </w:rPr>
        <w:t>t</w:t>
      </w:r>
      <w:proofErr w:type="spellEnd"/>
      <w:r w:rsidRPr="00B35EAB">
        <w:rPr>
          <w:rFonts w:eastAsia="Calibri" w:cs="Calibri"/>
          <w:i/>
        </w:rPr>
        <w:tab/>
        <w:t>Kos</w:t>
      </w:r>
      <w:r w:rsidRPr="0012315E">
        <w:rPr>
          <w:rFonts w:eastAsia="Calibri" w:cs="Calibri"/>
          <w:i/>
        </w:rPr>
        <w:t>t</w:t>
      </w:r>
      <w:r w:rsidRPr="00B35EAB">
        <w:rPr>
          <w:rFonts w:eastAsia="Calibri" w:cs="Calibri"/>
          <w:i/>
        </w:rPr>
        <w:t>ot</w:t>
      </w:r>
      <w:r w:rsidRPr="0012315E">
        <w:rPr>
          <w:rFonts w:eastAsia="Calibri" w:cs="Calibri"/>
          <w:i/>
        </w:rPr>
        <w:t xml:space="preserve"> ne</w:t>
      </w:r>
      <w:r w:rsidRPr="00B35EAB">
        <w:rPr>
          <w:rFonts w:eastAsia="Calibri" w:cs="Calibri"/>
          <w:i/>
        </w:rPr>
        <w:t>to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të</w:t>
      </w:r>
      <w:r w:rsidRPr="0012315E">
        <w:rPr>
          <w:rFonts w:eastAsia="Calibri" w:cs="Calibri"/>
          <w:i/>
        </w:rPr>
        <w:t xml:space="preserve"> </w:t>
      </w:r>
      <w:proofErr w:type="spellStart"/>
      <w:r w:rsidRPr="00B35EAB">
        <w:rPr>
          <w:rFonts w:eastAsia="Calibri" w:cs="Calibri"/>
          <w:i/>
        </w:rPr>
        <w:t>i</w:t>
      </w:r>
      <w:r w:rsidRPr="0012315E">
        <w:rPr>
          <w:rFonts w:eastAsia="Calibri" w:cs="Calibri"/>
          <w:i/>
        </w:rPr>
        <w:t>mba</w:t>
      </w:r>
      <w:r w:rsidRPr="00B35EAB">
        <w:rPr>
          <w:rFonts w:eastAsia="Calibri" w:cs="Calibri"/>
          <w:i/>
        </w:rPr>
        <w:t>l</w:t>
      </w:r>
      <w:r w:rsidRPr="0012315E">
        <w:rPr>
          <w:rFonts w:eastAsia="Calibri" w:cs="Calibri"/>
          <w:i/>
        </w:rPr>
        <w:t>an</w:t>
      </w:r>
      <w:r w:rsidRPr="00B35EAB">
        <w:rPr>
          <w:rFonts w:eastAsia="Calibri" w:cs="Calibri"/>
          <w:i/>
        </w:rPr>
        <w:t>c</w:t>
      </w:r>
      <w:r w:rsidRPr="0012315E">
        <w:rPr>
          <w:rFonts w:eastAsia="Calibri" w:cs="Calibri"/>
          <w:i/>
        </w:rPr>
        <w:t>i</w:t>
      </w:r>
      <w:r w:rsidRPr="00B35EAB">
        <w:rPr>
          <w:rFonts w:eastAsia="Calibri" w:cs="Calibri"/>
          <w:i/>
        </w:rPr>
        <w:t>t</w:t>
      </w:r>
      <w:proofErr w:type="spellEnd"/>
      <w:r w:rsidRPr="0012315E">
        <w:rPr>
          <w:rFonts w:eastAsia="Calibri" w:cs="Calibri"/>
          <w:i/>
        </w:rPr>
        <w:t xml:space="preserve"> n</w:t>
      </w:r>
      <w:r w:rsidRPr="00B35EAB">
        <w:rPr>
          <w:rFonts w:eastAsia="Calibri" w:cs="Calibri"/>
          <w:i/>
        </w:rPr>
        <w:t>ë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vitin</w:t>
      </w:r>
      <w:r w:rsidRPr="0012315E">
        <w:rPr>
          <w:rFonts w:eastAsia="Calibri" w:cs="Calibri"/>
          <w:i/>
        </w:rPr>
        <w:t xml:space="preserve"> r</w:t>
      </w:r>
      <w:r w:rsidRPr="00B35EAB">
        <w:rPr>
          <w:rFonts w:eastAsia="Calibri" w:cs="Calibri"/>
          <w:i/>
        </w:rPr>
        <w:t>e</w:t>
      </w:r>
      <w:r w:rsidRPr="0012315E">
        <w:rPr>
          <w:rFonts w:eastAsia="Calibri" w:cs="Calibri"/>
          <w:i/>
        </w:rPr>
        <w:t>l</w:t>
      </w:r>
      <w:r w:rsidRPr="00B35EAB">
        <w:rPr>
          <w:rFonts w:eastAsia="Calibri" w:cs="Calibri"/>
          <w:i/>
        </w:rPr>
        <w:t>ev</w:t>
      </w:r>
      <w:r w:rsidRPr="0012315E">
        <w:rPr>
          <w:rFonts w:eastAsia="Calibri" w:cs="Calibri"/>
          <w:i/>
        </w:rPr>
        <w:t>an</w:t>
      </w:r>
      <w:r w:rsidRPr="00B35EAB">
        <w:rPr>
          <w:rFonts w:eastAsia="Calibri" w:cs="Calibri"/>
          <w:i/>
        </w:rPr>
        <w:t>t</w:t>
      </w:r>
      <w:r w:rsidRPr="0012315E">
        <w:rPr>
          <w:rFonts w:eastAsia="Calibri" w:cs="Calibri"/>
          <w:i/>
        </w:rPr>
        <w:t xml:space="preserve"> </w:t>
      </w:r>
      <w:r>
        <w:rPr>
          <w:rFonts w:eastAsia="Calibri" w:cs="Calibri"/>
          <w:i/>
        </w:rPr>
        <w:t>t</w:t>
      </w:r>
    </w:p>
    <w:p w14:paraId="08BEDFA5" w14:textId="77777777" w:rsidR="00024C9E" w:rsidRPr="0012315E" w:rsidRDefault="00024C9E" w:rsidP="00564792">
      <w:pPr>
        <w:spacing w:after="0" w:line="240" w:lineRule="auto"/>
        <w:ind w:left="1710" w:hanging="720"/>
        <w:rPr>
          <w:rFonts w:ascii="Calibri" w:eastAsia="Calibri" w:hAnsi="Calibri" w:cs="Calibri"/>
          <w:i/>
        </w:rPr>
      </w:pPr>
    </w:p>
    <w:p w14:paraId="1D9684E0" w14:textId="77777777" w:rsidR="00024C9E" w:rsidRPr="00614AA2" w:rsidRDefault="00024C9E" w:rsidP="00564792">
      <w:pPr>
        <w:pStyle w:val="ListParagraph"/>
        <w:spacing w:after="0" w:line="240" w:lineRule="auto"/>
        <w:ind w:left="1710" w:hanging="990"/>
        <w:rPr>
          <w:rFonts w:eastAsia="Calibri" w:cs="Calibri"/>
          <w:i/>
        </w:rPr>
      </w:pPr>
      <w:proofErr w:type="spellStart"/>
      <w:r w:rsidRPr="00B35EAB">
        <w:rPr>
          <w:rFonts w:eastAsia="Calibri" w:cs="Calibri"/>
          <w:i/>
        </w:rPr>
        <w:t>IMBF</w:t>
      </w:r>
      <w:r w:rsidRPr="00BE3DAB">
        <w:rPr>
          <w:rFonts w:eastAsia="Calibri" w:cs="Calibri"/>
          <w:i/>
          <w:vertAlign w:val="subscript"/>
        </w:rPr>
        <w:t>t</w:t>
      </w:r>
      <w:proofErr w:type="spellEnd"/>
      <w:r w:rsidRPr="00BE3DAB">
        <w:rPr>
          <w:rFonts w:eastAsia="Calibri" w:cs="Calibri"/>
          <w:i/>
          <w:vertAlign w:val="subscript"/>
        </w:rPr>
        <w:t xml:space="preserve"> </w:t>
      </w:r>
      <w:r w:rsidRPr="00B35EAB">
        <w:rPr>
          <w:rFonts w:eastAsia="Calibri" w:cs="Calibri"/>
          <w:i/>
        </w:rPr>
        <w:t xml:space="preserve">    </w:t>
      </w:r>
      <w:r>
        <w:rPr>
          <w:rFonts w:eastAsia="Calibri" w:cs="Calibri"/>
          <w:i/>
        </w:rPr>
        <w:tab/>
      </w:r>
      <w:r w:rsidRPr="00B35EAB">
        <w:rPr>
          <w:rFonts w:eastAsia="Calibri" w:cs="Calibri"/>
          <w:i/>
        </w:rPr>
        <w:t>F</w:t>
      </w:r>
      <w:r w:rsidRPr="0012315E">
        <w:rPr>
          <w:rFonts w:eastAsia="Calibri" w:cs="Calibri"/>
          <w:i/>
        </w:rPr>
        <w:t>a</w:t>
      </w:r>
      <w:r w:rsidRPr="00B35EAB">
        <w:rPr>
          <w:rFonts w:eastAsia="Calibri" w:cs="Calibri"/>
          <w:i/>
        </w:rPr>
        <w:t>k</w:t>
      </w:r>
      <w:r w:rsidRPr="0012315E">
        <w:rPr>
          <w:rFonts w:eastAsia="Calibri" w:cs="Calibri"/>
          <w:i/>
        </w:rPr>
        <w:t>t</w:t>
      </w:r>
      <w:r w:rsidRPr="00B35EAB">
        <w:rPr>
          <w:rFonts w:eastAsia="Calibri" w:cs="Calibri"/>
          <w:i/>
        </w:rPr>
        <w:t xml:space="preserve">ori 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>n</w:t>
      </w:r>
      <w:r w:rsidRPr="0012315E">
        <w:rPr>
          <w:rFonts w:eastAsia="Calibri" w:cs="Calibri"/>
          <w:i/>
        </w:rPr>
        <w:t>dar</w:t>
      </w:r>
      <w:r w:rsidRPr="00B35EAB">
        <w:rPr>
          <w:rFonts w:eastAsia="Calibri" w:cs="Calibri"/>
          <w:i/>
        </w:rPr>
        <w:t xml:space="preserve">ës 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 xml:space="preserve">i </w:t>
      </w:r>
      <w:r w:rsidRPr="0012315E">
        <w:rPr>
          <w:rFonts w:eastAsia="Calibri" w:cs="Calibri"/>
          <w:i/>
        </w:rPr>
        <w:t xml:space="preserve"> </w:t>
      </w:r>
      <w:proofErr w:type="spellStart"/>
      <w:r w:rsidRPr="0012315E">
        <w:rPr>
          <w:rFonts w:eastAsia="Calibri" w:cs="Calibri"/>
          <w:i/>
        </w:rPr>
        <w:t>imba</w:t>
      </w:r>
      <w:r w:rsidRPr="00B35EAB">
        <w:rPr>
          <w:rFonts w:eastAsia="Calibri" w:cs="Calibri"/>
          <w:i/>
        </w:rPr>
        <w:t>l</w:t>
      </w:r>
      <w:r w:rsidRPr="0012315E">
        <w:rPr>
          <w:rFonts w:eastAsia="Calibri" w:cs="Calibri"/>
          <w:i/>
        </w:rPr>
        <w:t>an</w:t>
      </w:r>
      <w:r w:rsidRPr="00B35EAB">
        <w:rPr>
          <w:rFonts w:eastAsia="Calibri" w:cs="Calibri"/>
          <w:i/>
        </w:rPr>
        <w:t>c</w:t>
      </w:r>
      <w:r w:rsidRPr="0012315E">
        <w:rPr>
          <w:rFonts w:eastAsia="Calibri" w:cs="Calibri"/>
          <w:i/>
        </w:rPr>
        <w:t>i</w:t>
      </w:r>
      <w:r w:rsidRPr="00B35EAB">
        <w:rPr>
          <w:rFonts w:eastAsia="Calibri" w:cs="Calibri"/>
          <w:i/>
        </w:rPr>
        <w:t>t</w:t>
      </w:r>
      <w:proofErr w:type="spellEnd"/>
      <w:r w:rsidRPr="00B35EAB">
        <w:rPr>
          <w:rFonts w:eastAsia="Calibri" w:cs="Calibri"/>
          <w:i/>
        </w:rPr>
        <w:t xml:space="preserve"> </w:t>
      </w:r>
      <w:r w:rsidRPr="0012315E">
        <w:rPr>
          <w:rFonts w:eastAsia="Calibri" w:cs="Calibri"/>
          <w:i/>
        </w:rPr>
        <w:t xml:space="preserve"> n</w:t>
      </w:r>
      <w:r w:rsidRPr="00B35EAB">
        <w:rPr>
          <w:rFonts w:eastAsia="Calibri" w:cs="Calibri"/>
          <w:i/>
        </w:rPr>
        <w:t xml:space="preserve">ë </w:t>
      </w:r>
      <w:r w:rsidRPr="0012315E">
        <w:rPr>
          <w:rFonts w:eastAsia="Calibri" w:cs="Calibri"/>
          <w:i/>
        </w:rPr>
        <w:t xml:space="preserve"> </w:t>
      </w:r>
      <w:r w:rsidRPr="00B35EAB">
        <w:rPr>
          <w:rFonts w:eastAsia="Calibri" w:cs="Calibri"/>
          <w:i/>
        </w:rPr>
        <w:t xml:space="preserve">vitin </w:t>
      </w:r>
      <w:r w:rsidRPr="0012315E">
        <w:rPr>
          <w:rFonts w:eastAsia="Calibri" w:cs="Calibri"/>
          <w:i/>
        </w:rPr>
        <w:t xml:space="preserve"> r</w:t>
      </w:r>
      <w:r w:rsidRPr="00B35EAB">
        <w:rPr>
          <w:rFonts w:eastAsia="Calibri" w:cs="Calibri"/>
          <w:i/>
        </w:rPr>
        <w:t>el</w:t>
      </w:r>
      <w:r w:rsidRPr="0012315E">
        <w:rPr>
          <w:rFonts w:eastAsia="Calibri" w:cs="Calibri"/>
          <w:i/>
        </w:rPr>
        <w:t>e</w:t>
      </w:r>
      <w:r w:rsidRPr="00B35EAB">
        <w:rPr>
          <w:rFonts w:eastAsia="Calibri" w:cs="Calibri"/>
          <w:i/>
        </w:rPr>
        <w:t>v</w:t>
      </w:r>
      <w:r w:rsidRPr="0012315E">
        <w:rPr>
          <w:rFonts w:eastAsia="Calibri" w:cs="Calibri"/>
          <w:i/>
        </w:rPr>
        <w:t>an</w:t>
      </w:r>
      <w:r w:rsidRPr="00B35EAB">
        <w:rPr>
          <w:rFonts w:eastAsia="Calibri" w:cs="Calibri"/>
          <w:i/>
        </w:rPr>
        <w:t xml:space="preserve">t </w:t>
      </w:r>
      <w:r>
        <w:rPr>
          <w:rFonts w:eastAsia="Calibri" w:cs="Calibri"/>
          <w:i/>
        </w:rPr>
        <w:t>t</w:t>
      </w:r>
    </w:p>
    <w:p w14:paraId="3274473D" w14:textId="77777777" w:rsidR="00024C9E" w:rsidRPr="00614AA2" w:rsidRDefault="00024C9E" w:rsidP="00564792">
      <w:pPr>
        <w:pStyle w:val="ListParagraph"/>
        <w:spacing w:after="0" w:line="240" w:lineRule="auto"/>
        <w:ind w:left="1710" w:hanging="720"/>
        <w:rPr>
          <w:rFonts w:eastAsia="Calibri" w:cs="Calibri"/>
          <w:i/>
        </w:rPr>
      </w:pPr>
    </w:p>
    <w:p w14:paraId="31DDBC0A" w14:textId="77777777" w:rsidR="00024C9E" w:rsidRDefault="00024C9E" w:rsidP="00564792">
      <w:pPr>
        <w:pStyle w:val="ListParagraph"/>
        <w:spacing w:after="0" w:line="240" w:lineRule="auto"/>
        <w:ind w:left="1710" w:hanging="990"/>
        <w:rPr>
          <w:rFonts w:eastAsia="Calibri" w:cs="Calibri"/>
          <w:i/>
          <w:spacing w:val="1"/>
        </w:rPr>
      </w:pPr>
      <w:r w:rsidRPr="00B35EAB">
        <w:rPr>
          <w:rFonts w:eastAsia="Calibri" w:cs="Calibri"/>
          <w:i/>
        </w:rPr>
        <w:t>RE</w:t>
      </w:r>
      <w:r w:rsidRPr="00B35EAB">
        <w:rPr>
          <w:rFonts w:eastAsia="Calibri" w:cs="Calibri"/>
          <w:i/>
          <w:spacing w:val="1"/>
        </w:rPr>
        <w:t>TM</w:t>
      </w:r>
      <w:r w:rsidRPr="00B35EAB">
        <w:rPr>
          <w:rFonts w:eastAsia="Calibri" w:cs="Calibri"/>
          <w:i/>
          <w:position w:val="-3"/>
          <w:sz w:val="14"/>
          <w:szCs w:val="14"/>
        </w:rPr>
        <w:t xml:space="preserve">t       </w:t>
      </w:r>
      <w:r>
        <w:rPr>
          <w:rFonts w:eastAsia="Calibri" w:cs="Calibri"/>
          <w:i/>
          <w:position w:val="-3"/>
          <w:sz w:val="14"/>
          <w:szCs w:val="14"/>
        </w:rPr>
        <w:tab/>
      </w:r>
      <w:r w:rsidRPr="00B35EAB">
        <w:rPr>
          <w:rFonts w:eastAsia="Calibri" w:cs="Calibri"/>
          <w:i/>
          <w:spacing w:val="1"/>
        </w:rPr>
        <w:t>M</w:t>
      </w:r>
      <w:r w:rsidRPr="00B35EAB">
        <w:rPr>
          <w:rFonts w:eastAsia="Calibri" w:cs="Calibri"/>
          <w:i/>
          <w:spacing w:val="-1"/>
        </w:rPr>
        <w:t>a</w:t>
      </w:r>
      <w:r w:rsidRPr="00B35EAB">
        <w:rPr>
          <w:rFonts w:eastAsia="Calibri" w:cs="Calibri"/>
          <w:i/>
          <w:spacing w:val="1"/>
        </w:rPr>
        <w:t>r</w:t>
      </w:r>
      <w:r w:rsidRPr="00B35EAB">
        <w:rPr>
          <w:rFonts w:eastAsia="Calibri" w:cs="Calibri"/>
          <w:i/>
          <w:spacing w:val="-1"/>
        </w:rPr>
        <w:t>zh</w:t>
      </w:r>
      <w:r w:rsidRPr="00B35EAB">
        <w:rPr>
          <w:rFonts w:eastAsia="Calibri" w:cs="Calibri"/>
          <w:i/>
        </w:rPr>
        <w:t>a</w:t>
      </w:r>
      <w:r w:rsidRPr="00B35EAB">
        <w:rPr>
          <w:rFonts w:eastAsia="Calibri" w:cs="Calibri"/>
          <w:i/>
          <w:spacing w:val="-1"/>
        </w:rPr>
        <w:t xml:space="preserve"> m</w:t>
      </w:r>
      <w:r w:rsidRPr="00B35EAB">
        <w:rPr>
          <w:rFonts w:eastAsia="Calibri" w:cs="Calibri"/>
          <w:i/>
        </w:rPr>
        <w:t>e p</w:t>
      </w:r>
      <w:r w:rsidRPr="00B35EAB">
        <w:rPr>
          <w:rFonts w:eastAsia="Calibri" w:cs="Calibri"/>
          <w:i/>
          <w:spacing w:val="-1"/>
        </w:rPr>
        <w:t>a</w:t>
      </w:r>
      <w:r w:rsidRPr="00B35EAB">
        <w:rPr>
          <w:rFonts w:eastAsia="Calibri" w:cs="Calibri"/>
          <w:i/>
        </w:rPr>
        <w:t>kicë në</w:t>
      </w:r>
      <w:r w:rsidRPr="00B35EAB">
        <w:rPr>
          <w:rFonts w:eastAsia="Calibri" w:cs="Calibri"/>
          <w:i/>
          <w:spacing w:val="-2"/>
        </w:rPr>
        <w:t xml:space="preserve"> </w:t>
      </w:r>
      <w:r w:rsidRPr="00B35EAB">
        <w:rPr>
          <w:rFonts w:eastAsia="Calibri" w:cs="Calibri"/>
          <w:i/>
          <w:spacing w:val="1"/>
        </w:rPr>
        <w:t>v</w:t>
      </w:r>
      <w:r w:rsidRPr="00B35EAB">
        <w:rPr>
          <w:rFonts w:eastAsia="Calibri" w:cs="Calibri"/>
          <w:i/>
        </w:rPr>
        <w:t>itin</w:t>
      </w:r>
      <w:r w:rsidRPr="00B35EAB">
        <w:rPr>
          <w:rFonts w:eastAsia="Calibri" w:cs="Calibri"/>
          <w:i/>
          <w:spacing w:val="-2"/>
        </w:rPr>
        <w:t xml:space="preserve"> </w:t>
      </w:r>
      <w:r w:rsidRPr="00B35EAB">
        <w:rPr>
          <w:rFonts w:eastAsia="Calibri" w:cs="Calibri"/>
          <w:i/>
          <w:spacing w:val="1"/>
        </w:rPr>
        <w:t>r</w:t>
      </w:r>
      <w:r w:rsidRPr="00B35EAB">
        <w:rPr>
          <w:rFonts w:eastAsia="Calibri" w:cs="Calibri"/>
          <w:i/>
        </w:rPr>
        <w:t>elev</w:t>
      </w:r>
      <w:r w:rsidRPr="00B35EAB">
        <w:rPr>
          <w:rFonts w:eastAsia="Calibri" w:cs="Calibri"/>
          <w:i/>
          <w:spacing w:val="-1"/>
        </w:rPr>
        <w:t>an</w:t>
      </w:r>
      <w:r w:rsidRPr="00B35EAB">
        <w:rPr>
          <w:rFonts w:eastAsia="Calibri" w:cs="Calibri"/>
          <w:i/>
        </w:rPr>
        <w:t>t</w:t>
      </w:r>
      <w:r w:rsidRPr="00B35EAB">
        <w:rPr>
          <w:rFonts w:eastAsia="Calibri" w:cs="Calibri"/>
          <w:i/>
          <w:spacing w:val="-1"/>
        </w:rPr>
        <w:t xml:space="preserve"> </w:t>
      </w:r>
      <w:r w:rsidRPr="00B35EAB">
        <w:rPr>
          <w:rFonts w:eastAsia="Calibri" w:cs="Calibri"/>
          <w:i/>
        </w:rPr>
        <w:t>t</w:t>
      </w:r>
      <w:r w:rsidRPr="00B35EAB">
        <w:rPr>
          <w:rFonts w:eastAsia="Calibri" w:cs="Calibri"/>
          <w:i/>
          <w:spacing w:val="1"/>
        </w:rPr>
        <w:t xml:space="preserve"> </w:t>
      </w:r>
    </w:p>
    <w:p w14:paraId="22838D0C" w14:textId="77777777" w:rsidR="000458E8" w:rsidRDefault="000458E8" w:rsidP="000458E8">
      <w:pPr>
        <w:spacing w:after="0"/>
        <w:rPr>
          <w:rFonts w:eastAsia="Calibri" w:cs="Calibri"/>
        </w:rPr>
      </w:pPr>
    </w:p>
    <w:p w14:paraId="2BC6CECA" w14:textId="05228AEC" w:rsidR="00942C62" w:rsidRDefault="00F379A9" w:rsidP="00FB0610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Përmbledhja e kostove me shumi</w:t>
      </w:r>
      <w:r w:rsidR="0066504E">
        <w:rPr>
          <w:rFonts w:eastAsia="Calibri" w:cs="Calibri"/>
        </w:rPr>
        <w:t>cë të parashikuara për vitin 202</w:t>
      </w:r>
      <w:r w:rsidR="00BF21DC">
        <w:rPr>
          <w:rFonts w:eastAsia="Calibri" w:cs="Calibri"/>
        </w:rPr>
        <w:t>1</w:t>
      </w:r>
      <w:r>
        <w:rPr>
          <w:rFonts w:eastAsia="Calibri" w:cs="Calibri"/>
        </w:rPr>
        <w:t xml:space="preserve"> është dhënë në tabelën në vijim:</w:t>
      </w:r>
    </w:p>
    <w:p w14:paraId="193828B9" w14:textId="77777777" w:rsidR="00526E92" w:rsidRDefault="00526E92" w:rsidP="00FB0610">
      <w:pPr>
        <w:spacing w:after="0"/>
        <w:jc w:val="both"/>
        <w:rPr>
          <w:rFonts w:eastAsia="Calibri" w:cs="Calibri"/>
        </w:rPr>
      </w:pPr>
    </w:p>
    <w:p w14:paraId="06C56B72" w14:textId="77777777" w:rsidR="00BF21DC" w:rsidRDefault="00BF21DC" w:rsidP="00FB0610">
      <w:pPr>
        <w:spacing w:after="0"/>
        <w:jc w:val="both"/>
        <w:rPr>
          <w:rFonts w:eastAsia="Calibri" w:cs="Calibri"/>
        </w:rPr>
      </w:pPr>
    </w:p>
    <w:p w14:paraId="04F7F587" w14:textId="77777777" w:rsidR="00AD630F" w:rsidRPr="005129C7" w:rsidRDefault="00AD630F" w:rsidP="00AD630F">
      <w:pPr>
        <w:tabs>
          <w:tab w:val="left" w:pos="3218"/>
        </w:tabs>
        <w:spacing w:after="0"/>
        <w:jc w:val="center"/>
        <w:rPr>
          <w:b/>
          <w:i/>
          <w:color w:val="17365D" w:themeColor="text2" w:themeShade="BF"/>
        </w:rPr>
      </w:pPr>
      <w:r w:rsidRPr="00526E92">
        <w:rPr>
          <w:b/>
          <w:i/>
          <w:color w:val="17365D" w:themeColor="text2" w:themeShade="BF"/>
        </w:rPr>
        <w:t>Tabela 2: Blerjet e energjisë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18"/>
        <w:gridCol w:w="1347"/>
        <w:gridCol w:w="1011"/>
        <w:gridCol w:w="1453"/>
      </w:tblGrid>
      <w:tr w:rsidR="00AD630F" w:rsidRPr="00AD630F" w14:paraId="5656E279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3792DCDD" w14:textId="77777777" w:rsidR="00AD630F" w:rsidRPr="00AD630F" w:rsidRDefault="00AD630F" w:rsidP="00AD630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AD630F">
              <w:rPr>
                <w:rFonts w:eastAsia="Times New Roman" w:cstheme="minorHAnsi"/>
                <w:b/>
                <w:bCs/>
                <w:color w:val="FFFFFF"/>
              </w:rPr>
              <w:t>Kostot e blerjes së energjisë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182FD331" w14:textId="77777777" w:rsidR="00AD630F" w:rsidRPr="00AD630F" w:rsidRDefault="00AD630F" w:rsidP="007A7B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proofErr w:type="spellStart"/>
            <w:r w:rsidRPr="00AD630F">
              <w:rPr>
                <w:rFonts w:eastAsia="Times New Roman" w:cstheme="minorHAnsi"/>
                <w:b/>
                <w:bCs/>
                <w:color w:val="FFFFFF"/>
              </w:rPr>
              <w:t>G</w:t>
            </w:r>
            <w:r w:rsidR="00C6478E">
              <w:rPr>
                <w:rFonts w:eastAsia="Times New Roman" w:cstheme="minorHAnsi"/>
                <w:b/>
                <w:bCs/>
                <w:color w:val="FFFFFF"/>
              </w:rPr>
              <w:t>W</w:t>
            </w:r>
            <w:r w:rsidRPr="00AD630F">
              <w:rPr>
                <w:rFonts w:eastAsia="Times New Roman" w:cstheme="minorHAnsi"/>
                <w:b/>
                <w:bCs/>
                <w:color w:val="FFFFFF"/>
              </w:rPr>
              <w:t>h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7DC5CE85" w14:textId="77777777" w:rsidR="00AD630F" w:rsidRPr="00AD630F" w:rsidRDefault="00AD630F" w:rsidP="007A7B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 w:rsidRPr="00AD630F">
              <w:rPr>
                <w:rFonts w:eastAsia="Times New Roman" w:cstheme="minorHAnsi"/>
                <w:b/>
                <w:bCs/>
                <w:color w:val="FFFFFF"/>
              </w:rPr>
              <w:t>€/</w:t>
            </w:r>
            <w:proofErr w:type="spellStart"/>
            <w:r w:rsidRPr="00AD630F">
              <w:rPr>
                <w:rFonts w:eastAsia="Times New Roman" w:cstheme="minorHAnsi"/>
                <w:b/>
                <w:bCs/>
                <w:color w:val="FFFFFF"/>
              </w:rPr>
              <w:t>M</w:t>
            </w:r>
            <w:r w:rsidR="00C6478E">
              <w:rPr>
                <w:rFonts w:eastAsia="Times New Roman" w:cstheme="minorHAnsi"/>
                <w:b/>
                <w:bCs/>
                <w:color w:val="FFFFFF"/>
              </w:rPr>
              <w:t>W</w:t>
            </w:r>
            <w:r w:rsidRPr="00AD630F">
              <w:rPr>
                <w:rFonts w:eastAsia="Times New Roman" w:cstheme="minorHAnsi"/>
                <w:b/>
                <w:bCs/>
                <w:color w:val="FFFFFF"/>
              </w:rPr>
              <w:t>h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14:paraId="2890CEB6" w14:textId="77777777" w:rsidR="00AD630F" w:rsidRPr="00AD630F" w:rsidRDefault="00AD630F" w:rsidP="007A7B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 w:rsidRPr="00AD630F">
              <w:rPr>
                <w:rFonts w:eastAsia="Times New Roman" w:cstheme="minorHAnsi"/>
                <w:b/>
                <w:bCs/>
                <w:color w:val="FFFFFF"/>
              </w:rPr>
              <w:t>€'000</w:t>
            </w:r>
          </w:p>
        </w:tc>
      </w:tr>
      <w:tr w:rsidR="00466297" w:rsidRPr="00AD630F" w14:paraId="0227A127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B2B4D" w14:textId="77777777" w:rsidR="00466297" w:rsidRPr="00AD630F" w:rsidRDefault="00466297" w:rsidP="00466297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>Sasitë e furnizuara nga KEK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8FFAB" w14:textId="662E826B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         </w:t>
            </w:r>
            <w:r>
              <w:rPr>
                <w:rFonts w:eastAsia="Times New Roman" w:cstheme="minorHAnsi"/>
                <w:color w:val="000000"/>
              </w:rPr>
              <w:t>3,732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FCAA" w14:textId="77777777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29.50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F2C8" w14:textId="2D549173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       </w:t>
            </w:r>
            <w:r>
              <w:rPr>
                <w:rFonts w:eastAsia="Times New Roman" w:cstheme="minorHAnsi"/>
                <w:color w:val="000000"/>
              </w:rPr>
              <w:t>110,098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466297" w:rsidRPr="00AD630F" w14:paraId="6C885229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F503" w14:textId="77777777" w:rsidR="00466297" w:rsidRPr="00AD630F" w:rsidRDefault="00466297" w:rsidP="00466297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</w:t>
            </w:r>
            <w:r w:rsidRPr="00AD630F">
              <w:rPr>
                <w:rFonts w:eastAsia="Times New Roman" w:cstheme="minorHAnsi"/>
                <w:color w:val="000000"/>
              </w:rPr>
              <w:t>jeneratorë tjerë në nivel të OST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D5580" w14:textId="51398F8A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5DF14" w14:textId="11431408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41.90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BB1FF" w14:textId="0968EE4B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9,034</w:t>
            </w:r>
          </w:p>
        </w:tc>
      </w:tr>
      <w:tr w:rsidR="00466297" w:rsidRPr="00AD630F" w14:paraId="4E26F048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4D685" w14:textId="77777777" w:rsidR="00466297" w:rsidRPr="00AD630F" w:rsidRDefault="00466297" w:rsidP="00466297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Gjeneratorë në nivel të </w:t>
            </w:r>
            <w:proofErr w:type="spellStart"/>
            <w:r w:rsidRPr="00AD630F">
              <w:rPr>
                <w:rFonts w:eastAsia="Times New Roman" w:cstheme="minorHAnsi"/>
                <w:color w:val="000000"/>
              </w:rPr>
              <w:t>OSSh</w:t>
            </w:r>
            <w:proofErr w:type="spellEnd"/>
            <w:r w:rsidRPr="00AD630F">
              <w:rPr>
                <w:rFonts w:eastAsia="Times New Roman" w:cstheme="minorHAnsi"/>
                <w:color w:val="000000"/>
              </w:rPr>
              <w:t>-së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68E3F" w14:textId="69928D12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                </w:t>
            </w:r>
            <w:r>
              <w:rPr>
                <w:rFonts w:eastAsia="Times New Roman" w:cstheme="minorHAnsi"/>
                <w:color w:val="000000"/>
              </w:rPr>
              <w:t>199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BF03C" w14:textId="2F40D626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41.65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C1678" w14:textId="2ED21A67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 8,310</w:t>
            </w:r>
            <w:r w:rsidRPr="00AD630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466297" w:rsidRPr="00AD630F" w14:paraId="00CFD5C0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CC935" w14:textId="77777777" w:rsidR="00466297" w:rsidRPr="00AD630F" w:rsidRDefault="00466297" w:rsidP="00466297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>Importi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FC1EF" w14:textId="0AD7C7B4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FB2D6" w14:textId="4618CB34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67.73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C7A63" w14:textId="000023A2" w:rsidR="00466297" w:rsidRPr="00AD630F" w:rsidRDefault="00466297" w:rsidP="0046629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5,645</w:t>
            </w:r>
            <w:r w:rsidRPr="00AD630F">
              <w:rPr>
                <w:rFonts w:eastAsia="Times New Roman" w:cstheme="minorHAnsi"/>
              </w:rPr>
              <w:t xml:space="preserve"> </w:t>
            </w:r>
          </w:p>
        </w:tc>
      </w:tr>
      <w:tr w:rsidR="00AD630F" w:rsidRPr="00AD630F" w14:paraId="04788501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7D98D" w14:textId="77777777" w:rsidR="00AD630F" w:rsidRPr="00AD630F" w:rsidRDefault="00AD630F" w:rsidP="00AD630F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 xml:space="preserve">Kostot e </w:t>
            </w:r>
            <w:proofErr w:type="spellStart"/>
            <w:r w:rsidRPr="00AD630F">
              <w:rPr>
                <w:rFonts w:eastAsia="Times New Roman" w:cstheme="minorHAnsi"/>
                <w:color w:val="000000"/>
              </w:rPr>
              <w:t>jobalanceve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1D5E9" w14:textId="77777777" w:rsidR="00AD630F" w:rsidRPr="00AD630F" w:rsidRDefault="00AD630F" w:rsidP="00AD630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D630F">
              <w:rPr>
                <w:rFonts w:eastAsia="Times New Roman" w:cstheme="minorHAnsi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808DC" w14:textId="77777777" w:rsidR="00AD630F" w:rsidRPr="00AD630F" w:rsidRDefault="00AD630F" w:rsidP="00FB06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D630F">
              <w:rPr>
                <w:rFonts w:eastAsia="Times New Roman" w:cstheme="minorHAnsi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8C91F" w14:textId="77777777" w:rsidR="00AD630F" w:rsidRPr="00AD630F" w:rsidRDefault="00AD630F" w:rsidP="00FB06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D630F">
              <w:rPr>
                <w:rFonts w:eastAsia="Times New Roman" w:cstheme="minorHAnsi"/>
              </w:rPr>
              <w:t>-</w:t>
            </w:r>
          </w:p>
        </w:tc>
      </w:tr>
      <w:tr w:rsidR="00AD630F" w:rsidRPr="00AD630F" w14:paraId="4A687BF4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32991" w14:textId="77777777" w:rsidR="00AD630F" w:rsidRPr="00AD630F" w:rsidRDefault="00650C28" w:rsidP="00AD630F">
            <w:pPr>
              <w:spacing w:after="0" w:line="240" w:lineRule="auto"/>
              <w:ind w:firstLineChars="300" w:firstLine="6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Faktori ndarës i</w:t>
            </w:r>
            <w:r w:rsidR="00AD630F" w:rsidRPr="00AD630F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="00AD630F" w:rsidRPr="00AD630F">
              <w:rPr>
                <w:rFonts w:eastAsia="Times New Roman" w:cstheme="minorHAnsi"/>
                <w:color w:val="000000"/>
              </w:rPr>
              <w:t>jobalanceve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E6DFB" w14:textId="77777777" w:rsidR="00AD630F" w:rsidRPr="00AD630F" w:rsidRDefault="00AD630F" w:rsidP="00AD630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D630F">
              <w:rPr>
                <w:rFonts w:eastAsia="Times New Roman" w:cstheme="minorHAnsi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E28A" w14:textId="77777777" w:rsidR="00AD630F" w:rsidRPr="00AD630F" w:rsidRDefault="00AD630F" w:rsidP="00FB06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D630F">
              <w:rPr>
                <w:rFonts w:eastAsia="Times New Roman" w:cstheme="minorHAnsi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8B65B" w14:textId="77777777" w:rsidR="00AD630F" w:rsidRPr="00AD630F" w:rsidRDefault="00AD630F" w:rsidP="00FB06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D630F">
              <w:rPr>
                <w:rFonts w:eastAsia="Times New Roman" w:cstheme="minorHAnsi"/>
              </w:rPr>
              <w:t>-</w:t>
            </w:r>
          </w:p>
        </w:tc>
      </w:tr>
      <w:tr w:rsidR="00AD630F" w:rsidRPr="00AD630F" w14:paraId="734E5392" w14:textId="77777777" w:rsidTr="00466297">
        <w:trPr>
          <w:trHeight w:val="330"/>
          <w:jc w:val="center"/>
        </w:trPr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810A4" w14:textId="77777777" w:rsidR="00AD630F" w:rsidRPr="00AD630F" w:rsidRDefault="00AD630F" w:rsidP="00AD630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630F">
              <w:rPr>
                <w:rFonts w:eastAsia="Times New Roman" w:cstheme="minorHAnsi"/>
                <w:b/>
                <w:bCs/>
              </w:rPr>
              <w:t xml:space="preserve"> Total sasitë e furnizuara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3249E" w14:textId="337F199C" w:rsidR="00AD630F" w:rsidRPr="00AD630F" w:rsidRDefault="00AD630F" w:rsidP="00665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AD630F">
              <w:rPr>
                <w:rFonts w:eastAsia="Times New Roman" w:cstheme="minorHAnsi"/>
                <w:b/>
                <w:bCs/>
              </w:rPr>
              <w:t xml:space="preserve">            </w:t>
            </w:r>
            <w:r w:rsidR="0066504E">
              <w:rPr>
                <w:rFonts w:eastAsia="Times New Roman" w:cstheme="minorHAnsi"/>
                <w:b/>
                <w:bCs/>
              </w:rPr>
              <w:t>4,</w:t>
            </w:r>
            <w:r w:rsidR="00466297">
              <w:rPr>
                <w:rFonts w:eastAsia="Times New Roman" w:cstheme="minorHAnsi"/>
                <w:b/>
                <w:bCs/>
              </w:rPr>
              <w:t>231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08E5A" w14:textId="6B4C6F9A" w:rsidR="00AD630F" w:rsidRPr="00AD630F" w:rsidRDefault="0066504E" w:rsidP="00AD63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</w:t>
            </w:r>
            <w:r w:rsidR="00466297">
              <w:rPr>
                <w:rFonts w:eastAsia="Times New Roman" w:cstheme="minorHAnsi"/>
                <w:b/>
                <w:bCs/>
              </w:rPr>
              <w:t>1</w:t>
            </w:r>
            <w:r>
              <w:rPr>
                <w:rFonts w:eastAsia="Times New Roman" w:cstheme="minorHAnsi"/>
                <w:b/>
                <w:bCs/>
              </w:rPr>
              <w:t>.5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1DB14" w14:textId="54FBE784" w:rsidR="00AD630F" w:rsidRPr="00AD630F" w:rsidRDefault="00E322B1" w:rsidP="00665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      </w:t>
            </w:r>
            <w:r w:rsidR="0066504E">
              <w:rPr>
                <w:rFonts w:eastAsia="Times New Roman" w:cstheme="minorHAnsi"/>
                <w:b/>
                <w:bCs/>
              </w:rPr>
              <w:t>13</w:t>
            </w:r>
            <w:r w:rsidR="00466297">
              <w:rPr>
                <w:rFonts w:eastAsia="Times New Roman" w:cstheme="minorHAnsi"/>
                <w:b/>
                <w:bCs/>
              </w:rPr>
              <w:t>3</w:t>
            </w:r>
            <w:r w:rsidR="0066504E">
              <w:rPr>
                <w:rFonts w:eastAsia="Times New Roman" w:cstheme="minorHAnsi"/>
                <w:b/>
                <w:bCs/>
              </w:rPr>
              <w:t>,</w:t>
            </w:r>
            <w:r w:rsidR="00466297">
              <w:rPr>
                <w:rFonts w:eastAsia="Times New Roman" w:cstheme="minorHAnsi"/>
                <w:b/>
                <w:bCs/>
              </w:rPr>
              <w:t>086</w:t>
            </w:r>
          </w:p>
        </w:tc>
      </w:tr>
      <w:tr w:rsidR="00AD630F" w:rsidRPr="00AD630F" w14:paraId="51524D60" w14:textId="77777777" w:rsidTr="00466297">
        <w:trPr>
          <w:trHeight w:val="152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908EB" w14:textId="77777777" w:rsidR="00AD630F" w:rsidRPr="00AD630F" w:rsidRDefault="00AD630F" w:rsidP="00AD630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>Margjina me pakicë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7E307" w14:textId="77777777" w:rsidR="00AD630F" w:rsidRPr="00AD630F" w:rsidRDefault="00AD630F" w:rsidP="00AD63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AD630F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D8491" w14:textId="77777777" w:rsidR="00AD630F" w:rsidRPr="00AD630F" w:rsidRDefault="00AD630F" w:rsidP="00AD63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D630F">
              <w:rPr>
                <w:rFonts w:eastAsia="Times New Roman" w:cstheme="minorHAnsi"/>
                <w:color w:val="000000"/>
              </w:rPr>
              <w:t>3.00%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3A6C9" w14:textId="09EEED94" w:rsidR="00AD630F" w:rsidRPr="00AD630F" w:rsidRDefault="00564792" w:rsidP="00FB240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</w:t>
            </w:r>
            <w:r w:rsidR="00FB2401">
              <w:rPr>
                <w:rFonts w:eastAsia="Times New Roman" w:cstheme="minorHAnsi"/>
              </w:rPr>
              <w:t>3,9</w:t>
            </w:r>
            <w:r w:rsidR="00466297">
              <w:rPr>
                <w:rFonts w:eastAsia="Times New Roman" w:cstheme="minorHAnsi"/>
              </w:rPr>
              <w:t>93</w:t>
            </w:r>
          </w:p>
        </w:tc>
      </w:tr>
      <w:tr w:rsidR="00AD630F" w:rsidRPr="00AD630F" w14:paraId="32D9DB8A" w14:textId="77777777" w:rsidTr="00466297">
        <w:trPr>
          <w:trHeight w:val="300"/>
          <w:jc w:val="center"/>
        </w:trPr>
        <w:tc>
          <w:tcPr>
            <w:tcW w:w="2896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14:paraId="5D6F4C57" w14:textId="77777777" w:rsidR="00AD630F" w:rsidRPr="00AD630F" w:rsidRDefault="00AD630F" w:rsidP="00AD630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AD630F">
              <w:rPr>
                <w:rFonts w:eastAsia="Times New Roman" w:cstheme="minorHAnsi"/>
                <w:b/>
                <w:bCs/>
                <w:color w:val="FFFFFF"/>
              </w:rPr>
              <w:t xml:space="preserve"> Total kostot e blerjes së Energjisë 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14:paraId="11D09819" w14:textId="5AE313AB" w:rsidR="00AD630F" w:rsidRPr="00AD630F" w:rsidRDefault="0066504E" w:rsidP="00AD63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4,</w:t>
            </w:r>
            <w:r w:rsidR="00466297">
              <w:rPr>
                <w:rFonts w:eastAsia="Times New Roman" w:cstheme="minorHAnsi"/>
                <w:b/>
                <w:bCs/>
                <w:color w:val="FFFFFF"/>
              </w:rPr>
              <w:t>231</w:t>
            </w:r>
            <w:r w:rsidR="00AD630F" w:rsidRPr="00AD630F">
              <w:rPr>
                <w:rFonts w:eastAsia="Times New Roman" w:cstheme="minorHAnsi"/>
                <w:b/>
                <w:bCs/>
                <w:color w:val="FFFFFF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14:paraId="0A67BF8B" w14:textId="3CB0F24E" w:rsidR="00AD630F" w:rsidRPr="00AD630F" w:rsidRDefault="00466297" w:rsidP="00AD63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32.4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14:paraId="492BDD69" w14:textId="7693B192" w:rsidR="00AD630F" w:rsidRPr="00AD630F" w:rsidRDefault="00564792" w:rsidP="00FB2401">
            <w:pPr>
              <w:spacing w:after="0" w:line="240" w:lineRule="auto"/>
              <w:ind w:left="113"/>
              <w:jc w:val="right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 xml:space="preserve">        </w:t>
            </w:r>
            <w:r w:rsidR="00FB2401">
              <w:rPr>
                <w:rFonts w:eastAsia="Times New Roman" w:cstheme="minorHAnsi"/>
                <w:b/>
                <w:bCs/>
                <w:color w:val="FFFFFF"/>
              </w:rPr>
              <w:t>13</w:t>
            </w:r>
            <w:r w:rsidR="00466297">
              <w:rPr>
                <w:rFonts w:eastAsia="Times New Roman" w:cstheme="minorHAnsi"/>
                <w:b/>
                <w:bCs/>
                <w:color w:val="FFFFFF"/>
              </w:rPr>
              <w:t>7</w:t>
            </w:r>
            <w:r w:rsidR="00FB2401">
              <w:rPr>
                <w:rFonts w:eastAsia="Times New Roman" w:cstheme="minorHAnsi"/>
                <w:b/>
                <w:bCs/>
                <w:color w:val="FFFFFF"/>
              </w:rPr>
              <w:t>,</w:t>
            </w:r>
            <w:r w:rsidR="00466297">
              <w:rPr>
                <w:rFonts w:eastAsia="Times New Roman" w:cstheme="minorHAnsi"/>
                <w:b/>
                <w:bCs/>
                <w:color w:val="FFFFFF"/>
              </w:rPr>
              <w:t>079</w:t>
            </w:r>
          </w:p>
        </w:tc>
      </w:tr>
    </w:tbl>
    <w:p w14:paraId="6AC8012A" w14:textId="77777777" w:rsidR="002A2737" w:rsidRDefault="002A2737" w:rsidP="008E348A">
      <w:pPr>
        <w:pStyle w:val="Heading2"/>
        <w:numPr>
          <w:ilvl w:val="0"/>
          <w:numId w:val="0"/>
        </w:numPr>
      </w:pPr>
    </w:p>
    <w:p w14:paraId="15E1A5C4" w14:textId="276517F9" w:rsidR="00920BFC" w:rsidRDefault="00920BFC" w:rsidP="00920BFC">
      <w:pPr>
        <w:jc w:val="both"/>
      </w:pPr>
      <w:r>
        <w:t>Është e rëndësishme të theksohet që FSHU është i obliguar sipas Rregullës për të Hyrat e FSHU</w:t>
      </w:r>
      <w:r w:rsidR="00811875">
        <w:t>-së</w:t>
      </w:r>
      <w:r>
        <w:t>, përkatësisht neni 17 dhe Shtojca 3, që të sigurojë energji elektrike në mënyrë transparente, konkurruese dhe efikase. Si rrjedhojë</w:t>
      </w:r>
      <w:r w:rsidR="00BF21DC">
        <w:t>,</w:t>
      </w:r>
      <w:r>
        <w:t xml:space="preserve"> FSHU duhet të demonstrojë që çmimet e blerjes së energjisë duhet të jenë të arsyeshme dhe të jenë në përputhje me kërkesat e nenit 17 të Rregullës për të hyrat e FSHU</w:t>
      </w:r>
      <w:r w:rsidR="00811875">
        <w:t>-së</w:t>
      </w:r>
      <w:r>
        <w:t>.</w:t>
      </w:r>
    </w:p>
    <w:p w14:paraId="0CA10D46" w14:textId="41EC0D43" w:rsidR="00912D2F" w:rsidRDefault="00912D2F" w:rsidP="00920BFC">
      <w:pPr>
        <w:jc w:val="both"/>
      </w:pPr>
      <w:r>
        <w:t xml:space="preserve">Në mungesë të këtyre dëshmive, ZRRE në vlerësimin preliminar ka parashikuar kostot e blerjes së energjisë me shumicë bazuar në çmimet </w:t>
      </w:r>
      <w:r w:rsidR="00624C95">
        <w:t xml:space="preserve">aktuale </w:t>
      </w:r>
      <w:r>
        <w:t>të realizuara në vitin 20</w:t>
      </w:r>
      <w:r w:rsidR="00BF21DC">
        <w:t>20</w:t>
      </w:r>
      <w:r>
        <w:t xml:space="preserve">, por </w:t>
      </w:r>
      <w:r w:rsidR="00624C95" w:rsidRPr="00624C95">
        <w:t>gjatë procesit të konsultimit publik</w:t>
      </w:r>
      <w:r w:rsidR="00624C95">
        <w:t>,</w:t>
      </w:r>
      <w:r w:rsidR="00624C95" w:rsidRPr="00624C95">
        <w:t xml:space="preserve"> </w:t>
      </w:r>
      <w:r>
        <w:t>palët duhet të respektojnë parimet e sipërpë</w:t>
      </w:r>
      <w:r w:rsidR="00624C95">
        <w:t xml:space="preserve">rmendura dhe të dëshmojnë se </w:t>
      </w:r>
      <w:r w:rsidR="00624C95" w:rsidRPr="00624C95">
        <w:t xml:space="preserve">janë përmbushur të gjitha kërkesat </w:t>
      </w:r>
      <w:r w:rsidR="00F365C8">
        <w:t xml:space="preserve">ligjore, </w:t>
      </w:r>
      <w:proofErr w:type="spellStart"/>
      <w:r w:rsidR="00624C95" w:rsidRPr="00624C95">
        <w:t>rregullative</w:t>
      </w:r>
      <w:proofErr w:type="spellEnd"/>
      <w:r w:rsidR="00F365C8">
        <w:t xml:space="preserve"> dhe procedurale</w:t>
      </w:r>
      <w:r w:rsidR="00C7163A">
        <w:t xml:space="preserve"> që kanë të bëjnë me blerjet e energjisë me shumicë.</w:t>
      </w:r>
    </w:p>
    <w:p w14:paraId="1986EB55" w14:textId="49B1CDC4" w:rsidR="000D4BEB" w:rsidRPr="003A4BA9" w:rsidRDefault="000D4BEB" w:rsidP="00FD6318">
      <w:pPr>
        <w:pStyle w:val="Heading2"/>
      </w:pPr>
      <w:bookmarkStart w:id="4" w:name="_Toc80690016"/>
      <w:r w:rsidRPr="003A4BA9">
        <w:t xml:space="preserve">Përshtatjet </w:t>
      </w:r>
      <w:r>
        <w:t>e</w:t>
      </w:r>
      <w:r w:rsidRPr="003A4BA9">
        <w:t xml:space="preserve"> të hyrave</w:t>
      </w:r>
      <w:r>
        <w:t xml:space="preserve"> për vitin 20</w:t>
      </w:r>
      <w:r w:rsidR="00CB4322">
        <w:t>20</w:t>
      </w:r>
      <w:bookmarkEnd w:id="4"/>
    </w:p>
    <w:p w14:paraId="67FED87E" w14:textId="17C35EB0" w:rsidR="000D4BEB" w:rsidRDefault="000D4BEB" w:rsidP="000D4BEB">
      <w:pPr>
        <w:jc w:val="both"/>
      </w:pPr>
      <w:r>
        <w:t>Për të bërë përshtatjet e vitit 20</w:t>
      </w:r>
      <w:r w:rsidR="00CB4322">
        <w:t>20</w:t>
      </w:r>
      <w:r>
        <w:t xml:space="preserve"> të cilat do të aplikohen gjatë përcaktimit të MAR-it të FSHU</w:t>
      </w:r>
      <w:r w:rsidR="00811875">
        <w:t>-së</w:t>
      </w:r>
      <w:r>
        <w:t xml:space="preserve"> për vitin 20</w:t>
      </w:r>
      <w:r w:rsidR="0066504E">
        <w:t>2</w:t>
      </w:r>
      <w:r w:rsidR="00CB4322">
        <w:t>1</w:t>
      </w:r>
      <w:r>
        <w:t>, së pari duhet bërë vlerësimin e kostove aktuale të furnizimit me energji elektrike për konsumatorët e FSHU</w:t>
      </w:r>
      <w:r w:rsidR="00901FF6">
        <w:t>-së</w:t>
      </w:r>
      <w:r>
        <w:t xml:space="preserve">. Pas </w:t>
      </w:r>
      <w:r w:rsidR="00901FF6">
        <w:t>vlerësimit</w:t>
      </w:r>
      <w:r>
        <w:t xml:space="preserve"> </w:t>
      </w:r>
      <w:r w:rsidR="00901FF6">
        <w:t>t</w:t>
      </w:r>
      <w:r w:rsidR="00CC0E46">
        <w:t>ë këtyre kostove dhe të hyrave</w:t>
      </w:r>
      <w:r>
        <w:t xml:space="preserve"> bëhet </w:t>
      </w:r>
      <w:r w:rsidR="00CC0E46">
        <w:t xml:space="preserve">që </w:t>
      </w:r>
      <w:r>
        <w:t>kanë rezultuar nga faturimi në vitin 20</w:t>
      </w:r>
      <w:r w:rsidR="00CB4322">
        <w:t>20</w:t>
      </w:r>
      <w:r w:rsidR="00CC0E46">
        <w:t xml:space="preserve"> bëhet përshtatja e të hyrave.</w:t>
      </w:r>
      <w:r>
        <w:t xml:space="preserve"> </w:t>
      </w:r>
    </w:p>
    <w:p w14:paraId="36C457F4" w14:textId="6D6966AA" w:rsidR="000D4BEB" w:rsidRPr="003A4BA9" w:rsidRDefault="00CC0E46" w:rsidP="000D4BEB">
      <w:pPr>
        <w:spacing w:before="120"/>
        <w:jc w:val="both"/>
      </w:pPr>
      <w:r>
        <w:t>Ndryshimi në mes të kostove</w:t>
      </w:r>
      <w:r w:rsidR="000D4BEB" w:rsidRPr="003A4BA9">
        <w:t xml:space="preserve"> të </w:t>
      </w:r>
      <w:r w:rsidR="00901FF6">
        <w:t>vlerësuara</w:t>
      </w:r>
      <w:r w:rsidR="000D4BEB" w:rsidRPr="003A4BA9">
        <w:t xml:space="preserve"> nga ZRRE-ja për vitin 20</w:t>
      </w:r>
      <w:r w:rsidR="00CB4322">
        <w:t>20</w:t>
      </w:r>
      <w:r w:rsidR="000D4BEB" w:rsidRPr="003A4BA9">
        <w:t xml:space="preserve"> dhe të </w:t>
      </w:r>
      <w:r w:rsidR="000D4BEB">
        <w:t>h</w:t>
      </w:r>
      <w:r w:rsidR="000D4BEB" w:rsidRPr="003A4BA9">
        <w:t xml:space="preserve">yrave të realizuara nga </w:t>
      </w:r>
      <w:r w:rsidR="000D4BEB">
        <w:t>FSHU</w:t>
      </w:r>
      <w:r w:rsidR="000D4BEB" w:rsidRPr="003A4BA9">
        <w:t xml:space="preserve"> gjatë periudhës së njëjtë është llogaritur sipas formulës në vijim:</w:t>
      </w:r>
    </w:p>
    <w:p w14:paraId="256F00FC" w14:textId="77777777" w:rsidR="000D4BEB" w:rsidRPr="003A4BA9" w:rsidRDefault="000D4BEB" w:rsidP="000D4BEB">
      <w:pPr>
        <w:pStyle w:val="Equation"/>
        <w:ind w:left="2835" w:hanging="1701"/>
        <w:jc w:val="both"/>
      </w:pPr>
      <w:proofErr w:type="spellStart"/>
      <w:r>
        <w:t>ADJ</w:t>
      </w:r>
      <w:r w:rsidRPr="003A4BA9">
        <w:rPr>
          <w:vertAlign w:val="subscript"/>
        </w:rPr>
        <w:t>t</w:t>
      </w:r>
      <w:proofErr w:type="spellEnd"/>
      <w:r w:rsidRPr="003A4BA9">
        <w:t xml:space="preserve"> = (AAC</w:t>
      </w:r>
      <w:r w:rsidRPr="003A4BA9">
        <w:rPr>
          <w:vertAlign w:val="subscript"/>
        </w:rPr>
        <w:t>at</w:t>
      </w:r>
      <w:r w:rsidRPr="003A4BA9">
        <w:t>-</w:t>
      </w:r>
      <w:r w:rsidRPr="003A4BA9">
        <w:rPr>
          <w:vertAlign w:val="subscript"/>
        </w:rPr>
        <w:t>1</w:t>
      </w:r>
      <w:r w:rsidRPr="003A4BA9">
        <w:t xml:space="preserve"> – ARR</w:t>
      </w:r>
      <w:r w:rsidRPr="003A4BA9">
        <w:rPr>
          <w:vertAlign w:val="subscript"/>
        </w:rPr>
        <w:t xml:space="preserve">t-1) </w:t>
      </w:r>
      <w:r w:rsidRPr="003A4BA9">
        <w:t>* (1+ I</w:t>
      </w:r>
      <w:r w:rsidRPr="003A4BA9">
        <w:rPr>
          <w:vertAlign w:val="subscript"/>
        </w:rPr>
        <w:t>t</w:t>
      </w:r>
      <w:r w:rsidRPr="003A4BA9">
        <w:t xml:space="preserve">) </w:t>
      </w:r>
    </w:p>
    <w:p w14:paraId="2E85991E" w14:textId="77777777" w:rsidR="000D4BEB" w:rsidRPr="003A4BA9" w:rsidRDefault="000D4BEB" w:rsidP="000D4BEB">
      <w:pPr>
        <w:pStyle w:val="Equation"/>
        <w:ind w:left="2835" w:hanging="1701"/>
        <w:jc w:val="both"/>
      </w:pPr>
      <w:r w:rsidRPr="003A4BA9">
        <w:t xml:space="preserve">Ku janë: </w:t>
      </w:r>
    </w:p>
    <w:p w14:paraId="564FD802" w14:textId="77777777" w:rsidR="000D4BEB" w:rsidRDefault="000D4BEB" w:rsidP="000D4BEB">
      <w:pPr>
        <w:pStyle w:val="Equation"/>
        <w:ind w:left="2835" w:hanging="1701"/>
        <w:jc w:val="both"/>
        <w:rPr>
          <w:rFonts w:eastAsia="Calibri" w:cs="Calibri"/>
          <w:szCs w:val="22"/>
        </w:rPr>
      </w:pPr>
      <w:r w:rsidRPr="003A4BA9">
        <w:t>AAC</w:t>
      </w:r>
      <w:r w:rsidRPr="003A4BA9">
        <w:rPr>
          <w:vertAlign w:val="subscript"/>
        </w:rPr>
        <w:t xml:space="preserve">at-1 </w:t>
      </w:r>
      <w:r w:rsidRPr="003A4BA9">
        <w:tab/>
      </w:r>
      <w:r>
        <w:rPr>
          <w:rFonts w:eastAsia="Calibri" w:cs="Calibri"/>
          <w:szCs w:val="22"/>
        </w:rPr>
        <w:t xml:space="preserve">Kostot e lejuara aktuale të FSHU-së në vitin relevant t </w:t>
      </w:r>
    </w:p>
    <w:p w14:paraId="501EA2D6" w14:textId="77777777" w:rsidR="000D4BEB" w:rsidRDefault="000D4BEB" w:rsidP="000D4BEB">
      <w:pPr>
        <w:pStyle w:val="Equation"/>
        <w:ind w:left="2835" w:hanging="1701"/>
        <w:jc w:val="both"/>
        <w:rPr>
          <w:rFonts w:eastAsia="Calibri" w:cs="Calibri"/>
          <w:szCs w:val="22"/>
        </w:rPr>
      </w:pPr>
      <w:r w:rsidRPr="003A4BA9">
        <w:t>ARR</w:t>
      </w:r>
      <w:r w:rsidRPr="003A4BA9">
        <w:rPr>
          <w:vertAlign w:val="subscript"/>
        </w:rPr>
        <w:t xml:space="preserve">t-1 </w:t>
      </w:r>
      <w:r w:rsidRPr="003A4BA9">
        <w:tab/>
      </w:r>
      <w:r w:rsidRPr="00E96FEF">
        <w:rPr>
          <w:rFonts w:eastAsia="Calibri" w:cs="Calibri"/>
          <w:szCs w:val="22"/>
        </w:rPr>
        <w:t xml:space="preserve">Të  </w:t>
      </w:r>
      <w:r w:rsidRPr="0012315E">
        <w:rPr>
          <w:rFonts w:eastAsia="Calibri" w:cs="Calibri"/>
          <w:szCs w:val="22"/>
        </w:rPr>
        <w:t xml:space="preserve"> h</w:t>
      </w:r>
      <w:r w:rsidRPr="00E96FEF">
        <w:rPr>
          <w:rFonts w:eastAsia="Calibri" w:cs="Calibri"/>
          <w:szCs w:val="22"/>
        </w:rPr>
        <w:t>yr</w:t>
      </w:r>
      <w:r w:rsidRPr="0012315E">
        <w:rPr>
          <w:rFonts w:eastAsia="Calibri" w:cs="Calibri"/>
          <w:szCs w:val="22"/>
        </w:rPr>
        <w:t>a</w:t>
      </w:r>
      <w:r w:rsidRPr="00E96FEF">
        <w:rPr>
          <w:rFonts w:eastAsia="Calibri" w:cs="Calibri"/>
          <w:szCs w:val="22"/>
        </w:rPr>
        <w:t xml:space="preserve">t  </w:t>
      </w:r>
      <w:r w:rsidRPr="0012315E">
        <w:rPr>
          <w:rFonts w:eastAsia="Calibri" w:cs="Calibri"/>
          <w:szCs w:val="22"/>
        </w:rPr>
        <w:t xml:space="preserve"> a</w:t>
      </w:r>
      <w:r w:rsidRPr="00E96FEF">
        <w:rPr>
          <w:rFonts w:eastAsia="Calibri" w:cs="Calibri"/>
          <w:szCs w:val="22"/>
        </w:rPr>
        <w:t>k</w:t>
      </w:r>
      <w:r w:rsidRPr="0012315E">
        <w:rPr>
          <w:rFonts w:eastAsia="Calibri" w:cs="Calibri"/>
          <w:szCs w:val="22"/>
        </w:rPr>
        <w:t>tua</w:t>
      </w:r>
      <w:r w:rsidRPr="00E96FEF">
        <w:rPr>
          <w:rFonts w:eastAsia="Calibri" w:cs="Calibri"/>
          <w:szCs w:val="22"/>
        </w:rPr>
        <w:t xml:space="preserve">le  </w:t>
      </w:r>
      <w:r w:rsidRPr="0012315E">
        <w:rPr>
          <w:rFonts w:eastAsia="Calibri" w:cs="Calibri"/>
          <w:szCs w:val="22"/>
        </w:rPr>
        <w:t xml:space="preserve"> t</w:t>
      </w:r>
      <w:r w:rsidRPr="00E96FEF">
        <w:rPr>
          <w:rFonts w:eastAsia="Calibri" w:cs="Calibri"/>
          <w:szCs w:val="22"/>
        </w:rPr>
        <w:t xml:space="preserve">ë  </w:t>
      </w:r>
      <w:r w:rsidRPr="0012315E">
        <w:rPr>
          <w:rFonts w:eastAsia="Calibri" w:cs="Calibri"/>
          <w:szCs w:val="22"/>
        </w:rPr>
        <w:t xml:space="preserve"> rr</w:t>
      </w:r>
      <w:r w:rsidRPr="00E96FEF">
        <w:rPr>
          <w:rFonts w:eastAsia="Calibri" w:cs="Calibri"/>
          <w:szCs w:val="22"/>
        </w:rPr>
        <w:t>eg</w:t>
      </w:r>
      <w:r w:rsidRPr="0012315E">
        <w:rPr>
          <w:rFonts w:eastAsia="Calibri" w:cs="Calibri"/>
          <w:szCs w:val="22"/>
        </w:rPr>
        <w:t>u</w:t>
      </w:r>
      <w:r w:rsidRPr="00E96FEF">
        <w:rPr>
          <w:rFonts w:eastAsia="Calibri" w:cs="Calibri"/>
          <w:szCs w:val="22"/>
        </w:rPr>
        <w:t>ll</w:t>
      </w:r>
      <w:r w:rsidRPr="0012315E">
        <w:rPr>
          <w:rFonts w:eastAsia="Calibri" w:cs="Calibri"/>
          <w:szCs w:val="22"/>
        </w:rPr>
        <w:t>uar</w:t>
      </w:r>
      <w:r w:rsidRPr="00E96FEF">
        <w:rPr>
          <w:rFonts w:eastAsia="Calibri" w:cs="Calibri"/>
          <w:szCs w:val="22"/>
        </w:rPr>
        <w:t xml:space="preserve">a  </w:t>
      </w:r>
      <w:r w:rsidRPr="0012315E">
        <w:rPr>
          <w:rFonts w:eastAsia="Calibri" w:cs="Calibri"/>
          <w:szCs w:val="22"/>
        </w:rPr>
        <w:t xml:space="preserve"> g</w:t>
      </w:r>
      <w:r w:rsidRPr="00E96FEF">
        <w:rPr>
          <w:rFonts w:eastAsia="Calibri" w:cs="Calibri"/>
          <w:szCs w:val="22"/>
        </w:rPr>
        <w:t>j</w:t>
      </w:r>
      <w:r w:rsidRPr="0012315E">
        <w:rPr>
          <w:rFonts w:eastAsia="Calibri" w:cs="Calibri"/>
          <w:szCs w:val="22"/>
        </w:rPr>
        <w:t>a</w:t>
      </w:r>
      <w:r w:rsidRPr="00E96FEF">
        <w:rPr>
          <w:rFonts w:eastAsia="Calibri" w:cs="Calibri"/>
          <w:szCs w:val="22"/>
        </w:rPr>
        <w:t xml:space="preserve">të  </w:t>
      </w:r>
      <w:r w:rsidRPr="0012315E">
        <w:rPr>
          <w:rFonts w:eastAsia="Calibri" w:cs="Calibri"/>
          <w:szCs w:val="22"/>
        </w:rPr>
        <w:t xml:space="preserve"> v</w:t>
      </w:r>
      <w:r w:rsidRPr="00E96FEF">
        <w:rPr>
          <w:rFonts w:eastAsia="Calibri" w:cs="Calibri"/>
          <w:szCs w:val="22"/>
        </w:rPr>
        <w:t xml:space="preserve">itit  </w:t>
      </w:r>
      <w:r w:rsidRPr="0012315E">
        <w:rPr>
          <w:rFonts w:eastAsia="Calibri" w:cs="Calibri"/>
          <w:szCs w:val="22"/>
        </w:rPr>
        <w:t xml:space="preserve"> r</w:t>
      </w:r>
      <w:r w:rsidRPr="00E96FEF">
        <w:rPr>
          <w:rFonts w:eastAsia="Calibri" w:cs="Calibri"/>
          <w:szCs w:val="22"/>
        </w:rPr>
        <w:t>e</w:t>
      </w:r>
      <w:r w:rsidRPr="0012315E">
        <w:rPr>
          <w:rFonts w:eastAsia="Calibri" w:cs="Calibri"/>
          <w:szCs w:val="22"/>
        </w:rPr>
        <w:t>l</w:t>
      </w:r>
      <w:r w:rsidRPr="00E96FEF">
        <w:rPr>
          <w:rFonts w:eastAsia="Calibri" w:cs="Calibri"/>
          <w:szCs w:val="22"/>
        </w:rPr>
        <w:t>ev</w:t>
      </w:r>
      <w:r w:rsidRPr="0012315E">
        <w:rPr>
          <w:rFonts w:eastAsia="Calibri" w:cs="Calibri"/>
          <w:szCs w:val="22"/>
        </w:rPr>
        <w:t>an</w:t>
      </w:r>
      <w:r w:rsidRPr="00E96FEF">
        <w:rPr>
          <w:rFonts w:eastAsia="Calibri" w:cs="Calibri"/>
          <w:szCs w:val="22"/>
        </w:rPr>
        <w:t xml:space="preserve">t  </w:t>
      </w:r>
      <w:r w:rsidRPr="0012315E">
        <w:rPr>
          <w:rFonts w:eastAsia="Calibri" w:cs="Calibri"/>
          <w:szCs w:val="22"/>
        </w:rPr>
        <w:t xml:space="preserve"> t</w:t>
      </w:r>
      <w:r w:rsidRPr="00E96FEF">
        <w:rPr>
          <w:rFonts w:eastAsia="Calibri" w:cs="Calibri"/>
          <w:szCs w:val="22"/>
        </w:rPr>
        <w:t>-</w:t>
      </w:r>
      <w:r w:rsidRPr="0012315E">
        <w:rPr>
          <w:rFonts w:eastAsia="Calibri" w:cs="Calibri"/>
          <w:szCs w:val="22"/>
        </w:rPr>
        <w:t xml:space="preserve">1 </w:t>
      </w:r>
    </w:p>
    <w:p w14:paraId="4259CAFA" w14:textId="77777777" w:rsidR="000D4BEB" w:rsidRPr="003A4BA9" w:rsidRDefault="000D4BEB" w:rsidP="000D4BEB">
      <w:pPr>
        <w:pStyle w:val="Equation"/>
        <w:ind w:left="2835" w:hanging="1701"/>
        <w:jc w:val="both"/>
        <w:rPr>
          <w:rFonts w:cs="Calibri"/>
        </w:rPr>
      </w:pPr>
      <w:r w:rsidRPr="003A4BA9">
        <w:rPr>
          <w:rFonts w:cs="Calibri"/>
        </w:rPr>
        <w:t>I</w:t>
      </w:r>
      <w:r w:rsidRPr="003A4BA9">
        <w:rPr>
          <w:rFonts w:cs="Calibri"/>
          <w:vertAlign w:val="subscript"/>
        </w:rPr>
        <w:t>t</w:t>
      </w:r>
      <w:r w:rsidRPr="003A4BA9">
        <w:rPr>
          <w:rFonts w:cs="Calibri"/>
        </w:rPr>
        <w:tab/>
      </w:r>
      <w:r w:rsidRPr="003A4BA9">
        <w:t>Norma e interesit për vitin relevant t, që llogaritet bazuar në EURIBOR plus S%, ku S paraqet vlerën e përcaktuar nga ZRRE-ja gjatë shqyrtimeve periodike që reflekton preminë e pagueshme nga i licencuari për hua afatshkurtra</w:t>
      </w:r>
    </w:p>
    <w:p w14:paraId="09CCAD7E" w14:textId="21038CCE" w:rsidR="00A078DB" w:rsidRDefault="000D4BEB" w:rsidP="00AD630F">
      <w:pPr>
        <w:jc w:val="both"/>
      </w:pPr>
      <w:r w:rsidRPr="003A4BA9">
        <w:lastRenderedPageBreak/>
        <w:t xml:space="preserve">Vlera e </w:t>
      </w:r>
      <w:r>
        <w:t>përshtatjeve për vitin 20</w:t>
      </w:r>
      <w:r w:rsidR="00CB4322">
        <w:t xml:space="preserve">20 </w:t>
      </w:r>
      <w:r w:rsidRPr="003A4BA9">
        <w:t xml:space="preserve">pas indeksimit </w:t>
      </w:r>
      <w:r w:rsidR="006221F4">
        <w:t xml:space="preserve">për </w:t>
      </w:r>
      <w:r w:rsidRPr="003A4BA9">
        <w:t>infl</w:t>
      </w:r>
      <w:r w:rsidR="006221F4">
        <w:t>acion</w:t>
      </w:r>
      <w:r w:rsidRPr="003A4BA9">
        <w:t xml:space="preserve"> rezulton </w:t>
      </w:r>
      <w:r w:rsidRPr="00FB0D01">
        <w:t xml:space="preserve">të </w:t>
      </w:r>
      <w:r w:rsidRPr="00526E92">
        <w:t xml:space="preserve">jetë </w:t>
      </w:r>
      <w:r w:rsidR="00054CBA" w:rsidRPr="00526E92">
        <w:t>6.8</w:t>
      </w:r>
      <w:r w:rsidRPr="00526E92">
        <w:t xml:space="preserve"> milion euro.</w:t>
      </w:r>
      <w:r>
        <w:t xml:space="preserve"> </w:t>
      </w:r>
    </w:p>
    <w:p w14:paraId="0C2877FE" w14:textId="457EA0BF" w:rsidR="000D4BEB" w:rsidRPr="005129C7" w:rsidRDefault="000D4BEB" w:rsidP="000D4BEB">
      <w:pPr>
        <w:tabs>
          <w:tab w:val="left" w:pos="3218"/>
        </w:tabs>
        <w:spacing w:after="0"/>
        <w:jc w:val="center"/>
        <w:rPr>
          <w:b/>
          <w:i/>
          <w:color w:val="17365D" w:themeColor="text2" w:themeShade="BF"/>
        </w:rPr>
      </w:pPr>
      <w:r w:rsidRPr="00526E92">
        <w:rPr>
          <w:b/>
          <w:i/>
          <w:color w:val="17365D" w:themeColor="text2" w:themeShade="BF"/>
        </w:rPr>
        <w:t xml:space="preserve">Tabela </w:t>
      </w:r>
      <w:r w:rsidR="00724223" w:rsidRPr="00526E92">
        <w:rPr>
          <w:b/>
          <w:i/>
          <w:color w:val="17365D" w:themeColor="text2" w:themeShade="BF"/>
        </w:rPr>
        <w:t>3</w:t>
      </w:r>
      <w:r w:rsidRPr="00526E92">
        <w:rPr>
          <w:b/>
          <w:i/>
          <w:color w:val="17365D" w:themeColor="text2" w:themeShade="BF"/>
        </w:rPr>
        <w:t xml:space="preserve">: </w:t>
      </w:r>
      <w:r w:rsidR="00E322B1" w:rsidRPr="00526E92">
        <w:rPr>
          <w:b/>
          <w:i/>
          <w:color w:val="17365D" w:themeColor="text2" w:themeShade="BF"/>
        </w:rPr>
        <w:t>Përshtatjet për vitin 20</w:t>
      </w:r>
      <w:r w:rsidR="00CB4322" w:rsidRPr="00526E92">
        <w:rPr>
          <w:b/>
          <w:i/>
          <w:color w:val="17365D" w:themeColor="text2" w:themeShade="BF"/>
        </w:rPr>
        <w:t>2</w:t>
      </w:r>
      <w:r w:rsidR="0082211D">
        <w:rPr>
          <w:b/>
          <w:i/>
          <w:color w:val="17365D" w:themeColor="text2" w:themeShade="BF"/>
        </w:rPr>
        <w:t>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5"/>
        <w:gridCol w:w="916"/>
        <w:gridCol w:w="778"/>
      </w:tblGrid>
      <w:tr w:rsidR="00960892" w:rsidRPr="00960892" w14:paraId="175F6EEC" w14:textId="77777777" w:rsidTr="000D4BEB">
        <w:trPr>
          <w:trHeight w:val="510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00E1D" w14:textId="77777777" w:rsidR="00960892" w:rsidRPr="00960892" w:rsidRDefault="00960892" w:rsidP="00960892">
            <w:pPr>
              <w:spacing w:after="0" w:line="240" w:lineRule="auto"/>
              <w:rPr>
                <w:rFonts w:cstheme="minorHAnsi"/>
                <w:b/>
                <w:bCs/>
                <w:color w:val="FFFFFF"/>
              </w:rPr>
            </w:pPr>
            <w:r w:rsidRPr="00960892">
              <w:rPr>
                <w:rFonts w:cstheme="minorHAnsi"/>
                <w:b/>
                <w:bCs/>
                <w:color w:val="FFFFFF"/>
              </w:rPr>
              <w:t>MAR-i i Furnizuesit me Shërbim Universal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A22E9" w14:textId="77777777" w:rsidR="00960892" w:rsidRPr="00960892" w:rsidRDefault="00960892" w:rsidP="0096089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960892">
              <w:rPr>
                <w:rFonts w:cstheme="minorHAnsi"/>
                <w:b/>
                <w:bCs/>
                <w:color w:val="FFFFFF"/>
              </w:rPr>
              <w:t>Njësia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A1D36" w14:textId="2931E932" w:rsidR="00960892" w:rsidRPr="00960892" w:rsidRDefault="00960892" w:rsidP="0082211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960892">
              <w:rPr>
                <w:rFonts w:cstheme="minorHAnsi"/>
                <w:b/>
                <w:bCs/>
                <w:color w:val="FFFFFF"/>
              </w:rPr>
              <w:t>20</w:t>
            </w:r>
            <w:r w:rsidR="004453A0">
              <w:rPr>
                <w:rFonts w:cstheme="minorHAnsi"/>
                <w:b/>
                <w:bCs/>
                <w:color w:val="FFFFFF"/>
              </w:rPr>
              <w:t>2</w:t>
            </w:r>
            <w:r w:rsidR="0082211D">
              <w:rPr>
                <w:rFonts w:cstheme="minorHAnsi"/>
                <w:b/>
                <w:bCs/>
                <w:color w:val="FFFFFF"/>
              </w:rPr>
              <w:t>0</w:t>
            </w:r>
          </w:p>
        </w:tc>
      </w:tr>
      <w:tr w:rsidR="00960892" w:rsidRPr="00960892" w14:paraId="23EACC8B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F0018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Parametrat e indeksimit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36092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CC8A9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537608E1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5BF7A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Norma e interesit It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F49AB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9EE42" w14:textId="07741357" w:rsidR="00960892" w:rsidRPr="00960892" w:rsidRDefault="005904D0" w:rsidP="0096089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5.74</w:t>
            </w:r>
            <w:r w:rsidR="007C4CE3">
              <w:rPr>
                <w:rFonts w:cstheme="minorHAnsi"/>
              </w:rPr>
              <w:t>.</w:t>
            </w:r>
            <w:r w:rsidR="00960892" w:rsidRPr="00960892">
              <w:rPr>
                <w:rFonts w:cstheme="minorHAnsi"/>
              </w:rPr>
              <w:t>%</w:t>
            </w:r>
          </w:p>
        </w:tc>
      </w:tr>
      <w:tr w:rsidR="00960892" w:rsidRPr="00960892" w14:paraId="774BA4E4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F94B3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Kostot me pakice te furnizuesit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885A0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B027F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66B36301" w14:textId="77777777" w:rsidTr="00960892">
        <w:trPr>
          <w:trHeight w:val="28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1A841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 xml:space="preserve">OPEX - </w:t>
            </w:r>
            <w:proofErr w:type="spellStart"/>
            <w:r w:rsidRPr="00960892">
              <w:rPr>
                <w:rFonts w:cstheme="minorHAnsi"/>
              </w:rPr>
              <w:t>OPMC</w:t>
            </w:r>
            <w:r w:rsidRPr="00960892">
              <w:rPr>
                <w:rFonts w:cstheme="minorHAnsi"/>
                <w:color w:val="000000"/>
                <w:vertAlign w:val="subscript"/>
              </w:rPr>
              <w:t>t</w:t>
            </w:r>
            <w:proofErr w:type="spellEnd"/>
            <w:r w:rsidRPr="00960892">
              <w:rPr>
                <w:rFonts w:cstheme="minorHAnsi"/>
                <w:color w:val="000000"/>
              </w:rPr>
              <w:t xml:space="preserve"> = OPMC</w:t>
            </w:r>
            <w:r w:rsidRPr="00960892">
              <w:rPr>
                <w:rFonts w:cstheme="minorHAnsi"/>
                <w:color w:val="000000"/>
                <w:vertAlign w:val="subscript"/>
              </w:rPr>
              <w:t>t-1</w:t>
            </w:r>
            <w:r w:rsidRPr="00960892">
              <w:rPr>
                <w:rFonts w:cstheme="minorHAnsi"/>
                <w:color w:val="000000"/>
              </w:rPr>
              <w:t xml:space="preserve"> * (1 + CPI</w:t>
            </w:r>
            <w:r w:rsidRPr="00960892">
              <w:rPr>
                <w:rFonts w:cstheme="minorHAnsi"/>
                <w:color w:val="000000"/>
                <w:vertAlign w:val="subscript"/>
              </w:rPr>
              <w:t>t-1</w:t>
            </w:r>
            <w:r w:rsidRPr="00960892">
              <w:rPr>
                <w:rFonts w:cstheme="minorHAnsi"/>
                <w:color w:val="000000"/>
              </w:rPr>
              <w:t>) * (1 – E</w:t>
            </w:r>
            <w:r w:rsidRPr="00960892">
              <w:rPr>
                <w:rFonts w:cstheme="minorHAnsi"/>
                <w:color w:val="000000"/>
                <w:vertAlign w:val="subscript"/>
              </w:rPr>
              <w:t>t</w:t>
            </w:r>
            <w:r w:rsidRPr="00960892">
              <w:rPr>
                <w:rFonts w:cstheme="minorHAnsi"/>
                <w:color w:val="000000"/>
              </w:rPr>
              <w:t xml:space="preserve">)* (1 – </w:t>
            </w:r>
            <w:proofErr w:type="spellStart"/>
            <w:r w:rsidRPr="00960892">
              <w:rPr>
                <w:rFonts w:cstheme="minorHAnsi"/>
                <w:color w:val="000000"/>
              </w:rPr>
              <w:t>P</w:t>
            </w:r>
            <w:r w:rsidRPr="00960892">
              <w:rPr>
                <w:rFonts w:cstheme="minorHAnsi"/>
                <w:color w:val="000000"/>
                <w:vertAlign w:val="subscript"/>
              </w:rPr>
              <w:t>t</w:t>
            </w:r>
            <w:proofErr w:type="spellEnd"/>
            <w:r w:rsidRPr="00960892">
              <w:rPr>
                <w:rFonts w:cstheme="minorHAnsi"/>
                <w:color w:val="000000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08EF8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99343" w14:textId="0049009D" w:rsidR="00960892" w:rsidRPr="00960892" w:rsidRDefault="005904D0" w:rsidP="007C4CE3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3466AB">
              <w:rPr>
                <w:rFonts w:cstheme="minorHAnsi"/>
              </w:rPr>
              <w:t>59</w:t>
            </w:r>
          </w:p>
        </w:tc>
      </w:tr>
      <w:tr w:rsidR="00960892" w:rsidRPr="00960892" w14:paraId="247FB898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A0C43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 xml:space="preserve">Zhvlerësimi - </w:t>
            </w:r>
            <w:proofErr w:type="spellStart"/>
            <w:r w:rsidRPr="00960892">
              <w:rPr>
                <w:rFonts w:cstheme="minorHAnsi"/>
              </w:rPr>
              <w:t>DEPCt</w:t>
            </w:r>
            <w:proofErr w:type="spellEnd"/>
            <w:r w:rsidRPr="00960892">
              <w:rPr>
                <w:rFonts w:cstheme="minorHAnsi"/>
              </w:rPr>
              <w:t xml:space="preserve"> = DEPCt-1 * (1 + CPIt-1) * (1 – </w:t>
            </w:r>
            <w:proofErr w:type="spellStart"/>
            <w:r w:rsidRPr="00960892">
              <w:rPr>
                <w:rFonts w:cstheme="minorHAnsi"/>
              </w:rPr>
              <w:t>Pt</w:t>
            </w:r>
            <w:proofErr w:type="spellEnd"/>
            <w:r w:rsidRPr="00960892">
              <w:rPr>
                <w:rFonts w:cstheme="minorHAnsi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51339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F43FB" w14:textId="77777777" w:rsidR="00960892" w:rsidRPr="00960892" w:rsidRDefault="00E322B1" w:rsidP="0096089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0.1</w:t>
            </w:r>
          </w:p>
        </w:tc>
      </w:tr>
      <w:tr w:rsidR="00960892" w:rsidRPr="00960892" w14:paraId="449F5037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72D7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Kostot e bartshme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770DA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157BA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67CF5AC1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5190F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Kostot e OST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F2E70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5E4B" w14:textId="1C539C8D" w:rsidR="00960892" w:rsidRPr="00960892" w:rsidRDefault="007C4CE3" w:rsidP="0096089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904D0">
              <w:rPr>
                <w:rFonts w:cstheme="minorHAnsi"/>
              </w:rPr>
              <w:t>3.6</w:t>
            </w:r>
          </w:p>
        </w:tc>
      </w:tr>
      <w:tr w:rsidR="00960892" w:rsidRPr="00960892" w14:paraId="43F27E0F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99387" w14:textId="0B6DB74E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 xml:space="preserve">Kostot e </w:t>
            </w:r>
            <w:proofErr w:type="spellStart"/>
            <w:r w:rsidRPr="00960892">
              <w:rPr>
                <w:rFonts w:cstheme="minorHAnsi"/>
              </w:rPr>
              <w:t>OSSh</w:t>
            </w:r>
            <w:proofErr w:type="spellEnd"/>
            <w:r w:rsidR="008A3962">
              <w:rPr>
                <w:rFonts w:cstheme="minorHAnsi"/>
              </w:rPr>
              <w:t>*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D6DB8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71738" w14:textId="6ACEE833" w:rsidR="00960892" w:rsidRPr="00960892" w:rsidRDefault="007C4CE3" w:rsidP="00FB240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904D0">
              <w:rPr>
                <w:rFonts w:cstheme="minorHAnsi"/>
              </w:rPr>
              <w:t>0</w:t>
            </w:r>
            <w:r w:rsidR="00FB2401">
              <w:rPr>
                <w:rFonts w:cstheme="minorHAnsi"/>
              </w:rPr>
              <w:t>.</w:t>
            </w:r>
            <w:r w:rsidR="005904D0">
              <w:rPr>
                <w:rFonts w:cstheme="minorHAnsi"/>
              </w:rPr>
              <w:t>5</w:t>
            </w:r>
          </w:p>
        </w:tc>
      </w:tr>
      <w:tr w:rsidR="00BD79C2" w:rsidRPr="00526E92" w14:paraId="7AF4BB7D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AE090" w14:textId="09CA9CF9" w:rsidR="00BD79C2" w:rsidRPr="00960892" w:rsidRDefault="00BD79C2" w:rsidP="0096089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Fondi BRE</w:t>
            </w:r>
            <w:r w:rsidR="008A3962">
              <w:rPr>
                <w:rFonts w:cstheme="minorHAnsi"/>
              </w:rPr>
              <w:t>**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5C95C" w14:textId="6D85C20A" w:rsidR="00BD79C2" w:rsidRPr="00960892" w:rsidRDefault="00054CBA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A881D" w14:textId="6D3C52B1" w:rsidR="00BD79C2" w:rsidRPr="00526E92" w:rsidRDefault="005904D0" w:rsidP="00960892">
            <w:pPr>
              <w:spacing w:after="0"/>
              <w:jc w:val="right"/>
              <w:rPr>
                <w:rFonts w:cstheme="minorHAnsi"/>
              </w:rPr>
            </w:pPr>
            <w:r w:rsidRPr="00526E92">
              <w:rPr>
                <w:rFonts w:cstheme="minorHAnsi"/>
              </w:rPr>
              <w:t>15.0</w:t>
            </w:r>
          </w:p>
        </w:tc>
      </w:tr>
      <w:tr w:rsidR="00960892" w:rsidRPr="00960892" w14:paraId="4B698A43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9AD76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Kapitali punues (</w:t>
            </w:r>
            <w:proofErr w:type="spellStart"/>
            <w:r w:rsidR="00621E1C">
              <w:rPr>
                <w:rFonts w:cstheme="minorHAnsi"/>
                <w:bCs/>
              </w:rPr>
              <w:t>W</w:t>
            </w:r>
            <w:r w:rsidRPr="00960892">
              <w:rPr>
                <w:rFonts w:cstheme="minorHAnsi"/>
                <w:bCs/>
              </w:rPr>
              <w:t>CLCt</w:t>
            </w:r>
            <w:proofErr w:type="spellEnd"/>
            <w:r w:rsidRPr="00960892">
              <w:rPr>
                <w:rFonts w:cstheme="minorHAnsi"/>
                <w:bCs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055DE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B02DC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460A0A84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A0C1A" w14:textId="77777777" w:rsidR="00960892" w:rsidRPr="00960892" w:rsidRDefault="002F329B" w:rsidP="00960892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</w:t>
            </w:r>
            <w:r w:rsidR="00960892" w:rsidRPr="00960892">
              <w:rPr>
                <w:rFonts w:cstheme="minorHAnsi"/>
                <w:color w:val="000000"/>
              </w:rPr>
              <w:t>CLC= (1 / 12) * It * (</w:t>
            </w:r>
            <w:proofErr w:type="spellStart"/>
            <w:r w:rsidR="00960892" w:rsidRPr="00960892">
              <w:rPr>
                <w:rFonts w:cstheme="minorHAnsi"/>
                <w:color w:val="000000"/>
              </w:rPr>
              <w:t>RETRt</w:t>
            </w:r>
            <w:proofErr w:type="spellEnd"/>
            <w:r w:rsidR="00960892" w:rsidRPr="00960892">
              <w:rPr>
                <w:rFonts w:cstheme="minorHAnsi"/>
                <w:color w:val="000000"/>
              </w:rPr>
              <w:t xml:space="preserve"> + </w:t>
            </w:r>
            <w:proofErr w:type="spellStart"/>
            <w:r>
              <w:rPr>
                <w:rFonts w:cstheme="minorHAnsi"/>
                <w:color w:val="000000"/>
              </w:rPr>
              <w:t>W</w:t>
            </w:r>
            <w:r w:rsidR="00960892" w:rsidRPr="00960892">
              <w:rPr>
                <w:rFonts w:cstheme="minorHAnsi"/>
                <w:color w:val="000000"/>
              </w:rPr>
              <w:t>HPCt</w:t>
            </w:r>
            <w:proofErr w:type="spellEnd"/>
            <w:r w:rsidR="00960892" w:rsidRPr="00960892">
              <w:rPr>
                <w:rFonts w:cstheme="minorHAnsi"/>
                <w:color w:val="000000"/>
              </w:rPr>
              <w:t xml:space="preserve"> + </w:t>
            </w:r>
            <w:proofErr w:type="spellStart"/>
            <w:r w:rsidR="00960892" w:rsidRPr="00960892">
              <w:rPr>
                <w:rFonts w:cstheme="minorHAnsi"/>
                <w:color w:val="000000"/>
              </w:rPr>
              <w:t>PSTCt</w:t>
            </w:r>
            <w:proofErr w:type="spellEnd"/>
            <w:r w:rsidR="00960892" w:rsidRPr="00960892">
              <w:rPr>
                <w:rFonts w:cstheme="minorHAnsi"/>
                <w:color w:val="000000"/>
              </w:rPr>
              <w:t xml:space="preserve"> - </w:t>
            </w:r>
            <w:proofErr w:type="spellStart"/>
            <w:r w:rsidR="00960892" w:rsidRPr="00960892">
              <w:rPr>
                <w:rFonts w:cstheme="minorHAnsi"/>
                <w:color w:val="000000"/>
              </w:rPr>
              <w:t>NTFRt</w:t>
            </w:r>
            <w:proofErr w:type="spellEnd"/>
            <w:r w:rsidR="00960892" w:rsidRPr="00960892">
              <w:rPr>
                <w:rFonts w:cstheme="minorHAnsi"/>
                <w:color w:val="000000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EFA2A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00A5A" w14:textId="4D2D05E3" w:rsidR="00960892" w:rsidRPr="00960892" w:rsidRDefault="00960892" w:rsidP="00A46185">
            <w:pPr>
              <w:spacing w:after="0"/>
              <w:jc w:val="right"/>
              <w:rPr>
                <w:rFonts w:cstheme="minorHAnsi"/>
              </w:rPr>
            </w:pPr>
            <w:r w:rsidRPr="00960892">
              <w:rPr>
                <w:rFonts w:cstheme="minorHAnsi"/>
              </w:rPr>
              <w:t>1.</w:t>
            </w:r>
            <w:r w:rsidR="005904D0">
              <w:rPr>
                <w:rFonts w:cstheme="minorHAnsi"/>
              </w:rPr>
              <w:t>6</w:t>
            </w:r>
          </w:p>
        </w:tc>
      </w:tr>
      <w:tr w:rsidR="00960892" w:rsidRPr="00960892" w14:paraId="35E13E1B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25268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Kostot për blerjen e energjisë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01B33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04EF0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526E92" w14:paraId="39BC1A10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86163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Kostot e blerjes së energjisë me shumicë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CC2B2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5F530" w14:textId="197D7DBD" w:rsidR="00960892" w:rsidRPr="00526E92" w:rsidRDefault="008974BB" w:rsidP="008974BB">
            <w:pPr>
              <w:spacing w:after="0"/>
              <w:jc w:val="right"/>
              <w:rPr>
                <w:rFonts w:cstheme="minorHAnsi"/>
              </w:rPr>
            </w:pPr>
            <w:r w:rsidRPr="00526E92">
              <w:rPr>
                <w:rFonts w:cstheme="minorHAnsi"/>
              </w:rPr>
              <w:t>1</w:t>
            </w:r>
            <w:r w:rsidR="005904D0" w:rsidRPr="00526E92">
              <w:rPr>
                <w:rFonts w:cstheme="minorHAnsi"/>
              </w:rPr>
              <w:t>30.3</w:t>
            </w:r>
          </w:p>
        </w:tc>
      </w:tr>
      <w:tr w:rsidR="00960892" w:rsidRPr="00960892" w14:paraId="03C5BFF3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0B9AC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Taksa për licencë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FB780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F964C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40C016B9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174B0" w14:textId="77777777" w:rsidR="00960892" w:rsidRPr="00960892" w:rsidRDefault="00960892" w:rsidP="00960892">
            <w:pPr>
              <w:spacing w:after="0"/>
              <w:rPr>
                <w:rFonts w:cstheme="minorHAnsi"/>
                <w:color w:val="000000"/>
              </w:rPr>
            </w:pPr>
            <w:r w:rsidRPr="00960892">
              <w:rPr>
                <w:rFonts w:cstheme="minorHAnsi"/>
                <w:color w:val="000000"/>
              </w:rPr>
              <w:t>Taksa për licencë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6729B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78904" w14:textId="77777777" w:rsidR="00960892" w:rsidRPr="00960892" w:rsidRDefault="00960892" w:rsidP="00960892">
            <w:pPr>
              <w:spacing w:after="0"/>
              <w:jc w:val="right"/>
              <w:rPr>
                <w:rFonts w:cstheme="minorHAnsi"/>
              </w:rPr>
            </w:pPr>
            <w:r w:rsidRPr="00960892">
              <w:rPr>
                <w:rFonts w:cstheme="minorHAnsi"/>
              </w:rPr>
              <w:t>0.</w:t>
            </w:r>
            <w:r w:rsidR="00BD79C2">
              <w:rPr>
                <w:rFonts w:cstheme="minorHAnsi"/>
              </w:rPr>
              <w:t>0</w:t>
            </w:r>
            <w:r w:rsidR="007D3345">
              <w:rPr>
                <w:rFonts w:cstheme="minorHAnsi"/>
              </w:rPr>
              <w:t>1</w:t>
            </w:r>
          </w:p>
        </w:tc>
      </w:tr>
      <w:tr w:rsidR="00960892" w:rsidRPr="00960892" w14:paraId="714F8B9E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4A0DC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Borxhi i keq (BDTA)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BCFBF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D9239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377B21F2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C105B" w14:textId="77777777" w:rsidR="00960892" w:rsidRPr="00960892" w:rsidRDefault="00960892" w:rsidP="00960892">
            <w:pPr>
              <w:spacing w:after="0"/>
              <w:rPr>
                <w:rFonts w:cstheme="minorHAnsi"/>
                <w:color w:val="000000"/>
              </w:rPr>
            </w:pPr>
            <w:r w:rsidRPr="00960892">
              <w:rPr>
                <w:rFonts w:cstheme="minorHAnsi"/>
                <w:color w:val="000000"/>
              </w:rPr>
              <w:t>BDTA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C3286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B12C0" w14:textId="77777777" w:rsidR="00960892" w:rsidRPr="00960892" w:rsidRDefault="00960892" w:rsidP="00960892">
            <w:pPr>
              <w:spacing w:after="0"/>
              <w:jc w:val="right"/>
              <w:rPr>
                <w:rFonts w:cstheme="minorHAnsi"/>
              </w:rPr>
            </w:pPr>
            <w:r w:rsidRPr="00960892">
              <w:rPr>
                <w:rFonts w:cstheme="minorHAnsi"/>
              </w:rPr>
              <w:t>4%</w:t>
            </w:r>
          </w:p>
        </w:tc>
      </w:tr>
      <w:tr w:rsidR="00960892" w:rsidRPr="00960892" w14:paraId="7BE73456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224B9" w14:textId="77777777" w:rsidR="00960892" w:rsidRPr="00960892" w:rsidRDefault="00960892" w:rsidP="00960892">
            <w:pPr>
              <w:spacing w:after="0"/>
              <w:rPr>
                <w:rFonts w:cstheme="minorHAnsi"/>
                <w:color w:val="000000"/>
              </w:rPr>
            </w:pPr>
            <w:r w:rsidRPr="00960892">
              <w:rPr>
                <w:rFonts w:cstheme="minorHAnsi"/>
                <w:color w:val="000000"/>
              </w:rPr>
              <w:t>BDTA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77E95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00EDE" w14:textId="398CC534" w:rsidR="00960892" w:rsidRPr="00960892" w:rsidRDefault="005904D0" w:rsidP="007D3345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11.0</w:t>
            </w:r>
          </w:p>
        </w:tc>
      </w:tr>
      <w:tr w:rsidR="00BD79C2" w:rsidRPr="00960892" w14:paraId="4715A4E2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FB157" w14:textId="77777777" w:rsidR="00BD79C2" w:rsidRDefault="00BD79C2" w:rsidP="00960892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BD79C2">
              <w:rPr>
                <w:rFonts w:ascii="Calibri" w:hAnsi="Calibri" w:cs="Calibri"/>
                <w:bCs/>
              </w:rPr>
              <w:t>ë</w:t>
            </w:r>
            <w:r>
              <w:rPr>
                <w:rFonts w:cstheme="minorHAnsi"/>
                <w:bCs/>
              </w:rPr>
              <w:t>rshtatjet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3383E" w14:textId="77777777" w:rsidR="00BD79C2" w:rsidRPr="00960892" w:rsidRDefault="00BD79C2" w:rsidP="00960892">
            <w:pPr>
              <w:spacing w:after="0"/>
              <w:rPr>
                <w:rFonts w:cstheme="minorHAnsi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149B5" w14:textId="77777777" w:rsidR="00BD79C2" w:rsidRPr="00960892" w:rsidRDefault="00BD79C2" w:rsidP="00960892">
            <w:pPr>
              <w:spacing w:after="0"/>
              <w:rPr>
                <w:rFonts w:cstheme="minorHAnsi"/>
                <w:bCs/>
              </w:rPr>
            </w:pPr>
          </w:p>
        </w:tc>
      </w:tr>
      <w:tr w:rsidR="00BD79C2" w:rsidRPr="00960892" w14:paraId="6F7656C0" w14:textId="77777777" w:rsidTr="00BD79C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33CF5" w14:textId="77C58398" w:rsidR="00BD79C2" w:rsidRDefault="00BD79C2" w:rsidP="00960892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BD79C2">
              <w:rPr>
                <w:rFonts w:ascii="Calibri" w:hAnsi="Calibri" w:cs="Calibri"/>
                <w:bCs/>
              </w:rPr>
              <w:t>ë</w:t>
            </w:r>
            <w:r>
              <w:rPr>
                <w:rFonts w:cstheme="minorHAnsi"/>
                <w:bCs/>
              </w:rPr>
              <w:t>rshtatjet 20</w:t>
            </w:r>
            <w:r w:rsidR="005904D0">
              <w:rPr>
                <w:rFonts w:cstheme="minorHAnsi"/>
                <w:bCs/>
              </w:rPr>
              <w:t>19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64817" w14:textId="7215BEA9" w:rsidR="00BD79C2" w:rsidRPr="00960892" w:rsidRDefault="00054CBA" w:rsidP="00054CBA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85FF6" w14:textId="5E3651B5" w:rsidR="00BD79C2" w:rsidRPr="00960892" w:rsidRDefault="00BD79C2" w:rsidP="007C4CE3">
            <w:pPr>
              <w:spacing w:after="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5904D0">
              <w:rPr>
                <w:rFonts w:cstheme="minorHAnsi"/>
                <w:bCs/>
              </w:rPr>
              <w:t>12.2</w:t>
            </w:r>
          </w:p>
        </w:tc>
      </w:tr>
      <w:tr w:rsidR="00960892" w:rsidRPr="00960892" w14:paraId="560C1872" w14:textId="77777777" w:rsidTr="00960892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B03A7" w14:textId="6BD43C60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Përshtatjet e të hyrave për FSHU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F9E8" w14:textId="77777777" w:rsidR="00960892" w:rsidRPr="00960892" w:rsidRDefault="00960892" w:rsidP="00960892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B03C3" w14:textId="77777777" w:rsidR="00960892" w:rsidRPr="00960892" w:rsidRDefault="00960892" w:rsidP="00960892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960892" w:rsidRPr="00960892" w14:paraId="2D45D8E3" w14:textId="77777777" w:rsidTr="00960892">
        <w:trPr>
          <w:trHeight w:val="300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2A7A1" w14:textId="77777777" w:rsidR="00960892" w:rsidRPr="00960892" w:rsidRDefault="00960892" w:rsidP="00960892">
            <w:pPr>
              <w:spacing w:after="0"/>
              <w:rPr>
                <w:rFonts w:cstheme="minorHAnsi"/>
                <w:color w:val="000000"/>
              </w:rPr>
            </w:pPr>
            <w:r w:rsidRPr="00960892">
              <w:rPr>
                <w:rFonts w:cstheme="minorHAnsi"/>
                <w:color w:val="000000"/>
              </w:rPr>
              <w:t>MAR-i i Furnizuesit AAC</w:t>
            </w:r>
            <w:r w:rsidRPr="00960892">
              <w:rPr>
                <w:rFonts w:cstheme="minorHAnsi"/>
                <w:color w:val="000000"/>
                <w:vertAlign w:val="subscript"/>
              </w:rPr>
              <w:t xml:space="preserve">at-1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599A3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3ED5E" w14:textId="53E62859" w:rsidR="00960892" w:rsidRPr="00960892" w:rsidRDefault="00BD79C2" w:rsidP="00FB240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904D0">
              <w:rPr>
                <w:rFonts w:cstheme="minorHAnsi"/>
              </w:rPr>
              <w:t>74.</w:t>
            </w:r>
            <w:r w:rsidR="003466AB">
              <w:rPr>
                <w:rFonts w:cstheme="minorHAnsi"/>
              </w:rPr>
              <w:t>5</w:t>
            </w:r>
          </w:p>
        </w:tc>
      </w:tr>
      <w:tr w:rsidR="00960892" w:rsidRPr="00960892" w14:paraId="7AE63539" w14:textId="77777777" w:rsidTr="00960892">
        <w:trPr>
          <w:trHeight w:val="28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E369B" w14:textId="264DAC0F" w:rsidR="00960892" w:rsidRPr="002439FD" w:rsidRDefault="00960892" w:rsidP="00960892">
            <w:pPr>
              <w:spacing w:after="0"/>
              <w:rPr>
                <w:rFonts w:cstheme="minorHAnsi"/>
                <w:color w:val="000000"/>
              </w:rPr>
            </w:pPr>
            <w:r w:rsidRPr="00960892">
              <w:rPr>
                <w:rFonts w:cstheme="minorHAnsi"/>
                <w:color w:val="000000"/>
              </w:rPr>
              <w:t>Të hyrat aktuale nga faturimi ARR</w:t>
            </w:r>
            <w:r w:rsidRPr="00960892">
              <w:rPr>
                <w:rFonts w:cstheme="minorHAnsi"/>
                <w:color w:val="000000"/>
                <w:vertAlign w:val="subscript"/>
              </w:rPr>
              <w:t>t-1</w:t>
            </w:r>
            <w:r w:rsidR="002439FD">
              <w:rPr>
                <w:rFonts w:cstheme="minorHAnsi"/>
                <w:color w:val="000000"/>
              </w:rPr>
              <w:t>***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1D6B7" w14:textId="77777777" w:rsidR="00960892" w:rsidRPr="00960892" w:rsidRDefault="00960892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6EE70" w14:textId="79BCE8E0" w:rsidR="00960892" w:rsidRPr="00960892" w:rsidRDefault="00BD79C2" w:rsidP="00960892">
            <w:pPr>
              <w:spacing w:after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2439FD">
              <w:rPr>
                <w:rFonts w:cstheme="minorHAnsi"/>
                <w:color w:val="000000"/>
              </w:rPr>
              <w:t>68.7</w:t>
            </w:r>
          </w:p>
        </w:tc>
      </w:tr>
      <w:tr w:rsidR="005904D0" w:rsidRPr="00960892" w14:paraId="621BCA6E" w14:textId="77777777" w:rsidTr="00960892">
        <w:trPr>
          <w:trHeight w:val="28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2BB50" w14:textId="79E6A15F" w:rsidR="005904D0" w:rsidRPr="005904D0" w:rsidRDefault="005904D0" w:rsidP="00960892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5904D0">
              <w:rPr>
                <w:rFonts w:cstheme="minorHAnsi"/>
                <w:b/>
                <w:bCs/>
                <w:color w:val="000000"/>
              </w:rPr>
              <w:t xml:space="preserve">Përshtatja </w:t>
            </w:r>
            <w:r w:rsidR="00054CBA">
              <w:rPr>
                <w:rFonts w:cstheme="minorHAnsi"/>
                <w:b/>
                <w:bCs/>
                <w:color w:val="000000"/>
              </w:rPr>
              <w:t>(</w:t>
            </w:r>
            <w:r w:rsidRPr="005904D0">
              <w:rPr>
                <w:rFonts w:cstheme="minorHAnsi"/>
                <w:b/>
                <w:bCs/>
                <w:color w:val="000000"/>
              </w:rPr>
              <w:t>AAC</w:t>
            </w:r>
            <w:r w:rsidRPr="005904D0">
              <w:rPr>
                <w:rFonts w:cstheme="minorHAnsi"/>
                <w:b/>
                <w:bCs/>
                <w:color w:val="000000"/>
                <w:vertAlign w:val="subscript"/>
              </w:rPr>
              <w:t xml:space="preserve">at-1 </w:t>
            </w:r>
            <w:r w:rsidRPr="005904D0">
              <w:rPr>
                <w:rFonts w:cstheme="minorHAnsi"/>
                <w:b/>
                <w:bCs/>
                <w:color w:val="000000"/>
              </w:rPr>
              <w:t>- ARR</w:t>
            </w:r>
            <w:r w:rsidRPr="005904D0">
              <w:rPr>
                <w:rFonts w:cstheme="minorHAnsi"/>
                <w:b/>
                <w:bCs/>
                <w:color w:val="000000"/>
                <w:vertAlign w:val="subscript"/>
              </w:rPr>
              <w:t>t-1</w:t>
            </w:r>
            <w:r w:rsidR="00054CBA" w:rsidRPr="00054CBA">
              <w:rPr>
                <w:rFonts w:cstheme="minorHAnsi"/>
                <w:b/>
                <w:bCs/>
                <w:color w:val="000000"/>
              </w:rPr>
              <w:t>)*(</w:t>
            </w:r>
            <w:r w:rsidRPr="00054CBA">
              <w:rPr>
                <w:rFonts w:cstheme="minorHAnsi"/>
                <w:b/>
                <w:bCs/>
                <w:color w:val="000000"/>
              </w:rPr>
              <w:t>1+</w:t>
            </w:r>
            <w:r w:rsidR="00054CBA" w:rsidRPr="00054CBA">
              <w:rPr>
                <w:rFonts w:cstheme="minorHAnsi"/>
                <w:b/>
                <w:bCs/>
                <w:color w:val="000000"/>
              </w:rPr>
              <w:t>It)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8E54C" w14:textId="3392A6A5" w:rsidR="005904D0" w:rsidRPr="00960892" w:rsidRDefault="00054CBA" w:rsidP="00960892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16A67" w14:textId="397158D0" w:rsidR="005904D0" w:rsidRDefault="00054CBA" w:rsidP="002439FD">
            <w:pPr>
              <w:spacing w:after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</w:t>
            </w:r>
            <w:r w:rsidR="002439FD">
              <w:rPr>
                <w:rFonts w:cstheme="minorHAnsi"/>
                <w:color w:val="000000"/>
              </w:rPr>
              <w:t>9</w:t>
            </w:r>
          </w:p>
        </w:tc>
      </w:tr>
      <w:tr w:rsidR="00054CBA" w:rsidRPr="00960892" w14:paraId="1E845CF0" w14:textId="77777777" w:rsidTr="00A67D35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4965" w14:textId="3DAFEAA2" w:rsidR="00054CBA" w:rsidRDefault="00054CBA" w:rsidP="00A67D35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Përshtatjet për interesin e LBT të vitit 2020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9B62" w14:textId="65B4F685" w:rsidR="00054CBA" w:rsidRPr="00960892" w:rsidRDefault="00054CBA" w:rsidP="00054CBA">
            <w:pPr>
              <w:spacing w:after="0"/>
              <w:jc w:val="center"/>
              <w:rPr>
                <w:rFonts w:cstheme="minorHAnsi"/>
              </w:rPr>
            </w:pPr>
            <w:r w:rsidRPr="00054CBA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1C376" w14:textId="77777777" w:rsidR="00054CBA" w:rsidRDefault="00054CBA" w:rsidP="00A67D35">
            <w:pPr>
              <w:spacing w:after="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0.4</w:t>
            </w:r>
          </w:p>
        </w:tc>
      </w:tr>
      <w:tr w:rsidR="00960892" w:rsidRPr="00960892" w14:paraId="65F0C667" w14:textId="77777777" w:rsidTr="0001374E">
        <w:trPr>
          <w:trHeight w:val="28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4B355" w14:textId="77777777" w:rsidR="00960892" w:rsidRPr="0001374E" w:rsidRDefault="00960892" w:rsidP="00960892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01374E">
              <w:rPr>
                <w:rFonts w:cstheme="minorHAnsi"/>
                <w:b/>
                <w:color w:val="FFFFFF" w:themeColor="background1"/>
              </w:rPr>
              <w:t xml:space="preserve">Përshtatja e të hyrave </w:t>
            </w:r>
            <w:proofErr w:type="spellStart"/>
            <w:r w:rsidRPr="0001374E">
              <w:rPr>
                <w:rFonts w:cstheme="minorHAnsi"/>
                <w:b/>
                <w:color w:val="FFFFFF" w:themeColor="background1"/>
              </w:rPr>
              <w:t>ADJ</w:t>
            </w:r>
            <w:r w:rsidRPr="0001374E">
              <w:rPr>
                <w:rFonts w:cstheme="minorHAnsi"/>
                <w:b/>
                <w:color w:val="FFFFFF" w:themeColor="background1"/>
                <w:vertAlign w:val="subscript"/>
              </w:rPr>
              <w:t>t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0A5D0" w14:textId="77777777" w:rsidR="00960892" w:rsidRPr="0001374E" w:rsidRDefault="00960892" w:rsidP="00960892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1374E">
              <w:rPr>
                <w:rFonts w:cstheme="minorHAnsi"/>
                <w:b/>
                <w:color w:val="FFFFFF" w:themeColor="background1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5DF9F" w14:textId="786AE4D1" w:rsidR="00960892" w:rsidRPr="0001374E" w:rsidRDefault="00D17A05" w:rsidP="002439FD">
            <w:pPr>
              <w:spacing w:after="0"/>
              <w:jc w:val="righ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-</w:t>
            </w:r>
            <w:r w:rsidR="00054CBA">
              <w:rPr>
                <w:rFonts w:cstheme="minorHAnsi"/>
                <w:b/>
                <w:color w:val="FFFFFF" w:themeColor="background1"/>
              </w:rPr>
              <w:t>6.</w:t>
            </w:r>
            <w:r w:rsidR="002439FD">
              <w:rPr>
                <w:rFonts w:cstheme="minorHAnsi"/>
                <w:b/>
                <w:color w:val="FFFFFF" w:themeColor="background1"/>
              </w:rPr>
              <w:t>5</w:t>
            </w:r>
          </w:p>
        </w:tc>
      </w:tr>
    </w:tbl>
    <w:p w14:paraId="60F84FFB" w14:textId="77777777" w:rsidR="00960892" w:rsidRDefault="007C4CE3" w:rsidP="00960892">
      <w:pPr>
        <w:spacing w:after="0"/>
      </w:pPr>
      <w:r>
        <w:t xml:space="preserve"> </w:t>
      </w:r>
    </w:p>
    <w:p w14:paraId="312145F9" w14:textId="714695FC" w:rsidR="007C4CE3" w:rsidRDefault="007C4CE3" w:rsidP="000635BE">
      <w:pPr>
        <w:spacing w:after="0"/>
        <w:jc w:val="both"/>
      </w:pPr>
      <w:r>
        <w:t xml:space="preserve">Kjo vlerë e </w:t>
      </w:r>
      <w:r w:rsidRPr="00526E92">
        <w:t xml:space="preserve">përshtatjeve prej </w:t>
      </w:r>
      <w:r w:rsidR="00D17A05">
        <w:t>-</w:t>
      </w:r>
      <w:r w:rsidR="002439FD">
        <w:t>6.5</w:t>
      </w:r>
      <w:r w:rsidR="003466AB" w:rsidRPr="00526E92">
        <w:t xml:space="preserve"> </w:t>
      </w:r>
      <w:r w:rsidR="00FB2401" w:rsidRPr="00526E92">
        <w:t>mil</w:t>
      </w:r>
      <w:r w:rsidR="00E4293C" w:rsidRPr="00526E92">
        <w:t xml:space="preserve">€ </w:t>
      </w:r>
      <w:r w:rsidRPr="00526E92">
        <w:t xml:space="preserve"> do të bartet gjatë përcaktimit të </w:t>
      </w:r>
      <w:proofErr w:type="spellStart"/>
      <w:r w:rsidR="00CB4322" w:rsidRPr="00526E92">
        <w:t>të</w:t>
      </w:r>
      <w:proofErr w:type="spellEnd"/>
      <w:r w:rsidR="00CB4322" w:rsidRPr="00526E92">
        <w:t xml:space="preserve"> </w:t>
      </w:r>
      <w:r w:rsidRPr="00526E92">
        <w:t>hyrave të lejuara maksimale për vitin 202</w:t>
      </w:r>
      <w:r w:rsidR="00CB4322" w:rsidRPr="00526E92">
        <w:t>1</w:t>
      </w:r>
      <w:r w:rsidRPr="00526E92">
        <w:t>.</w:t>
      </w:r>
    </w:p>
    <w:p w14:paraId="45CBD2D1" w14:textId="6AD57357" w:rsidR="008A3962" w:rsidRDefault="008A3962" w:rsidP="000635BE">
      <w:pPr>
        <w:spacing w:after="0"/>
        <w:jc w:val="both"/>
      </w:pPr>
    </w:p>
    <w:p w14:paraId="37B13719" w14:textId="3A263109" w:rsidR="008A3962" w:rsidRPr="00526E92" w:rsidRDefault="008A3962" w:rsidP="008A3962">
      <w:pPr>
        <w:pStyle w:val="ListParagraph"/>
        <w:spacing w:after="0"/>
        <w:ind w:left="1080"/>
        <w:jc w:val="both"/>
      </w:pPr>
      <w:r>
        <w:t>*</w:t>
      </w:r>
      <w:r w:rsidRPr="008A3962">
        <w:t xml:space="preserve"> </w:t>
      </w:r>
      <w:r>
        <w:t xml:space="preserve">Kostot </w:t>
      </w:r>
      <w:proofErr w:type="spellStart"/>
      <w:r>
        <w:t>per</w:t>
      </w:r>
      <w:proofErr w:type="spellEnd"/>
      <w:r>
        <w:t xml:space="preserve"> </w:t>
      </w:r>
      <w:proofErr w:type="spellStart"/>
      <w:r>
        <w:t>OSSh</w:t>
      </w:r>
      <w:proofErr w:type="spellEnd"/>
      <w:r>
        <w:t xml:space="preserve"> </w:t>
      </w:r>
      <w:r w:rsidR="00D17A05">
        <w:t>janë</w:t>
      </w:r>
      <w:r>
        <w:t xml:space="preserve"> </w:t>
      </w:r>
      <w:r w:rsidR="00D17A05">
        <w:t>vlerësuar</w:t>
      </w:r>
      <w:r>
        <w:t xml:space="preserve"> ne baze te raportimeve paraprake dhe nuk </w:t>
      </w:r>
      <w:r w:rsidR="00D17A05">
        <w:t>përfshijnë</w:t>
      </w:r>
      <w:r>
        <w:t xml:space="preserve"> </w:t>
      </w:r>
      <w:proofErr w:type="spellStart"/>
      <w:r>
        <w:t>korigjimet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faturim dhe humbje te </w:t>
      </w:r>
      <w:proofErr w:type="spellStart"/>
      <w:r>
        <w:t>OSSh</w:t>
      </w:r>
      <w:proofErr w:type="spellEnd"/>
      <w:r w:rsidR="002439FD">
        <w:t xml:space="preserve"> sipas shkrese se </w:t>
      </w:r>
      <w:proofErr w:type="spellStart"/>
      <w:r w:rsidR="002439FD">
        <w:t>dt</w:t>
      </w:r>
      <w:proofErr w:type="spellEnd"/>
      <w:r w:rsidR="002439FD">
        <w:t xml:space="preserve"> 7 korrik 20221</w:t>
      </w:r>
      <w:r>
        <w:t>.</w:t>
      </w:r>
    </w:p>
    <w:p w14:paraId="19B6C952" w14:textId="0850A62D" w:rsidR="008A3962" w:rsidRDefault="008A3962" w:rsidP="000635BE">
      <w:pPr>
        <w:spacing w:after="0"/>
        <w:jc w:val="both"/>
      </w:pPr>
    </w:p>
    <w:p w14:paraId="34595955" w14:textId="0CD2315A" w:rsidR="008A3962" w:rsidRDefault="008A3962" w:rsidP="008A3962">
      <w:pPr>
        <w:pStyle w:val="ListParagraph"/>
        <w:spacing w:after="0"/>
        <w:ind w:left="1080"/>
        <w:jc w:val="both"/>
      </w:pPr>
      <w:r>
        <w:t xml:space="preserve">** Kostot e fondit </w:t>
      </w:r>
      <w:r w:rsidR="00D17A05">
        <w:t>për</w:t>
      </w:r>
      <w:r>
        <w:t xml:space="preserve"> BRE ne te </w:t>
      </w:r>
      <w:r w:rsidR="00D17A05">
        <w:t xml:space="preserve">dhënat mujore </w:t>
      </w:r>
      <w:proofErr w:type="spellStart"/>
      <w:r w:rsidR="00D17A05">
        <w:t>rezultojne</w:t>
      </w:r>
      <w:proofErr w:type="spellEnd"/>
      <w:r w:rsidR="00D17A05">
        <w:t xml:space="preserve"> të jenë</w:t>
      </w:r>
      <w:r>
        <w:t xml:space="preserve"> 14.98mil€, </w:t>
      </w:r>
      <w:r w:rsidR="00D17A05">
        <w:t>ndërsa në</w:t>
      </w:r>
      <w:r>
        <w:t xml:space="preserve"> pasqyra financiare </w:t>
      </w:r>
      <w:r w:rsidR="00D17A05">
        <w:t>janë</w:t>
      </w:r>
      <w:r>
        <w:t xml:space="preserve"> 15.22mil€. Edhe pse dallimet </w:t>
      </w:r>
      <w:r w:rsidR="00D17A05">
        <w:t>janë</w:t>
      </w:r>
      <w:r>
        <w:t xml:space="preserve"> minimale, </w:t>
      </w:r>
      <w:r w:rsidR="00D17A05">
        <w:t xml:space="preserve">megjithatë në </w:t>
      </w:r>
      <w:r>
        <w:t xml:space="preserve">kalkulimin </w:t>
      </w:r>
      <w:r w:rsidR="00D17A05">
        <w:t>përfundimtar</w:t>
      </w:r>
      <w:r>
        <w:t xml:space="preserve"> duhet </w:t>
      </w:r>
      <w:r w:rsidR="00D17A05">
        <w:t>dhënë</w:t>
      </w:r>
      <w:r>
        <w:t xml:space="preserve"> sqarimet e nevojshme.</w:t>
      </w:r>
    </w:p>
    <w:p w14:paraId="47955287" w14:textId="77777777" w:rsidR="002439FD" w:rsidRDefault="002439FD" w:rsidP="008A3962">
      <w:pPr>
        <w:pStyle w:val="ListParagraph"/>
        <w:spacing w:after="0"/>
        <w:ind w:left="1080"/>
        <w:jc w:val="both"/>
      </w:pPr>
    </w:p>
    <w:p w14:paraId="4E9304A8" w14:textId="331C40E1" w:rsidR="002439FD" w:rsidRDefault="002439FD" w:rsidP="002439FD">
      <w:pPr>
        <w:pStyle w:val="ListParagraph"/>
        <w:spacing w:after="0"/>
        <w:ind w:left="1080"/>
        <w:jc w:val="both"/>
      </w:pPr>
      <w:r>
        <w:t xml:space="preserve">*** </w:t>
      </w:r>
      <w:r w:rsidR="00D17A05">
        <w:t>përfshirë</w:t>
      </w:r>
      <w:r>
        <w:t xml:space="preserve"> edhe te hyrat tjera ne vlere prej 0.26mil€ sipas pasqyrave financiare</w:t>
      </w:r>
    </w:p>
    <w:p w14:paraId="01707FDA" w14:textId="77777777" w:rsidR="002439FD" w:rsidRDefault="002439FD" w:rsidP="002439FD">
      <w:pPr>
        <w:pStyle w:val="ListParagraph"/>
        <w:spacing w:after="0"/>
        <w:ind w:left="1080"/>
        <w:jc w:val="both"/>
      </w:pPr>
    </w:p>
    <w:p w14:paraId="6486299C" w14:textId="0B66BF53" w:rsidR="004649E3" w:rsidRPr="00C431D5" w:rsidRDefault="003259CD" w:rsidP="00D17A05">
      <w:pPr>
        <w:spacing w:after="0"/>
        <w:jc w:val="both"/>
      </w:pPr>
      <w:r w:rsidRPr="00526E92">
        <w:lastRenderedPageBreak/>
        <w:t>Gjatë analizimit të blerjeve të energjisë me shumicë</w:t>
      </w:r>
      <w:r>
        <w:t xml:space="preserve"> dhe faturimit të energjisë për konsumatorët me shërbim universal nga KESCO</w:t>
      </w:r>
      <w:r w:rsidR="00CB4322">
        <w:t>,</w:t>
      </w:r>
      <w:r>
        <w:t xml:space="preserve"> ZRRE ka vërejtur një dallim në sasinë e energjisë së blerë me shumicë dhe sasisë së energjisë së faturuar për konsumatorët me shërbim universal.</w:t>
      </w:r>
      <w:r w:rsidR="00526E92">
        <w:t xml:space="preserve"> </w:t>
      </w:r>
      <w:r w:rsidR="00CB4322">
        <w:t>N</w:t>
      </w:r>
      <w:r w:rsidR="005635CB">
        <w:t>ë</w:t>
      </w:r>
      <w:r w:rsidR="00CB4322">
        <w:t xml:space="preserve"> baz</w:t>
      </w:r>
      <w:r w:rsidR="005635CB">
        <w:t>ë</w:t>
      </w:r>
      <w:r w:rsidR="00CB4322">
        <w:t xml:space="preserve"> t</w:t>
      </w:r>
      <w:r w:rsidR="005635CB">
        <w:t>ë</w:t>
      </w:r>
      <w:r w:rsidR="00CB4322">
        <w:t xml:space="preserve"> analiz</w:t>
      </w:r>
      <w:r w:rsidR="005635CB">
        <w:t>ë</w:t>
      </w:r>
      <w:r w:rsidR="00CB4322">
        <w:t>s s</w:t>
      </w:r>
      <w:r w:rsidR="005635CB">
        <w:t>ë</w:t>
      </w:r>
      <w:r w:rsidR="00CB4322">
        <w:t xml:space="preserve"> b</w:t>
      </w:r>
      <w:r w:rsidR="005635CB">
        <w:t>ë</w:t>
      </w:r>
      <w:r w:rsidR="00CB4322">
        <w:t>r</w:t>
      </w:r>
      <w:r w:rsidR="005635CB">
        <w:t>ë</w:t>
      </w:r>
      <w:r w:rsidR="00CB4322">
        <w:t xml:space="preserve"> nga ZRRE lidhur me blerjet e energjis</w:t>
      </w:r>
      <w:r w:rsidR="005635CB">
        <w:t>ë</w:t>
      </w:r>
      <w:r w:rsidR="00CB4322">
        <w:t xml:space="preserve"> m</w:t>
      </w:r>
      <w:r w:rsidR="005635CB">
        <w:t>ë</w:t>
      </w:r>
      <w:r w:rsidR="00CB4322">
        <w:t xml:space="preserve"> shumic</w:t>
      </w:r>
      <w:r w:rsidR="005635CB">
        <w:t>ë</w:t>
      </w:r>
      <w:r w:rsidR="00CB4322">
        <w:t xml:space="preserve"> dhe faturimin e energjis</w:t>
      </w:r>
      <w:r w:rsidR="005635CB">
        <w:t>ë</w:t>
      </w:r>
      <w:r w:rsidR="00CB4322">
        <w:t xml:space="preserve"> p</w:t>
      </w:r>
      <w:r w:rsidR="005635CB">
        <w:t>ë</w:t>
      </w:r>
      <w:r w:rsidR="00CB4322">
        <w:t>r konsumator</w:t>
      </w:r>
      <w:r w:rsidR="005635CB">
        <w:t>ë</w:t>
      </w:r>
      <w:r w:rsidR="00CB4322">
        <w:t xml:space="preserve">t me </w:t>
      </w:r>
      <w:r w:rsidR="00CB4322" w:rsidRPr="00C431D5">
        <w:t>Sh</w:t>
      </w:r>
      <w:r w:rsidR="005635CB" w:rsidRPr="00C431D5">
        <w:t>ë</w:t>
      </w:r>
      <w:r w:rsidR="00CB4322" w:rsidRPr="00C431D5">
        <w:t>rbim Universal, shihet</w:t>
      </w:r>
      <w:r w:rsidR="00526E92" w:rsidRPr="00C431D5">
        <w:t xml:space="preserve"> KESCO-FSHU ka blerë energji në sasi prej 4,245G</w:t>
      </w:r>
      <w:r w:rsidR="004D1C45" w:rsidRPr="00C431D5">
        <w:t>W</w:t>
      </w:r>
      <w:r w:rsidR="00526E92" w:rsidRPr="00C431D5">
        <w:t>h (4,044 nga kontrata dhe 201G</w:t>
      </w:r>
      <w:r w:rsidR="004D1C45" w:rsidRPr="00C431D5">
        <w:t>W</w:t>
      </w:r>
      <w:r w:rsidR="00526E92" w:rsidRPr="00C431D5">
        <w:t xml:space="preserve">h nga Programi i </w:t>
      </w:r>
      <w:proofErr w:type="spellStart"/>
      <w:r w:rsidR="00526E92" w:rsidRPr="00C431D5">
        <w:t>Kompenzimit</w:t>
      </w:r>
      <w:proofErr w:type="spellEnd"/>
      <w:r w:rsidR="00526E92" w:rsidRPr="00C431D5">
        <w:t>). S</w:t>
      </w:r>
      <w:r w:rsidR="0029499A" w:rsidRPr="00C431D5">
        <w:t xml:space="preserve">i </w:t>
      </w:r>
      <w:r w:rsidR="005478FC" w:rsidRPr="00C431D5">
        <w:t xml:space="preserve">shitje (faturim) </w:t>
      </w:r>
      <w:r w:rsidR="00526E92" w:rsidRPr="00C431D5">
        <w:t xml:space="preserve">KESCO-FSHU </w:t>
      </w:r>
      <w:r w:rsidR="005478FC" w:rsidRPr="00C431D5">
        <w:t xml:space="preserve">ka raportuar vlerën </w:t>
      </w:r>
      <w:r w:rsidR="00526E92" w:rsidRPr="00C431D5">
        <w:t>prej 4,140G</w:t>
      </w:r>
      <w:r w:rsidR="004D1C45" w:rsidRPr="00C431D5">
        <w:t>W</w:t>
      </w:r>
      <w:r w:rsidR="00526E92" w:rsidRPr="00C431D5">
        <w:t>h. Kjo shtyrje prej 105</w:t>
      </w:r>
      <w:r w:rsidR="005478FC" w:rsidRPr="00C431D5">
        <w:t>G</w:t>
      </w:r>
      <w:r w:rsidR="004D1C45" w:rsidRPr="00C431D5">
        <w:t>W</w:t>
      </w:r>
      <w:r w:rsidR="00526E92" w:rsidRPr="00C431D5">
        <w:t>h</w:t>
      </w:r>
      <w:r w:rsidR="008F1716" w:rsidRPr="00C431D5">
        <w:t xml:space="preserve">, nënkupton se KESCO-FSHU ka blerë sasi të energjisë më shumë sesa kërkesa për plotësimin e nevojave të FSHU-së. </w:t>
      </w:r>
      <w:r w:rsidR="00310BCF" w:rsidRPr="00C431D5">
        <w:t xml:space="preserve">Gjatë parashikimit të konsumit/nominimeve mund të ketë dallime ndërmjet vlerave të </w:t>
      </w:r>
      <w:proofErr w:type="spellStart"/>
      <w:r w:rsidR="00310BCF" w:rsidRPr="00C431D5">
        <w:t>nominuara</w:t>
      </w:r>
      <w:proofErr w:type="spellEnd"/>
      <w:r w:rsidR="00310BCF" w:rsidRPr="00C431D5">
        <w:t xml:space="preserve"> dhe atyre të realizuara si shtyrje dhe tërheqje të energjisë. Sidoqoftë</w:t>
      </w:r>
      <w:r w:rsidR="002439FD">
        <w:t>,</w:t>
      </w:r>
      <w:r w:rsidR="00310BCF" w:rsidRPr="00C431D5">
        <w:t xml:space="preserve"> d</w:t>
      </w:r>
      <w:r w:rsidR="008F1716" w:rsidRPr="00C431D5">
        <w:t>uke njohur rrethanat aktu</w:t>
      </w:r>
      <w:r w:rsidR="005635CB" w:rsidRPr="00C431D5">
        <w:t>a</w:t>
      </w:r>
      <w:r w:rsidR="008F1716" w:rsidRPr="00C431D5">
        <w:t>le të blerjes së energjisë</w:t>
      </w:r>
      <w:r w:rsidR="005635CB" w:rsidRPr="00C431D5">
        <w:t xml:space="preserve"> nga </w:t>
      </w:r>
      <w:r w:rsidR="008F1716" w:rsidRPr="00C431D5">
        <w:t xml:space="preserve">KESCO-FSHU </w:t>
      </w:r>
      <w:r w:rsidR="005635CB" w:rsidRPr="00C431D5">
        <w:t>dhe KEDS, është e pakuptimt</w:t>
      </w:r>
      <w:r w:rsidR="002439FD">
        <w:t>ë</w:t>
      </w:r>
      <w:r w:rsidR="005635CB" w:rsidRPr="00C431D5">
        <w:t xml:space="preserve"> që për </w:t>
      </w:r>
      <w:r w:rsidR="00D17A05" w:rsidRPr="00C431D5">
        <w:t>njërën</w:t>
      </w:r>
      <w:r w:rsidR="005635CB" w:rsidRPr="00C431D5">
        <w:t xml:space="preserve"> palë gjatë 12 muajve të vitit të ketë </w:t>
      </w:r>
      <w:r w:rsidR="00D17A05" w:rsidRPr="00C431D5">
        <w:t>shtyrje</w:t>
      </w:r>
      <w:r w:rsidR="005635CB" w:rsidRPr="00C431D5">
        <w:t>, ndërsa për palën tjetër të ketë tërheqje të energjisë.</w:t>
      </w:r>
      <w:r w:rsidR="00310BCF" w:rsidRPr="00C431D5">
        <w:t xml:space="preserve">  </w:t>
      </w:r>
      <w:r w:rsidR="005635CB" w:rsidRPr="00C431D5">
        <w:t xml:space="preserve"> </w:t>
      </w:r>
    </w:p>
    <w:p w14:paraId="1001C9C7" w14:textId="065761E4" w:rsidR="005635CB" w:rsidRPr="00C431D5" w:rsidRDefault="00522A65" w:rsidP="00522A65">
      <w:pPr>
        <w:spacing w:before="240" w:after="0"/>
        <w:jc w:val="both"/>
      </w:pPr>
      <w:r w:rsidRPr="00C431D5">
        <w:t>Duke marr parasysh se nominimet për të dy palët realizohen nga KESCO</w:t>
      </w:r>
      <w:r w:rsidR="002439FD">
        <w:t>,</w:t>
      </w:r>
      <w:r w:rsidRPr="00C431D5">
        <w:t xml:space="preserve"> dhe </w:t>
      </w:r>
      <w:r w:rsidR="00D17A05" w:rsidRPr="00C431D5">
        <w:t>nomin</w:t>
      </w:r>
      <w:r w:rsidR="00D17A05">
        <w:t>ime</w:t>
      </w:r>
      <w:r w:rsidR="00D17A05" w:rsidRPr="00C431D5">
        <w:t>t</w:t>
      </w:r>
      <w:r w:rsidRPr="00C431D5">
        <w:t xml:space="preserve"> e KEDS-it varen nga KESCO-FSHU, atëherë do të duhej që devijimet eventuale të jenë të njëtrajtshm</w:t>
      </w:r>
      <w:r w:rsidR="002439FD">
        <w:t xml:space="preserve">e, dhe jo të ketë njëra palë </w:t>
      </w:r>
      <w:r w:rsidRPr="00C431D5">
        <w:t>tërh</w:t>
      </w:r>
      <w:r w:rsidR="002439FD">
        <w:t>eqje, ndërsa pala tjetër të ketë</w:t>
      </w:r>
      <w:r w:rsidRPr="00C431D5">
        <w:t xml:space="preserve"> </w:t>
      </w:r>
      <w:r w:rsidR="00D17A05" w:rsidRPr="00C431D5">
        <w:t>shtyrje</w:t>
      </w:r>
      <w:r w:rsidRPr="00C431D5">
        <w:t>.</w:t>
      </w:r>
    </w:p>
    <w:p w14:paraId="6B7F75C6" w14:textId="6D24AA38" w:rsidR="00522A65" w:rsidRPr="00C431D5" w:rsidRDefault="00522A65" w:rsidP="00466795">
      <w:pPr>
        <w:spacing w:before="240" w:after="0"/>
        <w:jc w:val="both"/>
      </w:pPr>
      <w:r w:rsidRPr="00C431D5">
        <w:t>Bazuar në atë që u tha më lartë, ZRRE kërkon nga KESCO që të ofrojë sqarimet</w:t>
      </w:r>
      <w:r w:rsidR="00C431D5" w:rsidRPr="00C431D5">
        <w:t xml:space="preserve"> e nevojshme.</w:t>
      </w:r>
    </w:p>
    <w:p w14:paraId="62B6F763" w14:textId="7C909864" w:rsidR="008D4F45" w:rsidRPr="00C431D5" w:rsidRDefault="003E40DB" w:rsidP="00466795">
      <w:pPr>
        <w:spacing w:before="240" w:after="0"/>
        <w:jc w:val="both"/>
      </w:pPr>
      <w:r w:rsidRPr="00C431D5">
        <w:t>ZRRE duke parë këtë dukuri dhe proceset e zhvil</w:t>
      </w:r>
      <w:r w:rsidR="002439FD">
        <w:t>luara në sektorin e energjetik n</w:t>
      </w:r>
      <w:r w:rsidRPr="00C431D5">
        <w:t>ë Kosovë, me theks të veçantë atë të pavarësimit të KOSTT-it, thekson se është përgjegjësi e KOSTT që të bëjë balancimin e sistemit dhe se balancimi i tillë nuk duhet të vazhdojë tutje në këtë formë</w:t>
      </w:r>
      <w:r w:rsidR="008D4F45" w:rsidRPr="00C431D5">
        <w:t xml:space="preserve"> përmes FSHU-së</w:t>
      </w:r>
      <w:r w:rsidRPr="00C431D5">
        <w:t xml:space="preserve">. </w:t>
      </w:r>
    </w:p>
    <w:p w14:paraId="773E6788" w14:textId="457E6062" w:rsidR="00012400" w:rsidRDefault="00012400" w:rsidP="00466795">
      <w:pPr>
        <w:spacing w:before="240" w:after="0"/>
        <w:jc w:val="both"/>
      </w:pPr>
    </w:p>
    <w:p w14:paraId="1069D43C" w14:textId="77777777" w:rsidR="008773FD" w:rsidRPr="003A4BA9" w:rsidRDefault="008773FD" w:rsidP="008773FD">
      <w:pPr>
        <w:pStyle w:val="Heading1"/>
        <w:spacing w:before="0"/>
        <w:rPr>
          <w:rFonts w:asciiTheme="minorHAnsi" w:hAnsiTheme="minorHAnsi" w:cstheme="minorHAnsi"/>
        </w:rPr>
      </w:pPr>
      <w:bookmarkStart w:id="5" w:name="_Toc508629892"/>
      <w:bookmarkStart w:id="6" w:name="_Toc80690017"/>
      <w:r>
        <w:rPr>
          <w:rFonts w:asciiTheme="minorHAnsi" w:hAnsiTheme="minorHAnsi" w:cstheme="minorHAnsi"/>
        </w:rPr>
        <w:t>K</w:t>
      </w:r>
      <w:r w:rsidR="00AD630F">
        <w:rPr>
          <w:rFonts w:asciiTheme="minorHAnsi" w:hAnsiTheme="minorHAnsi" w:cstheme="minorHAnsi"/>
        </w:rPr>
        <w:t>ostot e bartsh</w:t>
      </w:r>
      <w:r w:rsidRPr="003A4BA9">
        <w:rPr>
          <w:rFonts w:asciiTheme="minorHAnsi" w:hAnsiTheme="minorHAnsi" w:cstheme="minorHAnsi"/>
        </w:rPr>
        <w:t>me</w:t>
      </w:r>
      <w:bookmarkEnd w:id="5"/>
      <w:bookmarkEnd w:id="6"/>
    </w:p>
    <w:p w14:paraId="46FFC0A9" w14:textId="1AB1B678" w:rsidR="008773FD" w:rsidRPr="0001374E" w:rsidRDefault="0001374E" w:rsidP="0001374E">
      <w:pPr>
        <w:jc w:val="both"/>
      </w:pPr>
      <w:r>
        <w:t>Kostot e bartshme të FSHU-</w:t>
      </w:r>
      <w:r w:rsidR="006221F4">
        <w:t>s</w:t>
      </w:r>
      <w:r>
        <w:t xml:space="preserve">ë </w:t>
      </w:r>
      <w:r w:rsidR="00912C2E">
        <w:t xml:space="preserve">janë ato që varen nga </w:t>
      </w:r>
      <w:r w:rsidR="006221F4">
        <w:t>vlerësimet</w:t>
      </w:r>
      <w:r w:rsidR="00912C2E">
        <w:t xml:space="preserve"> p</w:t>
      </w:r>
      <w:r>
        <w:t>ë</w:t>
      </w:r>
      <w:r w:rsidR="00912C2E">
        <w:t>r</w:t>
      </w:r>
      <w:r>
        <w:t xml:space="preserve"> MAR-et </w:t>
      </w:r>
      <w:r w:rsidR="006221F4">
        <w:t xml:space="preserve">për </w:t>
      </w:r>
      <w:r w:rsidR="00912C2E">
        <w:t>k</w:t>
      </w:r>
      <w:r>
        <w:t xml:space="preserve">ompanitë tjera të </w:t>
      </w:r>
      <w:r w:rsidR="006221F4">
        <w:t>r</w:t>
      </w:r>
      <w:r>
        <w:t>regulluara</w:t>
      </w:r>
      <w:r w:rsidR="006221F4">
        <w:t xml:space="preserve">. </w:t>
      </w:r>
      <w:r>
        <w:t>Këto janë kostot e bart</w:t>
      </w:r>
      <w:r w:rsidR="00C431D5">
        <w:t xml:space="preserve">shme për shfrytëzimin e rrjetit të transmetimit (OST/OT-KOSTT), shfrytëzimin e rrjetit të shpërndarjes (OSSH-KEDS) </w:t>
      </w:r>
      <w:r w:rsidR="00912C2E">
        <w:t xml:space="preserve">dhe ndonjë kosto tjetër që është jashtë kontrollit </w:t>
      </w:r>
      <w:r w:rsidR="00912C2E" w:rsidRPr="00A66D32">
        <w:t>të FSHU-së. Kostot e bartshme për KOSTT përfshirë edhe fondin për burimet e ripërt</w:t>
      </w:r>
      <w:r w:rsidR="00C93CB4" w:rsidRPr="00A66D32">
        <w:rPr>
          <w:rFonts w:ascii="Calibri" w:hAnsi="Calibri" w:cs="Calibri"/>
        </w:rPr>
        <w:t>ë</w:t>
      </w:r>
      <w:r w:rsidR="007B1A17" w:rsidRPr="00A66D32">
        <w:t>r</w:t>
      </w:r>
      <w:r w:rsidR="00912C2E" w:rsidRPr="00A66D32">
        <w:t xml:space="preserve">itshme </w:t>
      </w:r>
      <w:r w:rsidR="00C431D5">
        <w:t>parashihet të</w:t>
      </w:r>
      <w:r w:rsidR="003466AB">
        <w:t xml:space="preserve"> </w:t>
      </w:r>
      <w:r w:rsidR="00912C2E" w:rsidRPr="00C431D5">
        <w:t>j</w:t>
      </w:r>
      <w:r w:rsidR="003466AB" w:rsidRPr="00C431D5">
        <w:t>e</w:t>
      </w:r>
      <w:r w:rsidR="00912C2E" w:rsidRPr="00C431D5">
        <w:t xml:space="preserve">në </w:t>
      </w:r>
      <w:r w:rsidR="00854E43" w:rsidRPr="00C431D5">
        <w:t>29</w:t>
      </w:r>
      <w:r w:rsidR="00912C2E" w:rsidRPr="00C431D5">
        <w:t xml:space="preserve"> mil€, </w:t>
      </w:r>
      <w:r w:rsidR="00C431D5" w:rsidRPr="00C431D5">
        <w:t>ndë</w:t>
      </w:r>
      <w:r w:rsidR="003466AB" w:rsidRPr="00C431D5">
        <w:t xml:space="preserve">rsa </w:t>
      </w:r>
      <w:r w:rsidR="00912C2E" w:rsidRPr="00C431D5">
        <w:t xml:space="preserve">kostot e bartshme për KEDS </w:t>
      </w:r>
      <w:r w:rsidR="003466AB" w:rsidRPr="00C431D5">
        <w:t>paras</w:t>
      </w:r>
      <w:r w:rsidR="00C431D5" w:rsidRPr="00C431D5">
        <w:t>hihet të</w:t>
      </w:r>
      <w:r w:rsidR="003466AB" w:rsidRPr="00C431D5">
        <w:t xml:space="preserve"> </w:t>
      </w:r>
      <w:r w:rsidR="00912C2E" w:rsidRPr="00C431D5">
        <w:t>j</w:t>
      </w:r>
      <w:r w:rsidR="003466AB" w:rsidRPr="00C431D5">
        <w:t>e</w:t>
      </w:r>
      <w:r w:rsidR="00912C2E" w:rsidRPr="00C431D5">
        <w:t xml:space="preserve">në </w:t>
      </w:r>
      <w:r w:rsidR="003466AB" w:rsidRPr="00C431D5">
        <w:t>81</w:t>
      </w:r>
      <w:r w:rsidR="00AC189C" w:rsidRPr="00C431D5">
        <w:t xml:space="preserve"> </w:t>
      </w:r>
      <w:r w:rsidR="00912C2E" w:rsidRPr="00C431D5">
        <w:t>mil€.</w:t>
      </w:r>
    </w:p>
    <w:p w14:paraId="5C8EFC71" w14:textId="77777777" w:rsidR="008773FD" w:rsidRPr="003A4BA9" w:rsidRDefault="00FD6318" w:rsidP="008773FD">
      <w:pPr>
        <w:pStyle w:val="Heading1"/>
        <w:spacing w:line="240" w:lineRule="auto"/>
        <w:rPr>
          <w:rFonts w:asciiTheme="minorHAnsi" w:hAnsiTheme="minorHAnsi" w:cstheme="minorHAnsi"/>
        </w:rPr>
      </w:pPr>
      <w:bookmarkStart w:id="7" w:name="_Toc80690018"/>
      <w:r>
        <w:rPr>
          <w:rFonts w:asciiTheme="minorHAnsi" w:hAnsiTheme="minorHAnsi" w:cstheme="minorHAnsi"/>
        </w:rPr>
        <w:t>Kostot me pakicë të furnizuesit</w:t>
      </w:r>
      <w:bookmarkEnd w:id="7"/>
    </w:p>
    <w:p w14:paraId="74776E36" w14:textId="2671F647" w:rsidR="00FD6318" w:rsidRPr="00D662B2" w:rsidRDefault="00FD6318" w:rsidP="00FD6318">
      <w:pPr>
        <w:spacing w:before="120"/>
        <w:jc w:val="both"/>
        <w:rPr>
          <w:color w:val="FF0000"/>
        </w:rPr>
      </w:pPr>
      <w:bookmarkStart w:id="8" w:name="_Toc508629897"/>
      <w:r>
        <w:t>Kostot e lejuara me pakicë llogariten si shuma e kostove të lejuara të operimit dhe mirëmbajtjes (</w:t>
      </w:r>
      <w:proofErr w:type="spellStart"/>
      <w:r>
        <w:t>OPMCt</w:t>
      </w:r>
      <w:proofErr w:type="spellEnd"/>
      <w:r>
        <w:t>), zhvlerësimi (</w:t>
      </w:r>
      <w:proofErr w:type="spellStart"/>
      <w:r>
        <w:t>DEPCt</w:t>
      </w:r>
      <w:proofErr w:type="spellEnd"/>
      <w:r>
        <w:t xml:space="preserve">) dhe </w:t>
      </w:r>
      <w:r w:rsidR="006221F4">
        <w:t>ato të</w:t>
      </w:r>
      <w:r>
        <w:t xml:space="preserve"> licencës (</w:t>
      </w:r>
      <w:proofErr w:type="spellStart"/>
      <w:r>
        <w:t>LCICt</w:t>
      </w:r>
      <w:proofErr w:type="spellEnd"/>
      <w:r>
        <w:t>).</w:t>
      </w:r>
      <w:bookmarkEnd w:id="8"/>
      <w:r>
        <w:t xml:space="preserve"> Kostot e propozuara me pakicë për FSHU për vitin 20</w:t>
      </w:r>
      <w:r w:rsidR="00E4293C">
        <w:t>2</w:t>
      </w:r>
      <w:r w:rsidR="00AC189C">
        <w:t>1</w:t>
      </w:r>
      <w:r>
        <w:t xml:space="preserve"> kanë përdorur si pikënisje kostot e lejuara në vitin</w:t>
      </w:r>
      <w:r w:rsidR="007B1A17">
        <w:t xml:space="preserve"> 20</w:t>
      </w:r>
      <w:r w:rsidR="00AC189C">
        <w:t>20</w:t>
      </w:r>
      <w:r w:rsidR="007B1A17">
        <w:t xml:space="preserve"> dhe </w:t>
      </w:r>
      <w:r w:rsidR="00C93CB4">
        <w:t>të indeksuara për norm</w:t>
      </w:r>
      <w:r w:rsidR="00C93CB4" w:rsidRPr="00F44BF8">
        <w:rPr>
          <w:rFonts w:ascii="Calibri" w:hAnsi="Calibri" w:cs="Calibri"/>
        </w:rPr>
        <w:t>ë</w:t>
      </w:r>
      <w:r w:rsidR="00C93CB4">
        <w:t>n e inflacionit me vler</w:t>
      </w:r>
      <w:r w:rsidR="00C93CB4" w:rsidRPr="00F44BF8">
        <w:rPr>
          <w:rFonts w:ascii="Calibri" w:hAnsi="Calibri" w:cs="Calibri"/>
        </w:rPr>
        <w:t>ë</w:t>
      </w:r>
      <w:r w:rsidR="00C93CB4">
        <w:t xml:space="preserve"> prej </w:t>
      </w:r>
      <w:r w:rsidR="00AC189C" w:rsidRPr="00842F53">
        <w:t>0.26</w:t>
      </w:r>
      <w:r w:rsidR="00C93CB4" w:rsidRPr="00842F53">
        <w:t>%</w:t>
      </w:r>
      <w:r w:rsidR="00D42917" w:rsidRPr="00842F53">
        <w:rPr>
          <w:rStyle w:val="FootnoteReference"/>
        </w:rPr>
        <w:footnoteReference w:id="1"/>
      </w:r>
      <w:r w:rsidRPr="00842F53">
        <w:t xml:space="preserve">. </w:t>
      </w:r>
      <w:r w:rsidR="00C07D4F" w:rsidRPr="00842F53">
        <w:t>Vlera e kostove</w:t>
      </w:r>
      <w:r w:rsidR="00C07D4F">
        <w:t xml:space="preserve"> </w:t>
      </w:r>
      <w:r w:rsidR="00E4293C">
        <w:t>me pakicë për FSHU për vitin 202</w:t>
      </w:r>
      <w:r w:rsidR="00C77518">
        <w:t>1</w:t>
      </w:r>
      <w:r w:rsidR="00C07D4F">
        <w:t xml:space="preserve"> është paraparë të </w:t>
      </w:r>
      <w:r w:rsidR="00C07D4F" w:rsidRPr="00842F53">
        <w:t xml:space="preserve">jetë </w:t>
      </w:r>
      <w:r w:rsidR="003466AB" w:rsidRPr="00842F53">
        <w:t>4.7</w:t>
      </w:r>
      <w:r w:rsidR="00C07D4F" w:rsidRPr="00842F53">
        <w:t xml:space="preserve"> mil€.</w:t>
      </w:r>
      <w:r w:rsidR="006221F4" w:rsidRPr="00842F53">
        <w:t xml:space="preserve"> Komponentët</w:t>
      </w:r>
      <w:r w:rsidR="006221F4">
        <w:t xml:space="preserve"> tjera të kostove me pakicë </w:t>
      </w:r>
      <w:r w:rsidR="00340FFE">
        <w:t>siç</w:t>
      </w:r>
      <w:r w:rsidR="006221F4">
        <w:t xml:space="preserve"> janë mar</w:t>
      </w:r>
      <w:r w:rsidR="00340FFE">
        <w:t xml:space="preserve">zha me pakicë, borxhi i keq dhe kapitali punues janë kalkuluar në bazë të formulave të përcaktuara në Rregullën për të Hyrat e FSHU-së. </w:t>
      </w:r>
    </w:p>
    <w:p w14:paraId="7D01D4A9" w14:textId="5207CE41" w:rsidR="00D662B2" w:rsidRDefault="00924804" w:rsidP="00FD6318">
      <w:pPr>
        <w:spacing w:before="120"/>
        <w:jc w:val="both"/>
      </w:pPr>
      <w:r w:rsidRPr="00842F53">
        <w:lastRenderedPageBreak/>
        <w:t>Gjatë vlerësimit të kostove me pakicë, KESCO nuk ka paraqitur kosto</w:t>
      </w:r>
      <w:r w:rsidR="00842F53" w:rsidRPr="00842F53">
        <w:t>t që ndërlidhen me ofrimin e sh</w:t>
      </w:r>
      <w:r w:rsidRPr="00842F53">
        <w:t>ë</w:t>
      </w:r>
      <w:r w:rsidR="00842F53" w:rsidRPr="00842F53">
        <w:t>r</w:t>
      </w:r>
      <w:r w:rsidRPr="00842F53">
        <w:t xml:space="preserve">bimeve për konsumatorët e parregulluar. ZRRE </w:t>
      </w:r>
      <w:r w:rsidR="00CC5212" w:rsidRPr="00842F53">
        <w:t xml:space="preserve">kërkon nga KESCO </w:t>
      </w:r>
      <w:r w:rsidR="001C1D9D" w:rsidRPr="00842F53">
        <w:t xml:space="preserve">që gjatë procesit të konsultimit publik </w:t>
      </w:r>
      <w:r w:rsidR="00CC5212" w:rsidRPr="00842F53">
        <w:t xml:space="preserve">të </w:t>
      </w:r>
      <w:r w:rsidR="001C1D9D" w:rsidRPr="00842F53">
        <w:t>bëjë</w:t>
      </w:r>
      <w:r w:rsidR="00CC5212" w:rsidRPr="00842F53">
        <w:t xml:space="preserve"> vlerësimin lidhur me këto kosto dhe do ti zbres ato gjatë përcaktimit të OPEX-it të FSHU-së.</w:t>
      </w:r>
    </w:p>
    <w:p w14:paraId="108073F9" w14:textId="77777777" w:rsidR="00D17A05" w:rsidRPr="00842F53" w:rsidRDefault="00D17A05" w:rsidP="00FD6318">
      <w:pPr>
        <w:spacing w:before="120"/>
        <w:jc w:val="both"/>
      </w:pPr>
    </w:p>
    <w:p w14:paraId="444656EF" w14:textId="5170E3B9" w:rsidR="008773FD" w:rsidRPr="003A4BA9" w:rsidRDefault="006A334F" w:rsidP="00D17A05">
      <w:pPr>
        <w:pStyle w:val="Heading1"/>
        <w:spacing w:line="240" w:lineRule="auto"/>
        <w:rPr>
          <w:rFonts w:asciiTheme="minorHAnsi" w:hAnsiTheme="minorHAnsi" w:cstheme="minorHAnsi"/>
        </w:rPr>
      </w:pPr>
      <w:bookmarkStart w:id="9" w:name="_Toc80690019"/>
      <w:bookmarkStart w:id="10" w:name="_Toc508629899"/>
      <w:r w:rsidRPr="003A4BA9">
        <w:rPr>
          <w:rFonts w:asciiTheme="minorHAnsi" w:hAnsiTheme="minorHAnsi" w:cstheme="minorHAnsi"/>
        </w:rPr>
        <w:t>Të hyrat e lejuara maksimale</w:t>
      </w:r>
      <w:bookmarkEnd w:id="9"/>
      <w:r w:rsidRPr="003A4BA9">
        <w:rPr>
          <w:rFonts w:asciiTheme="minorHAnsi" w:hAnsiTheme="minorHAnsi" w:cstheme="minorHAnsi"/>
        </w:rPr>
        <w:t xml:space="preserve"> </w:t>
      </w:r>
      <w:bookmarkEnd w:id="10"/>
    </w:p>
    <w:p w14:paraId="5981E896" w14:textId="2ABF0263" w:rsidR="00340FFE" w:rsidRDefault="00340FFE" w:rsidP="00340FFE">
      <w:pPr>
        <w:spacing w:before="120"/>
        <w:jc w:val="both"/>
      </w:pPr>
      <w:r>
        <w:t>MAR i propozuar për FSHU për vitin 2</w:t>
      </w:r>
      <w:r w:rsidR="00E4293C">
        <w:t>02</w:t>
      </w:r>
      <w:r w:rsidR="00C77518">
        <w:t>1</w:t>
      </w:r>
      <w:r w:rsidR="002F329B">
        <w:t xml:space="preserve"> </w:t>
      </w:r>
      <w:r w:rsidR="002F329B" w:rsidRPr="00FB3777">
        <w:t xml:space="preserve">është </w:t>
      </w:r>
      <w:r w:rsidR="00E4293C" w:rsidRPr="00FB3777">
        <w:t>2</w:t>
      </w:r>
      <w:r w:rsidR="00082D42">
        <w:t>71.2</w:t>
      </w:r>
      <w:r w:rsidRPr="00FB3777">
        <w:t xml:space="preserve"> milion</w:t>
      </w:r>
      <w:r>
        <w:t xml:space="preserve"> €, e cila paraqet shumën që do të mbulohet nga tarifat e rregulluara të shitjes me pakicë.</w:t>
      </w:r>
      <w:r w:rsidR="00013C9F">
        <w:t xml:space="preserve"> Detajet e kalkulimeve për MAR-in e propozuar janë dhënë në tabelën në vijim: </w:t>
      </w:r>
    </w:p>
    <w:p w14:paraId="67C4B38F" w14:textId="6AC15C16" w:rsidR="008773FD" w:rsidRDefault="008773FD" w:rsidP="002F329B">
      <w:pPr>
        <w:pStyle w:val="Caption"/>
        <w:spacing w:after="0"/>
        <w:jc w:val="center"/>
      </w:pPr>
      <w:r w:rsidRPr="00842F53">
        <w:t xml:space="preserve">Tabela </w:t>
      </w:r>
      <w:r w:rsidR="00724223" w:rsidRPr="00842F53">
        <w:t>4</w:t>
      </w:r>
      <w:r w:rsidRPr="00842F53">
        <w:t xml:space="preserve"> </w:t>
      </w:r>
      <w:r w:rsidR="00621E1C" w:rsidRPr="00842F53">
        <w:t xml:space="preserve">- </w:t>
      </w:r>
      <w:r w:rsidRPr="00842F53">
        <w:t xml:space="preserve">MAR i propozuar për </w:t>
      </w:r>
      <w:r w:rsidR="00724223" w:rsidRPr="00842F53">
        <w:t>vitin 20</w:t>
      </w:r>
      <w:r w:rsidR="00AD66A7" w:rsidRPr="00842F53">
        <w:t>2</w:t>
      </w:r>
      <w:r w:rsidR="00C77518" w:rsidRPr="00842F53">
        <w:t>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5"/>
        <w:gridCol w:w="916"/>
        <w:gridCol w:w="778"/>
      </w:tblGrid>
      <w:tr w:rsidR="00D969E4" w:rsidRPr="00960892" w14:paraId="26A2FDDE" w14:textId="77777777" w:rsidTr="00FB0610">
        <w:trPr>
          <w:trHeight w:val="510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95277" w14:textId="77777777" w:rsidR="00D969E4" w:rsidRPr="00960892" w:rsidRDefault="00D969E4" w:rsidP="00FB0610">
            <w:pPr>
              <w:spacing w:after="0" w:line="240" w:lineRule="auto"/>
              <w:rPr>
                <w:rFonts w:cstheme="minorHAnsi"/>
                <w:b/>
                <w:bCs/>
                <w:color w:val="FFFFFF"/>
              </w:rPr>
            </w:pPr>
            <w:r w:rsidRPr="00960892">
              <w:rPr>
                <w:rFonts w:cstheme="minorHAnsi"/>
                <w:b/>
                <w:bCs/>
                <w:color w:val="FFFFFF"/>
              </w:rPr>
              <w:t>MAR-i i Furnizuesit me Shërbim Universal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D46B8" w14:textId="77777777" w:rsidR="00D969E4" w:rsidRPr="00960892" w:rsidRDefault="00D969E4" w:rsidP="00FB06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960892">
              <w:rPr>
                <w:rFonts w:cstheme="minorHAnsi"/>
                <w:b/>
                <w:bCs/>
                <w:color w:val="FFFFFF"/>
              </w:rPr>
              <w:t>Njësia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ED01E" w14:textId="62DF4ED7" w:rsidR="00D969E4" w:rsidRPr="00960892" w:rsidRDefault="00D969E4" w:rsidP="002F329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960892">
              <w:rPr>
                <w:rFonts w:cstheme="minorHAnsi"/>
                <w:b/>
                <w:bCs/>
                <w:color w:val="FFFFFF"/>
              </w:rPr>
              <w:t>20</w:t>
            </w:r>
            <w:r w:rsidR="00E4293C">
              <w:rPr>
                <w:rFonts w:cstheme="minorHAnsi"/>
                <w:b/>
                <w:bCs/>
                <w:color w:val="FFFFFF"/>
              </w:rPr>
              <w:t>2</w:t>
            </w:r>
            <w:r w:rsidR="00275ECF">
              <w:rPr>
                <w:rFonts w:cstheme="minorHAnsi"/>
                <w:b/>
                <w:bCs/>
                <w:color w:val="FFFFFF"/>
              </w:rPr>
              <w:t>1</w:t>
            </w:r>
          </w:p>
        </w:tc>
      </w:tr>
      <w:tr w:rsidR="00D969E4" w:rsidRPr="00960892" w14:paraId="32459A0E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207DC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Parametrat e indeksimit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47770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6C879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51E8BE46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3EB98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Norma e interesit It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1FE42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4143A" w14:textId="77777777" w:rsidR="00D969E4" w:rsidRPr="00960892" w:rsidRDefault="00E4293C" w:rsidP="00FB0610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6.85</w:t>
            </w:r>
            <w:r w:rsidR="00D969E4" w:rsidRPr="00960892">
              <w:rPr>
                <w:rFonts w:cstheme="minorHAnsi"/>
              </w:rPr>
              <w:t>%</w:t>
            </w:r>
          </w:p>
        </w:tc>
      </w:tr>
      <w:tr w:rsidR="00D969E4" w:rsidRPr="00960892" w14:paraId="14CA3602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86F06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Kostot me pakice te furnizuesit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83316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CC122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68C7860B" w14:textId="77777777" w:rsidTr="00FB0610">
        <w:trPr>
          <w:trHeight w:val="28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6998F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 xml:space="preserve">OPEX - </w:t>
            </w:r>
            <w:proofErr w:type="spellStart"/>
            <w:r w:rsidRPr="00960892">
              <w:rPr>
                <w:rFonts w:cstheme="minorHAnsi"/>
              </w:rPr>
              <w:t>OPMC</w:t>
            </w:r>
            <w:r w:rsidRPr="00960892">
              <w:rPr>
                <w:rFonts w:cstheme="minorHAnsi"/>
                <w:color w:val="000000"/>
                <w:vertAlign w:val="subscript"/>
              </w:rPr>
              <w:t>t</w:t>
            </w:r>
            <w:proofErr w:type="spellEnd"/>
            <w:r w:rsidRPr="00960892">
              <w:rPr>
                <w:rFonts w:cstheme="minorHAnsi"/>
                <w:color w:val="000000"/>
              </w:rPr>
              <w:t xml:space="preserve"> = OPMC</w:t>
            </w:r>
            <w:r w:rsidRPr="00960892">
              <w:rPr>
                <w:rFonts w:cstheme="minorHAnsi"/>
                <w:color w:val="000000"/>
                <w:vertAlign w:val="subscript"/>
              </w:rPr>
              <w:t>t-1</w:t>
            </w:r>
            <w:r w:rsidRPr="00960892">
              <w:rPr>
                <w:rFonts w:cstheme="minorHAnsi"/>
                <w:color w:val="000000"/>
              </w:rPr>
              <w:t xml:space="preserve"> * (1 + CPI</w:t>
            </w:r>
            <w:r w:rsidRPr="00960892">
              <w:rPr>
                <w:rFonts w:cstheme="minorHAnsi"/>
                <w:color w:val="000000"/>
                <w:vertAlign w:val="subscript"/>
              </w:rPr>
              <w:t>t-1</w:t>
            </w:r>
            <w:r w:rsidRPr="00960892">
              <w:rPr>
                <w:rFonts w:cstheme="minorHAnsi"/>
                <w:color w:val="000000"/>
              </w:rPr>
              <w:t>) * (1 – E</w:t>
            </w:r>
            <w:r w:rsidRPr="00960892">
              <w:rPr>
                <w:rFonts w:cstheme="minorHAnsi"/>
                <w:color w:val="000000"/>
                <w:vertAlign w:val="subscript"/>
              </w:rPr>
              <w:t>t</w:t>
            </w:r>
            <w:r w:rsidRPr="00960892">
              <w:rPr>
                <w:rFonts w:cstheme="minorHAnsi"/>
                <w:color w:val="000000"/>
              </w:rPr>
              <w:t xml:space="preserve">)* (1 – </w:t>
            </w:r>
            <w:proofErr w:type="spellStart"/>
            <w:r w:rsidRPr="00960892">
              <w:rPr>
                <w:rFonts w:cstheme="minorHAnsi"/>
                <w:color w:val="000000"/>
              </w:rPr>
              <w:t>P</w:t>
            </w:r>
            <w:r w:rsidRPr="00960892">
              <w:rPr>
                <w:rFonts w:cstheme="minorHAnsi"/>
                <w:color w:val="000000"/>
                <w:vertAlign w:val="subscript"/>
              </w:rPr>
              <w:t>t</w:t>
            </w:r>
            <w:proofErr w:type="spellEnd"/>
            <w:r w:rsidRPr="00960892">
              <w:rPr>
                <w:rFonts w:cstheme="minorHAnsi"/>
                <w:color w:val="000000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CA95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1827C" w14:textId="3D8C8C80" w:rsidR="00D969E4" w:rsidRPr="00960892" w:rsidRDefault="00275ECF" w:rsidP="00FB377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4.6</w:t>
            </w:r>
          </w:p>
        </w:tc>
      </w:tr>
      <w:tr w:rsidR="00D969E4" w:rsidRPr="00960892" w14:paraId="4C015270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E3A46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 xml:space="preserve">Zhvlerësimi - </w:t>
            </w:r>
            <w:proofErr w:type="spellStart"/>
            <w:r w:rsidRPr="00960892">
              <w:rPr>
                <w:rFonts w:cstheme="minorHAnsi"/>
              </w:rPr>
              <w:t>DEPCt</w:t>
            </w:r>
            <w:proofErr w:type="spellEnd"/>
            <w:r w:rsidRPr="00960892">
              <w:rPr>
                <w:rFonts w:cstheme="minorHAnsi"/>
              </w:rPr>
              <w:t xml:space="preserve"> = DEPCt-1 * (1 + CPIt-1) * (1 – </w:t>
            </w:r>
            <w:proofErr w:type="spellStart"/>
            <w:r w:rsidRPr="00960892">
              <w:rPr>
                <w:rFonts w:cstheme="minorHAnsi"/>
              </w:rPr>
              <w:t>Pt</w:t>
            </w:r>
            <w:proofErr w:type="spellEnd"/>
            <w:r w:rsidRPr="00960892">
              <w:rPr>
                <w:rFonts w:cstheme="minorHAnsi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E66F3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031C0" w14:textId="77777777" w:rsidR="00D969E4" w:rsidRPr="00960892" w:rsidRDefault="00724223" w:rsidP="00FB0610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0.1</w:t>
            </w:r>
          </w:p>
        </w:tc>
      </w:tr>
      <w:tr w:rsidR="00D969E4" w:rsidRPr="00960892" w14:paraId="3D491B32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7BA9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Kostot e bartshme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8EE98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FBCA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41692FF2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52A73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Kostot e OST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A5D16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1F0A2" w14:textId="196DA4E3" w:rsidR="00D969E4" w:rsidRPr="00FB3777" w:rsidRDefault="0096508C" w:rsidP="00842F53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  <w:r w:rsidR="00842F53">
              <w:rPr>
                <w:rFonts w:cstheme="minorHAnsi"/>
              </w:rPr>
              <w:t>3</w:t>
            </w:r>
          </w:p>
        </w:tc>
      </w:tr>
      <w:tr w:rsidR="00D969E4" w:rsidRPr="00960892" w14:paraId="1CD6C1F4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1407C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 xml:space="preserve">Kostot e </w:t>
            </w:r>
            <w:proofErr w:type="spellStart"/>
            <w:r w:rsidRPr="00960892">
              <w:rPr>
                <w:rFonts w:cstheme="minorHAnsi"/>
              </w:rPr>
              <w:t>OSSh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3D2A0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42E74" w14:textId="5AE361CF" w:rsidR="00D969E4" w:rsidRPr="00FB3777" w:rsidRDefault="00082D42" w:rsidP="00082D4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  <w:r w:rsidR="00275ECF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</w:p>
        </w:tc>
      </w:tr>
      <w:tr w:rsidR="00D969E4" w:rsidRPr="00960892" w14:paraId="5350962A" w14:textId="77777777" w:rsidTr="00D969E4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B6EC0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Kostot për fondin e BRE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4B608" w14:textId="77777777" w:rsidR="00D969E4" w:rsidRPr="00960892" w:rsidRDefault="00D969E4" w:rsidP="00D969E4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83B87" w14:textId="6718B223" w:rsidR="00D969E4" w:rsidRPr="00FB3777" w:rsidRDefault="00724223" w:rsidP="008F61BC">
            <w:pPr>
              <w:spacing w:after="0"/>
              <w:jc w:val="right"/>
              <w:rPr>
                <w:rFonts w:cstheme="minorHAnsi"/>
                <w:bCs/>
              </w:rPr>
            </w:pPr>
            <w:r w:rsidRPr="00FB3777">
              <w:rPr>
                <w:rFonts w:cstheme="minorHAnsi"/>
                <w:bCs/>
              </w:rPr>
              <w:t>1</w:t>
            </w:r>
            <w:r w:rsidR="00275ECF">
              <w:rPr>
                <w:rFonts w:cstheme="minorHAnsi"/>
                <w:bCs/>
              </w:rPr>
              <w:t>4</w:t>
            </w:r>
            <w:r w:rsidR="008F61BC">
              <w:rPr>
                <w:rFonts w:cstheme="minorHAnsi"/>
                <w:bCs/>
              </w:rPr>
              <w:t>.8</w:t>
            </w:r>
          </w:p>
        </w:tc>
      </w:tr>
      <w:tr w:rsidR="00D969E4" w:rsidRPr="00960892" w14:paraId="78AD2E3D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DA738" w14:textId="77777777" w:rsidR="00D969E4" w:rsidRPr="00960892" w:rsidRDefault="00D969E4" w:rsidP="00A46185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Kapitali punues (</w:t>
            </w:r>
            <w:proofErr w:type="spellStart"/>
            <w:r w:rsidR="00A46185">
              <w:rPr>
                <w:rFonts w:cstheme="minorHAnsi"/>
                <w:bCs/>
              </w:rPr>
              <w:t>W</w:t>
            </w:r>
            <w:r w:rsidRPr="00960892">
              <w:rPr>
                <w:rFonts w:cstheme="minorHAnsi"/>
                <w:bCs/>
              </w:rPr>
              <w:t>CLCt</w:t>
            </w:r>
            <w:proofErr w:type="spellEnd"/>
            <w:r w:rsidRPr="00960892">
              <w:rPr>
                <w:rFonts w:cstheme="minorHAnsi"/>
                <w:bCs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4E0A5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AD07D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0F9E4003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3CA68" w14:textId="0E2B4FAC" w:rsidR="00D969E4" w:rsidRPr="00960892" w:rsidRDefault="00E4293C" w:rsidP="00AD66A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</w:t>
            </w:r>
            <w:r w:rsidR="00D969E4" w:rsidRPr="00960892">
              <w:rPr>
                <w:rFonts w:cstheme="minorHAnsi"/>
                <w:color w:val="000000"/>
              </w:rPr>
              <w:t>CLC</w:t>
            </w:r>
            <w:r w:rsidR="00DE404D">
              <w:rPr>
                <w:rFonts w:cstheme="minorHAnsi"/>
                <w:color w:val="000000"/>
              </w:rPr>
              <w:t xml:space="preserve"> </w:t>
            </w:r>
            <w:r w:rsidR="00D969E4" w:rsidRPr="00960892">
              <w:rPr>
                <w:rFonts w:cstheme="minorHAnsi"/>
                <w:color w:val="000000"/>
              </w:rPr>
              <w:t>= (1 / 12) * It * (</w:t>
            </w:r>
            <w:proofErr w:type="spellStart"/>
            <w:r w:rsidR="00D969E4" w:rsidRPr="00960892">
              <w:rPr>
                <w:rFonts w:cstheme="minorHAnsi"/>
                <w:color w:val="000000"/>
              </w:rPr>
              <w:t>RETRt</w:t>
            </w:r>
            <w:proofErr w:type="spellEnd"/>
            <w:r w:rsidR="00D969E4" w:rsidRPr="00960892">
              <w:rPr>
                <w:rFonts w:cstheme="minorHAnsi"/>
                <w:color w:val="000000"/>
              </w:rPr>
              <w:t xml:space="preserve"> + </w:t>
            </w:r>
            <w:proofErr w:type="spellStart"/>
            <w:r w:rsidR="00AD66A7">
              <w:rPr>
                <w:rFonts w:cstheme="minorHAnsi"/>
                <w:color w:val="000000"/>
              </w:rPr>
              <w:t>W</w:t>
            </w:r>
            <w:r w:rsidR="00D969E4" w:rsidRPr="00960892">
              <w:rPr>
                <w:rFonts w:cstheme="minorHAnsi"/>
                <w:color w:val="000000"/>
              </w:rPr>
              <w:t>HPCt</w:t>
            </w:r>
            <w:proofErr w:type="spellEnd"/>
            <w:r w:rsidR="00D969E4" w:rsidRPr="00960892">
              <w:rPr>
                <w:rFonts w:cstheme="minorHAnsi"/>
                <w:color w:val="000000"/>
              </w:rPr>
              <w:t xml:space="preserve"> + </w:t>
            </w:r>
            <w:proofErr w:type="spellStart"/>
            <w:r w:rsidR="00D969E4" w:rsidRPr="00960892">
              <w:rPr>
                <w:rFonts w:cstheme="minorHAnsi"/>
                <w:color w:val="000000"/>
              </w:rPr>
              <w:t>PSTCt</w:t>
            </w:r>
            <w:proofErr w:type="spellEnd"/>
            <w:r w:rsidR="00D969E4" w:rsidRPr="00960892">
              <w:rPr>
                <w:rFonts w:cstheme="minorHAnsi"/>
                <w:color w:val="000000"/>
              </w:rPr>
              <w:t xml:space="preserve"> - </w:t>
            </w:r>
            <w:proofErr w:type="spellStart"/>
            <w:r w:rsidR="00D969E4" w:rsidRPr="00960892">
              <w:rPr>
                <w:rFonts w:cstheme="minorHAnsi"/>
                <w:color w:val="000000"/>
              </w:rPr>
              <w:t>NTFRt</w:t>
            </w:r>
            <w:proofErr w:type="spellEnd"/>
            <w:r w:rsidR="00D969E4" w:rsidRPr="00960892">
              <w:rPr>
                <w:rFonts w:cstheme="minorHAnsi"/>
                <w:color w:val="000000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8AF28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44DED" w14:textId="1A24DEFB" w:rsidR="00D969E4" w:rsidRPr="00960892" w:rsidRDefault="00724223" w:rsidP="00E4293C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2A3F11">
              <w:rPr>
                <w:rFonts w:cstheme="minorHAnsi"/>
              </w:rPr>
              <w:t>4</w:t>
            </w:r>
          </w:p>
        </w:tc>
      </w:tr>
      <w:tr w:rsidR="00D969E4" w:rsidRPr="00960892" w14:paraId="7F5269B8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6E6F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Kostot për blerjen e energjisë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B6CC5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8903E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045F433B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EB7D3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Kostot e blerjes së energjisë me shumicë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ED66C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4ACA0" w14:textId="00776C6D" w:rsidR="00D969E4" w:rsidRPr="00960892" w:rsidRDefault="00724223" w:rsidP="00FB377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4293C">
              <w:rPr>
                <w:rFonts w:cstheme="minorHAnsi"/>
              </w:rPr>
              <w:t>3</w:t>
            </w:r>
            <w:r w:rsidR="002A3F11">
              <w:rPr>
                <w:rFonts w:cstheme="minorHAnsi"/>
              </w:rPr>
              <w:t>7</w:t>
            </w:r>
            <w:r w:rsidR="00FB3777">
              <w:rPr>
                <w:rFonts w:cstheme="minorHAnsi"/>
              </w:rPr>
              <w:t>.</w:t>
            </w:r>
            <w:r w:rsidR="002A3F11">
              <w:rPr>
                <w:rFonts w:cstheme="minorHAnsi"/>
              </w:rPr>
              <w:t>1</w:t>
            </w:r>
          </w:p>
        </w:tc>
      </w:tr>
      <w:tr w:rsidR="00D969E4" w:rsidRPr="00960892" w14:paraId="46E1F39F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2DE63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Taksa për licencë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A5F65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A80F5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21A2DD23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BF293" w14:textId="77777777" w:rsidR="00D969E4" w:rsidRPr="00960892" w:rsidRDefault="00D969E4" w:rsidP="00FB0610">
            <w:pPr>
              <w:spacing w:after="0"/>
              <w:rPr>
                <w:rFonts w:cstheme="minorHAnsi"/>
                <w:color w:val="000000"/>
              </w:rPr>
            </w:pPr>
            <w:r w:rsidRPr="00960892">
              <w:rPr>
                <w:rFonts w:cstheme="minorHAnsi"/>
                <w:color w:val="000000"/>
              </w:rPr>
              <w:t>Taksa për licencë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5ED1C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620BD" w14:textId="605ABC9C" w:rsidR="00D969E4" w:rsidRPr="00960892" w:rsidRDefault="00D969E4" w:rsidP="00E4293C">
            <w:pPr>
              <w:spacing w:after="0"/>
              <w:jc w:val="right"/>
              <w:rPr>
                <w:rFonts w:cstheme="minorHAnsi"/>
              </w:rPr>
            </w:pPr>
            <w:r w:rsidRPr="00960892">
              <w:rPr>
                <w:rFonts w:cstheme="minorHAnsi"/>
              </w:rPr>
              <w:t>0.</w:t>
            </w:r>
            <w:r w:rsidR="002F329B">
              <w:rPr>
                <w:rFonts w:cstheme="minorHAnsi"/>
              </w:rPr>
              <w:t>0</w:t>
            </w:r>
            <w:r w:rsidR="002A3F11">
              <w:rPr>
                <w:rFonts w:cstheme="minorHAnsi"/>
              </w:rPr>
              <w:t>2</w:t>
            </w:r>
          </w:p>
        </w:tc>
      </w:tr>
      <w:tr w:rsidR="00D969E4" w:rsidRPr="00960892" w14:paraId="25FF94C1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A3F77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Borxhi i keq (BDTA)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1711A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CC71E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6161C533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A7532" w14:textId="77777777" w:rsidR="00D969E4" w:rsidRPr="00960892" w:rsidRDefault="00D969E4" w:rsidP="00FB0610">
            <w:pPr>
              <w:spacing w:after="0"/>
              <w:rPr>
                <w:rFonts w:cstheme="minorHAnsi"/>
                <w:color w:val="000000"/>
              </w:rPr>
            </w:pPr>
            <w:r w:rsidRPr="00960892">
              <w:rPr>
                <w:rFonts w:cstheme="minorHAnsi"/>
                <w:color w:val="000000"/>
              </w:rPr>
              <w:t>BDTA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EEB23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F6DBE" w14:textId="77777777" w:rsidR="00D969E4" w:rsidRPr="00960892" w:rsidRDefault="00D969E4" w:rsidP="00FB0610">
            <w:pPr>
              <w:spacing w:after="0"/>
              <w:jc w:val="right"/>
              <w:rPr>
                <w:rFonts w:cstheme="minorHAnsi"/>
              </w:rPr>
            </w:pPr>
            <w:r w:rsidRPr="00960892">
              <w:rPr>
                <w:rFonts w:cstheme="minorHAnsi"/>
              </w:rPr>
              <w:t>4%</w:t>
            </w:r>
          </w:p>
        </w:tc>
      </w:tr>
      <w:tr w:rsidR="00D969E4" w:rsidRPr="00960892" w14:paraId="4D1C8E98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11B0" w14:textId="77777777" w:rsidR="00D969E4" w:rsidRPr="00960892" w:rsidRDefault="00D969E4" w:rsidP="00FB0610">
            <w:pPr>
              <w:spacing w:after="0"/>
              <w:rPr>
                <w:rFonts w:cstheme="minorHAnsi"/>
                <w:color w:val="000000"/>
              </w:rPr>
            </w:pPr>
            <w:r w:rsidRPr="00960892">
              <w:rPr>
                <w:rFonts w:cstheme="minorHAnsi"/>
                <w:color w:val="000000"/>
              </w:rPr>
              <w:t>BDTA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E76D0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0D65D" w14:textId="1E812398" w:rsidR="00D969E4" w:rsidRPr="00960892" w:rsidRDefault="00FB2401" w:rsidP="00FB377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6508C">
              <w:rPr>
                <w:rFonts w:cstheme="minorHAnsi"/>
              </w:rPr>
              <w:t>0.8</w:t>
            </w:r>
          </w:p>
        </w:tc>
      </w:tr>
      <w:tr w:rsidR="00D969E4" w:rsidRPr="00960892" w14:paraId="3B9EA5A4" w14:textId="77777777" w:rsidTr="00FB0610">
        <w:trPr>
          <w:trHeight w:val="25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72AC5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Përshtatjet e  të hyrave për FSHU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0A154" w14:textId="77777777" w:rsidR="00D969E4" w:rsidRPr="00960892" w:rsidRDefault="00D969E4" w:rsidP="00FB0610">
            <w:pPr>
              <w:spacing w:after="0"/>
              <w:rPr>
                <w:rFonts w:cstheme="minorHAnsi"/>
              </w:rPr>
            </w:pPr>
            <w:r w:rsidRPr="00960892">
              <w:rPr>
                <w:rFonts w:cstheme="minorHAnsi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A0496" w14:textId="77777777" w:rsidR="00D969E4" w:rsidRPr="00960892" w:rsidRDefault="00D969E4" w:rsidP="00FB0610">
            <w:pPr>
              <w:spacing w:after="0"/>
              <w:rPr>
                <w:rFonts w:cstheme="minorHAnsi"/>
                <w:bCs/>
              </w:rPr>
            </w:pPr>
            <w:r w:rsidRPr="00960892">
              <w:rPr>
                <w:rFonts w:cstheme="minorHAnsi"/>
                <w:bCs/>
              </w:rPr>
              <w:t> </w:t>
            </w:r>
          </w:p>
        </w:tc>
      </w:tr>
      <w:tr w:rsidR="00D969E4" w:rsidRPr="00960892" w14:paraId="5FCA8B3F" w14:textId="77777777" w:rsidTr="00FB0610">
        <w:trPr>
          <w:trHeight w:val="300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5526E" w14:textId="431FAA08" w:rsidR="00D969E4" w:rsidRPr="00960892" w:rsidRDefault="00D969E4" w:rsidP="00FB0610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Përshtatjet e vitit 20</w:t>
            </w:r>
            <w:r w:rsidR="002A3F11">
              <w:rPr>
                <w:rFonts w:cstheme="minorHAnsi"/>
                <w:color w:val="000000"/>
              </w:rPr>
              <w:t>20</w:t>
            </w:r>
            <w:r w:rsidRPr="00960892">
              <w:rPr>
                <w:rFonts w:cstheme="minorHAnsi"/>
                <w:color w:val="000000"/>
                <w:vertAlign w:val="subscript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8153D" w14:textId="77777777" w:rsidR="00D969E4" w:rsidRPr="00960892" w:rsidRDefault="00D969E4" w:rsidP="00FB0610">
            <w:pPr>
              <w:spacing w:after="0"/>
              <w:jc w:val="center"/>
              <w:rPr>
                <w:rFonts w:cstheme="minorHAnsi"/>
              </w:rPr>
            </w:pPr>
            <w:r w:rsidRPr="00960892">
              <w:rPr>
                <w:rFonts w:cstheme="minorHAnsi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37F61" w14:textId="40A349E0" w:rsidR="00D969E4" w:rsidRPr="00960892" w:rsidRDefault="002A3F11" w:rsidP="00082D42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082D42">
              <w:rPr>
                <w:rFonts w:cstheme="minorHAnsi"/>
              </w:rPr>
              <w:t>5</w:t>
            </w:r>
          </w:p>
        </w:tc>
      </w:tr>
      <w:tr w:rsidR="00D969E4" w:rsidRPr="00960892" w14:paraId="467D9D3A" w14:textId="77777777" w:rsidTr="00FB0610">
        <w:trPr>
          <w:trHeight w:val="285"/>
        </w:trPr>
        <w:tc>
          <w:tcPr>
            <w:tcW w:w="4062" w:type="pct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CD603" w14:textId="77777777" w:rsidR="00D969E4" w:rsidRPr="0001374E" w:rsidRDefault="00D969E4" w:rsidP="00FB0610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Të hyrat e lejuara maksimale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B2109" w14:textId="77777777" w:rsidR="00D969E4" w:rsidRPr="0001374E" w:rsidRDefault="00D969E4" w:rsidP="00FB0610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1374E">
              <w:rPr>
                <w:rFonts w:cstheme="minorHAnsi"/>
                <w:b/>
                <w:color w:val="FFFFFF" w:themeColor="background1"/>
              </w:rPr>
              <w:t>€m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1822" w14:textId="1951B35A" w:rsidR="00D969E4" w:rsidRPr="0001374E" w:rsidRDefault="00E4293C" w:rsidP="00082D42">
            <w:pPr>
              <w:spacing w:after="0"/>
              <w:jc w:val="righ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27</w:t>
            </w:r>
            <w:r w:rsidR="00082D42">
              <w:rPr>
                <w:rFonts w:cstheme="minorHAnsi"/>
                <w:b/>
                <w:color w:val="FFFFFF" w:themeColor="background1"/>
              </w:rPr>
              <w:t>1</w:t>
            </w:r>
            <w:r w:rsidR="002A3F11">
              <w:rPr>
                <w:rFonts w:cstheme="minorHAnsi"/>
                <w:b/>
                <w:color w:val="FFFFFF" w:themeColor="background1"/>
              </w:rPr>
              <w:t>.</w:t>
            </w:r>
            <w:r w:rsidR="00082D42">
              <w:rPr>
                <w:rFonts w:cstheme="minorHAnsi"/>
                <w:b/>
                <w:color w:val="FFFFFF" w:themeColor="background1"/>
              </w:rPr>
              <w:t>2</w:t>
            </w:r>
          </w:p>
        </w:tc>
      </w:tr>
    </w:tbl>
    <w:p w14:paraId="5C05A1D8" w14:textId="77777777" w:rsidR="008773FD" w:rsidRDefault="008773FD" w:rsidP="002F329B">
      <w:pPr>
        <w:spacing w:after="0"/>
        <w:jc w:val="both"/>
      </w:pPr>
    </w:p>
    <w:p w14:paraId="5F1ECB43" w14:textId="77777777" w:rsidR="002F329B" w:rsidRDefault="002F329B" w:rsidP="002F329B">
      <w:pPr>
        <w:spacing w:after="0"/>
        <w:jc w:val="both"/>
      </w:pPr>
    </w:p>
    <w:p w14:paraId="3B68A37B" w14:textId="224E026F" w:rsidR="00A66D32" w:rsidRPr="003A4BA9" w:rsidRDefault="00A66D32" w:rsidP="002F329B">
      <w:pPr>
        <w:spacing w:after="0"/>
        <w:jc w:val="both"/>
      </w:pPr>
    </w:p>
    <w:sectPr w:rsidR="00A66D32" w:rsidRPr="003A4BA9" w:rsidSect="00343289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322CD" w14:textId="77777777" w:rsidR="009930EB" w:rsidRDefault="009930EB" w:rsidP="008773FD">
      <w:pPr>
        <w:spacing w:after="0" w:line="240" w:lineRule="auto"/>
      </w:pPr>
      <w:r>
        <w:separator/>
      </w:r>
    </w:p>
  </w:endnote>
  <w:endnote w:type="continuationSeparator" w:id="0">
    <w:p w14:paraId="22C589E9" w14:textId="77777777" w:rsidR="009930EB" w:rsidRDefault="009930EB" w:rsidP="0087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2006797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54CA72A" w14:textId="23395FAA" w:rsidR="00A67D35" w:rsidRPr="00DA0941" w:rsidRDefault="00A67D35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329B">
              <w:rPr>
                <w:rFonts w:asciiTheme="minorHAnsi" w:hAnsiTheme="minorHAnsi"/>
                <w:sz w:val="20"/>
                <w:szCs w:val="20"/>
              </w:rPr>
              <w:t xml:space="preserve">Faqe </w:t>
            </w:r>
            <w:r w:rsidRPr="002F329B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F329B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2F32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2211D">
              <w:rPr>
                <w:rFonts w:asciiTheme="minorHAnsi" w:hAnsiTheme="minorHAnsi"/>
                <w:noProof/>
                <w:sz w:val="20"/>
                <w:szCs w:val="20"/>
              </w:rPr>
              <w:t>9</w:t>
            </w:r>
            <w:r w:rsidRPr="002F329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F329B">
              <w:rPr>
                <w:rFonts w:asciiTheme="minorHAnsi" w:hAnsiTheme="minorHAnsi"/>
                <w:sz w:val="20"/>
                <w:szCs w:val="20"/>
              </w:rPr>
              <w:t xml:space="preserve"> prej </w:t>
            </w:r>
            <w:r w:rsidRPr="002F329B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F329B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2F32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2211D">
              <w:rPr>
                <w:rFonts w:asciiTheme="minorHAnsi" w:hAnsiTheme="minorHAnsi"/>
                <w:noProof/>
                <w:sz w:val="20"/>
                <w:szCs w:val="20"/>
              </w:rPr>
              <w:t>9</w:t>
            </w:r>
            <w:r w:rsidRPr="002F329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38B5AE74" w14:textId="77777777" w:rsidR="00A67D35" w:rsidRPr="00E075FD" w:rsidRDefault="00A67D35" w:rsidP="00343289">
    <w:pPr>
      <w:pStyle w:val="Footer"/>
      <w:spacing w:after="0" w:line="240" w:lineRule="auto"/>
      <w:jc w:val="right"/>
      <w:rPr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38581" w14:textId="77777777" w:rsidR="00A67D35" w:rsidRDefault="00A67D35" w:rsidP="00343289">
    <w:pPr>
      <w:pStyle w:val="Footer"/>
      <w:spacing w:after="0" w:line="240" w:lineRule="auto"/>
      <w:ind w:left="-57"/>
      <w:rPr>
        <w:color w:val="005D97"/>
        <w:sz w:val="18"/>
      </w:rPr>
    </w:pPr>
  </w:p>
  <w:p w14:paraId="31257F07" w14:textId="77777777" w:rsidR="00A67D35" w:rsidRDefault="00A67D35" w:rsidP="00343289">
    <w:pPr>
      <w:pStyle w:val="Footer"/>
      <w:spacing w:after="0" w:line="240" w:lineRule="auto"/>
      <w:ind w:left="-57"/>
      <w:rPr>
        <w:color w:val="005D97"/>
        <w:sz w:val="18"/>
      </w:rPr>
    </w:pPr>
  </w:p>
  <w:p w14:paraId="06870F3B" w14:textId="183FF667" w:rsidR="00A67D35" w:rsidRPr="00DA0B5E" w:rsidRDefault="00A67D35" w:rsidP="00343289">
    <w:pPr>
      <w:pStyle w:val="Footer"/>
      <w:spacing w:after="0" w:line="240" w:lineRule="auto"/>
      <w:ind w:left="-57"/>
      <w:rPr>
        <w:color w:val="005D97"/>
        <w:sz w:val="18"/>
      </w:rPr>
    </w:pPr>
    <w:r>
      <w:rPr>
        <w:noProof/>
        <w:color w:val="005D97"/>
        <w:sz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425F71" wp14:editId="7062C582">
              <wp:simplePos x="0" y="0"/>
              <wp:positionH relativeFrom="column">
                <wp:posOffset>-24765</wp:posOffset>
              </wp:positionH>
              <wp:positionV relativeFrom="paragraph">
                <wp:posOffset>-186690</wp:posOffset>
              </wp:positionV>
              <wp:extent cx="5822315" cy="635"/>
              <wp:effectExtent l="0" t="0" r="6985" b="18415"/>
              <wp:wrapNone/>
              <wp:docPr id="21" name="Straight Arrow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23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D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4D2C0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1026" type="#_x0000_t32" style="position:absolute;margin-left:-1.95pt;margin-top:-14.7pt;width:458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hn1wEAAI8DAAAOAAAAZHJzL2Uyb0RvYy54bWysU01vGyEQvVfqf0Dc67U32jRZeR1VdtNL&#10;2lpy8gMwsLuoLIMG7LX/fQf8kaa5Vb0gYGbevPcG5g+HwbK9xmDANXw2mXKmnQRlXNfwl+fHT3ec&#10;hSicEhacbvhRB/6w+PhhPvpal9CDVRoZgbhQj77hfYy+Loogez2IMAGvHQVbwEFEOmJXKBQjoQ+2&#10;KKfT22IEVB5B6hDodnUK8kXGb1st48+2DToy23DiFvOKed2mtVjMRd2h8L2RZxriH1gMwjhqeoVa&#10;iSjYDs07qMFIhABtnEgYCmhbI3XWQGpm07/UbHrhddZC5gR/tSn8P1j5Y79GZlTDyxlnTgw0o01E&#10;Ybo+si+IMLIlOEc+AjJKIb9GH2oqW7o1JsXy4Db+CeSvwBwse+E6nXk/Hz1h5YriTUk6BE9dt+N3&#10;UJQjdhGyeYcWhwRJtrBDntHxOiN9iEzSZXVXljezijNJsdubKjEqRH0p9RjiNw0DS5uGh7OUq4ZZ&#10;biT2TyGeCi8Fqa+DR2NtfhLWsbHh91VZ5YIA1qgUTGkBu+3SItuL9Kim1er+85nFmzSEnVMZrNdC&#10;fT3vozD2tCfW1hH5ix8nZ7egjmtM3NI9TT3LO7/Q9Kz+POes13+0+A0AAP//AwBQSwMEFAAGAAgA&#10;AAAhAHbjFvnjAAAACgEAAA8AAABkcnMvZG93bnJldi54bWxMj81Lw0AQxe+C/8MyghdpN22kNDGb&#10;UgUFPVT6gR+3TXZMgtnZkN220b/e0Ys9DTPzeO/3ssVgW3HA3jeOFEzGEQik0pmGKgW77f1oDsIH&#10;TUa3jlDBF3pY5OdnmU6NO9IaD5tQCTYhn2oFdQhdKqUva7Taj12HxL8P11sdeO0raXp9ZHPbymkU&#10;zaTVDXFCrTu8q7H83Owthzy/315tv2fLx/XL8NQWKzd/eH1T6vJiWN6ACDiEfzH84jM65MxUuD0Z&#10;L1oFozhhJc9pcg2CBckk5nLF3yUGmWfytEL+AwAA//8DAFBLAQItABQABgAIAAAAIQC2gziS/gAA&#10;AOEBAAATAAAAAAAAAAAAAAAAAAAAAABbQ29udGVudF9UeXBlc10ueG1sUEsBAi0AFAAGAAgAAAAh&#10;ADj9If/WAAAAlAEAAAsAAAAAAAAAAAAAAAAALwEAAF9yZWxzLy5yZWxzUEsBAi0AFAAGAAgAAAAh&#10;AGYtKGfXAQAAjwMAAA4AAAAAAAAAAAAAAAAALgIAAGRycy9lMm9Eb2MueG1sUEsBAi0AFAAGAAgA&#10;AAAhAHbjFvnjAAAACgEAAA8AAAAAAAAAAAAAAAAAMQQAAGRycy9kb3ducmV2LnhtbFBLBQYAAAAA&#10;BAAEAPMAAABBBQAAAAA=&#10;" strokecolor="#005d97"/>
          </w:pict>
        </mc:Fallback>
      </mc:AlternateContent>
    </w:r>
    <w:r>
      <w:rPr>
        <w:color w:val="005D97"/>
        <w:sz w:val="18"/>
      </w:rPr>
      <w:t xml:space="preserve">Adresa: Dervish </w:t>
    </w:r>
    <w:proofErr w:type="spellStart"/>
    <w:r>
      <w:rPr>
        <w:color w:val="005D97"/>
        <w:sz w:val="18"/>
      </w:rPr>
      <w:t>Rozhaja</w:t>
    </w:r>
    <w:proofErr w:type="spellEnd"/>
    <w:r>
      <w:rPr>
        <w:color w:val="005D97"/>
        <w:sz w:val="18"/>
      </w:rPr>
      <w:t xml:space="preserve"> nr. 12, 10000 Prishtinë, Kosovë</w:t>
    </w:r>
  </w:p>
  <w:p w14:paraId="065FFC31" w14:textId="77777777" w:rsidR="00A67D35" w:rsidRDefault="00A67D35" w:rsidP="00343289">
    <w:pPr>
      <w:pStyle w:val="Footer"/>
      <w:spacing w:after="0" w:line="240" w:lineRule="auto"/>
      <w:ind w:left="-57"/>
    </w:pPr>
    <w:r>
      <w:rPr>
        <w:color w:val="005D97"/>
        <w:sz w:val="18"/>
      </w:rPr>
      <w:t xml:space="preserve">Tel: 038 247 615 </w:t>
    </w:r>
    <w:proofErr w:type="spellStart"/>
    <w:r>
      <w:rPr>
        <w:color w:val="005D97"/>
        <w:sz w:val="18"/>
      </w:rPr>
      <w:t>lok</w:t>
    </w:r>
    <w:proofErr w:type="spellEnd"/>
    <w:r>
      <w:rPr>
        <w:color w:val="005D97"/>
        <w:sz w:val="18"/>
      </w:rPr>
      <w:t xml:space="preserve">. 101, </w:t>
    </w:r>
    <w:proofErr w:type="spellStart"/>
    <w:r>
      <w:rPr>
        <w:color w:val="005D97"/>
        <w:sz w:val="18"/>
      </w:rPr>
      <w:t>Fax</w:t>
    </w:r>
    <w:proofErr w:type="spellEnd"/>
    <w:r>
      <w:rPr>
        <w:color w:val="005D97"/>
        <w:sz w:val="18"/>
      </w:rPr>
      <w:t>: 038 247 620, E-</w:t>
    </w:r>
    <w:proofErr w:type="spellStart"/>
    <w:r>
      <w:rPr>
        <w:color w:val="005D97"/>
        <w:sz w:val="18"/>
      </w:rPr>
      <w:t>mail</w:t>
    </w:r>
    <w:proofErr w:type="spellEnd"/>
    <w:r>
      <w:rPr>
        <w:color w:val="005D97"/>
        <w:sz w:val="18"/>
      </w:rPr>
      <w:t xml:space="preserve">: info@ero-ks.org, </w:t>
    </w:r>
    <w:proofErr w:type="spellStart"/>
    <w:r>
      <w:rPr>
        <w:color w:val="005D97"/>
        <w:sz w:val="18"/>
      </w:rPr>
      <w:t>web</w:t>
    </w:r>
    <w:proofErr w:type="spellEnd"/>
    <w:r>
      <w:rPr>
        <w:color w:val="005D97"/>
        <w:sz w:val="18"/>
      </w:rPr>
      <w:t>: www.ero-ks.org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36AFB" w14:textId="77777777" w:rsidR="009930EB" w:rsidRDefault="009930EB" w:rsidP="008773FD">
      <w:pPr>
        <w:spacing w:after="0" w:line="240" w:lineRule="auto"/>
      </w:pPr>
      <w:r>
        <w:separator/>
      </w:r>
    </w:p>
  </w:footnote>
  <w:footnote w:type="continuationSeparator" w:id="0">
    <w:p w14:paraId="722A0683" w14:textId="77777777" w:rsidR="009930EB" w:rsidRDefault="009930EB" w:rsidP="008773FD">
      <w:pPr>
        <w:spacing w:after="0" w:line="240" w:lineRule="auto"/>
      </w:pPr>
      <w:r>
        <w:continuationSeparator/>
      </w:r>
    </w:p>
  </w:footnote>
  <w:footnote w:id="1">
    <w:p w14:paraId="3B54265A" w14:textId="77777777" w:rsidR="00A67D35" w:rsidRPr="00D42917" w:rsidRDefault="00A67D35">
      <w:pPr>
        <w:pStyle w:val="FootnoteText"/>
      </w:pPr>
      <w:r>
        <w:rPr>
          <w:rStyle w:val="FootnoteReference"/>
        </w:rPr>
        <w:footnoteRef/>
      </w:r>
      <w:r>
        <w:t xml:space="preserve"> Burimi: </w:t>
      </w:r>
      <w:proofErr w:type="spellStart"/>
      <w:r>
        <w:t>Eurostat</w:t>
      </w:r>
      <w:proofErr w:type="spellEnd"/>
      <w:r>
        <w:t xml:space="preserve">, </w:t>
      </w:r>
      <w:hyperlink r:id="rId1" w:history="1">
        <w:r w:rsidRPr="009562B2">
          <w:t>https://appsso.eurostat.ec.europa.eu/nui/submitViewTableAction.do</w:t>
        </w:r>
      </w:hyperlink>
      <w:r>
        <w:t xml:space="preserve"> (vizituar më 27.01.2020)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02F30" w14:textId="77777777" w:rsidR="00A67D35" w:rsidRPr="000F4DB3" w:rsidRDefault="00A67D35">
    <w:pPr>
      <w:pStyle w:val="Header"/>
      <w:rPr>
        <w:rFonts w:ascii="Arial" w:hAnsi="Arial"/>
        <w:b w:val="0"/>
        <w:bCs/>
        <w:color w:val="auto"/>
        <w:sz w:val="18"/>
      </w:rPr>
    </w:pPr>
    <w:r w:rsidRPr="00F816B8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B9B047C" wp14:editId="6507FF6E">
          <wp:simplePos x="0" y="0"/>
          <wp:positionH relativeFrom="column">
            <wp:posOffset>-273685</wp:posOffset>
          </wp:positionH>
          <wp:positionV relativeFrom="topMargin">
            <wp:posOffset>153035</wp:posOffset>
          </wp:positionV>
          <wp:extent cx="573405" cy="687070"/>
          <wp:effectExtent l="19050" t="0" r="0" b="0"/>
          <wp:wrapSquare wrapText="bothSides"/>
          <wp:docPr id="3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66"/>
                  <a:stretch/>
                </pic:blipFill>
                <pic:spPr bwMode="auto">
                  <a:xfrm>
                    <a:off x="0" y="0"/>
                    <a:ext cx="5734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AC98" w14:textId="77777777" w:rsidR="00A67D35" w:rsidRDefault="00A67D35" w:rsidP="00343289">
    <w:pPr>
      <w:pStyle w:val="Header"/>
      <w:jc w:val="center"/>
    </w:pPr>
    <w:r w:rsidRPr="00DA0941">
      <w:rPr>
        <w:noProof/>
        <w:lang w:val="en-US"/>
      </w:rPr>
      <w:drawing>
        <wp:inline distT="0" distB="0" distL="0" distR="0" wp14:anchorId="7EDF1EDC" wp14:editId="50AFE072">
          <wp:extent cx="5109182" cy="1047664"/>
          <wp:effectExtent l="1905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0811" cy="104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14D3"/>
      </v:shape>
    </w:pict>
  </w:numPicBullet>
  <w:abstractNum w:abstractNumId="0" w15:restartNumberingAfterBreak="0">
    <w:nsid w:val="0BEE6973"/>
    <w:multiLevelType w:val="hybridMultilevel"/>
    <w:tmpl w:val="6E949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8D8"/>
    <w:multiLevelType w:val="hybridMultilevel"/>
    <w:tmpl w:val="1E96A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505D"/>
    <w:multiLevelType w:val="hybridMultilevel"/>
    <w:tmpl w:val="9402ACA6"/>
    <w:lvl w:ilvl="0" w:tplc="29B801B0">
      <w:start w:val="1"/>
      <w:numFmt w:val="decimal"/>
      <w:lvlText w:val="%1  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825"/>
    <w:multiLevelType w:val="multilevel"/>
    <w:tmpl w:val="83F862F2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9D57E23"/>
    <w:multiLevelType w:val="hybridMultilevel"/>
    <w:tmpl w:val="B0622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012E4"/>
    <w:multiLevelType w:val="hybridMultilevel"/>
    <w:tmpl w:val="AC221C9C"/>
    <w:lvl w:ilvl="0" w:tplc="29B801B0">
      <w:start w:val="1"/>
      <w:numFmt w:val="decimal"/>
      <w:lvlText w:val="%1     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9D6BD3"/>
    <w:multiLevelType w:val="hybridMultilevel"/>
    <w:tmpl w:val="BA6A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D074F"/>
    <w:multiLevelType w:val="multilevel"/>
    <w:tmpl w:val="324CE23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10"/>
        </w:tabs>
        <w:ind w:left="81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77213B4"/>
    <w:multiLevelType w:val="hybridMultilevel"/>
    <w:tmpl w:val="E522D98E"/>
    <w:lvl w:ilvl="0" w:tplc="08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B3F22"/>
    <w:multiLevelType w:val="multilevel"/>
    <w:tmpl w:val="390E3110"/>
    <w:lvl w:ilvl="0">
      <w:start w:val="1"/>
      <w:numFmt w:val="decimal"/>
      <w:lvlText w:val="%1"/>
      <w:lvlJc w:val="left"/>
      <w:pPr>
        <w:ind w:left="1995" w:hanging="16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42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7FA03BD"/>
    <w:multiLevelType w:val="hybridMultilevel"/>
    <w:tmpl w:val="D8408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F4B70"/>
    <w:multiLevelType w:val="hybridMultilevel"/>
    <w:tmpl w:val="795E65A4"/>
    <w:lvl w:ilvl="0" w:tplc="29B801B0">
      <w:start w:val="1"/>
      <w:numFmt w:val="decimal"/>
      <w:lvlText w:val="%1    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287A3B"/>
    <w:multiLevelType w:val="hybridMultilevel"/>
    <w:tmpl w:val="18EA2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4"/>
  </w:num>
  <w:num w:numId="20">
    <w:abstractNumId w:val="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FD"/>
    <w:rsid w:val="000025F6"/>
    <w:rsid w:val="0000714B"/>
    <w:rsid w:val="00012400"/>
    <w:rsid w:val="0001374E"/>
    <w:rsid w:val="00013C9F"/>
    <w:rsid w:val="00021D86"/>
    <w:rsid w:val="000231E6"/>
    <w:rsid w:val="00024C9E"/>
    <w:rsid w:val="00031E79"/>
    <w:rsid w:val="00033451"/>
    <w:rsid w:val="00041380"/>
    <w:rsid w:val="000458E8"/>
    <w:rsid w:val="00054CBA"/>
    <w:rsid w:val="0005589A"/>
    <w:rsid w:val="000635BE"/>
    <w:rsid w:val="00066A4E"/>
    <w:rsid w:val="00082D42"/>
    <w:rsid w:val="00086E03"/>
    <w:rsid w:val="000A1E0D"/>
    <w:rsid w:val="000A596D"/>
    <w:rsid w:val="000D06E8"/>
    <w:rsid w:val="000D1855"/>
    <w:rsid w:val="000D4BEB"/>
    <w:rsid w:val="00103AFC"/>
    <w:rsid w:val="001051A5"/>
    <w:rsid w:val="001264F5"/>
    <w:rsid w:val="00127C6A"/>
    <w:rsid w:val="00137754"/>
    <w:rsid w:val="001527E2"/>
    <w:rsid w:val="00172F50"/>
    <w:rsid w:val="00180CE9"/>
    <w:rsid w:val="00182233"/>
    <w:rsid w:val="00185B0A"/>
    <w:rsid w:val="00190A7F"/>
    <w:rsid w:val="001B277C"/>
    <w:rsid w:val="001C1D9D"/>
    <w:rsid w:val="001C3094"/>
    <w:rsid w:val="001D1277"/>
    <w:rsid w:val="001E09BE"/>
    <w:rsid w:val="001F1C96"/>
    <w:rsid w:val="0020294A"/>
    <w:rsid w:val="00214901"/>
    <w:rsid w:val="002439FD"/>
    <w:rsid w:val="00275ECF"/>
    <w:rsid w:val="002841BF"/>
    <w:rsid w:val="0029499A"/>
    <w:rsid w:val="00294DC1"/>
    <w:rsid w:val="002A2737"/>
    <w:rsid w:val="002A3F11"/>
    <w:rsid w:val="002C11F5"/>
    <w:rsid w:val="002C5DD1"/>
    <w:rsid w:val="002C76D7"/>
    <w:rsid w:val="002C77AC"/>
    <w:rsid w:val="002D7E52"/>
    <w:rsid w:val="002D7E9B"/>
    <w:rsid w:val="002F329B"/>
    <w:rsid w:val="00301B7C"/>
    <w:rsid w:val="00306BF1"/>
    <w:rsid w:val="00310BCF"/>
    <w:rsid w:val="003142CD"/>
    <w:rsid w:val="003156FC"/>
    <w:rsid w:val="0031646D"/>
    <w:rsid w:val="003259CD"/>
    <w:rsid w:val="00331D82"/>
    <w:rsid w:val="00340FFE"/>
    <w:rsid w:val="00343289"/>
    <w:rsid w:val="003466AB"/>
    <w:rsid w:val="00351765"/>
    <w:rsid w:val="00374A67"/>
    <w:rsid w:val="00387B47"/>
    <w:rsid w:val="00392AF4"/>
    <w:rsid w:val="003C0145"/>
    <w:rsid w:val="003C4350"/>
    <w:rsid w:val="003E40DB"/>
    <w:rsid w:val="00404139"/>
    <w:rsid w:val="00417B5E"/>
    <w:rsid w:val="00423523"/>
    <w:rsid w:val="00426648"/>
    <w:rsid w:val="004336A2"/>
    <w:rsid w:val="004453A0"/>
    <w:rsid w:val="004638BB"/>
    <w:rsid w:val="004649E3"/>
    <w:rsid w:val="00466297"/>
    <w:rsid w:val="00466795"/>
    <w:rsid w:val="00471E2F"/>
    <w:rsid w:val="004736E4"/>
    <w:rsid w:val="00475BF7"/>
    <w:rsid w:val="004923F4"/>
    <w:rsid w:val="004A7AD9"/>
    <w:rsid w:val="004B0CBA"/>
    <w:rsid w:val="004D1C45"/>
    <w:rsid w:val="004D6C98"/>
    <w:rsid w:val="00501E15"/>
    <w:rsid w:val="00503DD8"/>
    <w:rsid w:val="005129C7"/>
    <w:rsid w:val="005143FA"/>
    <w:rsid w:val="0052258A"/>
    <w:rsid w:val="00522A65"/>
    <w:rsid w:val="00526E92"/>
    <w:rsid w:val="00541D5D"/>
    <w:rsid w:val="00543654"/>
    <w:rsid w:val="005478FC"/>
    <w:rsid w:val="005515D9"/>
    <w:rsid w:val="005635CB"/>
    <w:rsid w:val="00564792"/>
    <w:rsid w:val="00570883"/>
    <w:rsid w:val="00582E4C"/>
    <w:rsid w:val="00586E84"/>
    <w:rsid w:val="005904D0"/>
    <w:rsid w:val="005D35F3"/>
    <w:rsid w:val="006033B1"/>
    <w:rsid w:val="006118BC"/>
    <w:rsid w:val="00621E1C"/>
    <w:rsid w:val="006221F4"/>
    <w:rsid w:val="0062462A"/>
    <w:rsid w:val="00624C95"/>
    <w:rsid w:val="00627DE1"/>
    <w:rsid w:val="00650C28"/>
    <w:rsid w:val="0066504E"/>
    <w:rsid w:val="00690424"/>
    <w:rsid w:val="006A334F"/>
    <w:rsid w:val="006A590A"/>
    <w:rsid w:val="006F7498"/>
    <w:rsid w:val="00724223"/>
    <w:rsid w:val="007271F7"/>
    <w:rsid w:val="00753E1B"/>
    <w:rsid w:val="00770DD6"/>
    <w:rsid w:val="00773714"/>
    <w:rsid w:val="0079783A"/>
    <w:rsid w:val="007A7B60"/>
    <w:rsid w:val="007B1A17"/>
    <w:rsid w:val="007C4CE3"/>
    <w:rsid w:val="007D3345"/>
    <w:rsid w:val="007E4CF3"/>
    <w:rsid w:val="007E7695"/>
    <w:rsid w:val="00806B2D"/>
    <w:rsid w:val="00811875"/>
    <w:rsid w:val="0082211D"/>
    <w:rsid w:val="008232A8"/>
    <w:rsid w:val="008270B4"/>
    <w:rsid w:val="00842F53"/>
    <w:rsid w:val="00854E43"/>
    <w:rsid w:val="0085542A"/>
    <w:rsid w:val="00864CC8"/>
    <w:rsid w:val="008773FD"/>
    <w:rsid w:val="00885C06"/>
    <w:rsid w:val="008921E6"/>
    <w:rsid w:val="008974BB"/>
    <w:rsid w:val="008A3962"/>
    <w:rsid w:val="008D4701"/>
    <w:rsid w:val="008D4F45"/>
    <w:rsid w:val="008E1C63"/>
    <w:rsid w:val="008E348A"/>
    <w:rsid w:val="008E7213"/>
    <w:rsid w:val="008F1716"/>
    <w:rsid w:val="008F61BC"/>
    <w:rsid w:val="008F7466"/>
    <w:rsid w:val="00901FF6"/>
    <w:rsid w:val="00912C2E"/>
    <w:rsid w:val="00912D2F"/>
    <w:rsid w:val="00920BFC"/>
    <w:rsid w:val="00924804"/>
    <w:rsid w:val="00942C62"/>
    <w:rsid w:val="00960892"/>
    <w:rsid w:val="0096508C"/>
    <w:rsid w:val="009720DC"/>
    <w:rsid w:val="0097410A"/>
    <w:rsid w:val="00981459"/>
    <w:rsid w:val="009930EB"/>
    <w:rsid w:val="00996607"/>
    <w:rsid w:val="009B3EC4"/>
    <w:rsid w:val="009C79CC"/>
    <w:rsid w:val="009F466A"/>
    <w:rsid w:val="00A044E1"/>
    <w:rsid w:val="00A078DB"/>
    <w:rsid w:val="00A1639C"/>
    <w:rsid w:val="00A200BD"/>
    <w:rsid w:val="00A20B1B"/>
    <w:rsid w:val="00A46185"/>
    <w:rsid w:val="00A531C3"/>
    <w:rsid w:val="00A66D32"/>
    <w:rsid w:val="00A672F4"/>
    <w:rsid w:val="00A67353"/>
    <w:rsid w:val="00A67A66"/>
    <w:rsid w:val="00A67D35"/>
    <w:rsid w:val="00AB08DD"/>
    <w:rsid w:val="00AB3B41"/>
    <w:rsid w:val="00AB3B5C"/>
    <w:rsid w:val="00AC189C"/>
    <w:rsid w:val="00AD287E"/>
    <w:rsid w:val="00AD630F"/>
    <w:rsid w:val="00AD66A7"/>
    <w:rsid w:val="00B065CF"/>
    <w:rsid w:val="00B06E9E"/>
    <w:rsid w:val="00B253D0"/>
    <w:rsid w:val="00B36E88"/>
    <w:rsid w:val="00B5228A"/>
    <w:rsid w:val="00B52624"/>
    <w:rsid w:val="00B61F6F"/>
    <w:rsid w:val="00B90801"/>
    <w:rsid w:val="00B9189E"/>
    <w:rsid w:val="00BD043F"/>
    <w:rsid w:val="00BD79C2"/>
    <w:rsid w:val="00BF21DC"/>
    <w:rsid w:val="00BF3B92"/>
    <w:rsid w:val="00BF4F01"/>
    <w:rsid w:val="00BF7B36"/>
    <w:rsid w:val="00C0378D"/>
    <w:rsid w:val="00C07D4F"/>
    <w:rsid w:val="00C10A7B"/>
    <w:rsid w:val="00C35A1B"/>
    <w:rsid w:val="00C36BF1"/>
    <w:rsid w:val="00C431D5"/>
    <w:rsid w:val="00C5759B"/>
    <w:rsid w:val="00C601D7"/>
    <w:rsid w:val="00C6081F"/>
    <w:rsid w:val="00C6478E"/>
    <w:rsid w:val="00C7163A"/>
    <w:rsid w:val="00C77518"/>
    <w:rsid w:val="00C80DE6"/>
    <w:rsid w:val="00C93CB4"/>
    <w:rsid w:val="00CB4322"/>
    <w:rsid w:val="00CB668B"/>
    <w:rsid w:val="00CC0E46"/>
    <w:rsid w:val="00CC15F5"/>
    <w:rsid w:val="00CC5212"/>
    <w:rsid w:val="00D049F7"/>
    <w:rsid w:val="00D135A5"/>
    <w:rsid w:val="00D17A05"/>
    <w:rsid w:val="00D336CF"/>
    <w:rsid w:val="00D42917"/>
    <w:rsid w:val="00D52EE6"/>
    <w:rsid w:val="00D662B2"/>
    <w:rsid w:val="00D80F92"/>
    <w:rsid w:val="00D82578"/>
    <w:rsid w:val="00D969E4"/>
    <w:rsid w:val="00DA4329"/>
    <w:rsid w:val="00DA5824"/>
    <w:rsid w:val="00DB3DBF"/>
    <w:rsid w:val="00DB707A"/>
    <w:rsid w:val="00DC5348"/>
    <w:rsid w:val="00DE404D"/>
    <w:rsid w:val="00E21740"/>
    <w:rsid w:val="00E23CB8"/>
    <w:rsid w:val="00E322B1"/>
    <w:rsid w:val="00E4293C"/>
    <w:rsid w:val="00E5203F"/>
    <w:rsid w:val="00E825FD"/>
    <w:rsid w:val="00E94312"/>
    <w:rsid w:val="00E94F4E"/>
    <w:rsid w:val="00EA11C0"/>
    <w:rsid w:val="00EA1763"/>
    <w:rsid w:val="00EB09AD"/>
    <w:rsid w:val="00EC4BF8"/>
    <w:rsid w:val="00EC5430"/>
    <w:rsid w:val="00EC55C7"/>
    <w:rsid w:val="00ED4FFC"/>
    <w:rsid w:val="00ED5E4D"/>
    <w:rsid w:val="00EF1BEC"/>
    <w:rsid w:val="00F17E8B"/>
    <w:rsid w:val="00F21F31"/>
    <w:rsid w:val="00F365C8"/>
    <w:rsid w:val="00F36BBD"/>
    <w:rsid w:val="00F379A9"/>
    <w:rsid w:val="00F5404C"/>
    <w:rsid w:val="00F5513F"/>
    <w:rsid w:val="00FA38FB"/>
    <w:rsid w:val="00FB0610"/>
    <w:rsid w:val="00FB0D01"/>
    <w:rsid w:val="00FB2401"/>
    <w:rsid w:val="00FB3777"/>
    <w:rsid w:val="00FB3B1E"/>
    <w:rsid w:val="00FC517F"/>
    <w:rsid w:val="00FD6318"/>
    <w:rsid w:val="00FF0140"/>
    <w:rsid w:val="00FF4B9D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8B6F4"/>
  <w15:docId w15:val="{42FBF289-EA73-4F30-BFB1-BE2C2DA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FD"/>
    <w:rPr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3FD"/>
    <w:pPr>
      <w:keepNext/>
      <w:numPr>
        <w:numId w:val="1"/>
      </w:numPr>
      <w:spacing w:before="360"/>
      <w:outlineLvl w:val="0"/>
    </w:pPr>
    <w:rPr>
      <w:rFonts w:ascii="Calibri" w:eastAsia="Times New Roman" w:hAnsi="Calibri" w:cs="Arial"/>
      <w:b/>
      <w:bCs/>
      <w:color w:val="003366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3FD"/>
    <w:pPr>
      <w:keepNext/>
      <w:numPr>
        <w:ilvl w:val="1"/>
        <w:numId w:val="1"/>
      </w:numPr>
      <w:autoSpaceDE w:val="0"/>
      <w:autoSpaceDN w:val="0"/>
      <w:adjustRightInd w:val="0"/>
      <w:outlineLvl w:val="1"/>
    </w:pPr>
    <w:rPr>
      <w:rFonts w:ascii="Calibri" w:eastAsia="Times New Roman" w:hAnsi="Calibri" w:cs="Arial"/>
      <w:b/>
      <w:bCs/>
      <w:color w:val="003366"/>
      <w:sz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8773FD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2C11F5"/>
    <w:pPr>
      <w:spacing w:after="0" w:line="240" w:lineRule="auto"/>
      <w:jc w:val="center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8773FD"/>
    <w:rPr>
      <w:rFonts w:ascii="Calibri" w:eastAsia="Times New Roman" w:hAnsi="Calibri" w:cs="Arial"/>
      <w:b/>
      <w:bCs/>
      <w:color w:val="003366"/>
      <w:sz w:val="28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rsid w:val="008773FD"/>
    <w:rPr>
      <w:rFonts w:ascii="Calibri" w:eastAsia="Times New Roman" w:hAnsi="Calibri" w:cs="Arial"/>
      <w:b/>
      <w:bCs/>
      <w:color w:val="003366"/>
      <w:sz w:val="24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rsid w:val="008773FD"/>
    <w:rPr>
      <w:rFonts w:ascii="Calibri" w:eastAsia="Times New Roman" w:hAnsi="Calibri" w:cs="Arial"/>
      <w:b/>
      <w:bCs/>
      <w:i/>
      <w:color w:val="003366"/>
      <w:szCs w:val="20"/>
      <w:lang w:val="sq-AL"/>
    </w:rPr>
  </w:style>
  <w:style w:type="paragraph" w:styleId="Header">
    <w:name w:val="header"/>
    <w:basedOn w:val="Normal"/>
    <w:link w:val="HeaderChar"/>
    <w:uiPriority w:val="99"/>
    <w:rsid w:val="008773FD"/>
    <w:pPr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="Times New Roman" w:hAnsi="Calibri" w:cs="Arial"/>
      <w:b/>
      <w:color w:val="FFCC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73FD"/>
    <w:rPr>
      <w:rFonts w:ascii="Calibri" w:eastAsia="Times New Roman" w:hAnsi="Calibri" w:cs="Arial"/>
      <w:b/>
      <w:color w:val="FFCC00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8773FD"/>
    <w:pPr>
      <w:tabs>
        <w:tab w:val="center" w:pos="4320"/>
        <w:tab w:val="right" w:pos="8640"/>
      </w:tabs>
      <w:jc w:val="both"/>
    </w:pPr>
    <w:rPr>
      <w:rFonts w:ascii="Arial" w:eastAsia="Times New Roman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73FD"/>
    <w:rPr>
      <w:rFonts w:ascii="Arial" w:eastAsia="Times New Roman" w:hAnsi="Arial" w:cs="Arial"/>
      <w:szCs w:val="24"/>
      <w:lang w:val="sq-AL"/>
    </w:rPr>
  </w:style>
  <w:style w:type="paragraph" w:styleId="Caption">
    <w:name w:val="caption"/>
    <w:aliases w:val="Tabellen"/>
    <w:basedOn w:val="Normal"/>
    <w:next w:val="Normal"/>
    <w:uiPriority w:val="35"/>
    <w:qFormat/>
    <w:rsid w:val="008773FD"/>
    <w:pPr>
      <w:keepNext/>
      <w:jc w:val="both"/>
    </w:pPr>
    <w:rPr>
      <w:rFonts w:ascii="Calibri" w:eastAsia="Times New Roman" w:hAnsi="Calibri" w:cs="Arial"/>
      <w:b/>
      <w:bCs/>
      <w:i/>
      <w:color w:val="003366"/>
      <w:szCs w:val="24"/>
    </w:rPr>
  </w:style>
  <w:style w:type="paragraph" w:styleId="FootnoteText">
    <w:name w:val="footnote text"/>
    <w:basedOn w:val="Normal"/>
    <w:link w:val="FootnoteTextChar"/>
    <w:uiPriority w:val="99"/>
    <w:rsid w:val="008773FD"/>
    <w:pPr>
      <w:spacing w:after="120" w:line="240" w:lineRule="auto"/>
    </w:pPr>
    <w:rPr>
      <w:rFonts w:ascii="Calibri" w:eastAsia="Times New Roman" w:hAnsi="Calibri" w:cs="Arial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73FD"/>
    <w:rPr>
      <w:rFonts w:ascii="Calibri" w:eastAsia="Times New Roman" w:hAnsi="Calibri" w:cs="Arial"/>
      <w:sz w:val="20"/>
      <w:szCs w:val="24"/>
      <w:lang w:val="sq-AL"/>
    </w:rPr>
  </w:style>
  <w:style w:type="character" w:styleId="FootnoteReference">
    <w:name w:val="footnote reference"/>
    <w:basedOn w:val="DefaultParagraphFont"/>
    <w:uiPriority w:val="99"/>
    <w:rsid w:val="008773FD"/>
    <w:rPr>
      <w:vertAlign w:val="superscript"/>
    </w:rPr>
  </w:style>
  <w:style w:type="character" w:styleId="Hyperlink">
    <w:name w:val="Hyperlink"/>
    <w:basedOn w:val="DefaultParagraphFont"/>
    <w:uiPriority w:val="99"/>
    <w:rsid w:val="008773FD"/>
    <w:rPr>
      <w:color w:val="0000FF"/>
      <w:u w:val="single"/>
    </w:rPr>
  </w:style>
  <w:style w:type="paragraph" w:customStyle="1" w:styleId="Equation">
    <w:name w:val="Equation"/>
    <w:basedOn w:val="Normal"/>
    <w:link w:val="EquationChar"/>
    <w:qFormat/>
    <w:rsid w:val="008773FD"/>
    <w:pPr>
      <w:spacing w:before="240" w:after="240" w:line="240" w:lineRule="auto"/>
      <w:ind w:left="2160" w:hanging="1440"/>
    </w:pPr>
    <w:rPr>
      <w:rFonts w:ascii="Calibri" w:eastAsia="Times New Roman" w:hAnsi="Calibri" w:cs="Times New Roman"/>
      <w:i/>
      <w:szCs w:val="24"/>
      <w:lang w:eastAsia="en-GB"/>
    </w:rPr>
  </w:style>
  <w:style w:type="character" w:customStyle="1" w:styleId="EquationChar">
    <w:name w:val="Equation Char"/>
    <w:basedOn w:val="DefaultParagraphFont"/>
    <w:link w:val="Equation"/>
    <w:rsid w:val="008773FD"/>
    <w:rPr>
      <w:rFonts w:ascii="Calibri" w:eastAsia="Times New Roman" w:hAnsi="Calibri" w:cs="Times New Roman"/>
      <w:i/>
      <w:szCs w:val="24"/>
      <w:lang w:val="sq-AL" w:eastAsia="en-GB"/>
    </w:rPr>
  </w:style>
  <w:style w:type="table" w:styleId="TableGrid">
    <w:name w:val="Table Grid"/>
    <w:basedOn w:val="TableNormal"/>
    <w:uiPriority w:val="59"/>
    <w:rsid w:val="008773FD"/>
    <w:pPr>
      <w:spacing w:after="0" w:line="240" w:lineRule="auto"/>
    </w:pPr>
    <w:rPr>
      <w:rFonts w:ascii="Calibri" w:eastAsia="Times New Roman" w:hAnsi="Calibri" w:cs="Calibri"/>
      <w:sz w:val="20"/>
      <w:szCs w:val="20"/>
      <w:lang w:val="sq-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FD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773F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264F5"/>
    <w:pPr>
      <w:shd w:val="clear" w:color="auto" w:fill="002060"/>
      <w:tabs>
        <w:tab w:val="center" w:pos="4320"/>
      </w:tabs>
      <w:spacing w:before="240"/>
    </w:pPr>
    <w:rPr>
      <w:rFonts w:ascii="Calibri" w:eastAsia="Times New Roman" w:hAnsi="Calibri" w:cs="Arial Bold"/>
      <w:b/>
      <w:bCs/>
      <w:color w:val="FFC000"/>
      <w:sz w:val="4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264F5"/>
    <w:rPr>
      <w:rFonts w:ascii="Calibri" w:eastAsia="Times New Roman" w:hAnsi="Calibri" w:cs="Arial Bold"/>
      <w:b/>
      <w:bCs/>
      <w:color w:val="FFC000"/>
      <w:sz w:val="48"/>
      <w:szCs w:val="24"/>
      <w:shd w:val="clear" w:color="auto" w:fill="002060"/>
      <w:lang w:val="sq-AL"/>
    </w:rPr>
  </w:style>
  <w:style w:type="paragraph" w:customStyle="1" w:styleId="ReportDate">
    <w:name w:val="Report Date"/>
    <w:basedOn w:val="Normal"/>
    <w:link w:val="ReportDateChar"/>
    <w:qFormat/>
    <w:rsid w:val="001264F5"/>
    <w:pPr>
      <w:tabs>
        <w:tab w:val="left" w:pos="2175"/>
      </w:tabs>
      <w:jc w:val="center"/>
    </w:pPr>
    <w:rPr>
      <w:b/>
      <w:bCs/>
      <w:color w:val="005D97"/>
      <w:sz w:val="36"/>
      <w:szCs w:val="36"/>
    </w:rPr>
  </w:style>
  <w:style w:type="character" w:customStyle="1" w:styleId="ReportDateChar">
    <w:name w:val="Report Date Char"/>
    <w:basedOn w:val="DefaultParagraphFont"/>
    <w:link w:val="ReportDate"/>
    <w:rsid w:val="001264F5"/>
    <w:rPr>
      <w:rFonts w:eastAsia="MS Mincho"/>
      <w:b/>
      <w:bCs/>
      <w:color w:val="005D97"/>
      <w:sz w:val="36"/>
      <w:szCs w:val="36"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FB3B1E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3B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B1E"/>
    <w:pPr>
      <w:spacing w:after="100"/>
      <w:ind w:left="220"/>
    </w:pPr>
  </w:style>
  <w:style w:type="paragraph" w:customStyle="1" w:styleId="ReportTitle">
    <w:name w:val="Report Title"/>
    <w:basedOn w:val="Title"/>
    <w:link w:val="ReportTitleChar"/>
    <w:qFormat/>
    <w:rsid w:val="00B9189E"/>
    <w:pPr>
      <w:shd w:val="clear" w:color="auto" w:fill="005D97"/>
      <w:spacing w:before="0" w:after="0"/>
      <w:jc w:val="center"/>
    </w:pPr>
    <w:rPr>
      <w:rFonts w:cs="Arial"/>
      <w:color w:val="8064A2"/>
      <w:szCs w:val="40"/>
      <w:lang w:val="en-US"/>
    </w:rPr>
  </w:style>
  <w:style w:type="character" w:customStyle="1" w:styleId="ReportTitleChar">
    <w:name w:val="Report Title Char"/>
    <w:basedOn w:val="TitleChar"/>
    <w:link w:val="ReportTitle"/>
    <w:rsid w:val="00B9189E"/>
    <w:rPr>
      <w:rFonts w:ascii="Calibri" w:eastAsia="Times New Roman" w:hAnsi="Calibri" w:cs="Arial"/>
      <w:b/>
      <w:bCs/>
      <w:color w:val="8064A2"/>
      <w:sz w:val="48"/>
      <w:szCs w:val="40"/>
      <w:shd w:val="clear" w:color="auto" w:fill="005D97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37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3777"/>
    <w:rPr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FB3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.pricing-tariffs@ero-k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so.eurostat.ec.europa.eu/nui/submitViewTableAction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53EB-13CF-4D67-8BBA-22A74968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yrudari</dc:creator>
  <cp:lastModifiedBy>Adelina Murtezaj</cp:lastModifiedBy>
  <cp:revision>2</cp:revision>
  <dcterms:created xsi:type="dcterms:W3CDTF">2021-08-24T13:11:00Z</dcterms:created>
  <dcterms:modified xsi:type="dcterms:W3CDTF">2021-08-24T13:11:00Z</dcterms:modified>
</cp:coreProperties>
</file>