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FCEAF" w14:textId="77777777" w:rsidR="002F09BD" w:rsidRPr="001471C5" w:rsidRDefault="002F09BD" w:rsidP="002F09BD"/>
    <w:p w14:paraId="20F8E6A5" w14:textId="77777777" w:rsidR="00470E9F" w:rsidRPr="001471C5" w:rsidRDefault="00470E9F" w:rsidP="002F09BD"/>
    <w:p w14:paraId="07B514F9" w14:textId="77777777" w:rsidR="00470E9F" w:rsidRPr="001471C5" w:rsidRDefault="00470E9F" w:rsidP="00470E9F">
      <w:pPr>
        <w:pStyle w:val="Title"/>
        <w:shd w:val="clear" w:color="auto" w:fill="005D97"/>
        <w:spacing w:before="0" w:after="0"/>
        <w:jc w:val="center"/>
        <w:rPr>
          <w:color w:val="DF8D1D"/>
          <w:sz w:val="48"/>
          <w:szCs w:val="40"/>
        </w:rPr>
      </w:pPr>
    </w:p>
    <w:p w14:paraId="48F23D71" w14:textId="77777777" w:rsidR="00470E9F" w:rsidRPr="001471C5" w:rsidRDefault="00470E9F" w:rsidP="00470E9F">
      <w:pPr>
        <w:pStyle w:val="Title"/>
        <w:shd w:val="clear" w:color="auto" w:fill="005D97"/>
        <w:spacing w:before="0" w:after="0"/>
        <w:jc w:val="center"/>
        <w:rPr>
          <w:color w:val="DF8D1D"/>
          <w:sz w:val="48"/>
          <w:szCs w:val="40"/>
        </w:rPr>
      </w:pPr>
      <w:r w:rsidRPr="001471C5">
        <w:rPr>
          <w:color w:val="DF8D1D"/>
          <w:sz w:val="48"/>
          <w:szCs w:val="40"/>
        </w:rPr>
        <w:t>Raport Konsultativ</w:t>
      </w:r>
    </w:p>
    <w:p w14:paraId="102BFF9B" w14:textId="77777777" w:rsidR="00470E9F" w:rsidRPr="001471C5" w:rsidRDefault="00470E9F" w:rsidP="00470E9F">
      <w:pPr>
        <w:pStyle w:val="Title"/>
        <w:shd w:val="clear" w:color="auto" w:fill="005D97"/>
        <w:spacing w:before="0" w:after="0"/>
        <w:jc w:val="center"/>
        <w:rPr>
          <w:color w:val="DF8D1D"/>
          <w:sz w:val="28"/>
        </w:rPr>
      </w:pPr>
    </w:p>
    <w:p w14:paraId="02F991D6" w14:textId="77777777" w:rsidR="00CB03CA" w:rsidRPr="001471C5" w:rsidRDefault="00CB03CA" w:rsidP="00CB03CA">
      <w:pPr>
        <w:pStyle w:val="Title"/>
        <w:shd w:val="clear" w:color="auto" w:fill="005D97"/>
        <w:spacing w:before="0" w:after="0"/>
        <w:jc w:val="center"/>
        <w:rPr>
          <w:color w:val="F79646"/>
          <w:sz w:val="28"/>
        </w:rPr>
      </w:pPr>
      <w:r w:rsidRPr="001471C5">
        <w:rPr>
          <w:color w:val="F79646"/>
          <w:sz w:val="28"/>
        </w:rPr>
        <w:t>P</w:t>
      </w:r>
      <w:r w:rsidR="00B5734B" w:rsidRPr="001471C5">
        <w:rPr>
          <w:color w:val="F79646"/>
          <w:sz w:val="28"/>
        </w:rPr>
        <w:t>ë</w:t>
      </w:r>
      <w:r w:rsidR="00C66CDD" w:rsidRPr="001471C5">
        <w:rPr>
          <w:color w:val="F79646"/>
          <w:sz w:val="28"/>
        </w:rPr>
        <w:t>rshta</w:t>
      </w:r>
      <w:r w:rsidRPr="001471C5">
        <w:rPr>
          <w:color w:val="F79646"/>
          <w:sz w:val="28"/>
        </w:rPr>
        <w:t>tjet vjetore t</w:t>
      </w:r>
      <w:r w:rsidR="00B5734B" w:rsidRPr="001471C5">
        <w:rPr>
          <w:color w:val="F79646"/>
          <w:sz w:val="28"/>
        </w:rPr>
        <w:t>ë</w:t>
      </w:r>
      <w:r w:rsidRPr="001471C5">
        <w:rPr>
          <w:color w:val="F79646"/>
          <w:sz w:val="28"/>
        </w:rPr>
        <w:t xml:space="preserve"> </w:t>
      </w:r>
      <w:proofErr w:type="spellStart"/>
      <w:r w:rsidRPr="001471C5">
        <w:rPr>
          <w:color w:val="F79646"/>
          <w:sz w:val="28"/>
        </w:rPr>
        <w:t>T</w:t>
      </w:r>
      <w:r w:rsidR="00B5734B" w:rsidRPr="001471C5">
        <w:rPr>
          <w:color w:val="F79646"/>
          <w:sz w:val="28"/>
        </w:rPr>
        <w:t>ë</w:t>
      </w:r>
      <w:proofErr w:type="spellEnd"/>
      <w:r w:rsidRPr="001471C5">
        <w:rPr>
          <w:color w:val="F79646"/>
          <w:sz w:val="28"/>
        </w:rPr>
        <w:t xml:space="preserve"> Hyrave t</w:t>
      </w:r>
      <w:r w:rsidR="00B5734B" w:rsidRPr="001471C5">
        <w:rPr>
          <w:color w:val="F79646"/>
          <w:sz w:val="28"/>
        </w:rPr>
        <w:t>ë</w:t>
      </w:r>
      <w:r w:rsidRPr="001471C5">
        <w:rPr>
          <w:color w:val="F79646"/>
          <w:sz w:val="28"/>
        </w:rPr>
        <w:t xml:space="preserve"> Lejuara Maksimale p</w:t>
      </w:r>
      <w:r w:rsidRPr="001471C5">
        <w:rPr>
          <w:rFonts w:cs="Calibri"/>
          <w:color w:val="F79646"/>
          <w:sz w:val="28"/>
        </w:rPr>
        <w:t>ë</w:t>
      </w:r>
      <w:r w:rsidRPr="001471C5">
        <w:rPr>
          <w:color w:val="F79646"/>
          <w:sz w:val="28"/>
        </w:rPr>
        <w:t xml:space="preserve">r KOSTT </w:t>
      </w:r>
    </w:p>
    <w:p w14:paraId="3B5C7EE2" w14:textId="77777777" w:rsidR="00CB03CA" w:rsidRPr="001471C5" w:rsidRDefault="00CB03CA" w:rsidP="00CB03CA">
      <w:pPr>
        <w:pStyle w:val="Title"/>
        <w:shd w:val="clear" w:color="auto" w:fill="005D97"/>
        <w:spacing w:before="0" w:after="0"/>
        <w:jc w:val="center"/>
        <w:rPr>
          <w:color w:val="F79646"/>
          <w:sz w:val="28"/>
        </w:rPr>
      </w:pPr>
    </w:p>
    <w:p w14:paraId="4433CC7A" w14:textId="77777777" w:rsidR="00B93A16" w:rsidRPr="0050005A" w:rsidRDefault="00B93A16" w:rsidP="00B93A16">
      <w:pPr>
        <w:pStyle w:val="Title"/>
        <w:shd w:val="clear" w:color="auto" w:fill="005D97"/>
        <w:spacing w:before="0" w:after="0"/>
        <w:jc w:val="center"/>
        <w:rPr>
          <w:color w:val="F79646"/>
          <w:sz w:val="28"/>
        </w:rPr>
      </w:pPr>
      <w:r>
        <w:rPr>
          <w:color w:val="F79646"/>
          <w:sz w:val="28"/>
        </w:rPr>
        <w:t>(Viti relevant tarifor 2021</w:t>
      </w:r>
      <w:r w:rsidRPr="0050005A">
        <w:rPr>
          <w:color w:val="F79646"/>
          <w:sz w:val="28"/>
        </w:rPr>
        <w:t>)</w:t>
      </w:r>
    </w:p>
    <w:p w14:paraId="4E01915E" w14:textId="77777777" w:rsidR="00470E9F" w:rsidRPr="001471C5" w:rsidRDefault="00470E9F" w:rsidP="00470E9F">
      <w:pPr>
        <w:pStyle w:val="Title"/>
        <w:shd w:val="clear" w:color="auto" w:fill="005D97"/>
        <w:spacing w:before="0" w:after="0"/>
        <w:jc w:val="center"/>
        <w:rPr>
          <w:color w:val="DF8D1D"/>
          <w:sz w:val="27"/>
          <w:szCs w:val="27"/>
        </w:rPr>
      </w:pPr>
    </w:p>
    <w:p w14:paraId="2D32A143" w14:textId="77777777" w:rsidR="00470E9F" w:rsidRPr="001471C5" w:rsidRDefault="00470E9F" w:rsidP="00470E9F">
      <w:pPr>
        <w:pStyle w:val="Title"/>
        <w:shd w:val="clear" w:color="auto" w:fill="005D97"/>
        <w:spacing w:before="0" w:after="0"/>
        <w:jc w:val="center"/>
        <w:rPr>
          <w:color w:val="DF8D1D"/>
          <w:sz w:val="28"/>
        </w:rPr>
      </w:pPr>
    </w:p>
    <w:p w14:paraId="0A614037" w14:textId="77777777" w:rsidR="00470E9F" w:rsidRPr="001471C5" w:rsidRDefault="00470E9F" w:rsidP="002F09BD"/>
    <w:p w14:paraId="4FE92C49" w14:textId="77777777" w:rsidR="00470E9F" w:rsidRPr="001471C5" w:rsidRDefault="00470E9F" w:rsidP="002F09BD"/>
    <w:p w14:paraId="3F54D019" w14:textId="77777777" w:rsidR="002F09BD" w:rsidRPr="001471C5" w:rsidRDefault="002F09BD" w:rsidP="002F09BD"/>
    <w:p w14:paraId="33C03848" w14:textId="77777777" w:rsidR="00366EF2" w:rsidRPr="001471C5" w:rsidRDefault="00366EF2" w:rsidP="002F09BD"/>
    <w:p w14:paraId="703BFCE4" w14:textId="77777777" w:rsidR="002F09BD" w:rsidRPr="001471C5" w:rsidRDefault="002F09BD" w:rsidP="002F09BD"/>
    <w:p w14:paraId="4861B5C2" w14:textId="77777777" w:rsidR="002F09BD" w:rsidRPr="001471C5" w:rsidRDefault="002F09BD" w:rsidP="002F09BD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999"/>
      </w:tblGrid>
      <w:tr w:rsidR="002F09BD" w:rsidRPr="001471C5" w14:paraId="77278F16" w14:textId="77777777" w:rsidTr="002F09BD">
        <w:tc>
          <w:tcPr>
            <w:tcW w:w="9198" w:type="dxa"/>
            <w:shd w:val="clear" w:color="auto" w:fill="E0E0E0"/>
          </w:tcPr>
          <w:p w14:paraId="6786A1ED" w14:textId="77777777" w:rsidR="00925225" w:rsidRPr="001471C5" w:rsidRDefault="00925225" w:rsidP="00925225">
            <w:pPr>
              <w:spacing w:before="120"/>
              <w:jc w:val="center"/>
              <w:rPr>
                <w:b/>
                <w:color w:val="005D97"/>
              </w:rPr>
            </w:pPr>
            <w:r w:rsidRPr="001471C5">
              <w:rPr>
                <w:b/>
                <w:color w:val="005D97"/>
              </w:rPr>
              <w:t>DEKLARATË</w:t>
            </w:r>
          </w:p>
          <w:p w14:paraId="32FEE1C2" w14:textId="77777777" w:rsidR="002F09BD" w:rsidRPr="001471C5" w:rsidRDefault="00925225" w:rsidP="00925225">
            <w:pPr>
              <w:keepNext/>
              <w:rPr>
                <w:b/>
                <w:bCs/>
              </w:rPr>
            </w:pPr>
            <w:r w:rsidRPr="001471C5">
              <w:rPr>
                <w:b/>
                <w:color w:val="005D97"/>
              </w:rPr>
              <w:t xml:space="preserve">Ky Raport Konsultativ është përgatitur nga ZRRE me qëllim të informimit të palëve të interesit. </w:t>
            </w:r>
            <w:r w:rsidRPr="001471C5">
              <w:rPr>
                <w:b/>
                <w:color w:val="005D97"/>
                <w:u w:val="single"/>
              </w:rPr>
              <w:t>Raporti nuk paraqet Vendim të ZRRE‐së dhe nuk duhet të konsiderohet si i tillë.</w:t>
            </w:r>
          </w:p>
        </w:tc>
      </w:tr>
    </w:tbl>
    <w:p w14:paraId="43A9475D" w14:textId="77777777" w:rsidR="002F09BD" w:rsidRPr="001471C5" w:rsidRDefault="002F09BD" w:rsidP="002F09BD"/>
    <w:p w14:paraId="502384BD" w14:textId="77777777" w:rsidR="002F09BD" w:rsidRPr="001471C5" w:rsidRDefault="002F09BD" w:rsidP="002F09BD"/>
    <w:p w14:paraId="7DA82B36" w14:textId="77777777" w:rsidR="002F09BD" w:rsidRPr="001471C5" w:rsidRDefault="002F09BD" w:rsidP="002F09BD"/>
    <w:p w14:paraId="378EADAE" w14:textId="77777777" w:rsidR="002F09BD" w:rsidRPr="001471C5" w:rsidRDefault="002F09BD" w:rsidP="002F09BD"/>
    <w:p w14:paraId="77A9B7CF" w14:textId="77777777" w:rsidR="002F09BD" w:rsidRPr="001471C5" w:rsidRDefault="002F09BD" w:rsidP="002F09BD"/>
    <w:p w14:paraId="44FD8AF7" w14:textId="5FE47D17" w:rsidR="002F09BD" w:rsidRPr="001471C5" w:rsidRDefault="00FA362F" w:rsidP="002F09BD">
      <w:pPr>
        <w:tabs>
          <w:tab w:val="left" w:pos="2175"/>
        </w:tabs>
        <w:jc w:val="center"/>
        <w:rPr>
          <w:sz w:val="24"/>
          <w:szCs w:val="24"/>
        </w:rPr>
      </w:pPr>
      <w:r>
        <w:rPr>
          <w:b/>
          <w:bCs/>
          <w:color w:val="005D97"/>
          <w:sz w:val="24"/>
          <w:szCs w:val="24"/>
        </w:rPr>
        <w:t>Gusht</w:t>
      </w:r>
      <w:r w:rsidRPr="001471C5">
        <w:rPr>
          <w:b/>
          <w:bCs/>
          <w:color w:val="005D97"/>
          <w:sz w:val="24"/>
          <w:szCs w:val="24"/>
        </w:rPr>
        <w:t xml:space="preserve">  </w:t>
      </w:r>
      <w:r w:rsidR="00CB03CA" w:rsidRPr="001471C5">
        <w:rPr>
          <w:b/>
          <w:bCs/>
          <w:color w:val="005D97"/>
          <w:sz w:val="24"/>
          <w:szCs w:val="24"/>
        </w:rPr>
        <w:t>20</w:t>
      </w:r>
      <w:r w:rsidR="0089662A" w:rsidRPr="001471C5">
        <w:rPr>
          <w:b/>
          <w:bCs/>
          <w:color w:val="005D97"/>
          <w:sz w:val="24"/>
          <w:szCs w:val="24"/>
        </w:rPr>
        <w:t>2</w:t>
      </w:r>
      <w:r>
        <w:rPr>
          <w:b/>
          <w:bCs/>
          <w:color w:val="005D97"/>
          <w:sz w:val="24"/>
          <w:szCs w:val="24"/>
        </w:rPr>
        <w:t>1</w:t>
      </w:r>
    </w:p>
    <w:p w14:paraId="4DC90EDB" w14:textId="77777777" w:rsidR="002F09BD" w:rsidRPr="001471C5" w:rsidRDefault="002F09BD" w:rsidP="002F09BD">
      <w:pPr>
        <w:sectPr w:rsidR="002F09BD" w:rsidRPr="001471C5" w:rsidSect="00366EF2">
          <w:headerReference w:type="first" r:id="rId8"/>
          <w:footerReference w:type="first" r:id="rId9"/>
          <w:pgSz w:w="11909" w:h="16834" w:code="9"/>
          <w:pgMar w:top="1440" w:right="1440" w:bottom="1440" w:left="1440" w:header="630" w:footer="403" w:gutter="0"/>
          <w:pgNumType w:fmt="lowerRoman" w:start="1"/>
          <w:cols w:space="720"/>
          <w:titlePg/>
          <w:docGrid w:linePitch="360"/>
        </w:sectPr>
      </w:pPr>
    </w:p>
    <w:p w14:paraId="354BBB54" w14:textId="77777777" w:rsidR="002F09BD" w:rsidRPr="001471C5" w:rsidRDefault="001A7286" w:rsidP="002F09BD">
      <w:pPr>
        <w:rPr>
          <w:b/>
          <w:bCs/>
          <w:sz w:val="28"/>
          <w:szCs w:val="28"/>
        </w:rPr>
      </w:pPr>
      <w:r w:rsidRPr="001471C5">
        <w:rPr>
          <w:b/>
          <w:bCs/>
          <w:sz w:val="28"/>
          <w:szCs w:val="28"/>
        </w:rPr>
        <w:lastRenderedPageBreak/>
        <w:t>P</w:t>
      </w:r>
      <w:r w:rsidR="005404C1" w:rsidRPr="001471C5">
        <w:rPr>
          <w:b/>
          <w:bCs/>
          <w:sz w:val="28"/>
          <w:szCs w:val="28"/>
        </w:rPr>
        <w:t>ë</w:t>
      </w:r>
      <w:r w:rsidRPr="001471C5">
        <w:rPr>
          <w:b/>
          <w:bCs/>
          <w:sz w:val="28"/>
          <w:szCs w:val="28"/>
        </w:rPr>
        <w:t>rmbajtja</w:t>
      </w:r>
    </w:p>
    <w:p w14:paraId="1C4775FD" w14:textId="08479A89" w:rsidR="008B226A" w:rsidRDefault="00093103">
      <w:pPr>
        <w:pStyle w:val="TOC1"/>
        <w:tabs>
          <w:tab w:val="left" w:pos="440"/>
          <w:tab w:val="right" w:leader="dot" w:pos="9019"/>
        </w:tabs>
        <w:rPr>
          <w:rFonts w:asciiTheme="minorHAnsi" w:eastAsiaTheme="minorEastAsia" w:hAnsiTheme="minorHAnsi" w:cstheme="minorBidi"/>
          <w:b w:val="0"/>
          <w:noProof/>
          <w:szCs w:val="22"/>
          <w:lang w:val="en-US"/>
        </w:rPr>
      </w:pPr>
      <w:r w:rsidRPr="001471C5">
        <w:rPr>
          <w:lang w:val="sq-AL"/>
        </w:rPr>
        <w:fldChar w:fldCharType="begin"/>
      </w:r>
      <w:r w:rsidR="002F09BD" w:rsidRPr="001471C5">
        <w:rPr>
          <w:lang w:val="sq-AL"/>
        </w:rPr>
        <w:instrText xml:space="preserve"> TOC \o "1-3" \h \z \u </w:instrText>
      </w:r>
      <w:r w:rsidRPr="001471C5">
        <w:rPr>
          <w:lang w:val="sq-AL"/>
        </w:rPr>
        <w:fldChar w:fldCharType="separate"/>
      </w:r>
      <w:hyperlink w:anchor="_Toc71118710" w:history="1">
        <w:r w:rsidR="008B226A" w:rsidRPr="007E0397">
          <w:rPr>
            <w:rStyle w:val="Hyperlink"/>
            <w:noProof/>
            <w:lang w:val="sq-AL"/>
          </w:rPr>
          <w:t>1</w:t>
        </w:r>
        <w:r w:rsidR="008B226A">
          <w:rPr>
            <w:rFonts w:asciiTheme="minorHAnsi" w:eastAsiaTheme="minorEastAsia" w:hAnsiTheme="minorHAnsi" w:cstheme="minorBidi"/>
            <w:b w:val="0"/>
            <w:noProof/>
            <w:szCs w:val="22"/>
            <w:lang w:val="en-US"/>
          </w:rPr>
          <w:tab/>
        </w:r>
        <w:r w:rsidR="008B226A" w:rsidRPr="007E0397">
          <w:rPr>
            <w:rStyle w:val="Hyperlink"/>
            <w:noProof/>
            <w:lang w:val="sq-AL"/>
          </w:rPr>
          <w:t>Hyrje</w:t>
        </w:r>
        <w:r w:rsidR="008B226A">
          <w:rPr>
            <w:noProof/>
            <w:webHidden/>
          </w:rPr>
          <w:tab/>
        </w:r>
        <w:r w:rsidR="008B226A">
          <w:rPr>
            <w:noProof/>
            <w:webHidden/>
          </w:rPr>
          <w:fldChar w:fldCharType="begin"/>
        </w:r>
        <w:r w:rsidR="008B226A">
          <w:rPr>
            <w:noProof/>
            <w:webHidden/>
          </w:rPr>
          <w:instrText xml:space="preserve"> PAGEREF _Toc71118710 \h </w:instrText>
        </w:r>
        <w:r w:rsidR="008B226A">
          <w:rPr>
            <w:noProof/>
            <w:webHidden/>
          </w:rPr>
        </w:r>
        <w:r w:rsidR="008B226A">
          <w:rPr>
            <w:noProof/>
            <w:webHidden/>
          </w:rPr>
          <w:fldChar w:fldCharType="separate"/>
        </w:r>
        <w:r w:rsidR="008B226A">
          <w:rPr>
            <w:noProof/>
            <w:webHidden/>
          </w:rPr>
          <w:t>3</w:t>
        </w:r>
        <w:r w:rsidR="008B226A">
          <w:rPr>
            <w:noProof/>
            <w:webHidden/>
          </w:rPr>
          <w:fldChar w:fldCharType="end"/>
        </w:r>
      </w:hyperlink>
    </w:p>
    <w:p w14:paraId="7C861FE2" w14:textId="34A387AF" w:rsidR="008B226A" w:rsidRDefault="009C31E3">
      <w:pPr>
        <w:pStyle w:val="TOC1"/>
        <w:tabs>
          <w:tab w:val="left" w:pos="440"/>
          <w:tab w:val="right" w:leader="dot" w:pos="9019"/>
        </w:tabs>
        <w:rPr>
          <w:rFonts w:asciiTheme="minorHAnsi" w:eastAsiaTheme="minorEastAsia" w:hAnsiTheme="minorHAnsi" w:cstheme="minorBidi"/>
          <w:b w:val="0"/>
          <w:noProof/>
          <w:szCs w:val="22"/>
          <w:lang w:val="en-US"/>
        </w:rPr>
      </w:pPr>
      <w:hyperlink w:anchor="_Toc71118711" w:history="1">
        <w:r w:rsidR="008B226A" w:rsidRPr="007E0397">
          <w:rPr>
            <w:rStyle w:val="Hyperlink"/>
            <w:noProof/>
            <w:lang w:val="sq-AL"/>
          </w:rPr>
          <w:t>2</w:t>
        </w:r>
        <w:r w:rsidR="008B226A">
          <w:rPr>
            <w:rFonts w:asciiTheme="minorHAnsi" w:eastAsiaTheme="minorEastAsia" w:hAnsiTheme="minorHAnsi" w:cstheme="minorBidi"/>
            <w:b w:val="0"/>
            <w:noProof/>
            <w:szCs w:val="22"/>
            <w:lang w:val="en-US"/>
          </w:rPr>
          <w:tab/>
        </w:r>
        <w:r w:rsidR="008B226A" w:rsidRPr="007E0397">
          <w:rPr>
            <w:rStyle w:val="Hyperlink"/>
            <w:noProof/>
            <w:lang w:val="sq-AL"/>
          </w:rPr>
          <w:t>Përshtatja e të Hyrave të Lejuara Maksimale</w:t>
        </w:r>
        <w:r w:rsidR="008B226A">
          <w:rPr>
            <w:noProof/>
            <w:webHidden/>
          </w:rPr>
          <w:tab/>
        </w:r>
        <w:r w:rsidR="008B226A">
          <w:rPr>
            <w:noProof/>
            <w:webHidden/>
          </w:rPr>
          <w:fldChar w:fldCharType="begin"/>
        </w:r>
        <w:r w:rsidR="008B226A">
          <w:rPr>
            <w:noProof/>
            <w:webHidden/>
          </w:rPr>
          <w:instrText xml:space="preserve"> PAGEREF _Toc71118711 \h </w:instrText>
        </w:r>
        <w:r w:rsidR="008B226A">
          <w:rPr>
            <w:noProof/>
            <w:webHidden/>
          </w:rPr>
        </w:r>
        <w:r w:rsidR="008B226A">
          <w:rPr>
            <w:noProof/>
            <w:webHidden/>
          </w:rPr>
          <w:fldChar w:fldCharType="separate"/>
        </w:r>
        <w:r w:rsidR="008B226A">
          <w:rPr>
            <w:noProof/>
            <w:webHidden/>
          </w:rPr>
          <w:t>4</w:t>
        </w:r>
        <w:r w:rsidR="008B226A">
          <w:rPr>
            <w:noProof/>
            <w:webHidden/>
          </w:rPr>
          <w:fldChar w:fldCharType="end"/>
        </w:r>
      </w:hyperlink>
    </w:p>
    <w:p w14:paraId="40820B0D" w14:textId="77D220D0" w:rsidR="008B226A" w:rsidRDefault="009C31E3">
      <w:pPr>
        <w:pStyle w:val="TOC1"/>
        <w:tabs>
          <w:tab w:val="left" w:pos="440"/>
          <w:tab w:val="right" w:leader="dot" w:pos="9019"/>
        </w:tabs>
        <w:rPr>
          <w:rFonts w:asciiTheme="minorHAnsi" w:eastAsiaTheme="minorEastAsia" w:hAnsiTheme="minorHAnsi" w:cstheme="minorBidi"/>
          <w:b w:val="0"/>
          <w:noProof/>
          <w:szCs w:val="22"/>
          <w:lang w:val="en-US"/>
        </w:rPr>
      </w:pPr>
      <w:hyperlink w:anchor="_Toc71118712" w:history="1">
        <w:r w:rsidR="008B226A" w:rsidRPr="007E0397">
          <w:rPr>
            <w:rStyle w:val="Hyperlink"/>
            <w:noProof/>
            <w:lang w:val="sq-AL"/>
          </w:rPr>
          <w:t>3</w:t>
        </w:r>
        <w:r w:rsidR="008B226A">
          <w:rPr>
            <w:rFonts w:asciiTheme="minorHAnsi" w:eastAsiaTheme="minorEastAsia" w:hAnsiTheme="minorHAnsi" w:cstheme="minorBidi"/>
            <w:b w:val="0"/>
            <w:noProof/>
            <w:szCs w:val="22"/>
            <w:lang w:val="en-US"/>
          </w:rPr>
          <w:tab/>
        </w:r>
        <w:r w:rsidR="008B226A" w:rsidRPr="007E0397">
          <w:rPr>
            <w:rStyle w:val="Hyperlink"/>
            <w:noProof/>
            <w:lang w:val="sq-AL"/>
          </w:rPr>
          <w:t>Bilanci i Energjisë</w:t>
        </w:r>
        <w:r w:rsidR="008B226A">
          <w:rPr>
            <w:noProof/>
            <w:webHidden/>
          </w:rPr>
          <w:tab/>
        </w:r>
        <w:r w:rsidR="008B226A">
          <w:rPr>
            <w:noProof/>
            <w:webHidden/>
          </w:rPr>
          <w:fldChar w:fldCharType="begin"/>
        </w:r>
        <w:r w:rsidR="008B226A">
          <w:rPr>
            <w:noProof/>
            <w:webHidden/>
          </w:rPr>
          <w:instrText xml:space="preserve"> PAGEREF _Toc71118712 \h </w:instrText>
        </w:r>
        <w:r w:rsidR="008B226A">
          <w:rPr>
            <w:noProof/>
            <w:webHidden/>
          </w:rPr>
        </w:r>
        <w:r w:rsidR="008B226A">
          <w:rPr>
            <w:noProof/>
            <w:webHidden/>
          </w:rPr>
          <w:fldChar w:fldCharType="separate"/>
        </w:r>
        <w:r w:rsidR="008B226A">
          <w:rPr>
            <w:noProof/>
            <w:webHidden/>
          </w:rPr>
          <w:t>4</w:t>
        </w:r>
        <w:r w:rsidR="008B226A">
          <w:rPr>
            <w:noProof/>
            <w:webHidden/>
          </w:rPr>
          <w:fldChar w:fldCharType="end"/>
        </w:r>
      </w:hyperlink>
    </w:p>
    <w:p w14:paraId="57EEC591" w14:textId="6582EF50" w:rsidR="008B226A" w:rsidRDefault="009C31E3">
      <w:pPr>
        <w:pStyle w:val="TOC2"/>
        <w:tabs>
          <w:tab w:val="left" w:pos="880"/>
          <w:tab w:val="right" w:leader="dot" w:pos="9019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71118713" w:history="1">
        <w:r w:rsidR="008B226A" w:rsidRPr="007E0397">
          <w:rPr>
            <w:rStyle w:val="Hyperlink"/>
            <w:noProof/>
          </w:rPr>
          <w:t>3.1</w:t>
        </w:r>
        <w:r w:rsidR="008B226A">
          <w:rPr>
            <w:rFonts w:asciiTheme="minorHAnsi" w:eastAsiaTheme="minorEastAsia" w:hAnsiTheme="minorHAnsi" w:cstheme="minorBidi"/>
            <w:noProof/>
            <w:szCs w:val="22"/>
            <w:lang w:val="en-US"/>
          </w:rPr>
          <w:tab/>
        </w:r>
        <w:r w:rsidR="008B226A" w:rsidRPr="007E0397">
          <w:rPr>
            <w:rStyle w:val="Hyperlink"/>
            <w:noProof/>
          </w:rPr>
          <w:t>Vlerësimi i Bilancit të Energjisë Elektrike të Realizuar dhe të Parashikuar</w:t>
        </w:r>
        <w:r w:rsidR="008B226A">
          <w:rPr>
            <w:noProof/>
            <w:webHidden/>
          </w:rPr>
          <w:tab/>
        </w:r>
        <w:r w:rsidR="008B226A">
          <w:rPr>
            <w:noProof/>
            <w:webHidden/>
          </w:rPr>
          <w:fldChar w:fldCharType="begin"/>
        </w:r>
        <w:r w:rsidR="008B226A">
          <w:rPr>
            <w:noProof/>
            <w:webHidden/>
          </w:rPr>
          <w:instrText xml:space="preserve"> PAGEREF _Toc71118713 \h </w:instrText>
        </w:r>
        <w:r w:rsidR="008B226A">
          <w:rPr>
            <w:noProof/>
            <w:webHidden/>
          </w:rPr>
        </w:r>
        <w:r w:rsidR="008B226A">
          <w:rPr>
            <w:noProof/>
            <w:webHidden/>
          </w:rPr>
          <w:fldChar w:fldCharType="separate"/>
        </w:r>
        <w:r w:rsidR="008B226A">
          <w:rPr>
            <w:noProof/>
            <w:webHidden/>
          </w:rPr>
          <w:t>5</w:t>
        </w:r>
        <w:r w:rsidR="008B226A">
          <w:rPr>
            <w:noProof/>
            <w:webHidden/>
          </w:rPr>
          <w:fldChar w:fldCharType="end"/>
        </w:r>
      </w:hyperlink>
    </w:p>
    <w:p w14:paraId="7E1E2F54" w14:textId="3712079F" w:rsidR="008B226A" w:rsidRDefault="009C31E3">
      <w:pPr>
        <w:pStyle w:val="TOC1"/>
        <w:tabs>
          <w:tab w:val="left" w:pos="440"/>
          <w:tab w:val="right" w:leader="dot" w:pos="9019"/>
        </w:tabs>
        <w:rPr>
          <w:rFonts w:asciiTheme="minorHAnsi" w:eastAsiaTheme="minorEastAsia" w:hAnsiTheme="minorHAnsi" w:cstheme="minorBidi"/>
          <w:b w:val="0"/>
          <w:noProof/>
          <w:szCs w:val="22"/>
          <w:lang w:val="en-US"/>
        </w:rPr>
      </w:pPr>
      <w:hyperlink w:anchor="_Toc71118714" w:history="1">
        <w:r w:rsidR="008B226A" w:rsidRPr="007E0397">
          <w:rPr>
            <w:rStyle w:val="Hyperlink"/>
            <w:noProof/>
            <w:lang w:val="sq-AL"/>
          </w:rPr>
          <w:t>4</w:t>
        </w:r>
        <w:r w:rsidR="008B226A">
          <w:rPr>
            <w:rFonts w:asciiTheme="minorHAnsi" w:eastAsiaTheme="minorEastAsia" w:hAnsiTheme="minorHAnsi" w:cstheme="minorBidi"/>
            <w:b w:val="0"/>
            <w:noProof/>
            <w:szCs w:val="22"/>
            <w:lang w:val="en-US"/>
          </w:rPr>
          <w:tab/>
        </w:r>
        <w:r w:rsidR="008B226A" w:rsidRPr="007E0397">
          <w:rPr>
            <w:rStyle w:val="Hyperlink"/>
            <w:noProof/>
            <w:lang w:val="sq-AL"/>
          </w:rPr>
          <w:t>Përshtatjet e rregullta</w:t>
        </w:r>
        <w:r w:rsidR="008B226A">
          <w:rPr>
            <w:noProof/>
            <w:webHidden/>
          </w:rPr>
          <w:tab/>
        </w:r>
        <w:r w:rsidR="008B226A">
          <w:rPr>
            <w:noProof/>
            <w:webHidden/>
          </w:rPr>
          <w:fldChar w:fldCharType="begin"/>
        </w:r>
        <w:r w:rsidR="008B226A">
          <w:rPr>
            <w:noProof/>
            <w:webHidden/>
          </w:rPr>
          <w:instrText xml:space="preserve"> PAGEREF _Toc71118714 \h </w:instrText>
        </w:r>
        <w:r w:rsidR="008B226A">
          <w:rPr>
            <w:noProof/>
            <w:webHidden/>
          </w:rPr>
        </w:r>
        <w:r w:rsidR="008B226A">
          <w:rPr>
            <w:noProof/>
            <w:webHidden/>
          </w:rPr>
          <w:fldChar w:fldCharType="separate"/>
        </w:r>
        <w:r w:rsidR="008B226A">
          <w:rPr>
            <w:noProof/>
            <w:webHidden/>
          </w:rPr>
          <w:t>6</w:t>
        </w:r>
        <w:r w:rsidR="008B226A">
          <w:rPr>
            <w:noProof/>
            <w:webHidden/>
          </w:rPr>
          <w:fldChar w:fldCharType="end"/>
        </w:r>
      </w:hyperlink>
    </w:p>
    <w:p w14:paraId="670A99AE" w14:textId="1103AE49" w:rsidR="008B226A" w:rsidRDefault="009C31E3">
      <w:pPr>
        <w:pStyle w:val="TOC2"/>
        <w:tabs>
          <w:tab w:val="left" w:pos="880"/>
          <w:tab w:val="right" w:leader="dot" w:pos="9019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71118715" w:history="1">
        <w:r w:rsidR="008B226A" w:rsidRPr="007E0397">
          <w:rPr>
            <w:rStyle w:val="Hyperlink"/>
            <w:noProof/>
          </w:rPr>
          <w:t>4.1</w:t>
        </w:r>
        <w:r w:rsidR="008B226A">
          <w:rPr>
            <w:rFonts w:asciiTheme="minorHAnsi" w:eastAsiaTheme="minorEastAsia" w:hAnsiTheme="minorHAnsi" w:cstheme="minorBidi"/>
            <w:noProof/>
            <w:szCs w:val="22"/>
            <w:lang w:val="en-US"/>
          </w:rPr>
          <w:tab/>
        </w:r>
        <w:r w:rsidR="008B226A" w:rsidRPr="007E0397">
          <w:rPr>
            <w:rStyle w:val="Hyperlink"/>
            <w:noProof/>
          </w:rPr>
          <w:t>Përshtatjet për normën e inflacionit</w:t>
        </w:r>
        <w:r w:rsidR="008B226A">
          <w:rPr>
            <w:noProof/>
            <w:webHidden/>
          </w:rPr>
          <w:tab/>
        </w:r>
        <w:r w:rsidR="008B226A">
          <w:rPr>
            <w:noProof/>
            <w:webHidden/>
          </w:rPr>
          <w:fldChar w:fldCharType="begin"/>
        </w:r>
        <w:r w:rsidR="008B226A">
          <w:rPr>
            <w:noProof/>
            <w:webHidden/>
          </w:rPr>
          <w:instrText xml:space="preserve"> PAGEREF _Toc71118715 \h </w:instrText>
        </w:r>
        <w:r w:rsidR="008B226A">
          <w:rPr>
            <w:noProof/>
            <w:webHidden/>
          </w:rPr>
        </w:r>
        <w:r w:rsidR="008B226A">
          <w:rPr>
            <w:noProof/>
            <w:webHidden/>
          </w:rPr>
          <w:fldChar w:fldCharType="separate"/>
        </w:r>
        <w:r w:rsidR="008B226A">
          <w:rPr>
            <w:noProof/>
            <w:webHidden/>
          </w:rPr>
          <w:t>6</w:t>
        </w:r>
        <w:r w:rsidR="008B226A">
          <w:rPr>
            <w:noProof/>
            <w:webHidden/>
          </w:rPr>
          <w:fldChar w:fldCharType="end"/>
        </w:r>
      </w:hyperlink>
    </w:p>
    <w:p w14:paraId="1CB6A545" w14:textId="6B301E71" w:rsidR="008B226A" w:rsidRDefault="009C31E3">
      <w:pPr>
        <w:pStyle w:val="TOC2"/>
        <w:tabs>
          <w:tab w:val="left" w:pos="880"/>
          <w:tab w:val="right" w:leader="dot" w:pos="9019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71118716" w:history="1">
        <w:r w:rsidR="008B226A" w:rsidRPr="007E0397">
          <w:rPr>
            <w:rStyle w:val="Hyperlink"/>
            <w:noProof/>
          </w:rPr>
          <w:t>4.2</w:t>
        </w:r>
        <w:r w:rsidR="008B226A">
          <w:rPr>
            <w:rFonts w:asciiTheme="minorHAnsi" w:eastAsiaTheme="minorEastAsia" w:hAnsiTheme="minorHAnsi" w:cstheme="minorBidi"/>
            <w:noProof/>
            <w:szCs w:val="22"/>
            <w:lang w:val="en-US"/>
          </w:rPr>
          <w:tab/>
        </w:r>
        <w:r w:rsidR="008B226A" w:rsidRPr="007E0397">
          <w:rPr>
            <w:rStyle w:val="Hyperlink"/>
            <w:noProof/>
          </w:rPr>
          <w:t>Përshtatjet tjera në OPEX</w:t>
        </w:r>
        <w:r w:rsidR="008B226A">
          <w:rPr>
            <w:noProof/>
            <w:webHidden/>
          </w:rPr>
          <w:tab/>
        </w:r>
        <w:r w:rsidR="008B226A">
          <w:rPr>
            <w:noProof/>
            <w:webHidden/>
          </w:rPr>
          <w:fldChar w:fldCharType="begin"/>
        </w:r>
        <w:r w:rsidR="008B226A">
          <w:rPr>
            <w:noProof/>
            <w:webHidden/>
          </w:rPr>
          <w:instrText xml:space="preserve"> PAGEREF _Toc71118716 \h </w:instrText>
        </w:r>
        <w:r w:rsidR="008B226A">
          <w:rPr>
            <w:noProof/>
            <w:webHidden/>
          </w:rPr>
        </w:r>
        <w:r w:rsidR="008B226A">
          <w:rPr>
            <w:noProof/>
            <w:webHidden/>
          </w:rPr>
          <w:fldChar w:fldCharType="separate"/>
        </w:r>
        <w:r w:rsidR="008B226A">
          <w:rPr>
            <w:noProof/>
            <w:webHidden/>
          </w:rPr>
          <w:t>6</w:t>
        </w:r>
        <w:r w:rsidR="008B226A">
          <w:rPr>
            <w:noProof/>
            <w:webHidden/>
          </w:rPr>
          <w:fldChar w:fldCharType="end"/>
        </w:r>
      </w:hyperlink>
    </w:p>
    <w:p w14:paraId="25EF019D" w14:textId="6D79287F" w:rsidR="008B226A" w:rsidRDefault="009C31E3">
      <w:pPr>
        <w:pStyle w:val="TOC2"/>
        <w:tabs>
          <w:tab w:val="left" w:pos="880"/>
          <w:tab w:val="right" w:leader="dot" w:pos="9019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71118717" w:history="1">
        <w:r w:rsidR="008B226A" w:rsidRPr="007E0397">
          <w:rPr>
            <w:rStyle w:val="Hyperlink"/>
            <w:noProof/>
          </w:rPr>
          <w:t>4.3</w:t>
        </w:r>
        <w:r w:rsidR="008B226A">
          <w:rPr>
            <w:rFonts w:asciiTheme="minorHAnsi" w:eastAsiaTheme="minorEastAsia" w:hAnsiTheme="minorHAnsi" w:cstheme="minorBidi"/>
            <w:noProof/>
            <w:szCs w:val="22"/>
            <w:lang w:val="en-US"/>
          </w:rPr>
          <w:tab/>
        </w:r>
        <w:r w:rsidR="008B226A" w:rsidRPr="007E0397">
          <w:rPr>
            <w:rStyle w:val="Hyperlink"/>
            <w:noProof/>
          </w:rPr>
          <w:t>Investimet kapitale</w:t>
        </w:r>
        <w:r w:rsidR="008B226A">
          <w:rPr>
            <w:noProof/>
            <w:webHidden/>
          </w:rPr>
          <w:tab/>
        </w:r>
        <w:r w:rsidR="008B226A">
          <w:rPr>
            <w:noProof/>
            <w:webHidden/>
          </w:rPr>
          <w:fldChar w:fldCharType="begin"/>
        </w:r>
        <w:r w:rsidR="008B226A">
          <w:rPr>
            <w:noProof/>
            <w:webHidden/>
          </w:rPr>
          <w:instrText xml:space="preserve"> PAGEREF _Toc71118717 \h </w:instrText>
        </w:r>
        <w:r w:rsidR="008B226A">
          <w:rPr>
            <w:noProof/>
            <w:webHidden/>
          </w:rPr>
        </w:r>
        <w:r w:rsidR="008B226A">
          <w:rPr>
            <w:noProof/>
            <w:webHidden/>
          </w:rPr>
          <w:fldChar w:fldCharType="separate"/>
        </w:r>
        <w:r w:rsidR="008B226A">
          <w:rPr>
            <w:noProof/>
            <w:webHidden/>
          </w:rPr>
          <w:t>7</w:t>
        </w:r>
        <w:r w:rsidR="008B226A">
          <w:rPr>
            <w:noProof/>
            <w:webHidden/>
          </w:rPr>
          <w:fldChar w:fldCharType="end"/>
        </w:r>
      </w:hyperlink>
    </w:p>
    <w:p w14:paraId="5D1DAAB1" w14:textId="44E69765" w:rsidR="008B226A" w:rsidRDefault="009C31E3">
      <w:pPr>
        <w:pStyle w:val="TOC2"/>
        <w:tabs>
          <w:tab w:val="left" w:pos="880"/>
          <w:tab w:val="right" w:leader="dot" w:pos="9019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71118718" w:history="1">
        <w:r w:rsidR="008B226A" w:rsidRPr="007E0397">
          <w:rPr>
            <w:rStyle w:val="Hyperlink"/>
            <w:noProof/>
          </w:rPr>
          <w:t>4.4</w:t>
        </w:r>
        <w:r w:rsidR="008B226A">
          <w:rPr>
            <w:rFonts w:asciiTheme="minorHAnsi" w:eastAsiaTheme="minorEastAsia" w:hAnsiTheme="minorHAnsi" w:cstheme="minorBidi"/>
            <w:noProof/>
            <w:szCs w:val="22"/>
            <w:lang w:val="en-US"/>
          </w:rPr>
          <w:tab/>
        </w:r>
        <w:r w:rsidR="008B226A" w:rsidRPr="007E0397">
          <w:rPr>
            <w:rStyle w:val="Hyperlink"/>
            <w:noProof/>
          </w:rPr>
          <w:t>Faktori ndarës i kursimeve</w:t>
        </w:r>
        <w:r w:rsidR="008B226A">
          <w:rPr>
            <w:noProof/>
            <w:webHidden/>
          </w:rPr>
          <w:tab/>
        </w:r>
        <w:r w:rsidR="008B226A">
          <w:rPr>
            <w:noProof/>
            <w:webHidden/>
          </w:rPr>
          <w:fldChar w:fldCharType="begin"/>
        </w:r>
        <w:r w:rsidR="008B226A">
          <w:rPr>
            <w:noProof/>
            <w:webHidden/>
          </w:rPr>
          <w:instrText xml:space="preserve"> PAGEREF _Toc71118718 \h </w:instrText>
        </w:r>
        <w:r w:rsidR="008B226A">
          <w:rPr>
            <w:noProof/>
            <w:webHidden/>
          </w:rPr>
        </w:r>
        <w:r w:rsidR="008B226A">
          <w:rPr>
            <w:noProof/>
            <w:webHidden/>
          </w:rPr>
          <w:fldChar w:fldCharType="separate"/>
        </w:r>
        <w:r w:rsidR="008B226A">
          <w:rPr>
            <w:noProof/>
            <w:webHidden/>
          </w:rPr>
          <w:t>7</w:t>
        </w:r>
        <w:r w:rsidR="008B226A">
          <w:rPr>
            <w:noProof/>
            <w:webHidden/>
          </w:rPr>
          <w:fldChar w:fldCharType="end"/>
        </w:r>
      </w:hyperlink>
    </w:p>
    <w:p w14:paraId="562A2D27" w14:textId="10BBEC48" w:rsidR="008B226A" w:rsidRDefault="009C31E3">
      <w:pPr>
        <w:pStyle w:val="TOC2"/>
        <w:tabs>
          <w:tab w:val="left" w:pos="880"/>
          <w:tab w:val="right" w:leader="dot" w:pos="9019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71118719" w:history="1">
        <w:r w:rsidR="008B226A" w:rsidRPr="007E0397">
          <w:rPr>
            <w:rStyle w:val="Hyperlink"/>
            <w:noProof/>
          </w:rPr>
          <w:t>4.1</w:t>
        </w:r>
        <w:r w:rsidR="008B226A">
          <w:rPr>
            <w:rFonts w:asciiTheme="minorHAnsi" w:eastAsiaTheme="minorEastAsia" w:hAnsiTheme="minorHAnsi" w:cstheme="minorBidi"/>
            <w:noProof/>
            <w:szCs w:val="22"/>
            <w:lang w:val="en-US"/>
          </w:rPr>
          <w:tab/>
        </w:r>
        <w:r w:rsidR="008B226A" w:rsidRPr="007E0397">
          <w:rPr>
            <w:rStyle w:val="Hyperlink"/>
            <w:noProof/>
          </w:rPr>
          <w:t>Fondi p</w:t>
        </w:r>
        <w:r w:rsidR="008B226A" w:rsidRPr="007E0397">
          <w:rPr>
            <w:rStyle w:val="Hyperlink"/>
            <w:rFonts w:cs="Calibri"/>
            <w:noProof/>
          </w:rPr>
          <w:t>ër</w:t>
        </w:r>
        <w:r w:rsidR="008B226A" w:rsidRPr="007E0397">
          <w:rPr>
            <w:rStyle w:val="Hyperlink"/>
            <w:noProof/>
          </w:rPr>
          <w:t xml:space="preserve"> BRE</w:t>
        </w:r>
        <w:r w:rsidR="008B226A">
          <w:rPr>
            <w:noProof/>
            <w:webHidden/>
          </w:rPr>
          <w:tab/>
        </w:r>
        <w:r w:rsidR="008B226A">
          <w:rPr>
            <w:noProof/>
            <w:webHidden/>
          </w:rPr>
          <w:fldChar w:fldCharType="begin"/>
        </w:r>
        <w:r w:rsidR="008B226A">
          <w:rPr>
            <w:noProof/>
            <w:webHidden/>
          </w:rPr>
          <w:instrText xml:space="preserve"> PAGEREF _Toc71118719 \h </w:instrText>
        </w:r>
        <w:r w:rsidR="008B226A">
          <w:rPr>
            <w:noProof/>
            <w:webHidden/>
          </w:rPr>
        </w:r>
        <w:r w:rsidR="008B226A">
          <w:rPr>
            <w:noProof/>
            <w:webHidden/>
          </w:rPr>
          <w:fldChar w:fldCharType="separate"/>
        </w:r>
        <w:r w:rsidR="008B226A">
          <w:rPr>
            <w:noProof/>
            <w:webHidden/>
          </w:rPr>
          <w:t>7</w:t>
        </w:r>
        <w:r w:rsidR="008B226A">
          <w:rPr>
            <w:noProof/>
            <w:webHidden/>
          </w:rPr>
          <w:fldChar w:fldCharType="end"/>
        </w:r>
      </w:hyperlink>
    </w:p>
    <w:p w14:paraId="2B131DBE" w14:textId="15CD09A7" w:rsidR="008B226A" w:rsidRDefault="009C31E3">
      <w:pPr>
        <w:pStyle w:val="TOC2"/>
        <w:tabs>
          <w:tab w:val="left" w:pos="880"/>
          <w:tab w:val="right" w:leader="dot" w:pos="9019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71118720" w:history="1">
        <w:r w:rsidR="008B226A" w:rsidRPr="007E0397">
          <w:rPr>
            <w:rStyle w:val="Hyperlink"/>
            <w:noProof/>
          </w:rPr>
          <w:t>4.2</w:t>
        </w:r>
        <w:r w:rsidR="008B226A">
          <w:rPr>
            <w:rFonts w:asciiTheme="minorHAnsi" w:eastAsiaTheme="minorEastAsia" w:hAnsiTheme="minorHAnsi" w:cstheme="minorBidi"/>
            <w:noProof/>
            <w:szCs w:val="22"/>
            <w:lang w:val="en-US"/>
          </w:rPr>
          <w:tab/>
        </w:r>
        <w:r w:rsidR="008B226A" w:rsidRPr="007E0397">
          <w:rPr>
            <w:rStyle w:val="Hyperlink"/>
            <w:noProof/>
          </w:rPr>
          <w:t>Përshtatjet e kostove të humbjeve</w:t>
        </w:r>
        <w:r w:rsidR="008B226A">
          <w:rPr>
            <w:noProof/>
            <w:webHidden/>
          </w:rPr>
          <w:tab/>
        </w:r>
        <w:r w:rsidR="008B226A">
          <w:rPr>
            <w:noProof/>
            <w:webHidden/>
          </w:rPr>
          <w:fldChar w:fldCharType="begin"/>
        </w:r>
        <w:r w:rsidR="008B226A">
          <w:rPr>
            <w:noProof/>
            <w:webHidden/>
          </w:rPr>
          <w:instrText xml:space="preserve"> PAGEREF _Toc71118720 \h </w:instrText>
        </w:r>
        <w:r w:rsidR="008B226A">
          <w:rPr>
            <w:noProof/>
            <w:webHidden/>
          </w:rPr>
        </w:r>
        <w:r w:rsidR="008B226A">
          <w:rPr>
            <w:noProof/>
            <w:webHidden/>
          </w:rPr>
          <w:fldChar w:fldCharType="separate"/>
        </w:r>
        <w:r w:rsidR="008B226A">
          <w:rPr>
            <w:noProof/>
            <w:webHidden/>
          </w:rPr>
          <w:t>8</w:t>
        </w:r>
        <w:r w:rsidR="008B226A">
          <w:rPr>
            <w:noProof/>
            <w:webHidden/>
          </w:rPr>
          <w:fldChar w:fldCharType="end"/>
        </w:r>
      </w:hyperlink>
    </w:p>
    <w:p w14:paraId="1768BD12" w14:textId="3E6FDB02" w:rsidR="008B226A" w:rsidRDefault="009C31E3">
      <w:pPr>
        <w:pStyle w:val="TOC2"/>
        <w:tabs>
          <w:tab w:val="left" w:pos="880"/>
          <w:tab w:val="right" w:leader="dot" w:pos="9019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71118721" w:history="1">
        <w:r w:rsidR="008B226A" w:rsidRPr="007E0397">
          <w:rPr>
            <w:rStyle w:val="Hyperlink"/>
            <w:noProof/>
          </w:rPr>
          <w:t>4.3</w:t>
        </w:r>
        <w:r w:rsidR="008B226A">
          <w:rPr>
            <w:rFonts w:asciiTheme="minorHAnsi" w:eastAsiaTheme="minorEastAsia" w:hAnsiTheme="minorHAnsi" w:cstheme="minorBidi"/>
            <w:noProof/>
            <w:szCs w:val="22"/>
            <w:lang w:val="en-US"/>
          </w:rPr>
          <w:tab/>
        </w:r>
        <w:r w:rsidR="008B226A" w:rsidRPr="007E0397">
          <w:rPr>
            <w:rStyle w:val="Hyperlink"/>
            <w:noProof/>
          </w:rPr>
          <w:t>Përshtatjet për të hyrat jo tarifore</w:t>
        </w:r>
        <w:r w:rsidR="008B226A">
          <w:rPr>
            <w:noProof/>
            <w:webHidden/>
          </w:rPr>
          <w:tab/>
        </w:r>
        <w:r w:rsidR="008B226A">
          <w:rPr>
            <w:noProof/>
            <w:webHidden/>
          </w:rPr>
          <w:fldChar w:fldCharType="begin"/>
        </w:r>
        <w:r w:rsidR="008B226A">
          <w:rPr>
            <w:noProof/>
            <w:webHidden/>
          </w:rPr>
          <w:instrText xml:space="preserve"> PAGEREF _Toc71118721 \h </w:instrText>
        </w:r>
        <w:r w:rsidR="008B226A">
          <w:rPr>
            <w:noProof/>
            <w:webHidden/>
          </w:rPr>
        </w:r>
        <w:r w:rsidR="008B226A">
          <w:rPr>
            <w:noProof/>
            <w:webHidden/>
          </w:rPr>
          <w:fldChar w:fldCharType="separate"/>
        </w:r>
        <w:r w:rsidR="008B226A">
          <w:rPr>
            <w:noProof/>
            <w:webHidden/>
          </w:rPr>
          <w:t>9</w:t>
        </w:r>
        <w:r w:rsidR="008B226A">
          <w:rPr>
            <w:noProof/>
            <w:webHidden/>
          </w:rPr>
          <w:fldChar w:fldCharType="end"/>
        </w:r>
      </w:hyperlink>
    </w:p>
    <w:p w14:paraId="282A141D" w14:textId="275BED4B" w:rsidR="008B226A" w:rsidRDefault="009C31E3">
      <w:pPr>
        <w:pStyle w:val="TOC2"/>
        <w:tabs>
          <w:tab w:val="left" w:pos="880"/>
          <w:tab w:val="right" w:leader="dot" w:pos="9019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71118722" w:history="1">
        <w:r w:rsidR="008B226A" w:rsidRPr="007E0397">
          <w:rPr>
            <w:rStyle w:val="Hyperlink"/>
            <w:noProof/>
          </w:rPr>
          <w:t>4.4</w:t>
        </w:r>
        <w:r w:rsidR="008B226A">
          <w:rPr>
            <w:rFonts w:asciiTheme="minorHAnsi" w:eastAsiaTheme="minorEastAsia" w:hAnsiTheme="minorHAnsi" w:cstheme="minorBidi"/>
            <w:noProof/>
            <w:szCs w:val="22"/>
            <w:lang w:val="en-US"/>
          </w:rPr>
          <w:tab/>
        </w:r>
        <w:r w:rsidR="008B226A" w:rsidRPr="007E0397">
          <w:rPr>
            <w:rStyle w:val="Hyperlink"/>
            <w:noProof/>
          </w:rPr>
          <w:t>Përshtatjet për faktorin korrigjues të të hyrave</w:t>
        </w:r>
        <w:r w:rsidR="008B226A">
          <w:rPr>
            <w:noProof/>
            <w:webHidden/>
          </w:rPr>
          <w:tab/>
        </w:r>
        <w:r w:rsidR="008B226A">
          <w:rPr>
            <w:noProof/>
            <w:webHidden/>
          </w:rPr>
          <w:fldChar w:fldCharType="begin"/>
        </w:r>
        <w:r w:rsidR="008B226A">
          <w:rPr>
            <w:noProof/>
            <w:webHidden/>
          </w:rPr>
          <w:instrText xml:space="preserve"> PAGEREF _Toc71118722 \h </w:instrText>
        </w:r>
        <w:r w:rsidR="008B226A">
          <w:rPr>
            <w:noProof/>
            <w:webHidden/>
          </w:rPr>
        </w:r>
        <w:r w:rsidR="008B226A">
          <w:rPr>
            <w:noProof/>
            <w:webHidden/>
          </w:rPr>
          <w:fldChar w:fldCharType="separate"/>
        </w:r>
        <w:r w:rsidR="008B226A">
          <w:rPr>
            <w:noProof/>
            <w:webHidden/>
          </w:rPr>
          <w:t>9</w:t>
        </w:r>
        <w:r w:rsidR="008B226A">
          <w:rPr>
            <w:noProof/>
            <w:webHidden/>
          </w:rPr>
          <w:fldChar w:fldCharType="end"/>
        </w:r>
      </w:hyperlink>
    </w:p>
    <w:p w14:paraId="71525554" w14:textId="3853DF54" w:rsidR="008B226A" w:rsidRDefault="009C31E3">
      <w:pPr>
        <w:pStyle w:val="TOC2"/>
        <w:tabs>
          <w:tab w:val="left" w:pos="880"/>
          <w:tab w:val="right" w:leader="dot" w:pos="9019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71118723" w:history="1">
        <w:r w:rsidR="008B226A" w:rsidRPr="007E0397">
          <w:rPr>
            <w:rStyle w:val="Hyperlink"/>
            <w:noProof/>
            <w:lang w:val="sq-AL"/>
          </w:rPr>
          <w:t>4.5</w:t>
        </w:r>
        <w:r w:rsidR="008B226A">
          <w:rPr>
            <w:rFonts w:asciiTheme="minorHAnsi" w:eastAsiaTheme="minorEastAsia" w:hAnsiTheme="minorHAnsi" w:cstheme="minorBidi"/>
            <w:noProof/>
            <w:szCs w:val="22"/>
            <w:lang w:val="en-US"/>
          </w:rPr>
          <w:tab/>
        </w:r>
        <w:r w:rsidR="008B226A" w:rsidRPr="007E0397">
          <w:rPr>
            <w:rStyle w:val="Hyperlink"/>
            <w:noProof/>
            <w:lang w:val="sq-AL"/>
          </w:rPr>
          <w:t>Kostot e shërbimeve ndihmëse</w:t>
        </w:r>
        <w:r w:rsidR="008B226A">
          <w:rPr>
            <w:noProof/>
            <w:webHidden/>
          </w:rPr>
          <w:tab/>
        </w:r>
        <w:r w:rsidR="008B226A">
          <w:rPr>
            <w:noProof/>
            <w:webHidden/>
          </w:rPr>
          <w:fldChar w:fldCharType="begin"/>
        </w:r>
        <w:r w:rsidR="008B226A">
          <w:rPr>
            <w:noProof/>
            <w:webHidden/>
          </w:rPr>
          <w:instrText xml:space="preserve"> PAGEREF _Toc71118723 \h </w:instrText>
        </w:r>
        <w:r w:rsidR="008B226A">
          <w:rPr>
            <w:noProof/>
            <w:webHidden/>
          </w:rPr>
        </w:r>
        <w:r w:rsidR="008B226A">
          <w:rPr>
            <w:noProof/>
            <w:webHidden/>
          </w:rPr>
          <w:fldChar w:fldCharType="separate"/>
        </w:r>
        <w:r w:rsidR="008B226A">
          <w:rPr>
            <w:noProof/>
            <w:webHidden/>
          </w:rPr>
          <w:t>10</w:t>
        </w:r>
        <w:r w:rsidR="008B226A">
          <w:rPr>
            <w:noProof/>
            <w:webHidden/>
          </w:rPr>
          <w:fldChar w:fldCharType="end"/>
        </w:r>
      </w:hyperlink>
    </w:p>
    <w:p w14:paraId="7EA06B93" w14:textId="27FC0D46" w:rsidR="008B226A" w:rsidRDefault="009C31E3">
      <w:pPr>
        <w:pStyle w:val="TOC1"/>
        <w:tabs>
          <w:tab w:val="left" w:pos="440"/>
          <w:tab w:val="right" w:leader="dot" w:pos="9019"/>
        </w:tabs>
        <w:rPr>
          <w:rFonts w:asciiTheme="minorHAnsi" w:eastAsiaTheme="minorEastAsia" w:hAnsiTheme="minorHAnsi" w:cstheme="minorBidi"/>
          <w:b w:val="0"/>
          <w:noProof/>
          <w:szCs w:val="22"/>
          <w:lang w:val="en-US"/>
        </w:rPr>
      </w:pPr>
      <w:hyperlink w:anchor="_Toc71118724" w:history="1">
        <w:r w:rsidR="008B226A" w:rsidRPr="007E0397">
          <w:rPr>
            <w:rStyle w:val="Hyperlink"/>
            <w:noProof/>
            <w:lang w:val="sq-AL"/>
          </w:rPr>
          <w:t>5</w:t>
        </w:r>
        <w:r w:rsidR="008B226A">
          <w:rPr>
            <w:rFonts w:asciiTheme="minorHAnsi" w:eastAsiaTheme="minorEastAsia" w:hAnsiTheme="minorHAnsi" w:cstheme="minorBidi"/>
            <w:b w:val="0"/>
            <w:noProof/>
            <w:szCs w:val="22"/>
            <w:lang w:val="en-US"/>
          </w:rPr>
          <w:tab/>
        </w:r>
        <w:r w:rsidR="008B226A" w:rsidRPr="007E0397">
          <w:rPr>
            <w:rStyle w:val="Hyperlink"/>
            <w:noProof/>
            <w:lang w:val="sq-AL"/>
          </w:rPr>
          <w:t>Propozimi për të Hyrat e Lejuara Maksimale të OST/OT-së</w:t>
        </w:r>
        <w:r w:rsidR="008B226A">
          <w:rPr>
            <w:noProof/>
            <w:webHidden/>
          </w:rPr>
          <w:tab/>
        </w:r>
        <w:r w:rsidR="008B226A">
          <w:rPr>
            <w:noProof/>
            <w:webHidden/>
          </w:rPr>
          <w:fldChar w:fldCharType="begin"/>
        </w:r>
        <w:r w:rsidR="008B226A">
          <w:rPr>
            <w:noProof/>
            <w:webHidden/>
          </w:rPr>
          <w:instrText xml:space="preserve"> PAGEREF _Toc71118724 \h </w:instrText>
        </w:r>
        <w:r w:rsidR="008B226A">
          <w:rPr>
            <w:noProof/>
            <w:webHidden/>
          </w:rPr>
        </w:r>
        <w:r w:rsidR="008B226A">
          <w:rPr>
            <w:noProof/>
            <w:webHidden/>
          </w:rPr>
          <w:fldChar w:fldCharType="separate"/>
        </w:r>
        <w:r w:rsidR="008B226A">
          <w:rPr>
            <w:noProof/>
            <w:webHidden/>
          </w:rPr>
          <w:t>11</w:t>
        </w:r>
        <w:r w:rsidR="008B226A">
          <w:rPr>
            <w:noProof/>
            <w:webHidden/>
          </w:rPr>
          <w:fldChar w:fldCharType="end"/>
        </w:r>
      </w:hyperlink>
    </w:p>
    <w:p w14:paraId="5D744B25" w14:textId="398AC8D5" w:rsidR="00D93C26" w:rsidRPr="001471C5" w:rsidRDefault="00093103" w:rsidP="002F09BD">
      <w:r w:rsidRPr="001471C5">
        <w:fldChar w:fldCharType="end"/>
      </w:r>
    </w:p>
    <w:p w14:paraId="5173AFAB" w14:textId="77777777" w:rsidR="00D93C26" w:rsidRPr="001471C5" w:rsidRDefault="00D93C26" w:rsidP="00D93C26"/>
    <w:p w14:paraId="5E271C2B" w14:textId="77777777" w:rsidR="00D93C26" w:rsidRPr="001471C5" w:rsidRDefault="00D93C26" w:rsidP="00D93C26"/>
    <w:p w14:paraId="1D7090CA" w14:textId="77777777" w:rsidR="00D93C26" w:rsidRPr="001471C5" w:rsidRDefault="00D93C26" w:rsidP="00D93C26"/>
    <w:p w14:paraId="026F4FD5" w14:textId="77777777" w:rsidR="00D93C26" w:rsidRPr="001471C5" w:rsidRDefault="00D93C26" w:rsidP="00D93C26">
      <w:pPr>
        <w:tabs>
          <w:tab w:val="left" w:pos="2590"/>
        </w:tabs>
      </w:pPr>
      <w:r w:rsidRPr="001471C5">
        <w:tab/>
      </w:r>
    </w:p>
    <w:p w14:paraId="03564592" w14:textId="77777777" w:rsidR="00D93C26" w:rsidRPr="001471C5" w:rsidRDefault="00D93C26" w:rsidP="00D93C26"/>
    <w:p w14:paraId="1FB7A572" w14:textId="77777777" w:rsidR="002F09BD" w:rsidRPr="001471C5" w:rsidRDefault="002F09BD" w:rsidP="00D93C26">
      <w:pPr>
        <w:sectPr w:rsidR="002F09BD" w:rsidRPr="001471C5" w:rsidSect="00917513">
          <w:headerReference w:type="default" r:id="rId10"/>
          <w:footerReference w:type="default" r:id="rId11"/>
          <w:pgSz w:w="11909" w:h="16834" w:code="9"/>
          <w:pgMar w:top="1440" w:right="1440" w:bottom="1440" w:left="1440" w:header="630" w:footer="403" w:gutter="0"/>
          <w:pgNumType w:start="2"/>
          <w:cols w:space="720"/>
          <w:docGrid w:linePitch="360"/>
        </w:sectPr>
      </w:pPr>
    </w:p>
    <w:p w14:paraId="6352C1BF" w14:textId="77777777" w:rsidR="00796658" w:rsidRPr="001471C5" w:rsidRDefault="00177385" w:rsidP="00796658">
      <w:pPr>
        <w:pStyle w:val="Heading1"/>
        <w:rPr>
          <w:b w:val="0"/>
          <w:lang w:val="sq-AL"/>
        </w:rPr>
      </w:pPr>
      <w:bookmarkStart w:id="0" w:name="_Toc71118710"/>
      <w:bookmarkStart w:id="1" w:name="_Toc443247704"/>
      <w:r w:rsidRPr="001471C5">
        <w:rPr>
          <w:lang w:val="sq-AL"/>
        </w:rPr>
        <w:lastRenderedPageBreak/>
        <w:t>Hyrje</w:t>
      </w:r>
      <w:bookmarkEnd w:id="0"/>
    </w:p>
    <w:p w14:paraId="78DFA7F1" w14:textId="2CBFC63A" w:rsidR="00CB03CA" w:rsidRPr="001471C5" w:rsidRDefault="00CB03CA" w:rsidP="00CB03CA">
      <w:pPr>
        <w:jc w:val="both"/>
        <w:rPr>
          <w:rFonts w:cs="Calibri"/>
        </w:rPr>
      </w:pPr>
      <w:r w:rsidRPr="001471C5">
        <w:rPr>
          <w:rFonts w:cs="Calibri"/>
        </w:rPr>
        <w:t>Zyra e Rregullatorit për Energji (ZRRE) aktualisht është duke kryer Përshtatjen e Rregullt Vjetor</w:t>
      </w:r>
      <w:r w:rsidR="00177385" w:rsidRPr="001471C5">
        <w:rPr>
          <w:rFonts w:cs="Calibri"/>
        </w:rPr>
        <w:t>e</w:t>
      </w:r>
      <w:r w:rsidRPr="001471C5">
        <w:rPr>
          <w:rFonts w:cs="Calibri"/>
        </w:rPr>
        <w:t xml:space="preserve"> për të Hyrat e Lejuara Maksimale (MAR) që do të mbulohen nga Kompanitë e Rregulluara. Në këtë proces, ZRRE-ja do të </w:t>
      </w:r>
      <w:r w:rsidR="00177385" w:rsidRPr="001471C5">
        <w:rPr>
          <w:rFonts w:cs="Calibri"/>
        </w:rPr>
        <w:t>bëjë propozimin fillestar për</w:t>
      </w:r>
      <w:r w:rsidRPr="001471C5">
        <w:rPr>
          <w:rFonts w:cs="Calibri"/>
        </w:rPr>
        <w:t xml:space="preserve"> MAR</w:t>
      </w:r>
      <w:r w:rsidR="00177385" w:rsidRPr="001471C5">
        <w:rPr>
          <w:rFonts w:cs="Calibri"/>
        </w:rPr>
        <w:t>-in e</w:t>
      </w:r>
      <w:r w:rsidRPr="001471C5">
        <w:rPr>
          <w:rFonts w:cs="Calibri"/>
        </w:rPr>
        <w:t xml:space="preserve"> azhurnuar për Operatorin e Sistemit të Transmetimit dhe Tregut (OST/OT, KOSTT), Operatorin e Sistemit të Shpërndarjes (</w:t>
      </w:r>
      <w:r w:rsidR="006C6357" w:rsidRPr="001471C5">
        <w:rPr>
          <w:rFonts w:cs="Calibri"/>
        </w:rPr>
        <w:t>OSSH</w:t>
      </w:r>
      <w:r w:rsidRPr="001471C5">
        <w:rPr>
          <w:rFonts w:cs="Calibri"/>
        </w:rPr>
        <w:t>, K</w:t>
      </w:r>
      <w:r w:rsidR="00177385" w:rsidRPr="001471C5">
        <w:rPr>
          <w:rFonts w:cs="Calibri"/>
        </w:rPr>
        <w:t xml:space="preserve">EDS) </w:t>
      </w:r>
      <w:r w:rsidR="006E074A" w:rsidRPr="008E6219">
        <w:rPr>
          <w:rFonts w:cs="Calibri"/>
        </w:rPr>
        <w:t xml:space="preserve">dhe </w:t>
      </w:r>
      <w:r w:rsidR="006E074A">
        <w:rPr>
          <w:rFonts w:cs="Calibri"/>
        </w:rPr>
        <w:t>do të përcaktojë të hyrat e Furnizuesit</w:t>
      </w:r>
      <w:r w:rsidR="006E074A" w:rsidRPr="008E6219">
        <w:rPr>
          <w:rFonts w:cs="Calibri"/>
        </w:rPr>
        <w:t xml:space="preserve"> me Shërbim Universal (FSHU)</w:t>
      </w:r>
      <w:r w:rsidR="00177385" w:rsidRPr="001471C5">
        <w:rPr>
          <w:rFonts w:cs="Calibri"/>
        </w:rPr>
        <w:t>.</w:t>
      </w:r>
      <w:r w:rsidRPr="001471C5">
        <w:rPr>
          <w:rFonts w:cs="Calibri"/>
        </w:rPr>
        <w:t xml:space="preserve"> </w:t>
      </w:r>
      <w:r w:rsidR="00177385" w:rsidRPr="001471C5">
        <w:rPr>
          <w:rFonts w:cs="Calibri"/>
        </w:rPr>
        <w:t>Ky vlerësim fillestar bazohet</w:t>
      </w:r>
      <w:r w:rsidRPr="001471C5">
        <w:rPr>
          <w:rFonts w:cs="Calibri"/>
        </w:rPr>
        <w:t xml:space="preserve"> në propozimet e </w:t>
      </w:r>
      <w:r w:rsidR="005E269A">
        <w:rPr>
          <w:rFonts w:cs="Calibri"/>
        </w:rPr>
        <w:t>paraqit</w:t>
      </w:r>
      <w:r w:rsidR="00177385" w:rsidRPr="001471C5">
        <w:rPr>
          <w:rFonts w:cs="Calibri"/>
        </w:rPr>
        <w:t xml:space="preserve">ura nga </w:t>
      </w:r>
      <w:r w:rsidR="00513445">
        <w:rPr>
          <w:rFonts w:cs="Calibri"/>
        </w:rPr>
        <w:t>ndërmarrjet</w:t>
      </w:r>
      <w:r w:rsidR="005E269A">
        <w:rPr>
          <w:rFonts w:cs="Calibri"/>
        </w:rPr>
        <w:t xml:space="preserve"> e </w:t>
      </w:r>
      <w:r w:rsidR="00177385" w:rsidRPr="001471C5">
        <w:rPr>
          <w:rFonts w:cs="Calibri"/>
        </w:rPr>
        <w:t>rregulluara si dhe vendimet</w:t>
      </w:r>
      <w:r w:rsidRPr="001471C5">
        <w:rPr>
          <w:rFonts w:cs="Calibri"/>
        </w:rPr>
        <w:t xml:space="preserve"> p</w:t>
      </w:r>
      <w:r w:rsidR="00B5734B" w:rsidRPr="001471C5">
        <w:rPr>
          <w:rFonts w:cs="Calibri"/>
        </w:rPr>
        <w:t>ë</w:t>
      </w:r>
      <w:r w:rsidRPr="001471C5">
        <w:rPr>
          <w:rFonts w:cs="Calibri"/>
        </w:rPr>
        <w:t>r T</w:t>
      </w:r>
      <w:r w:rsidR="00B5734B" w:rsidRPr="001471C5">
        <w:rPr>
          <w:rFonts w:cs="Calibri"/>
        </w:rPr>
        <w:t>ë</w:t>
      </w:r>
      <w:r w:rsidRPr="001471C5">
        <w:rPr>
          <w:rFonts w:cs="Calibri"/>
        </w:rPr>
        <w:t xml:space="preserve"> Hyrat e Lejuara Maksimale p</w:t>
      </w:r>
      <w:r w:rsidR="00B5734B" w:rsidRPr="001471C5">
        <w:rPr>
          <w:rFonts w:cs="Calibri"/>
        </w:rPr>
        <w:t>ë</w:t>
      </w:r>
      <w:r w:rsidRPr="001471C5">
        <w:rPr>
          <w:rFonts w:cs="Calibri"/>
        </w:rPr>
        <w:t>r periudh</w:t>
      </w:r>
      <w:r w:rsidR="00B5734B" w:rsidRPr="001471C5">
        <w:rPr>
          <w:rFonts w:cs="Calibri"/>
        </w:rPr>
        <w:t>ë</w:t>
      </w:r>
      <w:r w:rsidRPr="001471C5">
        <w:rPr>
          <w:rFonts w:cs="Calibri"/>
        </w:rPr>
        <w:t xml:space="preserve">n </w:t>
      </w:r>
      <w:proofErr w:type="spellStart"/>
      <w:r w:rsidRPr="001471C5">
        <w:rPr>
          <w:rFonts w:cs="Calibri"/>
        </w:rPr>
        <w:t>rregullative</w:t>
      </w:r>
      <w:proofErr w:type="spellEnd"/>
      <w:r w:rsidRPr="001471C5">
        <w:rPr>
          <w:rFonts w:cs="Calibri"/>
        </w:rPr>
        <w:t xml:space="preserve"> 2018-2022</w:t>
      </w:r>
      <w:r w:rsidR="00193AA8">
        <w:rPr>
          <w:rFonts w:cs="Calibri"/>
        </w:rPr>
        <w:t xml:space="preserve"> për OST/OT dhe OSSH</w:t>
      </w:r>
      <w:r w:rsidR="00193AA8" w:rsidRPr="008E6219">
        <w:rPr>
          <w:rFonts w:cs="Calibri"/>
        </w:rPr>
        <w:t>.</w:t>
      </w:r>
      <w:r w:rsidRPr="001471C5">
        <w:rPr>
          <w:rFonts w:cs="Calibri"/>
        </w:rPr>
        <w:t xml:space="preserve"> </w:t>
      </w:r>
    </w:p>
    <w:p w14:paraId="373AD21F" w14:textId="198FBE10" w:rsidR="00CB03CA" w:rsidRPr="001471C5" w:rsidRDefault="00CB03CA" w:rsidP="00CB03CA">
      <w:pPr>
        <w:jc w:val="both"/>
        <w:rPr>
          <w:rFonts w:cs="Calibri"/>
        </w:rPr>
      </w:pPr>
      <w:r w:rsidRPr="001471C5">
        <w:rPr>
          <w:rFonts w:cs="Calibri"/>
        </w:rPr>
        <w:t>Rregullimi i Çmimit është mjet që përdoret nga ZRRE në mënyrë që të përcaktohen Të Hyrat e Lejuara Maksimale – MAR, të cilat Kompanitë e Rregulluara do t</w:t>
      </w:r>
      <w:r w:rsidR="005E269A">
        <w:rPr>
          <w:rFonts w:cs="Calibri"/>
        </w:rPr>
        <w:t>’</w:t>
      </w:r>
      <w:r w:rsidRPr="001471C5">
        <w:rPr>
          <w:rFonts w:cs="Calibri"/>
        </w:rPr>
        <w:t>i mbledhin për ofrimin e shërbimeve të rregulluara. MAR caktohet në nivelin që mundëson të lice</w:t>
      </w:r>
      <w:r w:rsidR="00177385" w:rsidRPr="001471C5">
        <w:rPr>
          <w:rFonts w:cs="Calibri"/>
        </w:rPr>
        <w:t>ncuarit e rregulluar t’i mbuloj</w:t>
      </w:r>
      <w:r w:rsidRPr="001471C5">
        <w:rPr>
          <w:rFonts w:cs="Calibri"/>
        </w:rPr>
        <w:t xml:space="preserve">ë kostot e arsyeshme operative dhe të mirëmbajtjes së </w:t>
      </w:r>
      <w:proofErr w:type="spellStart"/>
      <w:r w:rsidRPr="001471C5">
        <w:rPr>
          <w:rFonts w:cs="Calibri"/>
        </w:rPr>
        <w:t>aseteve</w:t>
      </w:r>
      <w:proofErr w:type="spellEnd"/>
      <w:r w:rsidRPr="001471C5">
        <w:rPr>
          <w:rFonts w:cs="Calibri"/>
        </w:rPr>
        <w:t xml:space="preserve"> të tyre dhe të realizojnë kthim të arsyeshëm në investimet e tyre. Gjithashtu, ZRRE</w:t>
      </w:r>
      <w:r w:rsidR="0089662A" w:rsidRPr="001471C5">
        <w:rPr>
          <w:rFonts w:cs="Calibri"/>
        </w:rPr>
        <w:t xml:space="preserve"> përcakton caqe të efikasitetit dhe caqet p</w:t>
      </w:r>
      <w:r w:rsidR="00995A0D" w:rsidRPr="001471C5">
        <w:rPr>
          <w:rFonts w:cs="Calibri"/>
        </w:rPr>
        <w:t>ë</w:t>
      </w:r>
      <w:r w:rsidR="0089662A" w:rsidRPr="001471C5">
        <w:rPr>
          <w:rFonts w:cs="Calibri"/>
        </w:rPr>
        <w:t>r zvog</w:t>
      </w:r>
      <w:r w:rsidR="00995A0D" w:rsidRPr="001471C5">
        <w:rPr>
          <w:rFonts w:cs="Calibri"/>
        </w:rPr>
        <w:t>ë</w:t>
      </w:r>
      <w:r w:rsidR="0089662A" w:rsidRPr="001471C5">
        <w:rPr>
          <w:rFonts w:cs="Calibri"/>
        </w:rPr>
        <w:t>limin e humbjeve, p</w:t>
      </w:r>
      <w:r w:rsidR="00995A0D" w:rsidRPr="001471C5">
        <w:rPr>
          <w:rFonts w:cs="Calibri"/>
        </w:rPr>
        <w:t>ë</w:t>
      </w:r>
      <w:r w:rsidR="0089662A" w:rsidRPr="001471C5">
        <w:rPr>
          <w:rFonts w:cs="Calibri"/>
        </w:rPr>
        <w:t>rmir</w:t>
      </w:r>
      <w:r w:rsidR="00995A0D" w:rsidRPr="001471C5">
        <w:rPr>
          <w:rFonts w:cs="Calibri"/>
        </w:rPr>
        <w:t>ë</w:t>
      </w:r>
      <w:r w:rsidR="0089662A" w:rsidRPr="001471C5">
        <w:rPr>
          <w:rFonts w:cs="Calibri"/>
        </w:rPr>
        <w:t xml:space="preserve">simin e </w:t>
      </w:r>
      <w:proofErr w:type="spellStart"/>
      <w:r w:rsidR="0089662A" w:rsidRPr="001471C5">
        <w:rPr>
          <w:rFonts w:cs="Calibri"/>
        </w:rPr>
        <w:t>p</w:t>
      </w:r>
      <w:r w:rsidR="00995A0D" w:rsidRPr="001471C5">
        <w:rPr>
          <w:rFonts w:cs="Calibri"/>
        </w:rPr>
        <w:t>e</w:t>
      </w:r>
      <w:r w:rsidR="0089662A" w:rsidRPr="001471C5">
        <w:rPr>
          <w:rFonts w:cs="Calibri"/>
        </w:rPr>
        <w:t>rforma</w:t>
      </w:r>
      <w:r w:rsidR="000F24A8" w:rsidRPr="001471C5">
        <w:rPr>
          <w:rFonts w:cs="Calibri"/>
        </w:rPr>
        <w:t>n</w:t>
      </w:r>
      <w:r w:rsidR="0089662A" w:rsidRPr="001471C5">
        <w:rPr>
          <w:rFonts w:cs="Calibri"/>
        </w:rPr>
        <w:t>c</w:t>
      </w:r>
      <w:r w:rsidR="00995A0D" w:rsidRPr="001471C5">
        <w:rPr>
          <w:rFonts w:cs="Calibri"/>
        </w:rPr>
        <w:t>ë</w:t>
      </w:r>
      <w:r w:rsidR="0089662A" w:rsidRPr="001471C5">
        <w:rPr>
          <w:rFonts w:cs="Calibri"/>
        </w:rPr>
        <w:t>s</w:t>
      </w:r>
      <w:proofErr w:type="spellEnd"/>
      <w:r w:rsidR="0089662A" w:rsidRPr="001471C5">
        <w:rPr>
          <w:rFonts w:cs="Calibri"/>
        </w:rPr>
        <w:t xml:space="preserve"> </w:t>
      </w:r>
      <w:r w:rsidRPr="001471C5">
        <w:rPr>
          <w:rFonts w:cs="Calibri"/>
        </w:rPr>
        <w:t>të cilat synojnë ngritjen e efikasitetit operativ të ko</w:t>
      </w:r>
      <w:r w:rsidR="00177385" w:rsidRPr="001471C5">
        <w:rPr>
          <w:rFonts w:cs="Calibri"/>
        </w:rPr>
        <w:t>mpanive dhe të ofrojnë nxitje</w:t>
      </w:r>
      <w:r w:rsidRPr="001471C5">
        <w:rPr>
          <w:rFonts w:cs="Calibri"/>
        </w:rPr>
        <w:t xml:space="preserve"> për arritjen e caqeve apo ndëshkime nëse kompanitë dështojnë t’i arrijnë ato. </w:t>
      </w:r>
    </w:p>
    <w:p w14:paraId="669BB59E" w14:textId="06B3BF2F" w:rsidR="00CB03CA" w:rsidRDefault="00CB03CA" w:rsidP="00CB03CA">
      <w:pPr>
        <w:jc w:val="both"/>
        <w:rPr>
          <w:rFonts w:cs="Calibri"/>
        </w:rPr>
      </w:pPr>
      <w:r w:rsidRPr="001471C5">
        <w:rPr>
          <w:rFonts w:cs="Calibri"/>
        </w:rPr>
        <w:t>Vlerat bazë për komponentët e MAR janë përcaktuar në Shqyrtimin Periodik të bërë në vitin 2018 dhe mbesin të vlefshme për një periudhë pes</w:t>
      </w:r>
      <w:r w:rsidR="00B5734B" w:rsidRPr="001471C5">
        <w:rPr>
          <w:rFonts w:cs="Calibri"/>
        </w:rPr>
        <w:t>ë</w:t>
      </w:r>
      <w:r w:rsidRPr="001471C5">
        <w:rPr>
          <w:rFonts w:cs="Calibri"/>
        </w:rPr>
        <w:t>vjeçare. Shqyrtimi aktual ka të bëjë me vlerësimin e propozi</w:t>
      </w:r>
      <w:r w:rsidR="00177385" w:rsidRPr="001471C5">
        <w:rPr>
          <w:rFonts w:cs="Calibri"/>
        </w:rPr>
        <w:t>meve për MAR</w:t>
      </w:r>
      <w:r w:rsidR="006E074A">
        <w:rPr>
          <w:rFonts w:cs="Calibri"/>
        </w:rPr>
        <w:t>-in</w:t>
      </w:r>
      <w:r w:rsidR="00177385" w:rsidRPr="001471C5">
        <w:rPr>
          <w:rFonts w:cs="Calibri"/>
        </w:rPr>
        <w:t xml:space="preserve"> të paraqitura nga k</w:t>
      </w:r>
      <w:r w:rsidRPr="001471C5">
        <w:rPr>
          <w:rFonts w:cs="Calibri"/>
        </w:rPr>
        <w:t xml:space="preserve">ompanitë e </w:t>
      </w:r>
      <w:r w:rsidR="00177385" w:rsidRPr="001471C5">
        <w:rPr>
          <w:rFonts w:cs="Calibri"/>
        </w:rPr>
        <w:t>r</w:t>
      </w:r>
      <w:r w:rsidRPr="001471C5">
        <w:rPr>
          <w:rFonts w:cs="Calibri"/>
        </w:rPr>
        <w:t>regulluara</w:t>
      </w:r>
      <w:r w:rsidR="0089662A" w:rsidRPr="001471C5">
        <w:rPr>
          <w:rFonts w:cs="Calibri"/>
        </w:rPr>
        <w:t>, duke marr</w:t>
      </w:r>
      <w:r w:rsidR="00995A0D" w:rsidRPr="001471C5">
        <w:rPr>
          <w:rFonts w:cs="Calibri"/>
        </w:rPr>
        <w:t>ë</w:t>
      </w:r>
      <w:r w:rsidR="0089662A" w:rsidRPr="001471C5">
        <w:rPr>
          <w:rFonts w:cs="Calibri"/>
        </w:rPr>
        <w:t xml:space="preserve"> n</w:t>
      </w:r>
      <w:r w:rsidR="00995A0D" w:rsidRPr="001471C5">
        <w:rPr>
          <w:rFonts w:cs="Calibri"/>
        </w:rPr>
        <w:t>ë</w:t>
      </w:r>
      <w:r w:rsidR="0089662A" w:rsidRPr="001471C5">
        <w:rPr>
          <w:rFonts w:cs="Calibri"/>
        </w:rPr>
        <w:t xml:space="preserve"> konsiderat</w:t>
      </w:r>
      <w:r w:rsidR="00995A0D" w:rsidRPr="001471C5">
        <w:rPr>
          <w:rFonts w:cs="Calibri"/>
        </w:rPr>
        <w:t>ë</w:t>
      </w:r>
      <w:r w:rsidR="0089662A" w:rsidRPr="001471C5">
        <w:rPr>
          <w:rFonts w:cs="Calibri"/>
        </w:rPr>
        <w:t xml:space="preserve"> edhe t</w:t>
      </w:r>
      <w:r w:rsidR="00995A0D" w:rsidRPr="001471C5">
        <w:rPr>
          <w:rFonts w:cs="Calibri"/>
        </w:rPr>
        <w:t>ë</w:t>
      </w:r>
      <w:r w:rsidR="0089662A" w:rsidRPr="001471C5">
        <w:rPr>
          <w:rFonts w:cs="Calibri"/>
        </w:rPr>
        <w:t xml:space="preserve"> dh</w:t>
      </w:r>
      <w:r w:rsidR="00995A0D" w:rsidRPr="001471C5">
        <w:rPr>
          <w:rFonts w:cs="Calibri"/>
        </w:rPr>
        <w:t>ë</w:t>
      </w:r>
      <w:r w:rsidR="0089662A" w:rsidRPr="001471C5">
        <w:rPr>
          <w:rFonts w:cs="Calibri"/>
        </w:rPr>
        <w:t>nat aktuale t</w:t>
      </w:r>
      <w:r w:rsidR="00995A0D" w:rsidRPr="001471C5">
        <w:rPr>
          <w:rFonts w:cs="Calibri"/>
        </w:rPr>
        <w:t>ë</w:t>
      </w:r>
      <w:r w:rsidR="006E074A">
        <w:rPr>
          <w:rFonts w:cs="Calibri"/>
        </w:rPr>
        <w:t xml:space="preserve"> vitit 2020</w:t>
      </w:r>
      <w:r w:rsidR="0089662A" w:rsidRPr="001471C5">
        <w:rPr>
          <w:rFonts w:cs="Calibri"/>
        </w:rPr>
        <w:t>, n</w:t>
      </w:r>
      <w:r w:rsidR="00995A0D" w:rsidRPr="001471C5">
        <w:rPr>
          <w:rFonts w:cs="Calibri"/>
        </w:rPr>
        <w:t>ë</w:t>
      </w:r>
      <w:r w:rsidR="0089662A" w:rsidRPr="001471C5">
        <w:rPr>
          <w:rFonts w:cs="Calibri"/>
        </w:rPr>
        <w:t xml:space="preserve"> m</w:t>
      </w:r>
      <w:r w:rsidR="00995A0D" w:rsidRPr="001471C5">
        <w:rPr>
          <w:rFonts w:cs="Calibri"/>
        </w:rPr>
        <w:t>ë</w:t>
      </w:r>
      <w:r w:rsidR="0089662A" w:rsidRPr="001471C5">
        <w:rPr>
          <w:rFonts w:cs="Calibri"/>
        </w:rPr>
        <w:t>nyr</w:t>
      </w:r>
      <w:r w:rsidR="00995A0D" w:rsidRPr="001471C5">
        <w:rPr>
          <w:rFonts w:cs="Calibri"/>
        </w:rPr>
        <w:t>ë</w:t>
      </w:r>
      <w:r w:rsidR="0089662A" w:rsidRPr="001471C5">
        <w:rPr>
          <w:rFonts w:cs="Calibri"/>
        </w:rPr>
        <w:t xml:space="preserve"> q</w:t>
      </w:r>
      <w:r w:rsidR="00995A0D" w:rsidRPr="001471C5">
        <w:rPr>
          <w:rFonts w:cs="Calibri"/>
        </w:rPr>
        <w:t>ë</w:t>
      </w:r>
      <w:r w:rsidR="0089662A" w:rsidRPr="001471C5">
        <w:rPr>
          <w:rFonts w:cs="Calibri"/>
        </w:rPr>
        <w:t xml:space="preserve"> t</w:t>
      </w:r>
      <w:r w:rsidR="00995A0D" w:rsidRPr="001471C5">
        <w:rPr>
          <w:rFonts w:cs="Calibri"/>
        </w:rPr>
        <w:t>ë</w:t>
      </w:r>
      <w:r w:rsidR="0089662A" w:rsidRPr="001471C5">
        <w:rPr>
          <w:rFonts w:cs="Calibri"/>
        </w:rPr>
        <w:t xml:space="preserve"> vijm</w:t>
      </w:r>
      <w:r w:rsidR="00995A0D" w:rsidRPr="001471C5">
        <w:rPr>
          <w:rFonts w:cs="Calibri"/>
        </w:rPr>
        <w:t>ë</w:t>
      </w:r>
      <w:r w:rsidR="0089662A" w:rsidRPr="001471C5">
        <w:rPr>
          <w:rFonts w:cs="Calibri"/>
        </w:rPr>
        <w:t xml:space="preserve"> deri te p</w:t>
      </w:r>
      <w:r w:rsidR="00995A0D" w:rsidRPr="001471C5">
        <w:rPr>
          <w:rFonts w:cs="Calibri"/>
        </w:rPr>
        <w:t>ë</w:t>
      </w:r>
      <w:r w:rsidR="0089662A" w:rsidRPr="001471C5">
        <w:rPr>
          <w:rFonts w:cs="Calibri"/>
        </w:rPr>
        <w:t>rcaktimi i t</w:t>
      </w:r>
      <w:r w:rsidR="00995A0D" w:rsidRPr="001471C5">
        <w:rPr>
          <w:rFonts w:cs="Calibri"/>
        </w:rPr>
        <w:t>ë</w:t>
      </w:r>
      <w:r w:rsidR="0089662A" w:rsidRPr="001471C5">
        <w:rPr>
          <w:rFonts w:cs="Calibri"/>
        </w:rPr>
        <w:t xml:space="preserve"> hyrave p</w:t>
      </w:r>
      <w:r w:rsidR="00995A0D" w:rsidRPr="001471C5">
        <w:rPr>
          <w:rFonts w:cs="Calibri"/>
        </w:rPr>
        <w:t>ë</w:t>
      </w:r>
      <w:r w:rsidR="0089662A" w:rsidRPr="001471C5">
        <w:rPr>
          <w:rFonts w:cs="Calibri"/>
        </w:rPr>
        <w:t xml:space="preserve">r vitin </w:t>
      </w:r>
      <w:r w:rsidRPr="001471C5">
        <w:rPr>
          <w:rFonts w:cs="Calibri"/>
        </w:rPr>
        <w:t xml:space="preserve"> relevant tarifor 20</w:t>
      </w:r>
      <w:r w:rsidR="006E074A">
        <w:rPr>
          <w:rFonts w:cs="Calibri"/>
        </w:rPr>
        <w:t>21</w:t>
      </w:r>
      <w:r w:rsidRPr="001471C5">
        <w:rPr>
          <w:rFonts w:cs="Calibri"/>
        </w:rPr>
        <w:t>. Ky shqyrtim vlerëson nëse propozimet e të licencuarve janë llo</w:t>
      </w:r>
      <w:r w:rsidR="00193AA8">
        <w:rPr>
          <w:rFonts w:cs="Calibri"/>
        </w:rPr>
        <w:t xml:space="preserve">garitur në përputhje me </w:t>
      </w:r>
      <w:proofErr w:type="spellStart"/>
      <w:r w:rsidR="00193AA8">
        <w:rPr>
          <w:rFonts w:cs="Calibri"/>
        </w:rPr>
        <w:t>kornizen</w:t>
      </w:r>
      <w:proofErr w:type="spellEnd"/>
      <w:r w:rsidRPr="001471C5">
        <w:rPr>
          <w:rFonts w:cs="Calibri"/>
        </w:rPr>
        <w:t xml:space="preserve"> ligjore</w:t>
      </w:r>
      <w:r w:rsidR="00193AA8">
        <w:rPr>
          <w:rFonts w:cs="Calibri"/>
        </w:rPr>
        <w:t xml:space="preserve"> dhe </w:t>
      </w:r>
      <w:proofErr w:type="spellStart"/>
      <w:r w:rsidR="00193AA8">
        <w:rPr>
          <w:rFonts w:cs="Calibri"/>
        </w:rPr>
        <w:t>rregullative</w:t>
      </w:r>
      <w:proofErr w:type="spellEnd"/>
      <w:r w:rsidRPr="001471C5">
        <w:rPr>
          <w:rFonts w:cs="Calibri"/>
        </w:rPr>
        <w:t>.</w:t>
      </w:r>
    </w:p>
    <w:p w14:paraId="5E86271B" w14:textId="77777777" w:rsidR="00193AA8" w:rsidRPr="001471C5" w:rsidRDefault="00193AA8" w:rsidP="00193AA8">
      <w:pPr>
        <w:jc w:val="both"/>
        <w:rPr>
          <w:rFonts w:cs="Calibri"/>
        </w:rPr>
      </w:pPr>
      <w:r>
        <w:rPr>
          <w:rFonts w:cs="Calibri"/>
        </w:rPr>
        <w:t xml:space="preserve">Procesi i përshtatjeve për vitin relevant tarifor 2021 përfshin periudhën deri 31mars 2022, por duke marr parasysh mungesën e Bordit, procesi i tillë është </w:t>
      </w:r>
      <w:proofErr w:type="spellStart"/>
      <w:r>
        <w:rPr>
          <w:rFonts w:cs="Calibri"/>
        </w:rPr>
        <w:t>shtyer</w:t>
      </w:r>
      <w:proofErr w:type="spellEnd"/>
      <w:r>
        <w:rPr>
          <w:rFonts w:cs="Calibri"/>
        </w:rPr>
        <w:t xml:space="preserve">. Vonesa e marrjes së vendimeve për të Hyrat e Lejuara Maksimale dhe të tarifave për këtë vit relevant tarifor, do të </w:t>
      </w:r>
      <w:proofErr w:type="spellStart"/>
      <w:r>
        <w:rPr>
          <w:rFonts w:cs="Calibri"/>
        </w:rPr>
        <w:t>azhustohet</w:t>
      </w:r>
      <w:proofErr w:type="spellEnd"/>
      <w:r>
        <w:rPr>
          <w:rFonts w:cs="Calibri"/>
        </w:rPr>
        <w:t xml:space="preserve"> në vitin e ardhshëm relevant tarifor 2022.</w:t>
      </w:r>
    </w:p>
    <w:p w14:paraId="111DD266" w14:textId="77777777" w:rsidR="006E074A" w:rsidRDefault="00CB03CA" w:rsidP="00CB03CA">
      <w:pPr>
        <w:jc w:val="both"/>
        <w:rPr>
          <w:rFonts w:cs="Calibri"/>
        </w:rPr>
      </w:pPr>
      <w:r w:rsidRPr="001471C5">
        <w:rPr>
          <w:rFonts w:cs="Calibri"/>
        </w:rPr>
        <w:t xml:space="preserve">ZRRE fton kompanitë e </w:t>
      </w:r>
      <w:r w:rsidR="00327460" w:rsidRPr="001471C5">
        <w:rPr>
          <w:rFonts w:cs="Calibri"/>
        </w:rPr>
        <w:t>licenc</w:t>
      </w:r>
      <w:r w:rsidRPr="001471C5">
        <w:rPr>
          <w:rFonts w:cs="Calibri"/>
        </w:rPr>
        <w:t>uara, konsumatorët dhe të gjitha palët tjera të interesit, që të japin kontributin e tyre në këtë proces, duke shqyrtuar dhe komentuar të dhënat dhe pikëpamjet e p</w:t>
      </w:r>
      <w:r w:rsidR="009513E8" w:rsidRPr="001471C5">
        <w:rPr>
          <w:rFonts w:cs="Calibri"/>
        </w:rPr>
        <w:t>araqitura në këtë Raport Konsul</w:t>
      </w:r>
      <w:r w:rsidRPr="001471C5">
        <w:rPr>
          <w:rFonts w:cs="Calibri"/>
        </w:rPr>
        <w:t>tativ, në mënyrë që vlerësimi të jetë i saktë për të Hyrat e Lejuara Maksimale për Operatorin e Sistemit të Transmetimi dhe Tregut</w:t>
      </w:r>
      <w:r w:rsidR="00AA5A6E" w:rsidRPr="001471C5">
        <w:rPr>
          <w:rFonts w:cs="Calibri"/>
        </w:rPr>
        <w:t xml:space="preserve"> (</w:t>
      </w:r>
      <w:r w:rsidR="00AA5A6E" w:rsidRPr="001471C5">
        <w:t>OST/OT)</w:t>
      </w:r>
      <w:r w:rsidRPr="001471C5">
        <w:rPr>
          <w:rFonts w:cs="Calibri"/>
        </w:rPr>
        <w:t>.</w:t>
      </w:r>
      <w:r w:rsidR="002F4A59" w:rsidRPr="001471C5">
        <w:rPr>
          <w:rFonts w:cs="Calibri"/>
        </w:rPr>
        <w:t xml:space="preserve"> K</w:t>
      </w:r>
      <w:r w:rsidR="00995A0D" w:rsidRPr="001471C5">
        <w:rPr>
          <w:rFonts w:cs="Calibri"/>
        </w:rPr>
        <w:t>ë</w:t>
      </w:r>
      <w:r w:rsidR="002F4A59" w:rsidRPr="001471C5">
        <w:rPr>
          <w:rFonts w:cs="Calibri"/>
        </w:rPr>
        <w:t>to raporte duhet t</w:t>
      </w:r>
      <w:r w:rsidR="00995A0D" w:rsidRPr="001471C5">
        <w:rPr>
          <w:rFonts w:cs="Calibri"/>
        </w:rPr>
        <w:t>ë</w:t>
      </w:r>
      <w:r w:rsidR="002F4A59" w:rsidRPr="001471C5">
        <w:rPr>
          <w:rFonts w:cs="Calibri"/>
        </w:rPr>
        <w:t xml:space="preserve"> analizohen, duke ju referuar gjithashtu edhe raporteve p</w:t>
      </w:r>
      <w:r w:rsidR="00995A0D" w:rsidRPr="001471C5">
        <w:rPr>
          <w:rFonts w:cs="Calibri"/>
        </w:rPr>
        <w:t>ë</w:t>
      </w:r>
      <w:r w:rsidR="002F4A59" w:rsidRPr="001471C5">
        <w:rPr>
          <w:rFonts w:cs="Calibri"/>
        </w:rPr>
        <w:t>rfundimtare t</w:t>
      </w:r>
      <w:r w:rsidR="00995A0D" w:rsidRPr="001471C5">
        <w:rPr>
          <w:rFonts w:cs="Calibri"/>
        </w:rPr>
        <w:t>ë</w:t>
      </w:r>
      <w:r w:rsidR="002F4A59" w:rsidRPr="001471C5">
        <w:rPr>
          <w:rFonts w:cs="Calibri"/>
        </w:rPr>
        <w:t xml:space="preserve"> Shqyrtimit Periodik 2018-2022.</w:t>
      </w:r>
      <w:r w:rsidR="006E074A">
        <w:rPr>
          <w:rFonts w:cs="Calibri"/>
        </w:rPr>
        <w:t xml:space="preserve"> </w:t>
      </w:r>
      <w:bookmarkStart w:id="2" w:name="_GoBack"/>
      <w:bookmarkEnd w:id="2"/>
    </w:p>
    <w:p w14:paraId="768018B6" w14:textId="01402F02" w:rsidR="00CB03CA" w:rsidRPr="001471C5" w:rsidRDefault="00CB03CA" w:rsidP="00CB03CA">
      <w:pPr>
        <w:jc w:val="both"/>
        <w:rPr>
          <w:rFonts w:cs="Calibri"/>
        </w:rPr>
      </w:pPr>
      <w:r w:rsidRPr="001471C5">
        <w:rPr>
          <w:rFonts w:cs="Calibri"/>
        </w:rPr>
        <w:t xml:space="preserve">Palët të cilat dëshirojnë të paraqesin komentet e tyre eventuale rreth propozimeve të ZRRE-së ftohen që të dorëzojnë komentet e tyre me shkrim në postën elektronike </w:t>
      </w:r>
      <w:hyperlink r:id="rId12" w:history="1">
        <w:r w:rsidRPr="001471C5">
          <w:rPr>
            <w:rStyle w:val="Hyperlink"/>
            <w:rFonts w:cs="Calibri"/>
          </w:rPr>
          <w:t>ero.pricing-tariffs@ero-ks.org</w:t>
        </w:r>
      </w:hyperlink>
      <w:r w:rsidRPr="001471C5">
        <w:rPr>
          <w:rFonts w:cs="Calibri"/>
        </w:rPr>
        <w:t xml:space="preserve"> jo më vonë se </w:t>
      </w:r>
      <w:r w:rsidR="003312AF" w:rsidRPr="003312AF">
        <w:rPr>
          <w:rFonts w:cs="Calibri"/>
        </w:rPr>
        <w:t>0</w:t>
      </w:r>
      <w:r w:rsidR="00960CB7">
        <w:rPr>
          <w:rFonts w:cs="Calibri"/>
        </w:rPr>
        <w:t>7</w:t>
      </w:r>
      <w:r w:rsidR="003312AF" w:rsidRPr="003312AF">
        <w:rPr>
          <w:rFonts w:cs="Calibri"/>
        </w:rPr>
        <w:t xml:space="preserve"> s</w:t>
      </w:r>
      <w:r w:rsidR="00FA362F" w:rsidRPr="003312AF">
        <w:rPr>
          <w:rFonts w:cs="Calibri"/>
        </w:rPr>
        <w:t xml:space="preserve">htator </w:t>
      </w:r>
      <w:r w:rsidRPr="003312AF">
        <w:rPr>
          <w:rFonts w:cs="Calibri"/>
        </w:rPr>
        <w:t>20</w:t>
      </w:r>
      <w:r w:rsidR="00953A22" w:rsidRPr="003312AF">
        <w:rPr>
          <w:rFonts w:cs="Calibri"/>
        </w:rPr>
        <w:t>2</w:t>
      </w:r>
      <w:r w:rsidR="005E269A" w:rsidRPr="003312AF">
        <w:rPr>
          <w:rFonts w:cs="Calibri"/>
        </w:rPr>
        <w:t>1</w:t>
      </w:r>
      <w:r w:rsidRPr="001471C5">
        <w:rPr>
          <w:rFonts w:cs="Calibri"/>
        </w:rPr>
        <w:t>.</w:t>
      </w:r>
      <w:r w:rsidRPr="003312AF">
        <w:rPr>
          <w:rFonts w:cs="Calibri"/>
        </w:rPr>
        <w:t xml:space="preserve"> </w:t>
      </w:r>
      <w:r w:rsidRPr="001471C5">
        <w:rPr>
          <w:rFonts w:cs="Calibri"/>
        </w:rPr>
        <w:t>Gjithashtu,</w:t>
      </w:r>
      <w:r w:rsidRPr="001471C5">
        <w:rPr>
          <w:rFonts w:cs="Calibri"/>
          <w:b/>
        </w:rPr>
        <w:t xml:space="preserve"> </w:t>
      </w:r>
      <w:r w:rsidRPr="001471C5">
        <w:rPr>
          <w:rFonts w:cs="Calibri"/>
        </w:rPr>
        <w:t>komentet mund të dërgohen me postë në</w:t>
      </w:r>
      <w:r w:rsidR="00327460" w:rsidRPr="001471C5">
        <w:rPr>
          <w:rFonts w:cs="Calibri"/>
        </w:rPr>
        <w:t xml:space="preserve"> adresën</w:t>
      </w:r>
      <w:r w:rsidRPr="001471C5">
        <w:rPr>
          <w:rFonts w:cs="Calibri"/>
        </w:rPr>
        <w:t>:</w:t>
      </w:r>
    </w:p>
    <w:p w14:paraId="2B410477" w14:textId="77777777" w:rsidR="00C00E24" w:rsidRPr="001471C5" w:rsidRDefault="00C00E24" w:rsidP="00C00E24">
      <w:pPr>
        <w:spacing w:after="0" w:line="240" w:lineRule="auto"/>
        <w:rPr>
          <w:rFonts w:cs="Calibri"/>
          <w:i/>
        </w:rPr>
      </w:pPr>
      <w:r w:rsidRPr="001471C5">
        <w:rPr>
          <w:rFonts w:cs="Calibri"/>
          <w:i/>
        </w:rPr>
        <w:t>Zyra e Rregullatorit për Energji</w:t>
      </w:r>
    </w:p>
    <w:p w14:paraId="785516EE" w14:textId="77777777" w:rsidR="00C00E24" w:rsidRPr="001471C5" w:rsidRDefault="00C00E24" w:rsidP="00C00E24">
      <w:pPr>
        <w:spacing w:after="0" w:line="240" w:lineRule="auto"/>
        <w:rPr>
          <w:rFonts w:cs="Calibri"/>
          <w:i/>
        </w:rPr>
      </w:pPr>
      <w:r w:rsidRPr="001471C5">
        <w:rPr>
          <w:rFonts w:cs="Calibri"/>
          <w:i/>
        </w:rPr>
        <w:t xml:space="preserve">Departamenti për Tarifa dhe </w:t>
      </w:r>
      <w:r w:rsidRPr="001471C5">
        <w:rPr>
          <w:rFonts w:cs="Calibri"/>
          <w:i/>
          <w:caps/>
        </w:rPr>
        <w:t>ç</w:t>
      </w:r>
      <w:r w:rsidRPr="001471C5">
        <w:rPr>
          <w:rFonts w:cs="Calibri"/>
          <w:i/>
        </w:rPr>
        <w:t>mime</w:t>
      </w:r>
    </w:p>
    <w:p w14:paraId="735D9029" w14:textId="77777777" w:rsidR="00C00E24" w:rsidRPr="001471C5" w:rsidRDefault="00C00E24" w:rsidP="00C00E24">
      <w:pPr>
        <w:jc w:val="both"/>
        <w:rPr>
          <w:rFonts w:cs="Calibri"/>
          <w:i/>
        </w:rPr>
      </w:pPr>
      <w:r w:rsidRPr="001471C5">
        <w:rPr>
          <w:rFonts w:cs="Calibri"/>
          <w:i/>
        </w:rPr>
        <w:t xml:space="preserve">Rr. Dervish </w:t>
      </w:r>
      <w:proofErr w:type="spellStart"/>
      <w:r w:rsidRPr="001471C5">
        <w:rPr>
          <w:rFonts w:cs="Calibri"/>
          <w:i/>
        </w:rPr>
        <w:t>Rozhaja</w:t>
      </w:r>
      <w:proofErr w:type="spellEnd"/>
      <w:r w:rsidRPr="001471C5">
        <w:rPr>
          <w:rFonts w:cs="Calibri"/>
          <w:i/>
        </w:rPr>
        <w:t xml:space="preserve"> Nr. 12, Prishtinë, 10000, Kosovë</w:t>
      </w:r>
    </w:p>
    <w:p w14:paraId="67705DB8" w14:textId="77777777" w:rsidR="00F45C51" w:rsidRPr="001471C5" w:rsidRDefault="00C00E24" w:rsidP="00F45C51">
      <w:pPr>
        <w:rPr>
          <w:rFonts w:cs="Calibri"/>
          <w:b/>
        </w:rPr>
      </w:pPr>
      <w:r w:rsidRPr="001471C5">
        <w:rPr>
          <w:rFonts w:cs="Calibri"/>
        </w:rPr>
        <w:t xml:space="preserve"> </w:t>
      </w:r>
      <w:r w:rsidR="000727D3" w:rsidRPr="001471C5">
        <w:rPr>
          <w:rFonts w:cs="Calibri"/>
        </w:rPr>
        <w:t xml:space="preserve">  </w:t>
      </w:r>
      <w:r w:rsidR="00F45C51" w:rsidRPr="001471C5">
        <w:rPr>
          <w:rFonts w:cs="Calibri"/>
          <w:b/>
        </w:rPr>
        <w:t>Do</w:t>
      </w:r>
      <w:r w:rsidR="009513E8" w:rsidRPr="001471C5">
        <w:rPr>
          <w:rFonts w:cs="Calibri"/>
          <w:b/>
        </w:rPr>
        <w:t>k</w:t>
      </w:r>
      <w:r w:rsidR="00F45C51" w:rsidRPr="001471C5">
        <w:rPr>
          <w:rFonts w:cs="Calibri"/>
          <w:b/>
        </w:rPr>
        <w:t>umentet relevante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041"/>
      </w:tblGrid>
      <w:tr w:rsidR="00F45C51" w:rsidRPr="005E269A" w14:paraId="4FBAB7B7" w14:textId="77777777" w:rsidTr="00CB03CA">
        <w:tc>
          <w:tcPr>
            <w:tcW w:w="4248" w:type="dxa"/>
            <w:shd w:val="clear" w:color="auto" w:fill="auto"/>
          </w:tcPr>
          <w:p w14:paraId="5CC83A2D" w14:textId="77777777" w:rsidR="00F45C51" w:rsidRPr="003312AF" w:rsidRDefault="00F45C51" w:rsidP="00CB03CA">
            <w:pPr>
              <w:spacing w:before="120" w:after="0" w:line="240" w:lineRule="auto"/>
              <w:rPr>
                <w:rFonts w:cs="Calibri"/>
              </w:rPr>
            </w:pPr>
            <w:r w:rsidRPr="003312AF">
              <w:rPr>
                <w:rFonts w:cs="Calibri"/>
              </w:rPr>
              <w:lastRenderedPageBreak/>
              <w:t xml:space="preserve">Vlerësimi përfundimtar i MAR të OST/OT në kuadër të procesit të Shqyrtimit Periodik – Vlerësim i detajuar </w:t>
            </w:r>
          </w:p>
        </w:tc>
        <w:tc>
          <w:tcPr>
            <w:tcW w:w="5041" w:type="dxa"/>
            <w:shd w:val="clear" w:color="auto" w:fill="auto"/>
          </w:tcPr>
          <w:p w14:paraId="086CC47D" w14:textId="77777777" w:rsidR="00F45C51" w:rsidRPr="003312AF" w:rsidRDefault="00BB393A" w:rsidP="00CB03CA">
            <w:pPr>
              <w:spacing w:before="120" w:after="0" w:line="240" w:lineRule="auto"/>
              <w:rPr>
                <w:rFonts w:cs="Calibri"/>
                <w:b/>
              </w:rPr>
            </w:pPr>
            <w:r w:rsidRPr="003312AF">
              <w:t>http://ero-ks.org/2018/Raportet/Pergjigje%20ndaj%20komenteve%20te%20KOSTT_PRR2_final.pdf</w:t>
            </w:r>
            <w:r w:rsidR="00F45C51" w:rsidRPr="003312AF">
              <w:t xml:space="preserve"> </w:t>
            </w:r>
          </w:p>
        </w:tc>
      </w:tr>
      <w:tr w:rsidR="00BB393A" w:rsidRPr="001471C5" w14:paraId="2E0BDA67" w14:textId="77777777" w:rsidTr="00CB03CA">
        <w:tc>
          <w:tcPr>
            <w:tcW w:w="4248" w:type="dxa"/>
            <w:shd w:val="clear" w:color="auto" w:fill="auto"/>
          </w:tcPr>
          <w:p w14:paraId="4926CC2F" w14:textId="77777777" w:rsidR="00BB393A" w:rsidRPr="003312AF" w:rsidRDefault="00BB393A" w:rsidP="00CB03CA">
            <w:pPr>
              <w:spacing w:before="120" w:after="0" w:line="240" w:lineRule="auto"/>
              <w:rPr>
                <w:rFonts w:cs="Calibri"/>
              </w:rPr>
            </w:pPr>
            <w:r w:rsidRPr="003312AF">
              <w:rPr>
                <w:rFonts w:cs="Calibri"/>
              </w:rPr>
              <w:t>Aplikimi tarifor i KOSTT për vitin 20</w:t>
            </w:r>
            <w:r w:rsidR="002F4A59" w:rsidRPr="003312AF">
              <w:rPr>
                <w:rFonts w:cs="Calibri"/>
              </w:rPr>
              <w:t>20</w:t>
            </w:r>
          </w:p>
        </w:tc>
        <w:tc>
          <w:tcPr>
            <w:tcW w:w="5041" w:type="dxa"/>
            <w:shd w:val="clear" w:color="auto" w:fill="auto"/>
          </w:tcPr>
          <w:p w14:paraId="707405B5" w14:textId="5A9186DE" w:rsidR="00BB393A" w:rsidRPr="003312AF" w:rsidRDefault="003312AF" w:rsidP="00CB03CA">
            <w:pPr>
              <w:spacing w:before="120" w:after="0" w:line="240" w:lineRule="auto"/>
            </w:pPr>
            <w:r w:rsidRPr="003312AF">
              <w:t>https://www.ero-ks.org/zrre/sites/default/files/Konsultimet%20Publike/Aplikacioni_%20p%C3%ABrshtetjet%20vjetore%202021_%20KOSTT.pdf</w:t>
            </w:r>
          </w:p>
        </w:tc>
      </w:tr>
    </w:tbl>
    <w:p w14:paraId="17C67FC1" w14:textId="77777777" w:rsidR="00CB03CA" w:rsidRPr="001471C5" w:rsidRDefault="00CB03CA" w:rsidP="00796658">
      <w:pPr>
        <w:jc w:val="both"/>
        <w:rPr>
          <w:rFonts w:cs="Calibri"/>
        </w:rPr>
      </w:pPr>
    </w:p>
    <w:p w14:paraId="351FDCE4" w14:textId="77777777" w:rsidR="000B5C57" w:rsidRPr="001471C5" w:rsidRDefault="000B5C57" w:rsidP="000B5C57">
      <w:pPr>
        <w:pStyle w:val="Heading1"/>
        <w:rPr>
          <w:lang w:val="sq-AL"/>
        </w:rPr>
      </w:pPr>
      <w:bookmarkStart w:id="3" w:name="_Toc71118711"/>
      <w:r w:rsidRPr="001471C5">
        <w:rPr>
          <w:lang w:val="sq-AL"/>
        </w:rPr>
        <w:t>Përshtatja e të Hyrave të Lejuara Maksimale</w:t>
      </w:r>
      <w:bookmarkEnd w:id="3"/>
    </w:p>
    <w:p w14:paraId="2269DF23" w14:textId="30ECF2E6" w:rsidR="000B5C57" w:rsidRPr="001471C5" w:rsidRDefault="00327460" w:rsidP="000B5C57">
      <w:pPr>
        <w:jc w:val="both"/>
        <w:rPr>
          <w:rFonts w:cs="Calibri"/>
        </w:rPr>
      </w:pPr>
      <w:r w:rsidRPr="001471C5">
        <w:rPr>
          <w:rFonts w:cs="Calibri"/>
        </w:rPr>
        <w:t>B</w:t>
      </w:r>
      <w:r w:rsidR="000B5C57" w:rsidRPr="001471C5">
        <w:rPr>
          <w:rFonts w:cs="Calibri"/>
        </w:rPr>
        <w:t xml:space="preserve">azuar në Rregullën për Vendosjen e </w:t>
      </w:r>
      <w:r w:rsidR="00BB393A" w:rsidRPr="001471C5">
        <w:rPr>
          <w:rFonts w:cs="Calibri"/>
        </w:rPr>
        <w:t>të Hyrave</w:t>
      </w:r>
      <w:r w:rsidR="000B5C57" w:rsidRPr="001471C5">
        <w:rPr>
          <w:rFonts w:cs="Calibri"/>
        </w:rPr>
        <w:t xml:space="preserve"> për OST/OT, </w:t>
      </w:r>
      <w:r w:rsidRPr="001471C5">
        <w:rPr>
          <w:rFonts w:cs="Calibri"/>
        </w:rPr>
        <w:t xml:space="preserve">ZRRE </w:t>
      </w:r>
      <w:r w:rsidR="000B5C57" w:rsidRPr="001471C5">
        <w:rPr>
          <w:rFonts w:cs="Calibri"/>
        </w:rPr>
        <w:t>ka analizuar me kujdes të gjith</w:t>
      </w:r>
      <w:r w:rsidR="00995A0D" w:rsidRPr="001471C5">
        <w:rPr>
          <w:rFonts w:cs="Calibri"/>
        </w:rPr>
        <w:t>ë</w:t>
      </w:r>
      <w:r w:rsidR="000B5C57" w:rsidRPr="001471C5">
        <w:rPr>
          <w:rFonts w:cs="Calibri"/>
        </w:rPr>
        <w:t xml:space="preserve"> </w:t>
      </w:r>
      <w:r w:rsidR="00995A0D" w:rsidRPr="001471C5">
        <w:rPr>
          <w:rFonts w:cs="Calibri"/>
        </w:rPr>
        <w:t>komponentët</w:t>
      </w:r>
      <w:r w:rsidR="000B5C57" w:rsidRPr="001471C5">
        <w:rPr>
          <w:rFonts w:cs="Calibri"/>
        </w:rPr>
        <w:t xml:space="preserve"> e kostove dhe kërkesat e të licencuarit</w:t>
      </w:r>
      <w:r w:rsidR="000509C4" w:rsidRPr="001471C5">
        <w:rPr>
          <w:rFonts w:cs="Calibri"/>
        </w:rPr>
        <w:t xml:space="preserve"> t</w:t>
      </w:r>
      <w:r w:rsidR="00F430FF" w:rsidRPr="001471C5">
        <w:rPr>
          <w:rFonts w:cs="Calibri"/>
        </w:rPr>
        <w:t>ë</w:t>
      </w:r>
      <w:r w:rsidR="000509C4" w:rsidRPr="001471C5">
        <w:rPr>
          <w:rFonts w:cs="Calibri"/>
        </w:rPr>
        <w:t xml:space="preserve"> paraqitura n</w:t>
      </w:r>
      <w:r w:rsidR="00F430FF" w:rsidRPr="001471C5">
        <w:rPr>
          <w:rFonts w:cs="Calibri"/>
        </w:rPr>
        <w:t>ë</w:t>
      </w:r>
      <w:r w:rsidRPr="001471C5">
        <w:rPr>
          <w:rFonts w:cs="Calibri"/>
        </w:rPr>
        <w:t xml:space="preserve"> aplikacionin</w:t>
      </w:r>
      <w:r w:rsidR="000509C4" w:rsidRPr="001471C5">
        <w:rPr>
          <w:rFonts w:cs="Calibri"/>
        </w:rPr>
        <w:t xml:space="preserve"> e </w:t>
      </w:r>
      <w:r w:rsidRPr="001471C5">
        <w:rPr>
          <w:rFonts w:cs="Calibri"/>
        </w:rPr>
        <w:t>tij</w:t>
      </w:r>
      <w:r w:rsidR="000509C4" w:rsidRPr="001471C5">
        <w:rPr>
          <w:rFonts w:cs="Calibri"/>
        </w:rPr>
        <w:t xml:space="preserve"> p</w:t>
      </w:r>
      <w:r w:rsidR="00F430FF" w:rsidRPr="001471C5">
        <w:rPr>
          <w:rFonts w:cs="Calibri"/>
        </w:rPr>
        <w:t>ë</w:t>
      </w:r>
      <w:r w:rsidR="000509C4" w:rsidRPr="001471C5">
        <w:rPr>
          <w:rFonts w:cs="Calibri"/>
        </w:rPr>
        <w:t>r t</w:t>
      </w:r>
      <w:r w:rsidR="00F430FF" w:rsidRPr="001471C5">
        <w:rPr>
          <w:rFonts w:cs="Calibri"/>
        </w:rPr>
        <w:t>ë</w:t>
      </w:r>
      <w:r w:rsidR="000509C4" w:rsidRPr="001471C5">
        <w:rPr>
          <w:rFonts w:cs="Calibri"/>
        </w:rPr>
        <w:t xml:space="preserve"> Hyrat e Lejuara Maksimale</w:t>
      </w:r>
      <w:r w:rsidR="00905B3F">
        <w:rPr>
          <w:rFonts w:cs="Calibri"/>
        </w:rPr>
        <w:t>. Gjatë procesit të Përshtatjeve t</w:t>
      </w:r>
      <w:r w:rsidR="000B5C57" w:rsidRPr="001471C5">
        <w:rPr>
          <w:rFonts w:cs="Calibri"/>
        </w:rPr>
        <w:t>ë Rregullt</w:t>
      </w:r>
      <w:r w:rsidR="00905B3F">
        <w:rPr>
          <w:rFonts w:cs="Calibri"/>
        </w:rPr>
        <w:t>a</w:t>
      </w:r>
      <w:r w:rsidR="000B5C57" w:rsidRPr="001471C5">
        <w:rPr>
          <w:rFonts w:cs="Calibri"/>
        </w:rPr>
        <w:t xml:space="preserve">, ZRRE përdor </w:t>
      </w:r>
      <w:r w:rsidR="000509C4" w:rsidRPr="001471C5">
        <w:rPr>
          <w:rFonts w:cs="Calibri"/>
        </w:rPr>
        <w:t>vlerat</w:t>
      </w:r>
      <w:r w:rsidR="000B5C57" w:rsidRPr="001471C5">
        <w:rPr>
          <w:rFonts w:cs="Calibri"/>
        </w:rPr>
        <w:t xml:space="preserve"> e </w:t>
      </w:r>
      <w:r w:rsidRPr="001471C5">
        <w:rPr>
          <w:rFonts w:cs="Calibri"/>
        </w:rPr>
        <w:t>vendosura</w:t>
      </w:r>
      <w:r w:rsidR="000B5C57" w:rsidRPr="001471C5">
        <w:rPr>
          <w:rFonts w:cs="Calibri"/>
        </w:rPr>
        <w:t xml:space="preserve"> gjatë procesit të Shqyrtimit Periodik </w:t>
      </w:r>
      <w:r w:rsidR="00CB03CA" w:rsidRPr="001471C5">
        <w:rPr>
          <w:rFonts w:cs="Calibri"/>
        </w:rPr>
        <w:t>2018-2022</w:t>
      </w:r>
      <w:r w:rsidR="000B5C57" w:rsidRPr="001471C5">
        <w:rPr>
          <w:rFonts w:cs="Calibri"/>
        </w:rPr>
        <w:t xml:space="preserve"> dhe përshtat MAR</w:t>
      </w:r>
      <w:r w:rsidR="000509C4" w:rsidRPr="001471C5">
        <w:rPr>
          <w:rFonts w:cs="Calibri"/>
        </w:rPr>
        <w:t>-in</w:t>
      </w:r>
      <w:r w:rsidR="000B5C57" w:rsidRPr="001471C5">
        <w:rPr>
          <w:rFonts w:cs="Calibri"/>
        </w:rPr>
        <w:t xml:space="preserve"> për të reflektuar ndryshimet në mes të kostove që kanë qenë të parashikuara gjatë Shqyrtimit Periodik dhe kostove aktuale të </w:t>
      </w:r>
      <w:r w:rsidRPr="001471C5">
        <w:rPr>
          <w:rFonts w:cs="Calibri"/>
        </w:rPr>
        <w:t>arsyeshme të kompanive të r</w:t>
      </w:r>
      <w:r w:rsidR="000B5C57" w:rsidRPr="001471C5">
        <w:rPr>
          <w:rFonts w:cs="Calibri"/>
        </w:rPr>
        <w:t xml:space="preserve">regulluara. Gjatë këtij procesi ZRRE do të: </w:t>
      </w:r>
    </w:p>
    <w:p w14:paraId="52A2000E" w14:textId="4B202F29" w:rsidR="000B5C57" w:rsidRPr="001471C5" w:rsidRDefault="000B5C57" w:rsidP="000B5C57">
      <w:pPr>
        <w:pStyle w:val="ListParagraph"/>
        <w:numPr>
          <w:ilvl w:val="0"/>
          <w:numId w:val="4"/>
        </w:numPr>
        <w:contextualSpacing w:val="0"/>
        <w:rPr>
          <w:lang w:val="sq-AL"/>
        </w:rPr>
      </w:pPr>
      <w:r w:rsidRPr="001471C5">
        <w:rPr>
          <w:lang w:val="sq-AL"/>
        </w:rPr>
        <w:t xml:space="preserve">Indeksojë Kostot Operative dhe të Mirëmbajtjes për Faktorin e Efikasitetit i cili caktohet gjatë procesit të Shqyrtimit Periodik dhe për Inflacionin </w:t>
      </w:r>
      <w:r w:rsidR="00193AA8">
        <w:rPr>
          <w:lang w:val="sq-AL"/>
        </w:rPr>
        <w:t xml:space="preserve">Vjetor bazuar në </w:t>
      </w:r>
      <w:r w:rsidR="00193AA8" w:rsidRPr="0050005A">
        <w:rPr>
          <w:lang w:val="sq-AL"/>
        </w:rPr>
        <w:t xml:space="preserve">Indekset e Harmonizuara të Çmimeve të Konsumit (HICP) </w:t>
      </w:r>
      <w:r w:rsidR="00193AA8">
        <w:rPr>
          <w:lang w:val="sq-AL"/>
        </w:rPr>
        <w:t xml:space="preserve">të publikuara </w:t>
      </w:r>
      <w:r w:rsidR="00193AA8" w:rsidRPr="0050005A">
        <w:rPr>
          <w:lang w:val="sq-AL"/>
        </w:rPr>
        <w:t>për vendet e Eurozonës</w:t>
      </w:r>
      <w:r w:rsidRPr="001471C5">
        <w:rPr>
          <w:lang w:val="sq-AL"/>
        </w:rPr>
        <w:t xml:space="preserve">; </w:t>
      </w:r>
    </w:p>
    <w:p w14:paraId="2BE8F7B9" w14:textId="77777777" w:rsidR="000B5C57" w:rsidRPr="001471C5" w:rsidRDefault="000B5C57" w:rsidP="000B5C57">
      <w:pPr>
        <w:pStyle w:val="ListParagraph"/>
        <w:numPr>
          <w:ilvl w:val="0"/>
          <w:numId w:val="4"/>
        </w:numPr>
        <w:contextualSpacing w:val="0"/>
        <w:rPr>
          <w:lang w:val="sq-AL"/>
        </w:rPr>
      </w:pPr>
      <w:r w:rsidRPr="001471C5">
        <w:rPr>
          <w:lang w:val="sq-AL"/>
        </w:rPr>
        <w:t>Caktojë Kostot e Lejuara të Humbjeve (</w:t>
      </w:r>
      <w:proofErr w:type="spellStart"/>
      <w:r w:rsidRPr="001471C5">
        <w:rPr>
          <w:lang w:val="sq-AL"/>
        </w:rPr>
        <w:t>LSSCt</w:t>
      </w:r>
      <w:proofErr w:type="spellEnd"/>
      <w:r w:rsidRPr="001471C5">
        <w:rPr>
          <w:lang w:val="sq-AL"/>
        </w:rPr>
        <w:t xml:space="preserve">) për OST, dhe t’i azhurnojë këto në mënyrë që të përfshijnë ndryshimin në mes të kostove të lejuara dhe të realizuara të humbjeve për Periudhën paraprake </w:t>
      </w:r>
      <w:proofErr w:type="spellStart"/>
      <w:r w:rsidRPr="001471C5">
        <w:rPr>
          <w:lang w:val="sq-AL"/>
        </w:rPr>
        <w:t>Rregullative</w:t>
      </w:r>
      <w:proofErr w:type="spellEnd"/>
      <w:r w:rsidRPr="001471C5">
        <w:rPr>
          <w:lang w:val="sq-AL"/>
        </w:rPr>
        <w:t>, të cilat mund të kenë ndodhur si rezultat i ndryshimeve në kostot e blerjes së energjisë me shumicë apo i ndryshimeve në rrjedhat e energjisë elektrike në sistemin e Transmetimit;</w:t>
      </w:r>
    </w:p>
    <w:p w14:paraId="2374377F" w14:textId="77777777" w:rsidR="000B5C57" w:rsidRPr="001471C5" w:rsidRDefault="000B5C57" w:rsidP="000B5C57">
      <w:pPr>
        <w:pStyle w:val="ListParagraph"/>
        <w:numPr>
          <w:ilvl w:val="0"/>
          <w:numId w:val="4"/>
        </w:numPr>
        <w:contextualSpacing w:val="0"/>
        <w:rPr>
          <w:lang w:val="sq-AL"/>
        </w:rPr>
      </w:pPr>
      <w:r w:rsidRPr="001471C5">
        <w:rPr>
          <w:lang w:val="sq-AL"/>
        </w:rPr>
        <w:t xml:space="preserve">Azhurnojë MAR-in e OST/OT-së në mënyrë që të reflektojë ndryshimin në mes të </w:t>
      </w:r>
      <w:proofErr w:type="spellStart"/>
      <w:r w:rsidRPr="001471C5">
        <w:rPr>
          <w:lang w:val="sq-AL"/>
        </w:rPr>
        <w:t>të</w:t>
      </w:r>
      <w:proofErr w:type="spellEnd"/>
      <w:r w:rsidRPr="001471C5">
        <w:rPr>
          <w:lang w:val="sq-AL"/>
        </w:rPr>
        <w:t xml:space="preserve"> Hyrave të Lejuara dhe të Realizuara në Vitin paraprak Relevant (t‐1);</w:t>
      </w:r>
    </w:p>
    <w:p w14:paraId="3C81BAF5" w14:textId="5DC03D0A" w:rsidR="000B5C57" w:rsidRDefault="000B5C57" w:rsidP="000B5C57">
      <w:pPr>
        <w:pStyle w:val="ListParagraph"/>
        <w:numPr>
          <w:ilvl w:val="0"/>
          <w:numId w:val="4"/>
        </w:numPr>
        <w:contextualSpacing w:val="0"/>
        <w:rPr>
          <w:lang w:val="sq-AL"/>
        </w:rPr>
      </w:pPr>
      <w:r w:rsidRPr="001471C5">
        <w:rPr>
          <w:lang w:val="sq-AL"/>
        </w:rPr>
        <w:t>Azhurnojë parashikimet e kostove të lejuara të shërbimeve ndihmëse</w:t>
      </w:r>
      <w:r w:rsidR="00327460" w:rsidRPr="001471C5">
        <w:rPr>
          <w:lang w:val="sq-AL"/>
        </w:rPr>
        <w:t>;</w:t>
      </w:r>
    </w:p>
    <w:p w14:paraId="15442798" w14:textId="6B4B322A" w:rsidR="00771BD4" w:rsidRPr="00193AA8" w:rsidRDefault="00771BD4" w:rsidP="000B5C57">
      <w:pPr>
        <w:pStyle w:val="ListParagraph"/>
        <w:numPr>
          <w:ilvl w:val="0"/>
          <w:numId w:val="4"/>
        </w:numPr>
        <w:contextualSpacing w:val="0"/>
        <w:rPr>
          <w:lang w:val="sq-AL"/>
        </w:rPr>
      </w:pPr>
      <w:r w:rsidRPr="00193AA8">
        <w:rPr>
          <w:lang w:val="sq-AL"/>
        </w:rPr>
        <w:t>Të hyra nga mekanizmi i kompensimit ndërmjet OST-ve në regjion, këto të hyra do të zbriten nga të hyrat e lejuara maksimale;</w:t>
      </w:r>
    </w:p>
    <w:p w14:paraId="620E3972" w14:textId="18A76A60" w:rsidR="00771BD4" w:rsidRPr="00193AA8" w:rsidRDefault="00771BD4" w:rsidP="000B5C57">
      <w:pPr>
        <w:pStyle w:val="ListParagraph"/>
        <w:numPr>
          <w:ilvl w:val="0"/>
          <w:numId w:val="4"/>
        </w:numPr>
        <w:contextualSpacing w:val="0"/>
        <w:rPr>
          <w:lang w:val="sq-AL"/>
        </w:rPr>
      </w:pPr>
      <w:r w:rsidRPr="00193AA8">
        <w:rPr>
          <w:lang w:val="sq-AL"/>
        </w:rPr>
        <w:t xml:space="preserve"> </w:t>
      </w:r>
      <w:proofErr w:type="spellStart"/>
      <w:r w:rsidRPr="00193AA8">
        <w:rPr>
          <w:lang w:val="sq-AL"/>
        </w:rPr>
        <w:t>Alokimi</w:t>
      </w:r>
      <w:proofErr w:type="spellEnd"/>
      <w:r w:rsidRPr="00193AA8">
        <w:rPr>
          <w:lang w:val="sq-AL"/>
        </w:rPr>
        <w:t xml:space="preserve"> i kapaciteteve ndërkufitare transmetuese, në bashkëpunim me operatorët e sistemeve të transmetimeve të Palëve Kontraktuese të Komunitetit të Energjisë, sipas procedurave të përbashkëta rajonale për kalkulimin dhe </w:t>
      </w:r>
      <w:proofErr w:type="spellStart"/>
      <w:r w:rsidRPr="00193AA8">
        <w:rPr>
          <w:lang w:val="sq-AL"/>
        </w:rPr>
        <w:t>alokimin</w:t>
      </w:r>
      <w:proofErr w:type="spellEnd"/>
      <w:r w:rsidRPr="00193AA8">
        <w:rPr>
          <w:lang w:val="sq-AL"/>
        </w:rPr>
        <w:t xml:space="preserve"> e kapaciteteve, të propozuara nga Operatori i Sistemit të Transmetimit dhe të miratuara nga Rregullatori; </w:t>
      </w:r>
    </w:p>
    <w:p w14:paraId="32F28EB0" w14:textId="1798E8E6" w:rsidR="00771BD4" w:rsidRPr="00193AA8" w:rsidRDefault="00771BD4" w:rsidP="000B5C57">
      <w:pPr>
        <w:pStyle w:val="ListParagraph"/>
        <w:numPr>
          <w:ilvl w:val="0"/>
          <w:numId w:val="4"/>
        </w:numPr>
        <w:contextualSpacing w:val="0"/>
        <w:rPr>
          <w:lang w:val="sq-AL"/>
        </w:rPr>
      </w:pPr>
      <w:r w:rsidRPr="00193AA8">
        <w:rPr>
          <w:lang w:val="sq-AL"/>
        </w:rPr>
        <w:t xml:space="preserve"> Menaxhimi i kongjestionit, për të gjitha transaksionet në </w:t>
      </w:r>
      <w:proofErr w:type="spellStart"/>
      <w:r w:rsidRPr="00193AA8">
        <w:rPr>
          <w:lang w:val="sq-AL"/>
        </w:rPr>
        <w:t>interkonektorët</w:t>
      </w:r>
      <w:proofErr w:type="spellEnd"/>
      <w:r w:rsidRPr="00193AA8">
        <w:rPr>
          <w:lang w:val="sq-AL"/>
        </w:rPr>
        <w:t xml:space="preserve"> me sistemet fqinje, në bazë të rregullave dhe mekanizmave të tregut, të cilët përcaktohen dhe zbatohen së bashku me operatorët e tjerë në tregun rajonalë të energjisë elektrike;</w:t>
      </w:r>
    </w:p>
    <w:p w14:paraId="602B81CA" w14:textId="386176A4" w:rsidR="00771BD4" w:rsidRPr="00193AA8" w:rsidRDefault="00771BD4" w:rsidP="00771BD4">
      <w:pPr>
        <w:pStyle w:val="ListParagraph"/>
        <w:numPr>
          <w:ilvl w:val="0"/>
          <w:numId w:val="4"/>
        </w:numPr>
        <w:contextualSpacing w:val="0"/>
        <w:rPr>
          <w:lang w:val="sq-AL"/>
        </w:rPr>
      </w:pPr>
      <w:r w:rsidRPr="00193AA8">
        <w:rPr>
          <w:lang w:val="sq-AL"/>
        </w:rPr>
        <w:lastRenderedPageBreak/>
        <w:t>Azhurnimi i  hyrave t</w:t>
      </w:r>
      <w:r w:rsidR="00DD5DC7" w:rsidRPr="00193AA8">
        <w:rPr>
          <w:lang w:val="sq-AL"/>
        </w:rPr>
        <w:t>ë</w:t>
      </w:r>
      <w:r w:rsidRPr="00193AA8">
        <w:rPr>
          <w:lang w:val="sq-AL"/>
        </w:rPr>
        <w:t xml:space="preserve"> mbledhura</w:t>
      </w:r>
      <w:r w:rsidR="00DD5DC7" w:rsidRPr="00193AA8">
        <w:rPr>
          <w:lang w:val="sq-AL"/>
        </w:rPr>
        <w:t xml:space="preserve"> </w:t>
      </w:r>
      <w:r w:rsidRPr="00193AA8">
        <w:rPr>
          <w:lang w:val="sq-AL"/>
        </w:rPr>
        <w:t xml:space="preserve">me ato të parashikuara në llogarinë e fondit për energjinë e </w:t>
      </w:r>
      <w:proofErr w:type="spellStart"/>
      <w:r w:rsidRPr="00193AA8">
        <w:rPr>
          <w:lang w:val="sq-AL"/>
        </w:rPr>
        <w:t>ripërtërishme</w:t>
      </w:r>
      <w:proofErr w:type="spellEnd"/>
      <w:r w:rsidRPr="00193AA8">
        <w:rPr>
          <w:lang w:val="sq-AL"/>
        </w:rPr>
        <w:t>; dhe</w:t>
      </w:r>
    </w:p>
    <w:p w14:paraId="57EE2F34" w14:textId="77777777" w:rsidR="000B5C57" w:rsidRPr="001471C5" w:rsidRDefault="000B5C57" w:rsidP="000B5C57">
      <w:pPr>
        <w:pStyle w:val="ListParagraph"/>
        <w:numPr>
          <w:ilvl w:val="0"/>
          <w:numId w:val="4"/>
        </w:numPr>
        <w:contextualSpacing w:val="0"/>
        <w:rPr>
          <w:lang w:val="sq-AL"/>
        </w:rPr>
      </w:pPr>
      <w:r w:rsidRPr="001471C5">
        <w:rPr>
          <w:lang w:val="sq-AL"/>
        </w:rPr>
        <w:t xml:space="preserve">Caktojë MAR-in e </w:t>
      </w:r>
      <w:r w:rsidR="000509C4" w:rsidRPr="001471C5">
        <w:rPr>
          <w:lang w:val="sq-AL"/>
        </w:rPr>
        <w:t xml:space="preserve">OST/OT-së </w:t>
      </w:r>
      <w:r w:rsidR="00327460" w:rsidRPr="001471C5">
        <w:rPr>
          <w:lang w:val="sq-AL"/>
        </w:rPr>
        <w:t xml:space="preserve">për Vitin Relevant </w:t>
      </w:r>
      <w:r w:rsidR="00327460" w:rsidRPr="001471C5">
        <w:rPr>
          <w:i/>
          <w:lang w:val="sq-AL"/>
        </w:rPr>
        <w:t>t</w:t>
      </w:r>
      <w:r w:rsidRPr="001471C5">
        <w:rPr>
          <w:lang w:val="sq-AL"/>
        </w:rPr>
        <w:t xml:space="preserve">. </w:t>
      </w:r>
    </w:p>
    <w:p w14:paraId="6795D4CD" w14:textId="77777777" w:rsidR="000B5C57" w:rsidRPr="001471C5" w:rsidRDefault="000B5C57" w:rsidP="000B5C57">
      <w:pPr>
        <w:pStyle w:val="Heading1"/>
        <w:rPr>
          <w:lang w:val="sq-AL"/>
        </w:rPr>
      </w:pPr>
      <w:bookmarkStart w:id="4" w:name="_Toc443060564"/>
      <w:bookmarkStart w:id="5" w:name="_Toc474311786"/>
      <w:bookmarkStart w:id="6" w:name="_Toc71118712"/>
      <w:bookmarkStart w:id="7" w:name="_Toc443247705"/>
      <w:bookmarkEnd w:id="1"/>
      <w:r w:rsidRPr="001471C5">
        <w:rPr>
          <w:lang w:val="sq-AL"/>
        </w:rPr>
        <w:t>B</w:t>
      </w:r>
      <w:r w:rsidR="00520212" w:rsidRPr="001471C5">
        <w:rPr>
          <w:lang w:val="sq-AL"/>
        </w:rPr>
        <w:t>i</w:t>
      </w:r>
      <w:r w:rsidRPr="001471C5">
        <w:rPr>
          <w:lang w:val="sq-AL"/>
        </w:rPr>
        <w:t>lan</w:t>
      </w:r>
      <w:r w:rsidR="00520212" w:rsidRPr="001471C5">
        <w:rPr>
          <w:lang w:val="sq-AL"/>
        </w:rPr>
        <w:t>ci</w:t>
      </w:r>
      <w:r w:rsidRPr="001471C5">
        <w:rPr>
          <w:lang w:val="sq-AL"/>
        </w:rPr>
        <w:t xml:space="preserve"> </w:t>
      </w:r>
      <w:r w:rsidR="00520212" w:rsidRPr="001471C5">
        <w:rPr>
          <w:lang w:val="sq-AL"/>
        </w:rPr>
        <w:t>i</w:t>
      </w:r>
      <w:r w:rsidRPr="001471C5">
        <w:rPr>
          <w:lang w:val="sq-AL"/>
        </w:rPr>
        <w:t xml:space="preserve"> Energjisë</w:t>
      </w:r>
      <w:bookmarkEnd w:id="4"/>
      <w:bookmarkEnd w:id="5"/>
      <w:bookmarkEnd w:id="6"/>
    </w:p>
    <w:p w14:paraId="5133F73D" w14:textId="383ECD81" w:rsidR="004F0E4F" w:rsidRDefault="004F0E4F" w:rsidP="004F0E4F">
      <w:pPr>
        <w:jc w:val="both"/>
      </w:pPr>
      <w:bookmarkStart w:id="8" w:name="_Toc476042558"/>
      <w:bookmarkStart w:id="9" w:name="_Toc443060565"/>
      <w:bookmarkStart w:id="10" w:name="_Toc474311787"/>
      <w:r w:rsidRPr="0009487F">
        <w:t>Në këtë shqyrtim tarifor</w:t>
      </w:r>
      <w:r>
        <w:t>,</w:t>
      </w:r>
      <w:r w:rsidRPr="0009487F">
        <w:t xml:space="preserve"> ZRRE ka përdorur bilancin e aprovuar</w:t>
      </w:r>
      <w:r>
        <w:t xml:space="preserve"> p</w:t>
      </w:r>
      <w:r w:rsidR="00E1493C">
        <w:t>ë</w:t>
      </w:r>
      <w:r>
        <w:t>r vitin 2021. Megjithat</w:t>
      </w:r>
      <w:r w:rsidR="00E1493C">
        <w:t>ë</w:t>
      </w:r>
      <w:r>
        <w:t xml:space="preserve">, trajtimi i </w:t>
      </w:r>
      <w:r w:rsidR="00E1493C">
        <w:t>konsumit</w:t>
      </w:r>
      <w:r>
        <w:t xml:space="preserve"> t</w:t>
      </w:r>
      <w:r w:rsidR="00E1493C">
        <w:t>ë</w:t>
      </w:r>
      <w:r>
        <w:t xml:space="preserve"> energjis</w:t>
      </w:r>
      <w:r w:rsidR="00E1493C">
        <w:t>ë</w:t>
      </w:r>
      <w:r w:rsidR="00193AA8">
        <w:t xml:space="preserve"> elektrike për</w:t>
      </w:r>
      <w:r>
        <w:t xml:space="preserve"> konsumator</w:t>
      </w:r>
      <w:r w:rsidR="00E1493C">
        <w:t>ë</w:t>
      </w:r>
      <w:r>
        <w:t xml:space="preserve">t e </w:t>
      </w:r>
      <w:r w:rsidRPr="0009487F">
        <w:t>kyçur në nivelin e tensionit 35kV</w:t>
      </w:r>
      <w:r w:rsidR="00BF7EB2">
        <w:t xml:space="preserve"> dhe 10kV</w:t>
      </w:r>
      <w:r>
        <w:t xml:space="preserve"> </w:t>
      </w:r>
      <w:r w:rsidR="00E1493C">
        <w:t>ë</w:t>
      </w:r>
      <w:r>
        <w:t>sht</w:t>
      </w:r>
      <w:r w:rsidR="00E1493C">
        <w:t>ë</w:t>
      </w:r>
      <w:r>
        <w:t xml:space="preserve"> b</w:t>
      </w:r>
      <w:r w:rsidR="00E1493C">
        <w:t>ë</w:t>
      </w:r>
      <w:r>
        <w:t>r</w:t>
      </w:r>
      <w:r w:rsidR="00E1493C">
        <w:t>ë</w:t>
      </w:r>
      <w:r>
        <w:t xml:space="preserve"> n</w:t>
      </w:r>
      <w:r w:rsidR="00E1493C">
        <w:t>ë</w:t>
      </w:r>
      <w:r>
        <w:t xml:space="preserve"> pajtim me q</w:t>
      </w:r>
      <w:r w:rsidR="00E1493C">
        <w:t>ë</w:t>
      </w:r>
      <w:r>
        <w:t>ndrimin e Bordit t</w:t>
      </w:r>
      <w:r w:rsidR="00E1493C">
        <w:t>ë</w:t>
      </w:r>
      <w:r>
        <w:t xml:space="preserve"> ZRRE-s</w:t>
      </w:r>
      <w:r w:rsidR="00E1493C">
        <w:t>ë</w:t>
      </w:r>
      <w:r>
        <w:t xml:space="preserve"> p</w:t>
      </w:r>
      <w:r w:rsidR="00E1493C">
        <w:t>ë</w:t>
      </w:r>
      <w:r>
        <w:t>r vazhdim t</w:t>
      </w:r>
      <w:r w:rsidR="00E1493C">
        <w:t>ë</w:t>
      </w:r>
      <w:r>
        <w:t xml:space="preserve"> </w:t>
      </w:r>
      <w:r w:rsidR="00E1493C">
        <w:t>furnizimit</w:t>
      </w:r>
      <w:r>
        <w:t xml:space="preserve"> t</w:t>
      </w:r>
      <w:r w:rsidR="00E1493C">
        <w:t>ë</w:t>
      </w:r>
      <w:r>
        <w:t xml:space="preserve"> k</w:t>
      </w:r>
      <w:r w:rsidR="00E1493C">
        <w:t>ë</w:t>
      </w:r>
      <w:r>
        <w:t xml:space="preserve">tyre </w:t>
      </w:r>
      <w:r w:rsidR="00E1493C">
        <w:t>konsumatorëve</w:t>
      </w:r>
      <w:r>
        <w:t xml:space="preserve"> nga FSHU</w:t>
      </w:r>
      <w:r w:rsidR="00BF7EB2">
        <w:t xml:space="preserve"> </w:t>
      </w:r>
      <w:r>
        <w:t>me tarifa t</w:t>
      </w:r>
      <w:r w:rsidR="00E1493C">
        <w:t>ë</w:t>
      </w:r>
      <w:r>
        <w:t xml:space="preserve"> rregulluara</w:t>
      </w:r>
      <w:r w:rsidRPr="0009487F">
        <w:t xml:space="preserve">. </w:t>
      </w:r>
    </w:p>
    <w:p w14:paraId="11445B47" w14:textId="77777777" w:rsidR="00AA5A6E" w:rsidRPr="001471C5" w:rsidRDefault="00AA5A6E" w:rsidP="0014315E">
      <w:pPr>
        <w:pStyle w:val="Heading2"/>
      </w:pPr>
      <w:bookmarkStart w:id="11" w:name="_Toc71118713"/>
      <w:proofErr w:type="spellStart"/>
      <w:r w:rsidRPr="001471C5">
        <w:t>Vlerësimi</w:t>
      </w:r>
      <w:proofErr w:type="spellEnd"/>
      <w:r w:rsidRPr="001471C5">
        <w:t xml:space="preserve"> </w:t>
      </w:r>
      <w:proofErr w:type="spellStart"/>
      <w:r w:rsidRPr="001471C5">
        <w:t>i</w:t>
      </w:r>
      <w:proofErr w:type="spellEnd"/>
      <w:r w:rsidRPr="001471C5">
        <w:t xml:space="preserve"> </w:t>
      </w:r>
      <w:proofErr w:type="spellStart"/>
      <w:r w:rsidRPr="001471C5">
        <w:t>Bilancit</w:t>
      </w:r>
      <w:proofErr w:type="spellEnd"/>
      <w:r w:rsidRPr="001471C5">
        <w:t xml:space="preserve"> </w:t>
      </w:r>
      <w:proofErr w:type="spellStart"/>
      <w:r w:rsidRPr="001471C5">
        <w:t>të</w:t>
      </w:r>
      <w:proofErr w:type="spellEnd"/>
      <w:r w:rsidRPr="001471C5">
        <w:t xml:space="preserve"> </w:t>
      </w:r>
      <w:proofErr w:type="spellStart"/>
      <w:r w:rsidRPr="001471C5">
        <w:t>Energjisë</w:t>
      </w:r>
      <w:proofErr w:type="spellEnd"/>
      <w:r w:rsidRPr="001471C5">
        <w:t xml:space="preserve"> </w:t>
      </w:r>
      <w:proofErr w:type="spellStart"/>
      <w:r w:rsidRPr="001471C5">
        <w:t>Elektrike</w:t>
      </w:r>
      <w:proofErr w:type="spellEnd"/>
      <w:r w:rsidRPr="001471C5">
        <w:t xml:space="preserve"> </w:t>
      </w:r>
      <w:proofErr w:type="spellStart"/>
      <w:r w:rsidRPr="001471C5">
        <w:t>të</w:t>
      </w:r>
      <w:proofErr w:type="spellEnd"/>
      <w:r w:rsidRPr="001471C5">
        <w:t xml:space="preserve"> </w:t>
      </w:r>
      <w:proofErr w:type="spellStart"/>
      <w:r w:rsidRPr="001471C5">
        <w:t>Realizuar</w:t>
      </w:r>
      <w:proofErr w:type="spellEnd"/>
      <w:r w:rsidRPr="001471C5">
        <w:t xml:space="preserve"> </w:t>
      </w:r>
      <w:proofErr w:type="spellStart"/>
      <w:r w:rsidRPr="001471C5">
        <w:t>dhe</w:t>
      </w:r>
      <w:proofErr w:type="spellEnd"/>
      <w:r w:rsidRPr="001471C5">
        <w:t xml:space="preserve"> </w:t>
      </w:r>
      <w:proofErr w:type="spellStart"/>
      <w:r w:rsidRPr="001471C5">
        <w:t>të</w:t>
      </w:r>
      <w:proofErr w:type="spellEnd"/>
      <w:r w:rsidRPr="001471C5">
        <w:t xml:space="preserve"> </w:t>
      </w:r>
      <w:proofErr w:type="spellStart"/>
      <w:r w:rsidRPr="001471C5">
        <w:t>Parashikuar</w:t>
      </w:r>
      <w:bookmarkEnd w:id="8"/>
      <w:bookmarkEnd w:id="11"/>
      <w:proofErr w:type="spellEnd"/>
      <w:r w:rsidRPr="001471C5">
        <w:t xml:space="preserve">  </w:t>
      </w:r>
    </w:p>
    <w:p w14:paraId="066E7901" w14:textId="20DA6BAC" w:rsidR="00B2210C" w:rsidRPr="001471C5" w:rsidRDefault="00AA5A6E" w:rsidP="00AA5A6E">
      <w:pPr>
        <w:jc w:val="both"/>
      </w:pPr>
      <w:r w:rsidRPr="001471C5">
        <w:t>Me qëllim të vlerësimit të kostove që kanë të bëjnë me blerjen e humbjeve në nivel të OST-së, ZRRE ka analizuar të dhënat e raportuara nga KOSTT për vitin 20</w:t>
      </w:r>
      <w:r w:rsidR="004F0E4F">
        <w:t>20</w:t>
      </w:r>
      <w:r w:rsidRPr="001471C5">
        <w:t xml:space="preserve"> dhe të dhënat</w:t>
      </w:r>
      <w:r w:rsidR="00FF1593">
        <w:t xml:space="preserve"> që kanë të bëjnë me</w:t>
      </w:r>
      <w:r w:rsidRPr="001471C5">
        <w:t xml:space="preserve"> parashikimin e bilancit për vitin 20</w:t>
      </w:r>
      <w:r w:rsidR="00AF758A" w:rsidRPr="001471C5">
        <w:t>2</w:t>
      </w:r>
      <w:r w:rsidR="004F0E4F">
        <w:t>1</w:t>
      </w:r>
      <w:r w:rsidRPr="001471C5">
        <w:t xml:space="preserve">. </w:t>
      </w:r>
      <w:r w:rsidR="00FF1593">
        <w:t xml:space="preserve">Të dhënat për vitin 2021 janë bazuar në </w:t>
      </w:r>
      <w:r w:rsidR="0013675D" w:rsidRPr="001471C5">
        <w:t>bilanci</w:t>
      </w:r>
      <w:r w:rsidR="00FF1593">
        <w:t>n e aprovuar nga ZRRE.</w:t>
      </w:r>
    </w:p>
    <w:p w14:paraId="5724D668" w14:textId="077FB649" w:rsidR="00AA5A6E" w:rsidRPr="001471C5" w:rsidRDefault="00C2145B" w:rsidP="00AA5A6E">
      <w:pPr>
        <w:jc w:val="both"/>
      </w:pPr>
      <w:r w:rsidRPr="001471C5">
        <w:t>Parashikimi i bilancit të energjisë elektrike për</w:t>
      </w:r>
      <w:r w:rsidR="00AA5A6E" w:rsidRPr="001471C5">
        <w:t xml:space="preserve"> vitin 20</w:t>
      </w:r>
      <w:r w:rsidR="00AF758A" w:rsidRPr="001471C5">
        <w:t>2</w:t>
      </w:r>
      <w:r w:rsidR="004F0E4F">
        <w:t>1</w:t>
      </w:r>
      <w:r w:rsidR="00AA5A6E" w:rsidRPr="001471C5">
        <w:t xml:space="preserve"> është paraqitur në tabelën në vijim:</w:t>
      </w:r>
    </w:p>
    <w:p w14:paraId="3B4232B7" w14:textId="77777777" w:rsidR="009513E8" w:rsidRPr="001471C5" w:rsidRDefault="009513E8" w:rsidP="009513E8">
      <w:pPr>
        <w:pStyle w:val="Caption"/>
        <w:ind w:firstLine="720"/>
        <w:jc w:val="left"/>
        <w:rPr>
          <w:lang w:val="sq-AL"/>
        </w:rPr>
      </w:pPr>
      <w:r w:rsidRPr="001471C5">
        <w:rPr>
          <w:lang w:val="sq-AL"/>
        </w:rPr>
        <w:t xml:space="preserve">      Tabela </w:t>
      </w:r>
      <w:r w:rsidR="001B7F84" w:rsidRPr="001471C5">
        <w:rPr>
          <w:lang w:val="sq-AL"/>
        </w:rPr>
        <w:t>1</w:t>
      </w:r>
      <w:r w:rsidRPr="001471C5">
        <w:rPr>
          <w:lang w:val="sq-AL"/>
        </w:rPr>
        <w:t>: Bilanci i energjisë elektrike në OST</w:t>
      </w:r>
    </w:p>
    <w:tbl>
      <w:tblPr>
        <w:tblW w:w="7912" w:type="dxa"/>
        <w:jc w:val="center"/>
        <w:tblLook w:val="04A0" w:firstRow="1" w:lastRow="0" w:firstColumn="1" w:lastColumn="0" w:noHBand="0" w:noVBand="1"/>
      </w:tblPr>
      <w:tblGrid>
        <w:gridCol w:w="5704"/>
        <w:gridCol w:w="801"/>
        <w:gridCol w:w="1163"/>
        <w:gridCol w:w="244"/>
      </w:tblGrid>
      <w:tr w:rsidR="00C2145B" w:rsidRPr="00A700FD" w14:paraId="4FD29B78" w14:textId="77777777" w:rsidTr="00FF7475">
        <w:trPr>
          <w:gridAfter w:val="1"/>
          <w:wAfter w:w="244" w:type="dxa"/>
          <w:trHeight w:val="593"/>
          <w:jc w:val="center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14:paraId="75A075A3" w14:textId="77777777" w:rsidR="00C2145B" w:rsidRPr="00A700FD" w:rsidRDefault="00C2145B" w:rsidP="0032746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/>
                <w:sz w:val="20"/>
                <w:szCs w:val="20"/>
                <w:lang w:eastAsia="en-GB"/>
              </w:rPr>
            </w:pPr>
            <w:r w:rsidRPr="00A700FD">
              <w:rPr>
                <w:rFonts w:eastAsia="Times New Roman" w:cs="Calibri"/>
                <w:b/>
                <w:color w:val="FFFFFF"/>
                <w:sz w:val="20"/>
                <w:szCs w:val="20"/>
                <w:lang w:eastAsia="en-GB"/>
              </w:rPr>
              <w:t xml:space="preserve">Bilanci i </w:t>
            </w:r>
            <w:r w:rsidR="001471C5" w:rsidRPr="00A700FD">
              <w:rPr>
                <w:rFonts w:eastAsia="Times New Roman" w:cs="Calibri"/>
                <w:b/>
                <w:color w:val="FFFFFF"/>
                <w:sz w:val="20"/>
                <w:szCs w:val="20"/>
                <w:lang w:eastAsia="en-GB"/>
              </w:rPr>
              <w:t>energjisë</w:t>
            </w:r>
            <w:r w:rsidRPr="00A700FD">
              <w:rPr>
                <w:rFonts w:eastAsia="Times New Roman" w:cs="Calibri"/>
                <w:b/>
                <w:color w:val="FFFFFF"/>
                <w:sz w:val="20"/>
                <w:szCs w:val="20"/>
                <w:lang w:eastAsia="en-GB"/>
              </w:rPr>
              <w:t xml:space="preserve"> elektrike ne 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14:paraId="27CDE248" w14:textId="77777777" w:rsidR="00C2145B" w:rsidRPr="00A700FD" w:rsidRDefault="00C2145B" w:rsidP="0032746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/>
                <w:sz w:val="20"/>
                <w:szCs w:val="20"/>
                <w:lang w:eastAsia="en-GB"/>
              </w:rPr>
            </w:pPr>
            <w:r w:rsidRPr="00A700FD">
              <w:rPr>
                <w:rFonts w:eastAsia="Times New Roman" w:cs="Calibri"/>
                <w:b/>
                <w:color w:val="FFFFFF"/>
                <w:sz w:val="20"/>
                <w:szCs w:val="20"/>
                <w:lang w:eastAsia="en-GB"/>
              </w:rPr>
              <w:t>Njësia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14:paraId="206EA592" w14:textId="1E090E01" w:rsidR="00C2145B" w:rsidRPr="00A700FD" w:rsidRDefault="001511D6" w:rsidP="0032746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/>
                <w:sz w:val="20"/>
                <w:szCs w:val="20"/>
                <w:lang w:eastAsia="en-GB"/>
              </w:rPr>
            </w:pPr>
            <w:r w:rsidRPr="00A700FD">
              <w:rPr>
                <w:rFonts w:eastAsia="Times New Roman" w:cs="Calibri"/>
                <w:b/>
                <w:color w:val="FFFFFF"/>
                <w:sz w:val="20"/>
                <w:szCs w:val="20"/>
                <w:lang w:eastAsia="en-GB"/>
              </w:rPr>
              <w:t>202</w:t>
            </w:r>
            <w:r w:rsidR="00A700FD">
              <w:rPr>
                <w:rFonts w:eastAsia="Times New Roman" w:cs="Calibri"/>
                <w:b/>
                <w:color w:val="FFFFFF"/>
                <w:sz w:val="20"/>
                <w:szCs w:val="20"/>
                <w:lang w:eastAsia="en-GB"/>
              </w:rPr>
              <w:t>1</w:t>
            </w:r>
            <w:r w:rsidR="00C2145B" w:rsidRPr="00A700FD">
              <w:rPr>
                <w:rFonts w:eastAsia="Times New Roman" w:cs="Calibri"/>
                <w:b/>
                <w:color w:val="FFFFFF"/>
                <w:sz w:val="20"/>
                <w:szCs w:val="20"/>
                <w:lang w:eastAsia="en-GB"/>
              </w:rPr>
              <w:t xml:space="preserve"> Propozimi</w:t>
            </w:r>
          </w:p>
        </w:tc>
      </w:tr>
      <w:tr w:rsidR="00C2145B" w:rsidRPr="00A700FD" w14:paraId="6781EA94" w14:textId="77777777" w:rsidTr="00FF7475">
        <w:trPr>
          <w:gridAfter w:val="1"/>
          <w:wAfter w:w="244" w:type="dxa"/>
          <w:trHeight w:val="312"/>
          <w:jc w:val="center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324BB" w14:textId="77777777" w:rsidR="00C2145B" w:rsidRPr="00A700FD" w:rsidRDefault="00C2145B" w:rsidP="00FF747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14" w:hanging="270"/>
              <w:rPr>
                <w:rFonts w:cs="Calibri"/>
                <w:color w:val="000000"/>
                <w:lang w:val="sq-AL" w:eastAsia="en-GB"/>
              </w:rPr>
            </w:pPr>
            <w:r w:rsidRPr="00A700FD">
              <w:rPr>
                <w:rFonts w:cs="Calibri"/>
                <w:color w:val="000000"/>
                <w:lang w:val="sq-AL" w:eastAsia="en-GB"/>
              </w:rPr>
              <w:t>Hyrja ne 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5077A" w14:textId="77777777" w:rsidR="00C2145B" w:rsidRPr="00A700FD" w:rsidRDefault="00C2145B" w:rsidP="0032746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A700FD">
              <w:rPr>
                <w:rFonts w:eastAsia="Times New Roman" w:cs="Calibri"/>
                <w:color w:val="000000"/>
                <w:lang w:eastAsia="en-GB"/>
              </w:rPr>
              <w:t>GWh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CC296" w14:textId="1119F26E" w:rsidR="00C2145B" w:rsidRPr="00A700FD" w:rsidRDefault="00A700FD" w:rsidP="0015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6,645</w:t>
            </w:r>
          </w:p>
        </w:tc>
      </w:tr>
      <w:tr w:rsidR="00C2145B" w:rsidRPr="00A700FD" w14:paraId="0B54DF06" w14:textId="77777777" w:rsidTr="00FF7475">
        <w:trPr>
          <w:gridAfter w:val="1"/>
          <w:wAfter w:w="244" w:type="dxa"/>
          <w:trHeight w:val="312"/>
          <w:jc w:val="center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113CB" w14:textId="77777777" w:rsidR="00C2145B" w:rsidRPr="00A700FD" w:rsidRDefault="00C2145B" w:rsidP="00FF747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14" w:hanging="270"/>
              <w:rPr>
                <w:rFonts w:cs="Calibri"/>
                <w:color w:val="000000"/>
                <w:lang w:val="sq-AL" w:eastAsia="en-GB"/>
              </w:rPr>
            </w:pPr>
            <w:r w:rsidRPr="00A700FD">
              <w:rPr>
                <w:rFonts w:cs="Calibri"/>
                <w:color w:val="000000"/>
                <w:lang w:val="sq-AL" w:eastAsia="en-GB"/>
              </w:rPr>
              <w:t>Eksporti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13F64" w14:textId="77777777" w:rsidR="00C2145B" w:rsidRPr="00A700FD" w:rsidRDefault="00C2145B" w:rsidP="0032746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A700FD">
              <w:rPr>
                <w:rFonts w:eastAsia="Times New Roman" w:cs="Calibri"/>
                <w:color w:val="000000"/>
                <w:lang w:eastAsia="en-GB"/>
              </w:rPr>
              <w:t>GWh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9C7DB" w14:textId="123EFDF3" w:rsidR="00C2145B" w:rsidRPr="00A700FD" w:rsidRDefault="00A700FD" w:rsidP="0015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43</w:t>
            </w:r>
            <w:r w:rsidR="00966518">
              <w:rPr>
                <w:rFonts w:eastAsia="Times New Roman" w:cs="Calibri"/>
                <w:color w:val="000000"/>
                <w:lang w:eastAsia="en-GB"/>
              </w:rPr>
              <w:t>4</w:t>
            </w:r>
          </w:p>
        </w:tc>
      </w:tr>
      <w:tr w:rsidR="00C2145B" w:rsidRPr="00A700FD" w14:paraId="0B8E06D9" w14:textId="77777777" w:rsidTr="00FF7475">
        <w:trPr>
          <w:gridAfter w:val="1"/>
          <w:wAfter w:w="244" w:type="dxa"/>
          <w:trHeight w:val="312"/>
          <w:jc w:val="center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CA113" w14:textId="77777777" w:rsidR="00C2145B" w:rsidRPr="00A700FD" w:rsidRDefault="0074646A" w:rsidP="00FF747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14" w:hanging="270"/>
              <w:rPr>
                <w:rFonts w:cs="Calibri"/>
                <w:color w:val="000000"/>
                <w:lang w:val="sq-AL" w:eastAsia="en-GB"/>
              </w:rPr>
            </w:pPr>
            <w:r w:rsidRPr="00A700FD">
              <w:rPr>
                <w:rFonts w:cs="Calibri"/>
                <w:color w:val="000000"/>
                <w:lang w:val="sq-AL" w:eastAsia="en-GB"/>
              </w:rPr>
              <w:t xml:space="preserve">Konsumi ne OST </w:t>
            </w:r>
            <w:r w:rsidR="0083125C" w:rsidRPr="00A700FD">
              <w:rPr>
                <w:rFonts w:cs="Calibri"/>
                <w:color w:val="000000"/>
                <w:lang w:val="sq-AL" w:eastAsia="en-GB"/>
              </w:rPr>
              <w:t>(</w:t>
            </w:r>
            <w:proofErr w:type="spellStart"/>
            <w:r w:rsidR="0083125C" w:rsidRPr="00A700FD">
              <w:rPr>
                <w:rFonts w:cs="Calibri"/>
                <w:color w:val="000000"/>
                <w:lang w:val="sq-AL" w:eastAsia="en-GB"/>
              </w:rPr>
              <w:t>llomag</w:t>
            </w:r>
            <w:proofErr w:type="spellEnd"/>
            <w:r w:rsidR="0083125C" w:rsidRPr="00A700FD">
              <w:rPr>
                <w:rFonts w:cs="Calibri"/>
                <w:color w:val="000000"/>
                <w:lang w:val="sq-AL" w:eastAsia="en-GB"/>
              </w:rPr>
              <w:t xml:space="preserve"> dhe </w:t>
            </w:r>
            <w:proofErr w:type="spellStart"/>
            <w:r w:rsidR="0083125C" w:rsidRPr="00A700FD">
              <w:rPr>
                <w:rFonts w:cs="Calibri"/>
                <w:color w:val="000000"/>
                <w:lang w:val="sq-AL" w:eastAsia="en-GB"/>
              </w:rPr>
              <w:t>kons</w:t>
            </w:r>
            <w:proofErr w:type="spellEnd"/>
            <w:r w:rsidR="0083125C" w:rsidRPr="00A700FD">
              <w:rPr>
                <w:rFonts w:cs="Calibri"/>
                <w:color w:val="000000"/>
                <w:lang w:val="sq-AL" w:eastAsia="en-GB"/>
              </w:rPr>
              <w:t xml:space="preserve"> 220kV dhe 110 </w:t>
            </w:r>
            <w:proofErr w:type="spellStart"/>
            <w:r w:rsidR="0083125C" w:rsidRPr="00A700FD">
              <w:rPr>
                <w:rFonts w:cs="Calibri"/>
                <w:color w:val="000000"/>
                <w:lang w:val="sq-AL" w:eastAsia="en-GB"/>
              </w:rPr>
              <w:t>kV</w:t>
            </w:r>
            <w:proofErr w:type="spellEnd"/>
            <w:r w:rsidR="0083125C" w:rsidRPr="00A700FD">
              <w:rPr>
                <w:rFonts w:cs="Calibri"/>
                <w:color w:val="000000"/>
                <w:lang w:val="sq-AL"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C4312" w14:textId="77777777" w:rsidR="00C2145B" w:rsidRPr="00A700FD" w:rsidRDefault="00C2145B" w:rsidP="0032746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A700FD">
              <w:rPr>
                <w:rFonts w:eastAsia="Times New Roman" w:cs="Calibri"/>
                <w:color w:val="000000"/>
                <w:lang w:eastAsia="en-GB"/>
              </w:rPr>
              <w:t>GWh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5FC54" w14:textId="167A8438" w:rsidR="00C2145B" w:rsidRPr="00A700FD" w:rsidRDefault="0083125C" w:rsidP="0015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A700FD">
              <w:rPr>
                <w:rFonts w:eastAsia="Times New Roman" w:cs="Calibri"/>
                <w:color w:val="000000"/>
                <w:lang w:eastAsia="en-GB"/>
              </w:rPr>
              <w:t>77</w:t>
            </w:r>
            <w:r w:rsidR="00A700FD">
              <w:rPr>
                <w:rFonts w:eastAsia="Times New Roman" w:cs="Calibri"/>
                <w:color w:val="000000"/>
                <w:lang w:eastAsia="en-GB"/>
              </w:rPr>
              <w:t>3</w:t>
            </w:r>
          </w:p>
        </w:tc>
      </w:tr>
      <w:tr w:rsidR="00C2145B" w:rsidRPr="00A700FD" w14:paraId="109DB9A7" w14:textId="77777777" w:rsidTr="00FF7475">
        <w:trPr>
          <w:gridAfter w:val="1"/>
          <w:wAfter w:w="244" w:type="dxa"/>
          <w:trHeight w:val="312"/>
          <w:jc w:val="center"/>
        </w:trPr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A96E9F" w14:textId="77777777" w:rsidR="00C2145B" w:rsidRPr="00A700FD" w:rsidRDefault="00C2145B" w:rsidP="00FF7475">
            <w:pPr>
              <w:spacing w:after="0" w:line="240" w:lineRule="auto"/>
              <w:ind w:left="414" w:hanging="270"/>
              <w:rPr>
                <w:rFonts w:eastAsia="Times New Roman" w:cs="Calibri"/>
                <w:color w:val="000000"/>
                <w:lang w:eastAsia="en-GB"/>
              </w:rPr>
            </w:pPr>
            <w:r w:rsidRPr="00A700F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05C805" w14:textId="77777777" w:rsidR="00C2145B" w:rsidRPr="00A700FD" w:rsidRDefault="00C2145B" w:rsidP="0032746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A700F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D71DC5" w14:textId="77777777" w:rsidR="00C2145B" w:rsidRPr="00A700FD" w:rsidRDefault="00C2145B" w:rsidP="0015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C2145B" w:rsidRPr="00A700FD" w14:paraId="1BA567AB" w14:textId="77777777" w:rsidTr="00FF7475">
        <w:trPr>
          <w:trHeight w:val="312"/>
          <w:jc w:val="center"/>
        </w:trPr>
        <w:tc>
          <w:tcPr>
            <w:tcW w:w="5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80028" w14:textId="77777777" w:rsidR="00C2145B" w:rsidRPr="00A700FD" w:rsidRDefault="00C2145B" w:rsidP="00FF747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14" w:hanging="270"/>
              <w:rPr>
                <w:rFonts w:cs="Calibri"/>
                <w:color w:val="000000"/>
                <w:lang w:val="sq-AL" w:eastAsia="en-GB"/>
              </w:rPr>
            </w:pPr>
            <w:r w:rsidRPr="00A700FD">
              <w:rPr>
                <w:rFonts w:cs="Calibri"/>
                <w:color w:val="000000"/>
                <w:lang w:val="sq-AL" w:eastAsia="en-GB"/>
              </w:rPr>
              <w:t>Humbjet në 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AB2C2" w14:textId="77777777" w:rsidR="00C2145B" w:rsidRPr="00A700FD" w:rsidRDefault="00C2145B" w:rsidP="0032746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A700FD">
              <w:rPr>
                <w:rFonts w:eastAsia="Times New Roman" w:cs="Calibri"/>
                <w:color w:val="000000"/>
                <w:lang w:eastAsia="en-GB"/>
              </w:rPr>
              <w:t>GWh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8871A" w14:textId="2D32376E" w:rsidR="00C2145B" w:rsidRPr="00A700FD" w:rsidRDefault="00C2145B" w:rsidP="0015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A700FD">
              <w:rPr>
                <w:rFonts w:eastAsia="Times New Roman" w:cs="Calibri"/>
                <w:color w:val="000000"/>
                <w:lang w:eastAsia="en-GB"/>
              </w:rPr>
              <w:t>11</w:t>
            </w:r>
            <w:r w:rsidR="00A700FD">
              <w:rPr>
                <w:rFonts w:eastAsia="Times New Roman" w:cs="Calibri"/>
                <w:color w:val="000000"/>
                <w:lang w:eastAsia="en-GB"/>
              </w:rPr>
              <w:t>4</w:t>
            </w:r>
          </w:p>
        </w:tc>
        <w:tc>
          <w:tcPr>
            <w:tcW w:w="244" w:type="dxa"/>
            <w:vAlign w:val="bottom"/>
          </w:tcPr>
          <w:p w14:paraId="12B3ED5B" w14:textId="77777777" w:rsidR="00C2145B" w:rsidRPr="00A700FD" w:rsidRDefault="00C2145B" w:rsidP="003274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C2145B" w:rsidRPr="00A700FD" w14:paraId="599961A9" w14:textId="77777777" w:rsidTr="00FF7475">
        <w:trPr>
          <w:trHeight w:val="312"/>
          <w:jc w:val="center"/>
        </w:trPr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86DA06" w14:textId="77777777" w:rsidR="00C2145B" w:rsidRPr="00A700FD" w:rsidRDefault="00C2145B" w:rsidP="00FF7475">
            <w:pPr>
              <w:spacing w:after="0" w:line="240" w:lineRule="auto"/>
              <w:ind w:left="414" w:hanging="270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66D5EB" w14:textId="77777777" w:rsidR="00C2145B" w:rsidRPr="00A700FD" w:rsidRDefault="00C2145B" w:rsidP="0032746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A700FD">
              <w:rPr>
                <w:rFonts w:eastAsia="Times New Roman" w:cs="Calibri"/>
                <w:color w:val="000000"/>
                <w:lang w:eastAsia="en-GB"/>
              </w:rPr>
              <w:t>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298BFD" w14:textId="6699643B" w:rsidR="00C2145B" w:rsidRPr="00A700FD" w:rsidRDefault="001511D6" w:rsidP="00FF74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A700FD">
              <w:rPr>
                <w:rFonts w:eastAsia="Times New Roman" w:cs="Calibri"/>
                <w:color w:val="000000"/>
                <w:lang w:eastAsia="en-GB"/>
              </w:rPr>
              <w:t>1.7</w:t>
            </w:r>
            <w:r w:rsidR="00A700FD">
              <w:rPr>
                <w:rFonts w:eastAsia="Times New Roman" w:cs="Calibri"/>
                <w:color w:val="000000"/>
                <w:lang w:eastAsia="en-GB"/>
              </w:rPr>
              <w:t>1</w:t>
            </w:r>
            <w:r w:rsidR="00C2145B" w:rsidRPr="00A700FD">
              <w:rPr>
                <w:rFonts w:eastAsia="Times New Roman" w:cs="Calibri"/>
                <w:color w:val="000000"/>
                <w:lang w:eastAsia="en-GB"/>
              </w:rPr>
              <w:t>%</w:t>
            </w:r>
          </w:p>
        </w:tc>
        <w:tc>
          <w:tcPr>
            <w:tcW w:w="244" w:type="dxa"/>
            <w:vAlign w:val="bottom"/>
          </w:tcPr>
          <w:p w14:paraId="17EC26CE" w14:textId="77777777" w:rsidR="00C2145B" w:rsidRPr="00A700FD" w:rsidRDefault="00C2145B" w:rsidP="003274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C2145B" w:rsidRPr="00A700FD" w14:paraId="259E2486" w14:textId="77777777" w:rsidTr="00FF7475">
        <w:trPr>
          <w:gridAfter w:val="1"/>
          <w:wAfter w:w="244" w:type="dxa"/>
          <w:trHeight w:val="312"/>
          <w:jc w:val="center"/>
        </w:trPr>
        <w:tc>
          <w:tcPr>
            <w:tcW w:w="5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46C67" w14:textId="77777777" w:rsidR="00C2145B" w:rsidRPr="00A700FD" w:rsidRDefault="00C2145B" w:rsidP="0032746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A700F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FADB9" w14:textId="77777777" w:rsidR="00C2145B" w:rsidRPr="00A700FD" w:rsidRDefault="00C2145B" w:rsidP="00327460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A700F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840E3" w14:textId="77777777" w:rsidR="00C2145B" w:rsidRPr="00A700FD" w:rsidRDefault="00C2145B" w:rsidP="001511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C2145B" w:rsidRPr="0067519F" w14:paraId="5B824214" w14:textId="77777777" w:rsidTr="00FF7475">
        <w:trPr>
          <w:gridAfter w:val="1"/>
          <w:wAfter w:w="244" w:type="dxa"/>
          <w:trHeight w:val="312"/>
          <w:jc w:val="center"/>
        </w:trPr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EBFD46" w14:textId="77777777" w:rsidR="00C2145B" w:rsidRPr="00A700FD" w:rsidRDefault="00FF7475" w:rsidP="003274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A700FD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e =a-b-c-d  </w:t>
            </w:r>
            <w:r w:rsidR="00C2145B" w:rsidRPr="00A700FD">
              <w:rPr>
                <w:rFonts w:eastAsia="Times New Roman" w:cs="Calibri"/>
                <w:b/>
                <w:bCs/>
                <w:color w:val="000000"/>
                <w:lang w:eastAsia="en-GB"/>
              </w:rPr>
              <w:t>Dalja e energjisë nga Transmetimi/hyrja në OSSH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60430A" w14:textId="77777777" w:rsidR="00C2145B" w:rsidRPr="00A700FD" w:rsidRDefault="00C2145B" w:rsidP="003274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proofErr w:type="spellStart"/>
            <w:r w:rsidRPr="00A700FD">
              <w:rPr>
                <w:rFonts w:eastAsia="Times New Roman" w:cs="Calibri"/>
                <w:b/>
                <w:bCs/>
                <w:color w:val="000000"/>
                <w:lang w:eastAsia="en-GB"/>
              </w:rPr>
              <w:t>GWh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F8C3F4" w14:textId="15578A02" w:rsidR="00C2145B" w:rsidRPr="0067519F" w:rsidRDefault="00A700FD" w:rsidP="001511D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67519F">
              <w:rPr>
                <w:rFonts w:eastAsia="Times New Roman" w:cs="Calibri"/>
                <w:b/>
                <w:bCs/>
                <w:color w:val="000000"/>
                <w:lang w:eastAsia="en-GB"/>
              </w:rPr>
              <w:t>5</w:t>
            </w:r>
            <w:r w:rsidR="0074646A" w:rsidRPr="0067519F">
              <w:rPr>
                <w:rFonts w:eastAsia="Times New Roman" w:cs="Calibri"/>
                <w:b/>
                <w:bCs/>
                <w:color w:val="000000"/>
                <w:lang w:eastAsia="en-GB"/>
              </w:rPr>
              <w:t>,</w:t>
            </w:r>
            <w:r w:rsidRPr="0067519F">
              <w:rPr>
                <w:rFonts w:eastAsia="Times New Roman" w:cs="Calibri"/>
                <w:b/>
                <w:bCs/>
                <w:color w:val="000000"/>
                <w:lang w:eastAsia="en-GB"/>
              </w:rPr>
              <w:t>324</w:t>
            </w:r>
          </w:p>
        </w:tc>
      </w:tr>
    </w:tbl>
    <w:p w14:paraId="2F2DDC52" w14:textId="77777777" w:rsidR="0013675D" w:rsidRPr="001471C5" w:rsidRDefault="0013675D" w:rsidP="00AA5A6E">
      <w:pPr>
        <w:jc w:val="both"/>
      </w:pPr>
    </w:p>
    <w:p w14:paraId="0D6A1494" w14:textId="687733B8" w:rsidR="00FF7475" w:rsidRDefault="00905B3F" w:rsidP="00AA5A6E">
      <w:pPr>
        <w:jc w:val="both"/>
      </w:pPr>
      <w:r>
        <w:t>E</w:t>
      </w:r>
      <w:r w:rsidRPr="00E22B03">
        <w:t xml:space="preserve">nergjia e </w:t>
      </w:r>
      <w:proofErr w:type="spellStart"/>
      <w:r w:rsidRPr="00E22B03">
        <w:t>pafaturuar</w:t>
      </w:r>
      <w:proofErr w:type="spellEnd"/>
      <w:r w:rsidRPr="00E22B03">
        <w:t xml:space="preserve"> në katër</w:t>
      </w:r>
      <w:r w:rsidR="00193AA8">
        <w:t xml:space="preserve"> komunat e veriut të Kosovës </w:t>
      </w:r>
      <w:r w:rsidRPr="00E22B03">
        <w:t>ë</w:t>
      </w:r>
      <w:r w:rsidR="00193AA8">
        <w:t>shtë</w:t>
      </w:r>
      <w:r w:rsidRPr="00E22B03">
        <w:t xml:space="preserve"> rrjedh</w:t>
      </w:r>
      <w:r w:rsidR="00193AA8">
        <w:t>ë fizike dhe përdoret</w:t>
      </w:r>
      <w:r w:rsidRPr="00E22B03">
        <w:t xml:space="preserve"> për qëllime të barazimit të bilancit të energjisë elektrike. Sidoqoftë, kostot që rrjedhin nga furnizimi i katër komunave veriore të Kosovës nuk p</w:t>
      </w:r>
      <w:r w:rsidRPr="00E22B03">
        <w:rPr>
          <w:rFonts w:cs="Calibri"/>
        </w:rPr>
        <w:t>ë</w:t>
      </w:r>
      <w:r w:rsidRPr="00E22B03">
        <w:t>rfshihet gjat</w:t>
      </w:r>
      <w:r w:rsidRPr="00E22B03">
        <w:rPr>
          <w:rFonts w:cs="Calibri"/>
        </w:rPr>
        <w:t>ë</w:t>
      </w:r>
      <w:r w:rsidRPr="00E22B03">
        <w:t xml:space="preserve"> kalkulimit t</w:t>
      </w:r>
      <w:r w:rsidRPr="00E22B03">
        <w:rPr>
          <w:rFonts w:cs="Calibri"/>
        </w:rPr>
        <w:t>ë</w:t>
      </w:r>
      <w:r w:rsidRPr="00E22B03">
        <w:t xml:space="preserve"> kostove t</w:t>
      </w:r>
      <w:r w:rsidRPr="00E22B03">
        <w:rPr>
          <w:rFonts w:cs="Calibri"/>
        </w:rPr>
        <w:t>ë</w:t>
      </w:r>
      <w:r w:rsidRPr="00E22B03">
        <w:t xml:space="preserve"> furnizimit me energji </w:t>
      </w:r>
      <w:proofErr w:type="spellStart"/>
      <w:r w:rsidRPr="00E22B03">
        <w:t>konform</w:t>
      </w:r>
      <w:proofErr w:type="spellEnd"/>
      <w:r w:rsidRPr="00E22B03">
        <w:t xml:space="preserve"> vendimit mbi masën e përkohshme të dhënë nga Gjykata Themelore dhe të konfirmuar nga Gjykata e Apelit.</w:t>
      </w:r>
      <w:r w:rsidR="009562B2" w:rsidRPr="001471C5">
        <w:t xml:space="preserve"> </w:t>
      </w:r>
    </w:p>
    <w:p w14:paraId="76002014" w14:textId="5F890F25" w:rsidR="00F9112D" w:rsidRPr="001471C5" w:rsidRDefault="00F9112D" w:rsidP="00AA5A6E">
      <w:pPr>
        <w:jc w:val="both"/>
      </w:pPr>
    </w:p>
    <w:bookmarkEnd w:id="7"/>
    <w:bookmarkEnd w:id="9"/>
    <w:bookmarkEnd w:id="10"/>
    <w:p w14:paraId="67EAFC11" w14:textId="77777777" w:rsidR="00F815F2" w:rsidRPr="001471C5" w:rsidRDefault="00F70D9C" w:rsidP="00F815F2">
      <w:pPr>
        <w:pStyle w:val="Heading1"/>
        <w:rPr>
          <w:lang w:val="sq-AL"/>
        </w:rPr>
      </w:pPr>
      <w:r w:rsidRPr="001471C5">
        <w:rPr>
          <w:lang w:val="sq-AL"/>
        </w:rPr>
        <w:br w:type="page"/>
      </w:r>
      <w:bookmarkStart w:id="12" w:name="_Toc511307495"/>
      <w:bookmarkStart w:id="13" w:name="_Toc71118714"/>
      <w:r w:rsidR="00F815F2" w:rsidRPr="001471C5">
        <w:rPr>
          <w:lang w:val="sq-AL"/>
        </w:rPr>
        <w:lastRenderedPageBreak/>
        <w:t>Përshtatjet e rregullta</w:t>
      </w:r>
      <w:bookmarkEnd w:id="12"/>
      <w:bookmarkEnd w:id="13"/>
    </w:p>
    <w:p w14:paraId="3CD4FF21" w14:textId="66DC14AD" w:rsidR="00F815F2" w:rsidRPr="001471C5" w:rsidRDefault="00F815F2" w:rsidP="00F815F2">
      <w:pPr>
        <w:jc w:val="both"/>
      </w:pPr>
      <w:r w:rsidRPr="001471C5">
        <w:t xml:space="preserve">Në </w:t>
      </w:r>
      <w:r w:rsidR="00D339C6">
        <w:t>vijim</w:t>
      </w:r>
      <w:r w:rsidRPr="001471C5">
        <w:t xml:space="preserve"> janë paraqitur kalkulimet lidhur me përshtatjet e rregullta vjetore të vitit 20</w:t>
      </w:r>
      <w:r w:rsidR="00027C55">
        <w:t>20</w:t>
      </w:r>
      <w:r w:rsidRPr="001471C5">
        <w:t xml:space="preserve">. Kalkulimi i këtyre përshtatjeve do të përfshihet gjatë përcaktimit të </w:t>
      </w:r>
      <w:proofErr w:type="spellStart"/>
      <w:r w:rsidRPr="001471C5">
        <w:t>të</w:t>
      </w:r>
      <w:proofErr w:type="spellEnd"/>
      <w:r w:rsidRPr="001471C5">
        <w:t xml:space="preserve"> hyrave të lejuara maksimale p</w:t>
      </w:r>
      <w:r w:rsidR="00B5734B" w:rsidRPr="001471C5">
        <w:t>ë</w:t>
      </w:r>
      <w:r w:rsidR="001B7F84" w:rsidRPr="001471C5">
        <w:t>r vitin rele</w:t>
      </w:r>
      <w:r w:rsidRPr="001471C5">
        <w:t>vant tarifor 20</w:t>
      </w:r>
      <w:r w:rsidR="00653535" w:rsidRPr="001471C5">
        <w:t>2</w:t>
      </w:r>
      <w:r w:rsidR="00027C55">
        <w:t>1</w:t>
      </w:r>
      <w:r w:rsidRPr="001471C5">
        <w:t>.</w:t>
      </w:r>
      <w:r w:rsidR="00B2210C" w:rsidRPr="001471C5">
        <w:t xml:space="preserve"> </w:t>
      </w:r>
    </w:p>
    <w:p w14:paraId="524C5E7E" w14:textId="77777777" w:rsidR="00F815F2" w:rsidRPr="001471C5" w:rsidRDefault="00F815F2" w:rsidP="0014315E">
      <w:pPr>
        <w:pStyle w:val="Heading2"/>
      </w:pPr>
      <w:bookmarkStart w:id="14" w:name="_Toc511307496"/>
      <w:bookmarkStart w:id="15" w:name="_Toc71118715"/>
      <w:proofErr w:type="spellStart"/>
      <w:r w:rsidRPr="001471C5">
        <w:t>Përshtatjet</w:t>
      </w:r>
      <w:proofErr w:type="spellEnd"/>
      <w:r w:rsidRPr="001471C5">
        <w:t xml:space="preserve"> </w:t>
      </w:r>
      <w:proofErr w:type="spellStart"/>
      <w:r w:rsidRPr="001471C5">
        <w:t>për</w:t>
      </w:r>
      <w:proofErr w:type="spellEnd"/>
      <w:r w:rsidRPr="001471C5">
        <w:t xml:space="preserve"> </w:t>
      </w:r>
      <w:proofErr w:type="spellStart"/>
      <w:r w:rsidRPr="001471C5">
        <w:t>normën</w:t>
      </w:r>
      <w:proofErr w:type="spellEnd"/>
      <w:r w:rsidRPr="001471C5">
        <w:t xml:space="preserve"> e </w:t>
      </w:r>
      <w:proofErr w:type="spellStart"/>
      <w:r w:rsidRPr="001471C5">
        <w:t>inflacionit</w:t>
      </w:r>
      <w:bookmarkEnd w:id="14"/>
      <w:bookmarkEnd w:id="15"/>
      <w:proofErr w:type="spellEnd"/>
    </w:p>
    <w:p w14:paraId="56D1E8E1" w14:textId="2BA7F674" w:rsidR="00F815F2" w:rsidRPr="001471C5" w:rsidRDefault="00F815F2" w:rsidP="00F815F2">
      <w:pPr>
        <w:spacing w:before="120"/>
        <w:jc w:val="both"/>
      </w:pPr>
      <w:r w:rsidRPr="001471C5">
        <w:t>Për të bërë kalkulimin e përshtatjeve lidhur me normën e inflacionit</w:t>
      </w:r>
      <w:r w:rsidR="00240B8D" w:rsidRPr="001471C5">
        <w:t xml:space="preserve"> </w:t>
      </w:r>
      <w:r w:rsidRPr="001471C5">
        <w:t xml:space="preserve">si referencë </w:t>
      </w:r>
      <w:r w:rsidRPr="001471C5">
        <w:rPr>
          <w:rFonts w:cs="Calibri"/>
        </w:rPr>
        <w:t>ë</w:t>
      </w:r>
      <w:r w:rsidRPr="001471C5">
        <w:t>sht</w:t>
      </w:r>
      <w:r w:rsidRPr="001471C5">
        <w:rPr>
          <w:rFonts w:cs="Calibri"/>
        </w:rPr>
        <w:t>ë</w:t>
      </w:r>
      <w:r w:rsidRPr="001471C5">
        <w:t xml:space="preserve"> marr norma e inflacionit </w:t>
      </w:r>
      <w:r w:rsidR="00240B8D" w:rsidRPr="001471C5">
        <w:t>e</w:t>
      </w:r>
      <w:r w:rsidRPr="001471C5">
        <w:t xml:space="preserve"> publikuar nga </w:t>
      </w:r>
      <w:proofErr w:type="spellStart"/>
      <w:r w:rsidRPr="001471C5">
        <w:t>Eurostati</w:t>
      </w:r>
      <w:proofErr w:type="spellEnd"/>
      <w:r w:rsidRPr="001471C5">
        <w:t xml:space="preserve"> për vendet e Eurozonës, e cila për</w:t>
      </w:r>
      <w:r w:rsidR="00E45ED1" w:rsidRPr="001471C5">
        <w:t xml:space="preserve"> vitin 20</w:t>
      </w:r>
      <w:r w:rsidR="00027C55">
        <w:t>20</w:t>
      </w:r>
      <w:r w:rsidRPr="001471C5">
        <w:t xml:space="preserve"> </w:t>
      </w:r>
      <w:r w:rsidR="00E45ED1" w:rsidRPr="00D339C6">
        <w:t xml:space="preserve">ishte </w:t>
      </w:r>
      <w:r w:rsidR="00027C55" w:rsidRPr="00D339C6">
        <w:t>0.26</w:t>
      </w:r>
      <w:r w:rsidRPr="00D339C6">
        <w:t>%</w:t>
      </w:r>
      <w:r w:rsidRPr="00D339C6">
        <w:rPr>
          <w:rStyle w:val="FootnoteReference"/>
        </w:rPr>
        <w:footnoteReference w:id="1"/>
      </w:r>
      <w:r w:rsidRPr="00D339C6">
        <w:t>.</w:t>
      </w:r>
      <w:r w:rsidR="00240B8D" w:rsidRPr="001471C5">
        <w:t xml:space="preserve">  M</w:t>
      </w:r>
      <w:r w:rsidR="00240B8D" w:rsidRPr="001471C5">
        <w:rPr>
          <w:rFonts w:cs="Calibri"/>
        </w:rPr>
        <w:t>ë</w:t>
      </w:r>
      <w:r w:rsidR="00240B8D" w:rsidRPr="001471C5">
        <w:t>nyra p</w:t>
      </w:r>
      <w:r w:rsidR="00240B8D" w:rsidRPr="001471C5">
        <w:rPr>
          <w:rFonts w:cs="Calibri"/>
        </w:rPr>
        <w:t>ë</w:t>
      </w:r>
      <w:r w:rsidR="00240B8D" w:rsidRPr="001471C5">
        <w:t>r kalkulimin e p</w:t>
      </w:r>
      <w:r w:rsidR="00240B8D" w:rsidRPr="001471C5">
        <w:rPr>
          <w:rFonts w:cs="Calibri"/>
        </w:rPr>
        <w:t>ë</w:t>
      </w:r>
      <w:r w:rsidR="00240B8D" w:rsidRPr="001471C5">
        <w:t>rshtatj</w:t>
      </w:r>
      <w:r w:rsidR="001B7F84" w:rsidRPr="001471C5">
        <w:t>e</w:t>
      </w:r>
      <w:r w:rsidR="00240B8D" w:rsidRPr="001471C5">
        <w:t>ve t</w:t>
      </w:r>
      <w:r w:rsidR="00240B8D" w:rsidRPr="001471C5">
        <w:rPr>
          <w:rFonts w:cs="Calibri"/>
        </w:rPr>
        <w:t>ë</w:t>
      </w:r>
      <w:r w:rsidR="00240B8D" w:rsidRPr="001471C5">
        <w:t xml:space="preserve"> tilla </w:t>
      </w:r>
      <w:r w:rsidR="00240B8D" w:rsidRPr="001471C5">
        <w:rPr>
          <w:rFonts w:cs="Calibri"/>
        </w:rPr>
        <w:t>ë</w:t>
      </w:r>
      <w:r w:rsidR="00240B8D" w:rsidRPr="001471C5">
        <w:t>sht</w:t>
      </w:r>
      <w:r w:rsidR="00240B8D" w:rsidRPr="001471C5">
        <w:rPr>
          <w:rFonts w:cs="Calibri"/>
        </w:rPr>
        <w:t>ë</w:t>
      </w:r>
      <w:r w:rsidR="00240B8D" w:rsidRPr="001471C5">
        <w:t xml:space="preserve"> e p</w:t>
      </w:r>
      <w:r w:rsidR="00240B8D" w:rsidRPr="001471C5">
        <w:rPr>
          <w:rFonts w:cs="Calibri"/>
        </w:rPr>
        <w:t>ë</w:t>
      </w:r>
      <w:r w:rsidR="00240B8D" w:rsidRPr="001471C5">
        <w:t>rcaktuar n</w:t>
      </w:r>
      <w:r w:rsidR="00240B8D" w:rsidRPr="001471C5">
        <w:rPr>
          <w:rFonts w:cs="Calibri"/>
        </w:rPr>
        <w:t>ë</w:t>
      </w:r>
      <w:r w:rsidR="00240B8D" w:rsidRPr="001471C5">
        <w:t xml:space="preserve"> Rregull</w:t>
      </w:r>
      <w:r w:rsidR="00240B8D" w:rsidRPr="001471C5">
        <w:rPr>
          <w:rFonts w:cs="Calibri"/>
        </w:rPr>
        <w:t>ë</w:t>
      </w:r>
      <w:r w:rsidR="00240B8D" w:rsidRPr="001471C5">
        <w:t>n e t</w:t>
      </w:r>
      <w:r w:rsidR="00240B8D" w:rsidRPr="001471C5">
        <w:rPr>
          <w:rFonts w:cs="Calibri"/>
        </w:rPr>
        <w:t>ë</w:t>
      </w:r>
      <w:r w:rsidR="00240B8D" w:rsidRPr="001471C5">
        <w:t xml:space="preserve"> Hyrave t</w:t>
      </w:r>
      <w:r w:rsidR="00240B8D" w:rsidRPr="001471C5">
        <w:rPr>
          <w:rFonts w:cs="Calibri"/>
        </w:rPr>
        <w:t>ë</w:t>
      </w:r>
      <w:r w:rsidR="00240B8D" w:rsidRPr="001471C5">
        <w:t xml:space="preserve"> OST/OT-s</w:t>
      </w:r>
      <w:r w:rsidR="00240B8D" w:rsidRPr="001471C5">
        <w:rPr>
          <w:rFonts w:cs="Calibri"/>
        </w:rPr>
        <w:t>ë</w:t>
      </w:r>
      <w:r w:rsidR="00240B8D" w:rsidRPr="001471C5">
        <w:t>.</w:t>
      </w:r>
    </w:p>
    <w:p w14:paraId="4DDFE929" w14:textId="523BDE92" w:rsidR="00F815F2" w:rsidRPr="001471C5" w:rsidRDefault="00F815F2" w:rsidP="00F815F2">
      <w:pPr>
        <w:jc w:val="both"/>
      </w:pPr>
      <w:r w:rsidRPr="001471C5">
        <w:t>Kjo normë aplikohet në përshtatjen e kostove operative, kostove të zhvlerësimit dhe kthimit në kapital. Pas aplikimit të norm</w:t>
      </w:r>
      <w:r w:rsidR="00E45ED1" w:rsidRPr="001471C5">
        <w:t xml:space="preserve">ës së inflacionit </w:t>
      </w:r>
      <w:r w:rsidRPr="001471C5">
        <w:t>ndaj komponent</w:t>
      </w:r>
      <w:r w:rsidR="001B7F84" w:rsidRPr="001471C5">
        <w:t>ë</w:t>
      </w:r>
      <w:r w:rsidRPr="001471C5">
        <w:t xml:space="preserve">ve të kostove të sipërpërmendura, rrjedh vlera e kostove të përshtatura </w:t>
      </w:r>
      <w:r w:rsidR="006F1778" w:rsidRPr="001471C5">
        <w:t>n</w:t>
      </w:r>
      <w:r w:rsidR="00B5734B" w:rsidRPr="001471C5">
        <w:t>ë</w:t>
      </w:r>
      <w:r w:rsidR="006F1778" w:rsidRPr="001471C5">
        <w:t xml:space="preserve"> vler</w:t>
      </w:r>
      <w:r w:rsidR="00B5734B" w:rsidRPr="001471C5">
        <w:t>ë</w:t>
      </w:r>
      <w:r w:rsidR="006F1778" w:rsidRPr="001471C5">
        <w:t xml:space="preserve"> </w:t>
      </w:r>
      <w:r w:rsidRPr="001471C5">
        <w:t xml:space="preserve">prej </w:t>
      </w:r>
      <w:r w:rsidR="00D339C6" w:rsidRPr="00D339C6">
        <w:t>0.08</w:t>
      </w:r>
      <w:r w:rsidR="00240B8D" w:rsidRPr="00D339C6">
        <w:t xml:space="preserve"> </w:t>
      </w:r>
      <w:r w:rsidRPr="00D339C6">
        <w:t>milion euro</w:t>
      </w:r>
      <w:r w:rsidRPr="001471C5">
        <w:t>. P</w:t>
      </w:r>
      <w:r w:rsidRPr="001471C5">
        <w:rPr>
          <w:rFonts w:cs="Calibri"/>
        </w:rPr>
        <w:t>ë</w:t>
      </w:r>
      <w:r w:rsidRPr="001471C5">
        <w:t>rshtatjet q</w:t>
      </w:r>
      <w:r w:rsidRPr="001471C5">
        <w:rPr>
          <w:rFonts w:cs="Calibri"/>
        </w:rPr>
        <w:t>ë</w:t>
      </w:r>
      <w:r w:rsidRPr="001471C5">
        <w:t xml:space="preserve"> kan</w:t>
      </w:r>
      <w:r w:rsidRPr="001471C5">
        <w:rPr>
          <w:rFonts w:cs="Calibri"/>
        </w:rPr>
        <w:t>ë</w:t>
      </w:r>
      <w:r w:rsidRPr="001471C5">
        <w:t xml:space="preserve"> rezultuar n</w:t>
      </w:r>
      <w:r w:rsidRPr="001471C5">
        <w:rPr>
          <w:rFonts w:cs="Calibri"/>
        </w:rPr>
        <w:t>ga aplikimi i normës së inflacionit për secilën nga komponentët e kostove të lejuara në</w:t>
      </w:r>
      <w:r w:rsidR="0046512B">
        <w:rPr>
          <w:rFonts w:cs="Calibri"/>
        </w:rPr>
        <w:t xml:space="preserve"> vitin 2020</w:t>
      </w:r>
      <w:r w:rsidR="006F1778" w:rsidRPr="001471C5">
        <w:rPr>
          <w:rFonts w:cs="Calibri"/>
        </w:rPr>
        <w:t xml:space="preserve"> i</w:t>
      </w:r>
      <w:r w:rsidRPr="001471C5">
        <w:rPr>
          <w:rFonts w:cs="Calibri"/>
        </w:rPr>
        <w:t xml:space="preserve"> janë shtuar më pastaj vlerësimi</w:t>
      </w:r>
      <w:r w:rsidR="00240B8D" w:rsidRPr="001471C5">
        <w:rPr>
          <w:rFonts w:cs="Calibri"/>
        </w:rPr>
        <w:t>t filles</w:t>
      </w:r>
      <w:r w:rsidR="001B7F84" w:rsidRPr="001471C5">
        <w:rPr>
          <w:rFonts w:cs="Calibri"/>
        </w:rPr>
        <w:t>t</w:t>
      </w:r>
      <w:r w:rsidR="00240B8D" w:rsidRPr="001471C5">
        <w:rPr>
          <w:rFonts w:cs="Calibri"/>
        </w:rPr>
        <w:t>ar</w:t>
      </w:r>
      <w:r w:rsidRPr="001471C5">
        <w:rPr>
          <w:rFonts w:cs="Calibri"/>
        </w:rPr>
        <w:t xml:space="preserve"> të kostove për vitin 20</w:t>
      </w:r>
      <w:r w:rsidR="0046512B">
        <w:rPr>
          <w:rFonts w:cs="Calibri"/>
        </w:rPr>
        <w:t>21</w:t>
      </w:r>
      <w:r w:rsidR="006F1778" w:rsidRPr="001471C5">
        <w:rPr>
          <w:rFonts w:cs="Calibri"/>
        </w:rPr>
        <w:t>, t</w:t>
      </w:r>
      <w:r w:rsidR="00B5734B" w:rsidRPr="001471C5">
        <w:rPr>
          <w:rFonts w:cs="Calibri"/>
        </w:rPr>
        <w:t>ë</w:t>
      </w:r>
      <w:r w:rsidR="006F1778" w:rsidRPr="001471C5">
        <w:rPr>
          <w:rFonts w:cs="Calibri"/>
        </w:rPr>
        <w:t xml:space="preserve"> p</w:t>
      </w:r>
      <w:r w:rsidR="00B5734B" w:rsidRPr="001471C5">
        <w:rPr>
          <w:rFonts w:cs="Calibri"/>
        </w:rPr>
        <w:t>ë</w:t>
      </w:r>
      <w:r w:rsidR="006F1778" w:rsidRPr="001471C5">
        <w:rPr>
          <w:rFonts w:cs="Calibri"/>
        </w:rPr>
        <w:t>rcaktuara gjat</w:t>
      </w:r>
      <w:r w:rsidR="00B5734B" w:rsidRPr="001471C5">
        <w:rPr>
          <w:rFonts w:cs="Calibri"/>
        </w:rPr>
        <w:t>ë</w:t>
      </w:r>
      <w:r w:rsidR="006F1778" w:rsidRPr="001471C5">
        <w:rPr>
          <w:rFonts w:cs="Calibri"/>
        </w:rPr>
        <w:t xml:space="preserve"> shqyrtimit periodik</w:t>
      </w:r>
      <w:r w:rsidRPr="001471C5">
        <w:rPr>
          <w:rFonts w:cs="Calibri"/>
        </w:rPr>
        <w:t xml:space="preserve">. </w:t>
      </w:r>
      <w:r w:rsidRPr="001471C5">
        <w:t xml:space="preserve">Detajet e këtyre kalkulimeve janë paraqitur në tabelën </w:t>
      </w:r>
      <w:r w:rsidR="006F1778" w:rsidRPr="001471C5">
        <w:t>m</w:t>
      </w:r>
      <w:r w:rsidR="00B5734B" w:rsidRPr="001471C5">
        <w:t>ë</w:t>
      </w:r>
      <w:r w:rsidR="006F1778" w:rsidRPr="001471C5">
        <w:t xml:space="preserve"> posht</w:t>
      </w:r>
      <w:r w:rsidR="00B5734B" w:rsidRPr="001471C5">
        <w:t>ë</w:t>
      </w:r>
      <w:r w:rsidR="006F1778" w:rsidRPr="001471C5">
        <w:t>:</w:t>
      </w:r>
    </w:p>
    <w:p w14:paraId="2200B98A" w14:textId="77777777" w:rsidR="006F1778" w:rsidRPr="001471C5" w:rsidRDefault="00B2210C" w:rsidP="006F1778">
      <w:pPr>
        <w:pStyle w:val="Caption"/>
        <w:ind w:firstLine="720"/>
        <w:rPr>
          <w:lang w:val="sq-AL"/>
        </w:rPr>
      </w:pPr>
      <w:r w:rsidRPr="001471C5">
        <w:rPr>
          <w:lang w:val="sq-AL"/>
        </w:rPr>
        <w:t>Tabela</w:t>
      </w:r>
      <w:r w:rsidR="006F1778" w:rsidRPr="001471C5">
        <w:rPr>
          <w:lang w:val="sq-AL"/>
        </w:rPr>
        <w:t xml:space="preserve"> </w:t>
      </w:r>
      <w:r w:rsidR="00863F08" w:rsidRPr="001471C5">
        <w:rPr>
          <w:lang w:val="sq-AL"/>
        </w:rPr>
        <w:t>2</w:t>
      </w:r>
      <w:r w:rsidR="006F1778" w:rsidRPr="001471C5">
        <w:rPr>
          <w:lang w:val="sq-AL"/>
        </w:rPr>
        <w:t>: Përshtatjet për inflacion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4"/>
        <w:gridCol w:w="876"/>
        <w:gridCol w:w="876"/>
        <w:gridCol w:w="1516"/>
        <w:gridCol w:w="1568"/>
        <w:gridCol w:w="1157"/>
      </w:tblGrid>
      <w:tr w:rsidR="00F815F2" w:rsidRPr="00FA532E" w14:paraId="3C11E0D9" w14:textId="77777777" w:rsidTr="00782E58">
        <w:trPr>
          <w:jc w:val="center"/>
        </w:trPr>
        <w:tc>
          <w:tcPr>
            <w:tcW w:w="20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14:paraId="10DAAF57" w14:textId="77777777" w:rsidR="00F815F2" w:rsidRPr="00FA532E" w:rsidRDefault="00F815F2" w:rsidP="00327460">
            <w:pPr>
              <w:spacing w:after="0" w:line="240" w:lineRule="auto"/>
              <w:rPr>
                <w:color w:val="FFFFFF" w:themeColor="background1"/>
              </w:rPr>
            </w:pPr>
            <w:r w:rsidRPr="00FA532E">
              <w:rPr>
                <w:color w:val="FFFFFF" w:themeColor="background1"/>
              </w:rPr>
              <w:t>Linja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14:paraId="308545AB" w14:textId="77777777" w:rsidR="00F815F2" w:rsidRPr="00FA532E" w:rsidRDefault="00F815F2" w:rsidP="00327460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FA532E">
              <w:rPr>
                <w:color w:val="FFFFFF" w:themeColor="background1"/>
              </w:rPr>
              <w:t>Njësia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14:paraId="03CE7948" w14:textId="77777777" w:rsidR="00F815F2" w:rsidRPr="00FA532E" w:rsidRDefault="00F815F2" w:rsidP="00327460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FA532E">
              <w:rPr>
                <w:color w:val="FFFFFF" w:themeColor="background1"/>
              </w:rPr>
              <w:t>a)</w:t>
            </w:r>
          </w:p>
          <w:p w14:paraId="230F6F90" w14:textId="77777777" w:rsidR="00F815F2" w:rsidRPr="00FA532E" w:rsidRDefault="00F815F2" w:rsidP="00327460">
            <w:pPr>
              <w:pStyle w:val="ListParagraph"/>
              <w:spacing w:after="0" w:line="240" w:lineRule="auto"/>
              <w:ind w:left="27"/>
              <w:jc w:val="center"/>
              <w:rPr>
                <w:rFonts w:cs="Calibri"/>
                <w:color w:val="FFFFFF" w:themeColor="background1"/>
                <w:lang w:val="sq-AL"/>
              </w:rPr>
            </w:pPr>
            <w:r w:rsidRPr="00FA532E">
              <w:rPr>
                <w:rFonts w:cs="Calibri"/>
                <w:color w:val="FFFFFF" w:themeColor="background1"/>
                <w:lang w:val="sq-AL"/>
              </w:rPr>
              <w:t>Lejuar</w:t>
            </w:r>
          </w:p>
          <w:p w14:paraId="2237A7D4" w14:textId="53A95C87" w:rsidR="00F815F2" w:rsidRPr="00FA532E" w:rsidRDefault="00F815F2" w:rsidP="00A976AC">
            <w:pPr>
              <w:spacing w:after="0" w:line="240" w:lineRule="auto"/>
              <w:ind w:left="27"/>
              <w:jc w:val="center"/>
              <w:rPr>
                <w:color w:val="FFFFFF" w:themeColor="background1"/>
              </w:rPr>
            </w:pPr>
            <w:r w:rsidRPr="00FA532E">
              <w:rPr>
                <w:color w:val="FFFFFF" w:themeColor="background1"/>
              </w:rPr>
              <w:t>20</w:t>
            </w:r>
            <w:r w:rsidR="00FA532E">
              <w:rPr>
                <w:color w:val="FFFFFF" w:themeColor="background1"/>
              </w:rPr>
              <w:t>20</w:t>
            </w:r>
          </w:p>
        </w:tc>
        <w:tc>
          <w:tcPr>
            <w:tcW w:w="15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14:paraId="4C2E328D" w14:textId="77777777" w:rsidR="00F815F2" w:rsidRPr="00FA532E" w:rsidRDefault="00F815F2" w:rsidP="00327460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FA532E">
              <w:rPr>
                <w:color w:val="FFFFFF" w:themeColor="background1"/>
              </w:rPr>
              <w:t>b)</w:t>
            </w:r>
          </w:p>
          <w:p w14:paraId="23563074" w14:textId="62810AAE" w:rsidR="00F815F2" w:rsidRPr="00FA532E" w:rsidRDefault="00F815F2" w:rsidP="00327460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FA532E">
              <w:rPr>
                <w:color w:val="FFFFFF" w:themeColor="background1"/>
              </w:rPr>
              <w:t xml:space="preserve">Përshtatja për </w:t>
            </w:r>
            <w:r w:rsidR="00FA532E">
              <w:rPr>
                <w:color w:val="FFFFFF" w:themeColor="background1"/>
              </w:rPr>
              <w:t>Inflacion</w:t>
            </w:r>
          </w:p>
        </w:tc>
        <w:tc>
          <w:tcPr>
            <w:tcW w:w="1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14:paraId="3C8D94D4" w14:textId="77777777" w:rsidR="00F815F2" w:rsidRPr="00FA532E" w:rsidRDefault="00F815F2" w:rsidP="00327460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FA532E">
              <w:rPr>
                <w:color w:val="FFFFFF" w:themeColor="background1"/>
              </w:rPr>
              <w:t>c)</w:t>
            </w:r>
          </w:p>
          <w:p w14:paraId="1E9355D2" w14:textId="5110D786" w:rsidR="00F815F2" w:rsidRPr="00FA532E" w:rsidRDefault="00A976AC" w:rsidP="00327460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FA532E">
              <w:rPr>
                <w:color w:val="FFFFFF" w:themeColor="background1"/>
              </w:rPr>
              <w:t>Vlerësimi fillestar 202</w:t>
            </w:r>
            <w:r w:rsidR="00FA532E">
              <w:rPr>
                <w:color w:val="FFFFFF" w:themeColor="background1"/>
              </w:rPr>
              <w:t>1</w:t>
            </w:r>
            <w:r w:rsidR="00F815F2" w:rsidRPr="00FA532E">
              <w:rPr>
                <w:rStyle w:val="FootnoteReference"/>
                <w:color w:val="FFFFFF" w:themeColor="background1"/>
              </w:rPr>
              <w:footnoteReference w:id="2"/>
            </w:r>
          </w:p>
        </w:tc>
        <w:tc>
          <w:tcPr>
            <w:tcW w:w="11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14:paraId="155013BC" w14:textId="57EBDEA6" w:rsidR="00F815F2" w:rsidRPr="00FA532E" w:rsidRDefault="00F815F2" w:rsidP="00782E58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FA532E">
              <w:rPr>
                <w:color w:val="FFFFFF" w:themeColor="background1"/>
              </w:rPr>
              <w:t>d=</w:t>
            </w:r>
            <w:proofErr w:type="spellStart"/>
            <w:r w:rsidRPr="00FA532E">
              <w:rPr>
                <w:color w:val="FFFFFF" w:themeColor="background1"/>
              </w:rPr>
              <w:t>b+c</w:t>
            </w:r>
            <w:proofErr w:type="spellEnd"/>
            <w:r w:rsidRPr="00FA532E">
              <w:rPr>
                <w:color w:val="FFFFFF" w:themeColor="background1"/>
              </w:rPr>
              <w:t xml:space="preserve"> Lejimi </w:t>
            </w:r>
            <w:r w:rsidR="00782E58" w:rsidRPr="00FA532E">
              <w:rPr>
                <w:color w:val="FFFFFF" w:themeColor="background1"/>
              </w:rPr>
              <w:t>202</w:t>
            </w:r>
            <w:r w:rsidR="00FA532E">
              <w:rPr>
                <w:color w:val="FFFFFF" w:themeColor="background1"/>
              </w:rPr>
              <w:t>1</w:t>
            </w:r>
          </w:p>
        </w:tc>
      </w:tr>
      <w:tr w:rsidR="00FA532E" w:rsidRPr="00FA532E" w14:paraId="545210C7" w14:textId="77777777" w:rsidTr="00782E58">
        <w:trPr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</w:tcPr>
          <w:p w14:paraId="14EBBE99" w14:textId="77777777" w:rsidR="00FA532E" w:rsidRPr="00FA532E" w:rsidRDefault="00FA532E" w:rsidP="00FA532E">
            <w:pPr>
              <w:spacing w:after="0" w:line="240" w:lineRule="auto"/>
              <w:rPr>
                <w:color w:val="000000"/>
              </w:rPr>
            </w:pPr>
            <w:r w:rsidRPr="00FA532E">
              <w:rPr>
                <w:color w:val="000000"/>
              </w:rPr>
              <w:t>OPEX-i</w:t>
            </w:r>
          </w:p>
        </w:tc>
        <w:tc>
          <w:tcPr>
            <w:tcW w:w="876" w:type="dxa"/>
            <w:tcBorders>
              <w:top w:val="single" w:sz="4" w:space="0" w:color="FFFFFF" w:themeColor="background1"/>
            </w:tcBorders>
          </w:tcPr>
          <w:p w14:paraId="32FBBE49" w14:textId="77777777" w:rsidR="00FA532E" w:rsidRPr="00FA532E" w:rsidRDefault="00FA532E" w:rsidP="00FA532E">
            <w:pPr>
              <w:spacing w:after="0" w:line="240" w:lineRule="auto"/>
              <w:jc w:val="center"/>
              <w:rPr>
                <w:color w:val="000000"/>
              </w:rPr>
            </w:pPr>
            <w:r w:rsidRPr="00FA532E">
              <w:rPr>
                <w:color w:val="000000"/>
              </w:rPr>
              <w:t xml:space="preserve">mil € </w:t>
            </w:r>
          </w:p>
        </w:tc>
        <w:tc>
          <w:tcPr>
            <w:tcW w:w="876" w:type="dxa"/>
            <w:tcBorders>
              <w:top w:val="single" w:sz="4" w:space="0" w:color="FFFFFF" w:themeColor="background1"/>
            </w:tcBorders>
          </w:tcPr>
          <w:p w14:paraId="7EBFD407" w14:textId="77A2FDF4" w:rsidR="00FA532E" w:rsidRPr="00FA532E" w:rsidRDefault="00FA532E" w:rsidP="00FA532E">
            <w:pPr>
              <w:spacing w:after="0" w:line="240" w:lineRule="auto"/>
              <w:jc w:val="right"/>
              <w:rPr>
                <w:color w:val="000000"/>
              </w:rPr>
            </w:pPr>
            <w:r w:rsidRPr="00FA532E">
              <w:rPr>
                <w:color w:val="000000"/>
              </w:rPr>
              <w:t>7.28</w:t>
            </w:r>
          </w:p>
        </w:tc>
        <w:tc>
          <w:tcPr>
            <w:tcW w:w="1516" w:type="dxa"/>
            <w:tcBorders>
              <w:top w:val="single" w:sz="4" w:space="0" w:color="FFFFFF" w:themeColor="background1"/>
            </w:tcBorders>
          </w:tcPr>
          <w:p w14:paraId="203604C2" w14:textId="17A3B923" w:rsidR="00FA532E" w:rsidRPr="00FA532E" w:rsidRDefault="00FA532E" w:rsidP="00FA532E">
            <w:pPr>
              <w:spacing w:after="0" w:line="240" w:lineRule="auto"/>
              <w:jc w:val="right"/>
              <w:rPr>
                <w:color w:val="000000"/>
              </w:rPr>
            </w:pPr>
            <w:r w:rsidRPr="00FA532E">
              <w:rPr>
                <w:color w:val="000000"/>
              </w:rPr>
              <w:t>0.0</w:t>
            </w:r>
            <w:r>
              <w:rPr>
                <w:color w:val="000000"/>
              </w:rPr>
              <w:t>2</w:t>
            </w:r>
          </w:p>
        </w:tc>
        <w:tc>
          <w:tcPr>
            <w:tcW w:w="1568" w:type="dxa"/>
            <w:tcBorders>
              <w:top w:val="single" w:sz="4" w:space="0" w:color="FFFFFF" w:themeColor="background1"/>
            </w:tcBorders>
          </w:tcPr>
          <w:p w14:paraId="536155D3" w14:textId="1F24CC0C" w:rsidR="00FA532E" w:rsidRPr="00FA532E" w:rsidRDefault="00FA532E" w:rsidP="00FA532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7.09</w:t>
            </w:r>
          </w:p>
        </w:tc>
        <w:tc>
          <w:tcPr>
            <w:tcW w:w="1157" w:type="dxa"/>
            <w:tcBorders>
              <w:top w:val="single" w:sz="4" w:space="0" w:color="FFFFFF" w:themeColor="background1"/>
            </w:tcBorders>
          </w:tcPr>
          <w:p w14:paraId="58266734" w14:textId="081EFD90" w:rsidR="00FA532E" w:rsidRPr="00FA532E" w:rsidRDefault="00FA532E" w:rsidP="00FA532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7.11</w:t>
            </w:r>
          </w:p>
        </w:tc>
      </w:tr>
      <w:tr w:rsidR="00FA532E" w:rsidRPr="00FA532E" w14:paraId="0B3BB527" w14:textId="77777777" w:rsidTr="00782E58">
        <w:trPr>
          <w:jc w:val="center"/>
        </w:trPr>
        <w:tc>
          <w:tcPr>
            <w:tcW w:w="2094" w:type="dxa"/>
          </w:tcPr>
          <w:p w14:paraId="6B5A88CB" w14:textId="77777777" w:rsidR="00FA532E" w:rsidRPr="00FA532E" w:rsidRDefault="00FA532E" w:rsidP="00FA532E">
            <w:pPr>
              <w:spacing w:after="0" w:line="240" w:lineRule="auto"/>
              <w:rPr>
                <w:color w:val="000000"/>
              </w:rPr>
            </w:pPr>
            <w:r w:rsidRPr="00FA532E">
              <w:rPr>
                <w:color w:val="000000"/>
              </w:rPr>
              <w:t>Zhvlerësimi</w:t>
            </w:r>
          </w:p>
        </w:tc>
        <w:tc>
          <w:tcPr>
            <w:tcW w:w="876" w:type="dxa"/>
          </w:tcPr>
          <w:p w14:paraId="0B3EC02C" w14:textId="77777777" w:rsidR="00FA532E" w:rsidRPr="00FA532E" w:rsidRDefault="00FA532E" w:rsidP="00FA532E">
            <w:pPr>
              <w:spacing w:after="0" w:line="240" w:lineRule="auto"/>
              <w:jc w:val="center"/>
              <w:rPr>
                <w:color w:val="000000"/>
              </w:rPr>
            </w:pPr>
            <w:r w:rsidRPr="00FA532E">
              <w:rPr>
                <w:color w:val="000000"/>
              </w:rPr>
              <w:t>mil €</w:t>
            </w:r>
          </w:p>
        </w:tc>
        <w:tc>
          <w:tcPr>
            <w:tcW w:w="876" w:type="dxa"/>
          </w:tcPr>
          <w:p w14:paraId="015F052C" w14:textId="7FAFC4B0" w:rsidR="00FA532E" w:rsidRPr="00FA532E" w:rsidRDefault="00FA532E" w:rsidP="00FA532E">
            <w:pPr>
              <w:spacing w:after="0" w:line="240" w:lineRule="auto"/>
              <w:jc w:val="right"/>
              <w:rPr>
                <w:color w:val="000000"/>
              </w:rPr>
            </w:pPr>
            <w:r w:rsidRPr="00FA532E">
              <w:rPr>
                <w:color w:val="000000"/>
              </w:rPr>
              <w:t>11.3</w:t>
            </w:r>
            <w:r>
              <w:rPr>
                <w:color w:val="000000"/>
              </w:rPr>
              <w:t>6</w:t>
            </w:r>
          </w:p>
        </w:tc>
        <w:tc>
          <w:tcPr>
            <w:tcW w:w="1516" w:type="dxa"/>
          </w:tcPr>
          <w:p w14:paraId="35560A67" w14:textId="13E6D6B6" w:rsidR="00FA532E" w:rsidRPr="00FA532E" w:rsidRDefault="00FA532E" w:rsidP="00FA532E">
            <w:pPr>
              <w:spacing w:after="0" w:line="240" w:lineRule="auto"/>
              <w:jc w:val="right"/>
              <w:rPr>
                <w:color w:val="000000"/>
              </w:rPr>
            </w:pPr>
            <w:r w:rsidRPr="00FA532E">
              <w:rPr>
                <w:color w:val="000000"/>
              </w:rPr>
              <w:t>0.</w:t>
            </w:r>
            <w:r>
              <w:rPr>
                <w:color w:val="000000"/>
              </w:rPr>
              <w:t>03</w:t>
            </w:r>
          </w:p>
        </w:tc>
        <w:tc>
          <w:tcPr>
            <w:tcW w:w="1568" w:type="dxa"/>
          </w:tcPr>
          <w:p w14:paraId="40D9EBB5" w14:textId="6F1504EC" w:rsidR="00FA532E" w:rsidRPr="00FA532E" w:rsidRDefault="00FA532E" w:rsidP="00FA532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11.71</w:t>
            </w:r>
          </w:p>
        </w:tc>
        <w:tc>
          <w:tcPr>
            <w:tcW w:w="1157" w:type="dxa"/>
          </w:tcPr>
          <w:p w14:paraId="03345F61" w14:textId="51855929" w:rsidR="00FA532E" w:rsidRPr="00FA532E" w:rsidRDefault="00FA532E" w:rsidP="00FA532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11.74</w:t>
            </w:r>
          </w:p>
        </w:tc>
      </w:tr>
      <w:tr w:rsidR="00FA532E" w:rsidRPr="00FA532E" w14:paraId="02DD2034" w14:textId="77777777" w:rsidTr="00782E58">
        <w:trPr>
          <w:jc w:val="center"/>
        </w:trPr>
        <w:tc>
          <w:tcPr>
            <w:tcW w:w="2094" w:type="dxa"/>
            <w:tcBorders>
              <w:bottom w:val="single" w:sz="4" w:space="0" w:color="FFFFFF" w:themeColor="background1"/>
            </w:tcBorders>
          </w:tcPr>
          <w:p w14:paraId="0CA15365" w14:textId="77777777" w:rsidR="00FA532E" w:rsidRPr="00FA532E" w:rsidRDefault="00FA532E" w:rsidP="00FA532E">
            <w:pPr>
              <w:spacing w:after="0" w:line="240" w:lineRule="auto"/>
              <w:rPr>
                <w:color w:val="000000"/>
              </w:rPr>
            </w:pPr>
            <w:r w:rsidRPr="00FA532E">
              <w:rPr>
                <w:color w:val="000000"/>
              </w:rPr>
              <w:t>Kthimit</w:t>
            </w:r>
          </w:p>
        </w:tc>
        <w:tc>
          <w:tcPr>
            <w:tcW w:w="876" w:type="dxa"/>
            <w:tcBorders>
              <w:bottom w:val="single" w:sz="4" w:space="0" w:color="FFFFFF" w:themeColor="background1"/>
            </w:tcBorders>
          </w:tcPr>
          <w:p w14:paraId="2408F2F8" w14:textId="77777777" w:rsidR="00FA532E" w:rsidRPr="00FA532E" w:rsidRDefault="00FA532E" w:rsidP="00FA532E">
            <w:pPr>
              <w:spacing w:after="0" w:line="240" w:lineRule="auto"/>
              <w:jc w:val="center"/>
              <w:rPr>
                <w:color w:val="000000"/>
              </w:rPr>
            </w:pPr>
            <w:r w:rsidRPr="00FA532E">
              <w:rPr>
                <w:color w:val="000000"/>
              </w:rPr>
              <w:t>mil €</w:t>
            </w:r>
          </w:p>
        </w:tc>
        <w:tc>
          <w:tcPr>
            <w:tcW w:w="876" w:type="dxa"/>
            <w:tcBorders>
              <w:bottom w:val="single" w:sz="4" w:space="0" w:color="FFFFFF" w:themeColor="background1"/>
            </w:tcBorders>
          </w:tcPr>
          <w:p w14:paraId="065DE1E7" w14:textId="545938BE" w:rsidR="00FA532E" w:rsidRPr="00FA532E" w:rsidRDefault="00FA532E" w:rsidP="00FA532E">
            <w:pPr>
              <w:spacing w:after="0" w:line="240" w:lineRule="auto"/>
              <w:jc w:val="right"/>
              <w:rPr>
                <w:color w:val="000000"/>
              </w:rPr>
            </w:pPr>
            <w:r w:rsidRPr="00FA532E">
              <w:rPr>
                <w:color w:val="000000"/>
              </w:rPr>
              <w:t>10.3</w:t>
            </w:r>
            <w:r>
              <w:rPr>
                <w:color w:val="000000"/>
              </w:rPr>
              <w:t>4</w:t>
            </w:r>
          </w:p>
        </w:tc>
        <w:tc>
          <w:tcPr>
            <w:tcW w:w="1516" w:type="dxa"/>
            <w:tcBorders>
              <w:bottom w:val="single" w:sz="4" w:space="0" w:color="FFFFFF" w:themeColor="background1"/>
            </w:tcBorders>
          </w:tcPr>
          <w:p w14:paraId="5AB00447" w14:textId="3A295F65" w:rsidR="00FA532E" w:rsidRPr="00FA532E" w:rsidRDefault="00FA532E" w:rsidP="00FA532E">
            <w:pPr>
              <w:spacing w:after="0" w:line="240" w:lineRule="auto"/>
              <w:jc w:val="right"/>
              <w:rPr>
                <w:color w:val="000000"/>
              </w:rPr>
            </w:pPr>
            <w:r w:rsidRPr="00FA532E">
              <w:rPr>
                <w:color w:val="000000"/>
              </w:rPr>
              <w:t>0.</w:t>
            </w:r>
            <w:r>
              <w:rPr>
                <w:color w:val="000000"/>
              </w:rPr>
              <w:t>03</w:t>
            </w:r>
          </w:p>
        </w:tc>
        <w:tc>
          <w:tcPr>
            <w:tcW w:w="1568" w:type="dxa"/>
            <w:tcBorders>
              <w:bottom w:val="single" w:sz="4" w:space="0" w:color="FFFFFF" w:themeColor="background1"/>
            </w:tcBorders>
          </w:tcPr>
          <w:p w14:paraId="2DA0FBD3" w14:textId="2CC293FB" w:rsidR="00FA532E" w:rsidRPr="00FA532E" w:rsidRDefault="00FA532E" w:rsidP="00FA532E">
            <w:pPr>
              <w:spacing w:after="0" w:line="240" w:lineRule="auto"/>
              <w:jc w:val="right"/>
              <w:rPr>
                <w:color w:val="000000"/>
              </w:rPr>
            </w:pPr>
            <w:r w:rsidRPr="00FA532E">
              <w:rPr>
                <w:color w:val="000000"/>
              </w:rPr>
              <w:t>10.</w:t>
            </w:r>
            <w:r>
              <w:rPr>
                <w:color w:val="000000"/>
              </w:rPr>
              <w:t>85</w:t>
            </w:r>
          </w:p>
        </w:tc>
        <w:tc>
          <w:tcPr>
            <w:tcW w:w="1157" w:type="dxa"/>
            <w:tcBorders>
              <w:bottom w:val="single" w:sz="4" w:space="0" w:color="FFFFFF" w:themeColor="background1"/>
            </w:tcBorders>
          </w:tcPr>
          <w:p w14:paraId="13E993F0" w14:textId="2598279D" w:rsidR="00FA532E" w:rsidRPr="00FA532E" w:rsidRDefault="00FA532E" w:rsidP="00FA532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10.88</w:t>
            </w:r>
          </w:p>
        </w:tc>
      </w:tr>
      <w:tr w:rsidR="00FA532E" w:rsidRPr="001471C5" w14:paraId="324C4796" w14:textId="77777777" w:rsidTr="00782E58">
        <w:trPr>
          <w:trHeight w:val="251"/>
          <w:jc w:val="center"/>
        </w:trPr>
        <w:tc>
          <w:tcPr>
            <w:tcW w:w="20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14:paraId="78291F56" w14:textId="77777777" w:rsidR="00FA532E" w:rsidRPr="00FA532E" w:rsidRDefault="00FA532E" w:rsidP="00FA532E">
            <w:pPr>
              <w:spacing w:after="0" w:line="240" w:lineRule="auto"/>
              <w:rPr>
                <w:color w:val="FFFFFF" w:themeColor="background1"/>
              </w:rPr>
            </w:pPr>
            <w:r w:rsidRPr="00FA532E">
              <w:rPr>
                <w:color w:val="FFFFFF" w:themeColor="background1"/>
              </w:rPr>
              <w:t>Total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14:paraId="5CA42C24" w14:textId="77777777" w:rsidR="00FA532E" w:rsidRPr="00FA532E" w:rsidRDefault="00FA532E" w:rsidP="00FA532E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FA532E">
              <w:rPr>
                <w:color w:val="FFFFFF" w:themeColor="background1"/>
              </w:rPr>
              <w:t>mil €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14:paraId="213E4243" w14:textId="664168E2" w:rsidR="00FA532E" w:rsidRPr="00FA532E" w:rsidRDefault="00FA532E" w:rsidP="00FA532E">
            <w:pPr>
              <w:spacing w:after="0" w:line="240" w:lineRule="auto"/>
              <w:jc w:val="right"/>
              <w:rPr>
                <w:color w:val="FFFFFF" w:themeColor="background1"/>
              </w:rPr>
            </w:pPr>
            <w:r w:rsidRPr="00FA532E">
              <w:rPr>
                <w:color w:val="FFFFFF" w:themeColor="background1"/>
              </w:rPr>
              <w:t>28.9</w:t>
            </w:r>
            <w:r>
              <w:rPr>
                <w:color w:val="FFFFFF" w:themeColor="background1"/>
              </w:rPr>
              <w:t>8</w:t>
            </w:r>
          </w:p>
        </w:tc>
        <w:tc>
          <w:tcPr>
            <w:tcW w:w="15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</w:tcPr>
          <w:p w14:paraId="6C80CE5E" w14:textId="6F37BD56" w:rsidR="00FA532E" w:rsidRPr="00FA532E" w:rsidRDefault="00FA532E" w:rsidP="00FA532E">
            <w:pPr>
              <w:spacing w:after="0" w:line="240" w:lineRule="auto"/>
              <w:jc w:val="right"/>
              <w:rPr>
                <w:color w:val="FFFFFF" w:themeColor="background1"/>
              </w:rPr>
            </w:pPr>
            <w:r w:rsidRPr="00FA532E">
              <w:rPr>
                <w:color w:val="FFFFFF" w:themeColor="background1"/>
              </w:rPr>
              <w:t>0.</w:t>
            </w:r>
            <w:r>
              <w:rPr>
                <w:color w:val="FFFFFF" w:themeColor="background1"/>
              </w:rPr>
              <w:t>08</w:t>
            </w:r>
          </w:p>
        </w:tc>
        <w:tc>
          <w:tcPr>
            <w:tcW w:w="1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</w:tcPr>
          <w:p w14:paraId="2479D7AC" w14:textId="1F777405" w:rsidR="00FA532E" w:rsidRPr="00FA532E" w:rsidRDefault="00FA532E" w:rsidP="00FA532E">
            <w:pPr>
              <w:spacing w:after="0" w:line="240" w:lineRule="auto"/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29.65</w:t>
            </w:r>
          </w:p>
        </w:tc>
        <w:tc>
          <w:tcPr>
            <w:tcW w:w="11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14:paraId="7153AE22" w14:textId="1C842EA9" w:rsidR="00FA532E" w:rsidRPr="001471C5" w:rsidRDefault="00FA532E" w:rsidP="00FA532E">
            <w:pPr>
              <w:keepNext/>
              <w:spacing w:after="0" w:line="240" w:lineRule="auto"/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29.73</w:t>
            </w:r>
          </w:p>
        </w:tc>
      </w:tr>
    </w:tbl>
    <w:p w14:paraId="33631B70" w14:textId="77777777" w:rsidR="00084F51" w:rsidRPr="001471C5" w:rsidRDefault="00542218" w:rsidP="0014315E">
      <w:pPr>
        <w:pStyle w:val="Heading2"/>
      </w:pPr>
      <w:bookmarkStart w:id="16" w:name="_Toc71118716"/>
      <w:proofErr w:type="spellStart"/>
      <w:r w:rsidRPr="001471C5">
        <w:t>Përshtatjet</w:t>
      </w:r>
      <w:proofErr w:type="spellEnd"/>
      <w:r w:rsidRPr="001471C5">
        <w:t xml:space="preserve"> </w:t>
      </w:r>
      <w:proofErr w:type="spellStart"/>
      <w:r w:rsidRPr="001471C5">
        <w:t>tjera</w:t>
      </w:r>
      <w:proofErr w:type="spellEnd"/>
      <w:r w:rsidRPr="001471C5">
        <w:t xml:space="preserve"> </w:t>
      </w:r>
      <w:proofErr w:type="spellStart"/>
      <w:r w:rsidR="00084F51" w:rsidRPr="001471C5">
        <w:t>n</w:t>
      </w:r>
      <w:r w:rsidRPr="001471C5">
        <w:t>ë</w:t>
      </w:r>
      <w:proofErr w:type="spellEnd"/>
      <w:r w:rsidR="00084F51" w:rsidRPr="001471C5">
        <w:t xml:space="preserve"> OPEX</w:t>
      </w:r>
      <w:bookmarkEnd w:id="16"/>
    </w:p>
    <w:p w14:paraId="7C205846" w14:textId="252D00EA" w:rsidR="00084F51" w:rsidRPr="001471C5" w:rsidRDefault="00084F51" w:rsidP="00542218">
      <w:pPr>
        <w:jc w:val="both"/>
      </w:pPr>
      <w:r w:rsidRPr="001471C5">
        <w:t>ZRRE gjat</w:t>
      </w:r>
      <w:r w:rsidR="00995A0D" w:rsidRPr="001471C5">
        <w:t>ë</w:t>
      </w:r>
      <w:r w:rsidRPr="001471C5">
        <w:t xml:space="preserve"> shqyrtimit periodik 2018-2022 ka lejuar kosto shtes</w:t>
      </w:r>
      <w:r w:rsidR="00995A0D" w:rsidRPr="001471C5">
        <w:t>ë</w:t>
      </w:r>
      <w:r w:rsidRPr="001471C5">
        <w:t xml:space="preserve"> n</w:t>
      </w:r>
      <w:r w:rsidR="00995A0D" w:rsidRPr="001471C5">
        <w:t>ë</w:t>
      </w:r>
      <w:r w:rsidRPr="001471C5">
        <w:t xml:space="preserve"> OPEX, t</w:t>
      </w:r>
      <w:r w:rsidR="00995A0D" w:rsidRPr="001471C5">
        <w:t>ë</w:t>
      </w:r>
      <w:r w:rsidRPr="001471C5">
        <w:t xml:space="preserve"> cilat nd</w:t>
      </w:r>
      <w:r w:rsidR="00995A0D" w:rsidRPr="001471C5">
        <w:t>ë</w:t>
      </w:r>
      <w:r w:rsidRPr="001471C5">
        <w:t xml:space="preserve">rlidhen me </w:t>
      </w:r>
      <w:r w:rsidR="00735BB4" w:rsidRPr="001471C5">
        <w:t xml:space="preserve">operimin e </w:t>
      </w:r>
      <w:r w:rsidR="001471C5" w:rsidRPr="001471C5">
        <w:t>nënstacionit</w:t>
      </w:r>
      <w:r w:rsidR="00735BB4" w:rsidRPr="001471C5">
        <w:t xml:space="preserve"> të </w:t>
      </w:r>
      <w:proofErr w:type="spellStart"/>
      <w:r w:rsidR="00735BB4" w:rsidRPr="001471C5">
        <w:t>Vallaqit</w:t>
      </w:r>
      <w:proofErr w:type="spellEnd"/>
      <w:r w:rsidRPr="001471C5">
        <w:t>. Duke qen</w:t>
      </w:r>
      <w:r w:rsidR="00995A0D" w:rsidRPr="001471C5">
        <w:t>ë</w:t>
      </w:r>
      <w:r w:rsidRPr="001471C5">
        <w:t xml:space="preserve"> se k</w:t>
      </w:r>
      <w:r w:rsidR="00995A0D" w:rsidRPr="001471C5">
        <w:t>ë</w:t>
      </w:r>
      <w:r w:rsidRPr="001471C5">
        <w:t>to kosto nuk jan</w:t>
      </w:r>
      <w:r w:rsidR="00995A0D" w:rsidRPr="001471C5">
        <w:t>ë</w:t>
      </w:r>
      <w:r w:rsidRPr="001471C5">
        <w:t xml:space="preserve"> realizuar gjat</w:t>
      </w:r>
      <w:r w:rsidR="00995A0D" w:rsidRPr="001471C5">
        <w:t>ë</w:t>
      </w:r>
      <w:r w:rsidRPr="001471C5">
        <w:t xml:space="preserve"> </w:t>
      </w:r>
      <w:r w:rsidRPr="00D339C6">
        <w:t>vit</w:t>
      </w:r>
      <w:r w:rsidR="00FA532E" w:rsidRPr="00D339C6">
        <w:t>it</w:t>
      </w:r>
      <w:r w:rsidRPr="00D339C6">
        <w:t xml:space="preserve"> </w:t>
      </w:r>
      <w:r w:rsidR="00027C55" w:rsidRPr="00D339C6">
        <w:t>2020</w:t>
      </w:r>
      <w:r w:rsidRPr="00D339C6">
        <w:t>, ZRRE ka b</w:t>
      </w:r>
      <w:r w:rsidR="00995A0D" w:rsidRPr="00D339C6">
        <w:t>ë</w:t>
      </w:r>
      <w:r w:rsidRPr="00D339C6">
        <w:t>r</w:t>
      </w:r>
      <w:r w:rsidR="00995A0D" w:rsidRPr="00D339C6">
        <w:t>ë</w:t>
      </w:r>
      <w:r w:rsidRPr="00D339C6">
        <w:t xml:space="preserve"> p</w:t>
      </w:r>
      <w:r w:rsidR="00995A0D" w:rsidRPr="00D339C6">
        <w:t>ë</w:t>
      </w:r>
      <w:r w:rsidRPr="00D339C6">
        <w:t>rshtatjet e k</w:t>
      </w:r>
      <w:r w:rsidR="00995A0D" w:rsidRPr="00D339C6">
        <w:t>ë</w:t>
      </w:r>
      <w:r w:rsidRPr="00D339C6">
        <w:t>tyre kostove. Vlera e k</w:t>
      </w:r>
      <w:r w:rsidR="00995A0D" w:rsidRPr="00D339C6">
        <w:t>ë</w:t>
      </w:r>
      <w:r w:rsidRPr="00D339C6">
        <w:t>tyre p</w:t>
      </w:r>
      <w:r w:rsidR="00995A0D" w:rsidRPr="00D339C6">
        <w:t>ë</w:t>
      </w:r>
      <w:r w:rsidRPr="00D339C6">
        <w:t xml:space="preserve">rshtatjeve </w:t>
      </w:r>
      <w:r w:rsidR="00995A0D" w:rsidRPr="00D339C6">
        <w:t>ë</w:t>
      </w:r>
      <w:r w:rsidRPr="00D339C6">
        <w:t>sht</w:t>
      </w:r>
      <w:r w:rsidR="00995A0D" w:rsidRPr="00D339C6">
        <w:t>ë</w:t>
      </w:r>
      <w:r w:rsidRPr="00D339C6">
        <w:t xml:space="preserve"> </w:t>
      </w:r>
      <w:r w:rsidR="00D339C6">
        <w:t>76 mijë</w:t>
      </w:r>
      <w:r w:rsidRPr="00D339C6">
        <w:t xml:space="preserve"> </w:t>
      </w:r>
      <w:r w:rsidR="00D339C6">
        <w:t>euro</w:t>
      </w:r>
      <w:r w:rsidR="004177E1" w:rsidRPr="00D339C6">
        <w:t>.</w:t>
      </w:r>
      <w:r w:rsidR="007853BD" w:rsidRPr="00D339C6">
        <w:t xml:space="preserve"> Trajtimi i këtyre kostove do të bëhet </w:t>
      </w:r>
      <w:r w:rsidR="001471C5" w:rsidRPr="00D339C6">
        <w:t>ngjashëm</w:t>
      </w:r>
      <w:r w:rsidR="0046512B">
        <w:t xml:space="preserve"> edhe për</w:t>
      </w:r>
      <w:r w:rsidR="007853BD" w:rsidRPr="00D339C6">
        <w:t xml:space="preserve"> vitin 202</w:t>
      </w:r>
      <w:r w:rsidR="00027C55" w:rsidRPr="00D339C6">
        <w:t>1</w:t>
      </w:r>
      <w:r w:rsidR="007853BD" w:rsidRPr="00D339C6">
        <w:t xml:space="preserve"> në rast se ato nuk </w:t>
      </w:r>
      <w:r w:rsidR="0046512B">
        <w:t xml:space="preserve">do të </w:t>
      </w:r>
      <w:r w:rsidR="007853BD" w:rsidRPr="00D339C6">
        <w:t>realizohen.</w:t>
      </w:r>
    </w:p>
    <w:p w14:paraId="7FE7654B" w14:textId="77777777" w:rsidR="004177E1" w:rsidRPr="001471C5" w:rsidRDefault="004177E1" w:rsidP="00084F51"/>
    <w:p w14:paraId="6B25F5CA" w14:textId="77777777" w:rsidR="004177E1" w:rsidRPr="001471C5" w:rsidRDefault="004177E1" w:rsidP="00084F51"/>
    <w:p w14:paraId="2A5336DA" w14:textId="77777777" w:rsidR="00570AEC" w:rsidRPr="00D339C6" w:rsidRDefault="00570AEC" w:rsidP="0014315E">
      <w:pPr>
        <w:pStyle w:val="Heading2"/>
      </w:pPr>
      <w:bookmarkStart w:id="17" w:name="_Toc71118717"/>
      <w:proofErr w:type="spellStart"/>
      <w:r w:rsidRPr="00D339C6">
        <w:lastRenderedPageBreak/>
        <w:t>Investimet</w:t>
      </w:r>
      <w:proofErr w:type="spellEnd"/>
      <w:r w:rsidRPr="00D339C6">
        <w:t xml:space="preserve"> </w:t>
      </w:r>
      <w:proofErr w:type="spellStart"/>
      <w:r w:rsidRPr="00D339C6">
        <w:t>kapitale</w:t>
      </w:r>
      <w:bookmarkEnd w:id="17"/>
      <w:proofErr w:type="spellEnd"/>
    </w:p>
    <w:p w14:paraId="556C1565" w14:textId="6BDCD288" w:rsidR="00570AEC" w:rsidRPr="001471C5" w:rsidRDefault="00B2210C" w:rsidP="00B2210C">
      <w:pPr>
        <w:jc w:val="both"/>
      </w:pPr>
      <w:r w:rsidRPr="001471C5">
        <w:t>KOSTT në dokumentacionin e dërguar ka kërkuar projekte shtesë krahas atyre të lejuar</w:t>
      </w:r>
      <w:r w:rsidR="00971C65" w:rsidRPr="001471C5">
        <w:t>a</w:t>
      </w:r>
      <w:r w:rsidRPr="001471C5">
        <w:t xml:space="preserve"> gjatë procesit të shqyrtimit shumëvje</w:t>
      </w:r>
      <w:r w:rsidR="001B7F84" w:rsidRPr="001471C5">
        <w:t>ç</w:t>
      </w:r>
      <w:r w:rsidRPr="001471C5">
        <w:t xml:space="preserve">ar. Dokumentacioni që është ofruar nga KOSTT ka një përshkrimin të përgjithshëm për nevojën e realizimit të këtyre projekteve. Me qëllim të vlerësimit të </w:t>
      </w:r>
      <w:proofErr w:type="spellStart"/>
      <w:r w:rsidRPr="001471C5">
        <w:t>arsyeshmërisë</w:t>
      </w:r>
      <w:proofErr w:type="spellEnd"/>
      <w:r w:rsidRPr="001471C5">
        <w:t xml:space="preserve"> teknike dhe financiare të këtyre projekteve dhe kostove që ndë</w:t>
      </w:r>
      <w:r w:rsidR="00971C65" w:rsidRPr="001471C5">
        <w:t>r</w:t>
      </w:r>
      <w:r w:rsidRPr="001471C5">
        <w:t xml:space="preserve">lidhen me to, ZRRE kërkon që KOSTT të bëjë vlerësimin e këtyre projekteve në përputhje me Rregullën për vlerësimin e Investimeve kapitale, sipas së cilës duhet të </w:t>
      </w:r>
      <w:r w:rsidR="00971C65" w:rsidRPr="001471C5">
        <w:t>analizohen</w:t>
      </w:r>
      <w:r w:rsidRPr="001471C5">
        <w:t xml:space="preserve"> parametrat</w:t>
      </w:r>
      <w:r w:rsidR="00DA721E" w:rsidRPr="001471C5">
        <w:t xml:space="preserve"> teknik dhe </w:t>
      </w:r>
      <w:r w:rsidRPr="001471C5">
        <w:t>ekonomik si CBA, NPV</w:t>
      </w:r>
      <w:r w:rsidR="00C0582A">
        <w:t xml:space="preserve">, </w:t>
      </w:r>
      <w:r w:rsidR="00C0582A" w:rsidRPr="001471C5">
        <w:t>kostot për njësi</w:t>
      </w:r>
      <w:r w:rsidR="00C0582A">
        <w:t>, aspektet e sigurisë së operimit, kërkesa ligjore</w:t>
      </w:r>
      <w:r w:rsidRPr="001471C5">
        <w:t>,</w:t>
      </w:r>
      <w:r w:rsidR="00971C65" w:rsidRPr="001471C5">
        <w:t xml:space="preserve"> alternativat si dhe përshkrimin e punëve që </w:t>
      </w:r>
      <w:proofErr w:type="spellStart"/>
      <w:r w:rsidR="00971C65" w:rsidRPr="001471C5">
        <w:t>asociohen</w:t>
      </w:r>
      <w:proofErr w:type="spellEnd"/>
      <w:r w:rsidR="00971C65" w:rsidRPr="001471C5">
        <w:t xml:space="preserve"> me projektet e tilla. </w:t>
      </w:r>
    </w:p>
    <w:p w14:paraId="2E7DB97B" w14:textId="4EB21425" w:rsidR="006E3D8D" w:rsidRPr="001471C5" w:rsidRDefault="00971C65" w:rsidP="00B2210C">
      <w:pPr>
        <w:jc w:val="both"/>
      </w:pPr>
      <w:r w:rsidRPr="001471C5">
        <w:t>Në mungesë t</w:t>
      </w:r>
      <w:r w:rsidR="00DA721E" w:rsidRPr="001471C5">
        <w:t>ë parametrave të sipërpërmendur si dhe numrit t</w:t>
      </w:r>
      <w:r w:rsidR="00995A0D" w:rsidRPr="001471C5">
        <w:t>ë</w:t>
      </w:r>
      <w:r w:rsidR="00DA721E" w:rsidRPr="001471C5">
        <w:t xml:space="preserve"> madh t</w:t>
      </w:r>
      <w:r w:rsidR="00995A0D" w:rsidRPr="001471C5">
        <w:t>ë</w:t>
      </w:r>
      <w:r w:rsidR="00DA721E" w:rsidRPr="001471C5">
        <w:t xml:space="preserve"> projekteve t</w:t>
      </w:r>
      <w:r w:rsidR="00995A0D" w:rsidRPr="001471C5">
        <w:t>ë</w:t>
      </w:r>
      <w:r w:rsidR="00DA721E" w:rsidRPr="001471C5">
        <w:t xml:space="preserve"> cilat </w:t>
      </w:r>
      <w:r w:rsidR="00995A0D" w:rsidRPr="001471C5">
        <w:t>ndryshojnë</w:t>
      </w:r>
      <w:r w:rsidR="00DA721E" w:rsidRPr="001471C5">
        <w:t xml:space="preserve"> n</w:t>
      </w:r>
      <w:r w:rsidR="00995A0D" w:rsidRPr="001471C5">
        <w:t>ë</w:t>
      </w:r>
      <w:r w:rsidR="00DA721E" w:rsidRPr="001471C5">
        <w:t xml:space="preserve"> mas</w:t>
      </w:r>
      <w:r w:rsidR="00995A0D" w:rsidRPr="001471C5">
        <w:t>ë</w:t>
      </w:r>
      <w:r w:rsidR="00DA721E" w:rsidRPr="001471C5">
        <w:t xml:space="preserve"> t</w:t>
      </w:r>
      <w:r w:rsidR="00995A0D" w:rsidRPr="001471C5">
        <w:t>ë</w:t>
      </w:r>
      <w:r w:rsidR="00DA721E" w:rsidRPr="001471C5">
        <w:t xml:space="preserve"> madhe planin </w:t>
      </w:r>
      <w:proofErr w:type="spellStart"/>
      <w:r w:rsidR="00DA721E" w:rsidRPr="001471C5">
        <w:t>investiv</w:t>
      </w:r>
      <w:proofErr w:type="spellEnd"/>
      <w:r w:rsidR="00DA721E" w:rsidRPr="001471C5">
        <w:t xml:space="preserve"> t</w:t>
      </w:r>
      <w:r w:rsidR="00995A0D" w:rsidRPr="001471C5">
        <w:t>ë</w:t>
      </w:r>
      <w:r w:rsidR="00DA721E" w:rsidRPr="001471C5">
        <w:t xml:space="preserve"> aprovuar p</w:t>
      </w:r>
      <w:r w:rsidR="00995A0D" w:rsidRPr="001471C5">
        <w:t>ë</w:t>
      </w:r>
      <w:r w:rsidR="00DA721E" w:rsidRPr="001471C5">
        <w:t>r periudh</w:t>
      </w:r>
      <w:r w:rsidR="00995A0D" w:rsidRPr="001471C5">
        <w:t>ë</w:t>
      </w:r>
      <w:r w:rsidR="00DA721E" w:rsidRPr="001471C5">
        <w:t xml:space="preserve">n </w:t>
      </w:r>
      <w:r w:rsidR="00995A0D" w:rsidRPr="001471C5">
        <w:t>pesëvjeçare</w:t>
      </w:r>
      <w:r w:rsidR="00DA721E" w:rsidRPr="001471C5">
        <w:t xml:space="preserve">, </w:t>
      </w:r>
      <w:r w:rsidRPr="001471C5">
        <w:t xml:space="preserve">në këtë fazë të konsultimit ZRRE nuk ka </w:t>
      </w:r>
      <w:r w:rsidR="000C0082">
        <w:t xml:space="preserve">pranuar </w:t>
      </w:r>
      <w:r w:rsidR="000C0082" w:rsidRPr="000C0082">
        <w:t>projektet e tilla</w:t>
      </w:r>
      <w:r w:rsidR="00301C73" w:rsidRPr="000C0082">
        <w:t>.</w:t>
      </w:r>
      <w:r w:rsidRPr="001471C5">
        <w:t xml:space="preserve"> </w:t>
      </w:r>
    </w:p>
    <w:p w14:paraId="28416BD7" w14:textId="5CE4C50E" w:rsidR="005729A4" w:rsidRPr="001471C5" w:rsidRDefault="005729A4" w:rsidP="00B2210C">
      <w:pPr>
        <w:jc w:val="both"/>
      </w:pPr>
      <w:r w:rsidRPr="001471C5">
        <w:t>Bazuar n</w:t>
      </w:r>
      <w:r w:rsidR="00995A0D" w:rsidRPr="001471C5">
        <w:t>ë</w:t>
      </w:r>
      <w:r w:rsidRPr="001471C5">
        <w:t xml:space="preserve"> Rregull</w:t>
      </w:r>
      <w:r w:rsidR="00995A0D" w:rsidRPr="001471C5">
        <w:t>ë</w:t>
      </w:r>
      <w:r w:rsidRPr="001471C5">
        <w:t xml:space="preserve">n për Vlerësimin e Projekteve Kapitale në Rrjetin e Transmetimit dhe Shpërndarjes, të licencuarit pritet që të zbatojnë Planin </w:t>
      </w:r>
      <w:proofErr w:type="spellStart"/>
      <w:r w:rsidRPr="001471C5">
        <w:t>Investiv</w:t>
      </w:r>
      <w:proofErr w:type="spellEnd"/>
      <w:r w:rsidRPr="001471C5">
        <w:t xml:space="preserve"> </w:t>
      </w:r>
      <w:r w:rsidR="00995A0D" w:rsidRPr="001471C5">
        <w:t>Pesëvjeçar</w:t>
      </w:r>
      <w:r w:rsidRPr="001471C5">
        <w:t xml:space="preserve"> n</w:t>
      </w:r>
      <w:r w:rsidR="00995A0D" w:rsidRPr="001471C5">
        <w:t>ë</w:t>
      </w:r>
      <w:r w:rsidRPr="001471C5">
        <w:t xml:space="preserve"> mënyrë të plotë përveç në rastet, kur gjatë periudhës </w:t>
      </w:r>
      <w:proofErr w:type="spellStart"/>
      <w:r w:rsidRPr="001471C5">
        <w:t>rregullative</w:t>
      </w:r>
      <w:proofErr w:type="spellEnd"/>
      <w:r w:rsidRPr="001471C5">
        <w:t>, projektet ose programet individuale identifikohen se më nuk janë të nevojshme ose mund të zëvendësohen me alternativa që ofrojnë rezultate ekuivalente me një kosto më të ulët për jetëgjatësinë e tyre. Prandaj devijime</w:t>
      </w:r>
      <w:r w:rsidR="000C0082">
        <w:t>t</w:t>
      </w:r>
      <w:r w:rsidRPr="001471C5">
        <w:t xml:space="preserve"> </w:t>
      </w:r>
      <w:r w:rsidR="000C0082">
        <w:t>e</w:t>
      </w:r>
      <w:r w:rsidRPr="001471C5">
        <w:t xml:space="preserve"> vazhdueshme vjetore nga plani </w:t>
      </w:r>
      <w:proofErr w:type="spellStart"/>
      <w:r w:rsidRPr="001471C5">
        <w:t>investiv</w:t>
      </w:r>
      <w:proofErr w:type="spellEnd"/>
      <w:r w:rsidR="000C0082">
        <w:t xml:space="preserve"> i aprovuar</w:t>
      </w:r>
      <w:r w:rsidRPr="001471C5">
        <w:t xml:space="preserve"> </w:t>
      </w:r>
      <w:r w:rsidR="000C0082">
        <w:t>janë</w:t>
      </w:r>
      <w:r w:rsidRPr="001471C5">
        <w:t xml:space="preserve"> mjaft shqet</w:t>
      </w:r>
      <w:r w:rsidR="00995A0D" w:rsidRPr="001471C5">
        <w:t>ë</w:t>
      </w:r>
      <w:r w:rsidRPr="001471C5">
        <w:t>sues p</w:t>
      </w:r>
      <w:r w:rsidR="00995A0D" w:rsidRPr="001471C5">
        <w:t>ë</w:t>
      </w:r>
      <w:r w:rsidRPr="001471C5">
        <w:t xml:space="preserve">r </w:t>
      </w:r>
      <w:r w:rsidR="000F24A8" w:rsidRPr="001471C5">
        <w:t>Rregullatorin</w:t>
      </w:r>
      <w:r w:rsidRPr="001471C5">
        <w:t xml:space="preserve"> dhe si t</w:t>
      </w:r>
      <w:r w:rsidR="00995A0D" w:rsidRPr="001471C5">
        <w:t>ë</w:t>
      </w:r>
      <w:r w:rsidRPr="001471C5">
        <w:t xml:space="preserve"> tilla </w:t>
      </w:r>
      <w:r w:rsidR="00995A0D" w:rsidRPr="001471C5">
        <w:t>ë</w:t>
      </w:r>
      <w:r w:rsidRPr="001471C5">
        <w:t>sht</w:t>
      </w:r>
      <w:r w:rsidR="00995A0D" w:rsidRPr="001471C5">
        <w:t>ë</w:t>
      </w:r>
      <w:r w:rsidRPr="001471C5">
        <w:t xml:space="preserve"> shum</w:t>
      </w:r>
      <w:r w:rsidR="00995A0D" w:rsidRPr="001471C5">
        <w:t>ë</w:t>
      </w:r>
      <w:r w:rsidRPr="001471C5">
        <w:t xml:space="preserve"> e v</w:t>
      </w:r>
      <w:r w:rsidR="00995A0D" w:rsidRPr="001471C5">
        <w:t>ë</w:t>
      </w:r>
      <w:r w:rsidRPr="001471C5">
        <w:t>shtir</w:t>
      </w:r>
      <w:r w:rsidR="00995A0D" w:rsidRPr="001471C5">
        <w:t>ë</w:t>
      </w:r>
      <w:r w:rsidRPr="001471C5">
        <w:t xml:space="preserve"> t</w:t>
      </w:r>
      <w:r w:rsidR="00995A0D" w:rsidRPr="001471C5">
        <w:t>ë</w:t>
      </w:r>
      <w:r w:rsidRPr="001471C5">
        <w:t xml:space="preserve"> trajtohen brenda procesit t</w:t>
      </w:r>
      <w:r w:rsidR="00995A0D" w:rsidRPr="001471C5">
        <w:t>ë</w:t>
      </w:r>
      <w:r w:rsidRPr="001471C5">
        <w:t xml:space="preserve"> </w:t>
      </w:r>
      <w:r w:rsidR="000F24A8" w:rsidRPr="001471C5">
        <w:t>azhurnimeve</w:t>
      </w:r>
      <w:r w:rsidRPr="001471C5">
        <w:t xml:space="preserve"> t</w:t>
      </w:r>
      <w:r w:rsidR="00995A0D" w:rsidRPr="001471C5">
        <w:t>ë</w:t>
      </w:r>
      <w:r w:rsidRPr="001471C5">
        <w:t xml:space="preserve"> rregullta vjetore</w:t>
      </w:r>
      <w:r w:rsidR="00C43B58" w:rsidRPr="001471C5">
        <w:t>, duke pasur parasysh q</w:t>
      </w:r>
      <w:r w:rsidR="00995A0D" w:rsidRPr="001471C5">
        <w:t>ë</w:t>
      </w:r>
      <w:r w:rsidR="00C43B58" w:rsidRPr="001471C5">
        <w:t xml:space="preserve"> </w:t>
      </w:r>
      <w:r w:rsidR="001471C5" w:rsidRPr="001471C5">
        <w:t>çdo</w:t>
      </w:r>
      <w:r w:rsidR="00C43B58" w:rsidRPr="001471C5">
        <w:t xml:space="preserve"> projekt i ri duhet ti n</w:t>
      </w:r>
      <w:r w:rsidR="00995A0D" w:rsidRPr="001471C5">
        <w:t>ë</w:t>
      </w:r>
      <w:r w:rsidR="00C43B58" w:rsidRPr="001471C5">
        <w:t>nshtrohet konsultimeve publike dhe duhet t</w:t>
      </w:r>
      <w:r w:rsidR="00995A0D" w:rsidRPr="001471C5">
        <w:t>ë</w:t>
      </w:r>
      <w:r w:rsidR="00C43B58" w:rsidRPr="001471C5">
        <w:t xml:space="preserve"> mb</w:t>
      </w:r>
      <w:r w:rsidR="00995A0D" w:rsidRPr="001471C5">
        <w:t>ë</w:t>
      </w:r>
      <w:r w:rsidR="00C43B58" w:rsidRPr="001471C5">
        <w:t>shtete</w:t>
      </w:r>
      <w:r w:rsidR="000C0082">
        <w:t>t</w:t>
      </w:r>
      <w:r w:rsidR="00C43B58" w:rsidRPr="001471C5">
        <w:t xml:space="preserve"> me analiza t</w:t>
      </w:r>
      <w:r w:rsidR="00995A0D" w:rsidRPr="001471C5">
        <w:t>ë</w:t>
      </w:r>
      <w:r w:rsidR="00C43B58" w:rsidRPr="001471C5">
        <w:t xml:space="preserve"> detajuara e t</w:t>
      </w:r>
      <w:r w:rsidR="00995A0D" w:rsidRPr="001471C5">
        <w:t>ë</w:t>
      </w:r>
      <w:r w:rsidR="00C43B58" w:rsidRPr="001471C5">
        <w:t xml:space="preserve"> cilat k</w:t>
      </w:r>
      <w:r w:rsidR="00995A0D" w:rsidRPr="001471C5">
        <w:t>ë</w:t>
      </w:r>
      <w:r w:rsidR="00C43B58" w:rsidRPr="001471C5">
        <w:t>rkojn</w:t>
      </w:r>
      <w:r w:rsidR="00995A0D" w:rsidRPr="001471C5">
        <w:t>ë</w:t>
      </w:r>
      <w:r w:rsidR="00C43B58" w:rsidRPr="001471C5">
        <w:t xml:space="preserve"> koh</w:t>
      </w:r>
      <w:r w:rsidR="00995A0D" w:rsidRPr="001471C5">
        <w:t>ë</w:t>
      </w:r>
      <w:r w:rsidR="00C43B58" w:rsidRPr="001471C5">
        <w:t xml:space="preserve"> m</w:t>
      </w:r>
      <w:r w:rsidR="00995A0D" w:rsidRPr="001471C5">
        <w:t>ë</w:t>
      </w:r>
      <w:r w:rsidR="00C43B58" w:rsidRPr="001471C5">
        <w:t xml:space="preserve"> t</w:t>
      </w:r>
      <w:r w:rsidR="00995A0D" w:rsidRPr="001471C5">
        <w:t>ë</w:t>
      </w:r>
      <w:r w:rsidR="00C43B58" w:rsidRPr="001471C5">
        <w:t xml:space="preserve"> gjat</w:t>
      </w:r>
      <w:r w:rsidR="00995A0D" w:rsidRPr="001471C5">
        <w:t>ë</w:t>
      </w:r>
      <w:r w:rsidR="00C43B58" w:rsidRPr="001471C5">
        <w:t xml:space="preserve"> p</w:t>
      </w:r>
      <w:r w:rsidR="00995A0D" w:rsidRPr="001471C5">
        <w:t>ë</w:t>
      </w:r>
      <w:r w:rsidR="00C43B58" w:rsidRPr="001471C5">
        <w:t>r shqyrtim</w:t>
      </w:r>
      <w:r w:rsidRPr="001471C5">
        <w:t>.</w:t>
      </w:r>
      <w:r w:rsidR="00C43B58" w:rsidRPr="001471C5">
        <w:t xml:space="preserve"> </w:t>
      </w:r>
      <w:r w:rsidR="00995A0D" w:rsidRPr="001471C5">
        <w:t>Ë</w:t>
      </w:r>
      <w:r w:rsidR="00C43B58" w:rsidRPr="001471C5">
        <w:t>sht</w:t>
      </w:r>
      <w:r w:rsidR="00995A0D" w:rsidRPr="001471C5">
        <w:t>ë</w:t>
      </w:r>
      <w:r w:rsidR="00C43B58" w:rsidRPr="001471C5">
        <w:t xml:space="preserve"> e kuptueshme q</w:t>
      </w:r>
      <w:r w:rsidR="00995A0D" w:rsidRPr="001471C5">
        <w:t>ë</w:t>
      </w:r>
      <w:r w:rsidR="00C43B58" w:rsidRPr="001471C5">
        <w:t xml:space="preserve"> mund t</w:t>
      </w:r>
      <w:r w:rsidR="00995A0D" w:rsidRPr="001471C5">
        <w:t>ë</w:t>
      </w:r>
      <w:r w:rsidR="00C43B58" w:rsidRPr="001471C5">
        <w:t xml:space="preserve"> ket</w:t>
      </w:r>
      <w:r w:rsidR="00995A0D" w:rsidRPr="001471C5">
        <w:t>ë</w:t>
      </w:r>
      <w:r w:rsidR="00C43B58" w:rsidRPr="001471C5">
        <w:t xml:space="preserve"> devijime n</w:t>
      </w:r>
      <w:r w:rsidR="00995A0D" w:rsidRPr="001471C5">
        <w:t>ë</w:t>
      </w:r>
      <w:r w:rsidR="00C43B58" w:rsidRPr="001471C5">
        <w:t xml:space="preserve"> realizimin e planit </w:t>
      </w:r>
      <w:proofErr w:type="spellStart"/>
      <w:r w:rsidR="00C43B58" w:rsidRPr="001471C5">
        <w:t>investiv</w:t>
      </w:r>
      <w:proofErr w:type="spellEnd"/>
      <w:r w:rsidR="00301C73" w:rsidRPr="001471C5">
        <w:t xml:space="preserve"> n</w:t>
      </w:r>
      <w:r w:rsidR="00995A0D" w:rsidRPr="001471C5">
        <w:t>ë</w:t>
      </w:r>
      <w:r w:rsidR="00301C73" w:rsidRPr="001471C5">
        <w:t>p</w:t>
      </w:r>
      <w:r w:rsidR="00995A0D" w:rsidRPr="001471C5">
        <w:t>ë</w:t>
      </w:r>
      <w:r w:rsidR="00301C73" w:rsidRPr="001471C5">
        <w:t>r vite</w:t>
      </w:r>
      <w:r w:rsidR="00C43B58" w:rsidRPr="001471C5">
        <w:t>, mir</w:t>
      </w:r>
      <w:r w:rsidR="00995A0D" w:rsidRPr="001471C5">
        <w:t>ë</w:t>
      </w:r>
      <w:r w:rsidR="00C43B58" w:rsidRPr="001471C5">
        <w:t>po k</w:t>
      </w:r>
      <w:r w:rsidR="00995A0D" w:rsidRPr="001471C5">
        <w:t>ë</w:t>
      </w:r>
      <w:r w:rsidR="00C43B58" w:rsidRPr="001471C5">
        <w:t>to devijime duhet t</w:t>
      </w:r>
      <w:r w:rsidR="00995A0D" w:rsidRPr="001471C5">
        <w:t>ë</w:t>
      </w:r>
      <w:r w:rsidR="00C43B58" w:rsidRPr="001471C5">
        <w:t xml:space="preserve"> jen</w:t>
      </w:r>
      <w:r w:rsidR="00995A0D" w:rsidRPr="001471C5">
        <w:t>ë</w:t>
      </w:r>
      <w:r w:rsidR="00C43B58" w:rsidRPr="001471C5">
        <w:t xml:space="preserve"> t</w:t>
      </w:r>
      <w:r w:rsidR="00995A0D" w:rsidRPr="001471C5">
        <w:t>ë</w:t>
      </w:r>
      <w:r w:rsidR="00C43B58" w:rsidRPr="001471C5">
        <w:t xml:space="preserve"> </w:t>
      </w:r>
      <w:r w:rsidR="00301C73" w:rsidRPr="001471C5">
        <w:t>arsyeshme</w:t>
      </w:r>
      <w:r w:rsidR="00C43B58" w:rsidRPr="001471C5">
        <w:t xml:space="preserve"> dhe ndikimi i tyre t</w:t>
      </w:r>
      <w:r w:rsidR="00995A0D" w:rsidRPr="001471C5">
        <w:t>ë</w:t>
      </w:r>
      <w:r w:rsidR="00C43B58" w:rsidRPr="001471C5">
        <w:t xml:space="preserve"> jet</w:t>
      </w:r>
      <w:r w:rsidR="00995A0D" w:rsidRPr="001471C5">
        <w:t>ë</w:t>
      </w:r>
      <w:r w:rsidR="00C43B58" w:rsidRPr="001471C5">
        <w:t xml:space="preserve"> minimal </w:t>
      </w:r>
      <w:r w:rsidR="00301C73" w:rsidRPr="001471C5">
        <w:t>p</w:t>
      </w:r>
      <w:r w:rsidR="00995A0D" w:rsidRPr="001471C5">
        <w:t>ë</w:t>
      </w:r>
      <w:r w:rsidR="00301C73" w:rsidRPr="001471C5">
        <w:t xml:space="preserve">r </w:t>
      </w:r>
      <w:r w:rsidR="00C43B58" w:rsidRPr="001471C5">
        <w:t>sistem</w:t>
      </w:r>
      <w:r w:rsidR="00301C73" w:rsidRPr="001471C5">
        <w:t xml:space="preserve">in </w:t>
      </w:r>
      <w:r w:rsidR="00C43B58" w:rsidRPr="001471C5">
        <w:t xml:space="preserve">dhe </w:t>
      </w:r>
      <w:r w:rsidR="00301C73" w:rsidRPr="001471C5">
        <w:t>ko</w:t>
      </w:r>
      <w:r w:rsidR="00C43B58" w:rsidRPr="001471C5">
        <w:t>nsumator</w:t>
      </w:r>
      <w:r w:rsidR="00995A0D" w:rsidRPr="001471C5">
        <w:t>ë</w:t>
      </w:r>
      <w:r w:rsidR="00C43B58" w:rsidRPr="001471C5">
        <w:t>t</w:t>
      </w:r>
      <w:r w:rsidR="00301C73" w:rsidRPr="001471C5">
        <w:t>, n</w:t>
      </w:r>
      <w:r w:rsidR="00995A0D" w:rsidRPr="001471C5">
        <w:t>ë</w:t>
      </w:r>
      <w:r w:rsidR="00301C73" w:rsidRPr="001471C5">
        <w:t xml:space="preserve"> rast se </w:t>
      </w:r>
      <w:r w:rsidR="000F24A8" w:rsidRPr="001471C5">
        <w:t>shumica</w:t>
      </w:r>
      <w:r w:rsidR="00301C73" w:rsidRPr="001471C5">
        <w:t xml:space="preserve"> e tyre realizohen brenda periudh</w:t>
      </w:r>
      <w:r w:rsidR="00995A0D" w:rsidRPr="001471C5">
        <w:t>ë</w:t>
      </w:r>
      <w:r w:rsidR="00301C73" w:rsidRPr="001471C5">
        <w:t xml:space="preserve">s </w:t>
      </w:r>
      <w:proofErr w:type="spellStart"/>
      <w:r w:rsidR="00301C73" w:rsidRPr="001471C5">
        <w:t>rregullative</w:t>
      </w:r>
      <w:proofErr w:type="spellEnd"/>
      <w:r w:rsidR="00301C73" w:rsidRPr="001471C5">
        <w:t>.</w:t>
      </w:r>
    </w:p>
    <w:p w14:paraId="70D2EDDF" w14:textId="77777777" w:rsidR="006F1778" w:rsidRPr="001471C5" w:rsidRDefault="006F1778" w:rsidP="0014315E">
      <w:pPr>
        <w:pStyle w:val="Heading2"/>
      </w:pPr>
      <w:bookmarkStart w:id="18" w:name="_Toc71118718"/>
      <w:proofErr w:type="spellStart"/>
      <w:r w:rsidRPr="001471C5">
        <w:t>Faktori</w:t>
      </w:r>
      <w:proofErr w:type="spellEnd"/>
      <w:r w:rsidRPr="001471C5">
        <w:t xml:space="preserve"> </w:t>
      </w:r>
      <w:proofErr w:type="spellStart"/>
      <w:r w:rsidRPr="001471C5">
        <w:t>ndar</w:t>
      </w:r>
      <w:r w:rsidR="00B5734B" w:rsidRPr="001471C5">
        <w:t>ë</w:t>
      </w:r>
      <w:r w:rsidRPr="001471C5">
        <w:t>s</w:t>
      </w:r>
      <w:proofErr w:type="spellEnd"/>
      <w:r w:rsidRPr="001471C5">
        <w:t xml:space="preserve"> </w:t>
      </w:r>
      <w:proofErr w:type="spellStart"/>
      <w:r w:rsidRPr="001471C5">
        <w:t>i</w:t>
      </w:r>
      <w:proofErr w:type="spellEnd"/>
      <w:r w:rsidRPr="001471C5">
        <w:t xml:space="preserve"> </w:t>
      </w:r>
      <w:proofErr w:type="spellStart"/>
      <w:r w:rsidRPr="001471C5">
        <w:t>kursimeve</w:t>
      </w:r>
      <w:bookmarkEnd w:id="18"/>
      <w:proofErr w:type="spellEnd"/>
    </w:p>
    <w:p w14:paraId="66FC6AE3" w14:textId="2A9ECDA4" w:rsidR="008F2A8D" w:rsidRPr="001471C5" w:rsidRDefault="008F2A8D" w:rsidP="006F1778">
      <w:pPr>
        <w:spacing w:before="240" w:after="0"/>
        <w:jc w:val="both"/>
      </w:pPr>
      <w:r w:rsidRPr="001471C5">
        <w:t>P</w:t>
      </w:r>
      <w:r w:rsidRPr="001471C5">
        <w:rPr>
          <w:rFonts w:cs="Calibri"/>
        </w:rPr>
        <w:t>ë</w:t>
      </w:r>
      <w:r w:rsidRPr="001471C5">
        <w:t>rveç p</w:t>
      </w:r>
      <w:r w:rsidRPr="001471C5">
        <w:rPr>
          <w:rFonts w:cs="Calibri"/>
        </w:rPr>
        <w:t>ë</w:t>
      </w:r>
      <w:r w:rsidRPr="001471C5">
        <w:t>rshtatjeve t</w:t>
      </w:r>
      <w:r w:rsidRPr="001471C5">
        <w:rPr>
          <w:rFonts w:cs="Calibri"/>
        </w:rPr>
        <w:t>ë</w:t>
      </w:r>
      <w:r w:rsidRPr="001471C5">
        <w:t xml:space="preserve"> sip</w:t>
      </w:r>
      <w:r w:rsidRPr="001471C5">
        <w:rPr>
          <w:rFonts w:cs="Calibri"/>
        </w:rPr>
        <w:t>ë</w:t>
      </w:r>
      <w:r w:rsidRPr="001471C5">
        <w:t>rp</w:t>
      </w:r>
      <w:r w:rsidRPr="001471C5">
        <w:rPr>
          <w:rFonts w:cs="Calibri"/>
        </w:rPr>
        <w:t>ë</w:t>
      </w:r>
      <w:r w:rsidRPr="001471C5">
        <w:t>rmendura, ZRRE ka b</w:t>
      </w:r>
      <w:r w:rsidRPr="001471C5">
        <w:rPr>
          <w:rFonts w:cs="Calibri"/>
        </w:rPr>
        <w:t>ë</w:t>
      </w:r>
      <w:r w:rsidRPr="001471C5">
        <w:t>r</w:t>
      </w:r>
      <w:r w:rsidRPr="001471C5">
        <w:rPr>
          <w:rFonts w:cs="Calibri"/>
        </w:rPr>
        <w:t>ë</w:t>
      </w:r>
      <w:r w:rsidRPr="001471C5">
        <w:t xml:space="preserve"> edhe p</w:t>
      </w:r>
      <w:r w:rsidRPr="001471C5">
        <w:rPr>
          <w:rFonts w:cs="Calibri"/>
        </w:rPr>
        <w:t>ë</w:t>
      </w:r>
      <w:r w:rsidRPr="001471C5">
        <w:t>rshtatjet e kostove t</w:t>
      </w:r>
      <w:r w:rsidRPr="001471C5">
        <w:rPr>
          <w:rFonts w:cs="Calibri"/>
        </w:rPr>
        <w:t>ë</w:t>
      </w:r>
      <w:r w:rsidRPr="001471C5">
        <w:t xml:space="preserve"> mir</w:t>
      </w:r>
      <w:r w:rsidRPr="001471C5">
        <w:rPr>
          <w:rFonts w:cs="Calibri"/>
        </w:rPr>
        <w:t>ë</w:t>
      </w:r>
      <w:r w:rsidRPr="001471C5">
        <w:t>mbajtjes duke aplikuar faktorin ndar</w:t>
      </w:r>
      <w:r w:rsidRPr="001471C5">
        <w:rPr>
          <w:rFonts w:cs="Calibri"/>
        </w:rPr>
        <w:t>ë</w:t>
      </w:r>
      <w:r w:rsidRPr="001471C5">
        <w:t>s t</w:t>
      </w:r>
      <w:r w:rsidRPr="001471C5">
        <w:rPr>
          <w:rFonts w:cs="Calibri"/>
        </w:rPr>
        <w:t>ë</w:t>
      </w:r>
      <w:r w:rsidRPr="001471C5">
        <w:t xml:space="preserve"> kursimeve. K</w:t>
      </w:r>
      <w:r w:rsidRPr="001471C5">
        <w:rPr>
          <w:rFonts w:cs="Calibri"/>
        </w:rPr>
        <w:t>ë</w:t>
      </w:r>
      <w:r w:rsidRPr="001471C5">
        <w:t>to p</w:t>
      </w:r>
      <w:r w:rsidRPr="001471C5">
        <w:rPr>
          <w:rFonts w:cs="Calibri"/>
        </w:rPr>
        <w:t>ë</w:t>
      </w:r>
      <w:r w:rsidRPr="001471C5">
        <w:t xml:space="preserve">rshtatje aplikohen </w:t>
      </w:r>
      <w:r w:rsidR="006F1778" w:rsidRPr="001471C5">
        <w:t>me q</w:t>
      </w:r>
      <w:r w:rsidR="00B5734B" w:rsidRPr="001471C5">
        <w:t>ë</w:t>
      </w:r>
      <w:r w:rsidR="006F1778" w:rsidRPr="001471C5">
        <w:t>llim t</w:t>
      </w:r>
      <w:r w:rsidR="00B5734B" w:rsidRPr="001471C5">
        <w:t>ë</w:t>
      </w:r>
      <w:r w:rsidR="006F1778" w:rsidRPr="001471C5">
        <w:t xml:space="preserve"> nxitjes s</w:t>
      </w:r>
      <w:r w:rsidR="00B5734B" w:rsidRPr="001471C5">
        <w:t>ë</w:t>
      </w:r>
      <w:r w:rsidR="006F1778" w:rsidRPr="001471C5">
        <w:t xml:space="preserve"> kursimit nga ana e komp</w:t>
      </w:r>
      <w:r w:rsidR="00971C65" w:rsidRPr="001471C5">
        <w:t>a</w:t>
      </w:r>
      <w:r w:rsidR="006F1778" w:rsidRPr="001471C5">
        <w:t>nis</w:t>
      </w:r>
      <w:r w:rsidR="00B5734B" w:rsidRPr="001471C5">
        <w:t>ë</w:t>
      </w:r>
      <w:r w:rsidR="006F1778" w:rsidRPr="001471C5">
        <w:t>, ku pjesa e kursyer do t</w:t>
      </w:r>
      <w:r w:rsidR="00B5734B" w:rsidRPr="001471C5">
        <w:t>ë</w:t>
      </w:r>
      <w:r w:rsidR="006F1778" w:rsidRPr="001471C5">
        <w:t xml:space="preserve"> ndahet n</w:t>
      </w:r>
      <w:r w:rsidR="00B5734B" w:rsidRPr="001471C5">
        <w:t>ë</w:t>
      </w:r>
      <w:r w:rsidR="006F1778" w:rsidRPr="001471C5">
        <w:t xml:space="preserve"> mes t</w:t>
      </w:r>
      <w:r w:rsidR="00B5734B" w:rsidRPr="001471C5">
        <w:t>ë</w:t>
      </w:r>
      <w:r w:rsidR="006F1778" w:rsidRPr="001471C5">
        <w:t xml:space="preserve"> kompan</w:t>
      </w:r>
      <w:r w:rsidR="001930C2" w:rsidRPr="001471C5">
        <w:t>i</w:t>
      </w:r>
      <w:r w:rsidR="006F1778" w:rsidRPr="001471C5">
        <w:t>s</w:t>
      </w:r>
      <w:r w:rsidR="00B5734B" w:rsidRPr="001471C5">
        <w:t>ë</w:t>
      </w:r>
      <w:r w:rsidR="006F1778" w:rsidRPr="001471C5">
        <w:t xml:space="preserve"> dhe konsumator</w:t>
      </w:r>
      <w:r w:rsidR="00B5734B" w:rsidRPr="001471C5">
        <w:t>ë</w:t>
      </w:r>
      <w:r w:rsidR="006F1778" w:rsidRPr="001471C5">
        <w:t>ve me nj</w:t>
      </w:r>
      <w:r w:rsidR="00B5734B" w:rsidRPr="001471C5">
        <w:t>ë</w:t>
      </w:r>
      <w:r w:rsidR="006F1778" w:rsidRPr="001471C5">
        <w:t xml:space="preserve"> faktor ndar</w:t>
      </w:r>
      <w:r w:rsidR="00B5734B" w:rsidRPr="001471C5">
        <w:t>ë</w:t>
      </w:r>
      <w:r w:rsidR="006F1778" w:rsidRPr="001471C5">
        <w:t xml:space="preserve">s prej 50%. </w:t>
      </w:r>
      <w:r w:rsidR="001930C2" w:rsidRPr="001471C5">
        <w:t>Nga analiza e b</w:t>
      </w:r>
      <w:r w:rsidR="00B5734B" w:rsidRPr="001471C5">
        <w:t>ë</w:t>
      </w:r>
      <w:r w:rsidR="001930C2" w:rsidRPr="001471C5">
        <w:t>r</w:t>
      </w:r>
      <w:r w:rsidR="00B5734B" w:rsidRPr="001471C5">
        <w:t>ë</w:t>
      </w:r>
      <w:r w:rsidR="001930C2" w:rsidRPr="001471C5">
        <w:t xml:space="preserve">, vlera e rezultuar e kursimit </w:t>
      </w:r>
      <w:r w:rsidR="00B5734B" w:rsidRPr="001471C5">
        <w:t>ë</w:t>
      </w:r>
      <w:r w:rsidR="001930C2" w:rsidRPr="001471C5">
        <w:t>sht</w:t>
      </w:r>
      <w:r w:rsidR="00B5734B" w:rsidRPr="001471C5">
        <w:t>ë</w:t>
      </w:r>
      <w:r w:rsidR="00084F51" w:rsidRPr="001471C5">
        <w:t xml:space="preserve"> </w:t>
      </w:r>
      <w:r w:rsidR="00084F51" w:rsidRPr="001E633A">
        <w:t>0.3</w:t>
      </w:r>
      <w:r w:rsidR="001930C2" w:rsidRPr="001E633A">
        <w:t xml:space="preserve"> milion euro, ku vlera e p</w:t>
      </w:r>
      <w:r w:rsidR="00B5734B" w:rsidRPr="001E633A">
        <w:t>ë</w:t>
      </w:r>
      <w:r w:rsidR="001930C2" w:rsidRPr="001E633A">
        <w:t>rshtatur e kursimeve pas aplikimit t</w:t>
      </w:r>
      <w:r w:rsidR="00B5734B" w:rsidRPr="001E633A">
        <w:t>ë</w:t>
      </w:r>
      <w:r w:rsidR="001930C2" w:rsidRPr="001E633A">
        <w:t xml:space="preserve"> faktorit ndar</w:t>
      </w:r>
      <w:r w:rsidR="00B5734B" w:rsidRPr="001E633A">
        <w:t>ë</w:t>
      </w:r>
      <w:r w:rsidR="001930C2" w:rsidRPr="001E633A">
        <w:t xml:space="preserve">s </w:t>
      </w:r>
      <w:r w:rsidR="00B5734B" w:rsidRPr="001E633A">
        <w:t>ë</w:t>
      </w:r>
      <w:r w:rsidR="001930C2" w:rsidRPr="001E633A">
        <w:t>sht</w:t>
      </w:r>
      <w:r w:rsidR="00B5734B" w:rsidRPr="001E633A">
        <w:t>ë</w:t>
      </w:r>
      <w:r w:rsidR="001930C2" w:rsidRPr="001E633A">
        <w:t xml:space="preserve"> 0.</w:t>
      </w:r>
      <w:r w:rsidR="00084F51" w:rsidRPr="001E633A">
        <w:t>1</w:t>
      </w:r>
      <w:r w:rsidR="002678D0" w:rsidRPr="001E633A">
        <w:t>5</w:t>
      </w:r>
      <w:r w:rsidR="00D93C26" w:rsidRPr="001E633A">
        <w:t xml:space="preserve"> </w:t>
      </w:r>
      <w:r w:rsidR="00B5734B" w:rsidRPr="001E633A">
        <w:t>milion</w:t>
      </w:r>
      <w:r w:rsidR="00B5734B" w:rsidRPr="001471C5">
        <w:t xml:space="preserve"> euro</w:t>
      </w:r>
      <w:r w:rsidR="00971C65" w:rsidRPr="001471C5">
        <w:t xml:space="preserve"> </w:t>
      </w:r>
      <w:r w:rsidR="001930C2" w:rsidRPr="001471C5">
        <w:t>(pjesa p</w:t>
      </w:r>
      <w:r w:rsidR="00B5734B" w:rsidRPr="001471C5">
        <w:t>ë</w:t>
      </w:r>
      <w:r w:rsidR="001930C2" w:rsidRPr="001471C5">
        <w:t>r t</w:t>
      </w:r>
      <w:r w:rsidR="00B5734B" w:rsidRPr="001471C5">
        <w:t>ë</w:t>
      </w:r>
      <w:r w:rsidR="001930C2" w:rsidRPr="001471C5">
        <w:t xml:space="preserve"> cil</w:t>
      </w:r>
      <w:r w:rsidR="00B5734B" w:rsidRPr="001471C5">
        <w:t>ë</w:t>
      </w:r>
      <w:r w:rsidR="001930C2" w:rsidRPr="001471C5">
        <w:t xml:space="preserve">n </w:t>
      </w:r>
      <w:r w:rsidR="001B7F84" w:rsidRPr="001471C5">
        <w:t>kompens</w:t>
      </w:r>
      <w:r w:rsidR="00971C65" w:rsidRPr="001471C5">
        <w:t>ohen</w:t>
      </w:r>
      <w:r w:rsidR="001930C2" w:rsidRPr="001471C5">
        <w:t xml:space="preserve"> konsumator</w:t>
      </w:r>
      <w:r w:rsidR="00B5734B" w:rsidRPr="001471C5">
        <w:t>ë</w:t>
      </w:r>
      <w:r w:rsidR="001930C2" w:rsidRPr="001471C5">
        <w:t>t).</w:t>
      </w:r>
    </w:p>
    <w:p w14:paraId="7C9D6F70" w14:textId="77777777" w:rsidR="003347DA" w:rsidRPr="001471C5" w:rsidRDefault="001930C2" w:rsidP="0014315E">
      <w:pPr>
        <w:pStyle w:val="Heading2"/>
        <w:numPr>
          <w:ilvl w:val="1"/>
          <w:numId w:val="21"/>
        </w:numPr>
      </w:pPr>
      <w:bookmarkStart w:id="19" w:name="_Toc71118719"/>
      <w:proofErr w:type="spellStart"/>
      <w:r w:rsidRPr="001471C5">
        <w:t>Fondi</w:t>
      </w:r>
      <w:proofErr w:type="spellEnd"/>
      <w:r w:rsidR="002D26CF" w:rsidRPr="001471C5">
        <w:t xml:space="preserve"> </w:t>
      </w:r>
      <w:proofErr w:type="spellStart"/>
      <w:r w:rsidRPr="001471C5">
        <w:t>p</w:t>
      </w:r>
      <w:r w:rsidR="002D26CF" w:rsidRPr="0014315E">
        <w:rPr>
          <w:rFonts w:cs="Calibri"/>
        </w:rPr>
        <w:t>ë</w:t>
      </w:r>
      <w:r w:rsidRPr="0014315E">
        <w:rPr>
          <w:rFonts w:cs="Calibri"/>
        </w:rPr>
        <w:t>r</w:t>
      </w:r>
      <w:proofErr w:type="spellEnd"/>
      <w:r w:rsidR="003347DA" w:rsidRPr="001471C5">
        <w:t xml:space="preserve"> BRE</w:t>
      </w:r>
      <w:bookmarkEnd w:id="19"/>
    </w:p>
    <w:p w14:paraId="3EC907E2" w14:textId="39079710" w:rsidR="003347DA" w:rsidRPr="00C12E63" w:rsidRDefault="002D26CF" w:rsidP="00BE546F">
      <w:pPr>
        <w:spacing w:after="0"/>
        <w:jc w:val="both"/>
        <w:rPr>
          <w:rFonts w:cs="Calibri"/>
        </w:rPr>
      </w:pPr>
      <w:r w:rsidRPr="001471C5">
        <w:t>N</w:t>
      </w:r>
      <w:r w:rsidRPr="001471C5">
        <w:rPr>
          <w:rFonts w:cs="Calibri"/>
        </w:rPr>
        <w:t>ga analizimi i aplikacionit të KOSTT, vërehet se ka një dallim ndërmjet kostove dhe të hyrave nga fondi i BRE-ve pë</w:t>
      </w:r>
      <w:r w:rsidR="004177E1" w:rsidRPr="001471C5">
        <w:rPr>
          <w:rFonts w:cs="Calibri"/>
        </w:rPr>
        <w:t>r vitin 20</w:t>
      </w:r>
      <w:r w:rsidR="002678D0">
        <w:rPr>
          <w:rFonts w:cs="Calibri"/>
        </w:rPr>
        <w:t>20</w:t>
      </w:r>
      <w:r w:rsidR="001930C2" w:rsidRPr="001471C5">
        <w:rPr>
          <w:rFonts w:cs="Calibri"/>
        </w:rPr>
        <w:t>.</w:t>
      </w:r>
      <w:r w:rsidRPr="001471C5">
        <w:rPr>
          <w:rFonts w:cs="Calibri"/>
        </w:rPr>
        <w:t xml:space="preserve"> </w:t>
      </w:r>
      <w:r w:rsidR="001930C2" w:rsidRPr="001471C5">
        <w:rPr>
          <w:rFonts w:cs="Calibri"/>
        </w:rPr>
        <w:t>V</w:t>
      </w:r>
      <w:r w:rsidRPr="001471C5">
        <w:rPr>
          <w:rFonts w:cs="Calibri"/>
        </w:rPr>
        <w:t xml:space="preserve">lera e këtij dallimi </w:t>
      </w:r>
      <w:r w:rsidRPr="00C12E63">
        <w:rPr>
          <w:rFonts w:cs="Calibri"/>
        </w:rPr>
        <w:t xml:space="preserve">është </w:t>
      </w:r>
      <w:r w:rsidR="00546E14" w:rsidRPr="00C12E63">
        <w:rPr>
          <w:rFonts w:cs="Calibri"/>
        </w:rPr>
        <w:t>-</w:t>
      </w:r>
      <w:r w:rsidR="002678D0" w:rsidRPr="00C12E63">
        <w:rPr>
          <w:rFonts w:cs="Calibri"/>
        </w:rPr>
        <w:t>6</w:t>
      </w:r>
      <w:r w:rsidR="00546E14" w:rsidRPr="00C12E63">
        <w:rPr>
          <w:rFonts w:cs="Calibri"/>
        </w:rPr>
        <w:t>.</w:t>
      </w:r>
      <w:r w:rsidR="00C12E63" w:rsidRPr="00C12E63">
        <w:rPr>
          <w:rFonts w:cs="Calibri"/>
        </w:rPr>
        <w:t>7</w:t>
      </w:r>
      <w:r w:rsidR="001930C2" w:rsidRPr="00C12E63">
        <w:rPr>
          <w:rFonts w:cs="Calibri"/>
        </w:rPr>
        <w:t xml:space="preserve"> </w:t>
      </w:r>
      <w:r w:rsidR="002678D0" w:rsidRPr="00C12E63">
        <w:rPr>
          <w:rFonts w:cs="Calibri"/>
        </w:rPr>
        <w:t xml:space="preserve">milion </w:t>
      </w:r>
      <w:r w:rsidR="001930C2" w:rsidRPr="00C12E63">
        <w:rPr>
          <w:rFonts w:cs="Calibri"/>
        </w:rPr>
        <w:t>euro</w:t>
      </w:r>
      <w:r w:rsidR="003D5FEB" w:rsidRPr="00C12E63">
        <w:rPr>
          <w:rFonts w:cs="Calibri"/>
        </w:rPr>
        <w:t xml:space="preserve">, dhe ato përfshijnë dallimin e të hyrave dhe shpenzimeve të </w:t>
      </w:r>
      <w:r w:rsidR="001471C5" w:rsidRPr="00C12E63">
        <w:rPr>
          <w:rFonts w:cs="Calibri"/>
        </w:rPr>
        <w:t>Fondit të BRE</w:t>
      </w:r>
      <w:r w:rsidR="000C0082">
        <w:rPr>
          <w:rFonts w:cs="Calibri"/>
        </w:rPr>
        <w:t>-ve</w:t>
      </w:r>
      <w:r w:rsidR="001471C5" w:rsidRPr="00C12E63">
        <w:rPr>
          <w:rFonts w:cs="Calibri"/>
        </w:rPr>
        <w:t xml:space="preserve"> </w:t>
      </w:r>
      <w:r w:rsidR="003D5FEB" w:rsidRPr="00C12E63">
        <w:rPr>
          <w:rFonts w:cs="Calibri"/>
        </w:rPr>
        <w:t>për vitin 20</w:t>
      </w:r>
      <w:r w:rsidR="002678D0" w:rsidRPr="00C12E63">
        <w:rPr>
          <w:rFonts w:cs="Calibri"/>
        </w:rPr>
        <w:t>20</w:t>
      </w:r>
      <w:r w:rsidR="003D5FEB" w:rsidRPr="00C12E63">
        <w:rPr>
          <w:rFonts w:cs="Calibri"/>
        </w:rPr>
        <w:t xml:space="preserve"> dhe përshtat</w:t>
      </w:r>
      <w:r w:rsidR="001471C5" w:rsidRPr="00C12E63">
        <w:rPr>
          <w:rFonts w:cs="Calibri"/>
        </w:rPr>
        <w:t>jet për kostot e menaxhimit të F</w:t>
      </w:r>
      <w:r w:rsidR="003D5FEB" w:rsidRPr="00C12E63">
        <w:rPr>
          <w:rFonts w:cs="Calibri"/>
        </w:rPr>
        <w:t xml:space="preserve">ondit për vitin </w:t>
      </w:r>
      <w:r w:rsidR="002678D0" w:rsidRPr="00C12E63">
        <w:rPr>
          <w:rFonts w:cs="Calibri"/>
        </w:rPr>
        <w:t>2020</w:t>
      </w:r>
      <w:r w:rsidR="003D5FEB" w:rsidRPr="00C12E63">
        <w:rPr>
          <w:rFonts w:cs="Calibri"/>
        </w:rPr>
        <w:t>.</w:t>
      </w:r>
      <w:r w:rsidRPr="00C12E63">
        <w:rPr>
          <w:rFonts w:cs="Calibri"/>
        </w:rPr>
        <w:t xml:space="preserve"> </w:t>
      </w:r>
      <w:r w:rsidR="00C12E63" w:rsidRPr="00C12E63">
        <w:rPr>
          <w:rFonts w:cs="Calibri"/>
        </w:rPr>
        <w:t xml:space="preserve">KOSTT ka </w:t>
      </w:r>
      <w:r w:rsidR="00E1493C" w:rsidRPr="00C12E63">
        <w:rPr>
          <w:rFonts w:cs="Calibri"/>
        </w:rPr>
        <w:t>paraqitur</w:t>
      </w:r>
      <w:r w:rsidR="00C12E63" w:rsidRPr="00C12E63">
        <w:rPr>
          <w:rFonts w:cs="Calibri"/>
        </w:rPr>
        <w:t xml:space="preserve"> kosto </w:t>
      </w:r>
      <w:r w:rsidR="00E1493C" w:rsidRPr="00C12E63">
        <w:rPr>
          <w:rFonts w:cs="Calibri"/>
        </w:rPr>
        <w:t>shtesë</w:t>
      </w:r>
      <w:r w:rsidR="00C12E63" w:rsidRPr="00C12E63">
        <w:rPr>
          <w:rFonts w:cs="Calibri"/>
        </w:rPr>
        <w:t xml:space="preserve"> p</w:t>
      </w:r>
      <w:r w:rsidR="00E1493C">
        <w:rPr>
          <w:rFonts w:cs="Calibri"/>
        </w:rPr>
        <w:t>ë</w:t>
      </w:r>
      <w:r w:rsidR="00C12E63" w:rsidRPr="00C12E63">
        <w:rPr>
          <w:rFonts w:cs="Calibri"/>
        </w:rPr>
        <w:t>r menaxhimin e fondit p</w:t>
      </w:r>
      <w:r w:rsidR="00E1493C">
        <w:rPr>
          <w:rFonts w:cs="Calibri"/>
        </w:rPr>
        <w:t>ë</w:t>
      </w:r>
      <w:r w:rsidR="00C12E63" w:rsidRPr="00C12E63">
        <w:rPr>
          <w:rFonts w:cs="Calibri"/>
        </w:rPr>
        <w:t>r vitin 2020, n</w:t>
      </w:r>
      <w:r w:rsidR="00E1493C">
        <w:rPr>
          <w:rFonts w:cs="Calibri"/>
        </w:rPr>
        <w:t>ë</w:t>
      </w:r>
      <w:r w:rsidR="00C12E63" w:rsidRPr="00C12E63">
        <w:rPr>
          <w:rFonts w:cs="Calibri"/>
        </w:rPr>
        <w:t xml:space="preserve"> vler</w:t>
      </w:r>
      <w:r w:rsidR="00E1493C">
        <w:rPr>
          <w:rFonts w:cs="Calibri"/>
        </w:rPr>
        <w:t>ë</w:t>
      </w:r>
      <w:r w:rsidR="00C12E63" w:rsidRPr="00C12E63">
        <w:rPr>
          <w:rFonts w:cs="Calibri"/>
        </w:rPr>
        <w:t xml:space="preserve"> prej 0.1 milion euro. Pas analizimit t</w:t>
      </w:r>
      <w:r w:rsidR="00E1493C">
        <w:rPr>
          <w:rFonts w:cs="Calibri"/>
        </w:rPr>
        <w:t>ë</w:t>
      </w:r>
      <w:r w:rsidR="00C12E63" w:rsidRPr="00C12E63">
        <w:rPr>
          <w:rFonts w:cs="Calibri"/>
        </w:rPr>
        <w:t xml:space="preserve"> tyre, ZRRE ka v</w:t>
      </w:r>
      <w:r w:rsidR="00E1493C">
        <w:rPr>
          <w:rFonts w:cs="Calibri"/>
        </w:rPr>
        <w:t>ë</w:t>
      </w:r>
      <w:r w:rsidR="00C12E63" w:rsidRPr="00C12E63">
        <w:rPr>
          <w:rFonts w:cs="Calibri"/>
        </w:rPr>
        <w:t>rejtur q</w:t>
      </w:r>
      <w:r w:rsidR="00E1493C">
        <w:rPr>
          <w:rFonts w:cs="Calibri"/>
        </w:rPr>
        <w:t>ë</w:t>
      </w:r>
      <w:r w:rsidR="00C12E63" w:rsidRPr="00C12E63">
        <w:rPr>
          <w:rFonts w:cs="Calibri"/>
        </w:rPr>
        <w:t xml:space="preserve"> KOSTT ka p</w:t>
      </w:r>
      <w:r w:rsidR="00E1493C">
        <w:rPr>
          <w:rFonts w:cs="Calibri"/>
        </w:rPr>
        <w:t>ë</w:t>
      </w:r>
      <w:r w:rsidR="00C12E63" w:rsidRPr="00C12E63">
        <w:rPr>
          <w:rFonts w:cs="Calibri"/>
        </w:rPr>
        <w:t>rfshir</w:t>
      </w:r>
      <w:r w:rsidR="00E1493C">
        <w:rPr>
          <w:rFonts w:cs="Calibri"/>
        </w:rPr>
        <w:t>ë</w:t>
      </w:r>
      <w:r w:rsidR="00C12E63" w:rsidRPr="00C12E63">
        <w:rPr>
          <w:rFonts w:cs="Calibri"/>
        </w:rPr>
        <w:t xml:space="preserve"> edhe 84 </w:t>
      </w:r>
      <w:r w:rsidR="00E1493C">
        <w:rPr>
          <w:rFonts w:cs="Calibri"/>
        </w:rPr>
        <w:t>mijë</w:t>
      </w:r>
      <w:r w:rsidR="00C12E63" w:rsidRPr="00C12E63">
        <w:rPr>
          <w:rFonts w:cs="Calibri"/>
        </w:rPr>
        <w:t xml:space="preserve"> euro p</w:t>
      </w:r>
      <w:r w:rsidR="00E1493C">
        <w:rPr>
          <w:rFonts w:cs="Calibri"/>
        </w:rPr>
        <w:t>ë</w:t>
      </w:r>
      <w:r w:rsidR="00C12E63" w:rsidRPr="00C12E63">
        <w:rPr>
          <w:rFonts w:cs="Calibri"/>
        </w:rPr>
        <w:t>r paga. Duke qen</w:t>
      </w:r>
      <w:r w:rsidR="00E1493C">
        <w:rPr>
          <w:rFonts w:cs="Calibri"/>
        </w:rPr>
        <w:t>ë</w:t>
      </w:r>
      <w:r w:rsidR="00C12E63" w:rsidRPr="00C12E63">
        <w:rPr>
          <w:rFonts w:cs="Calibri"/>
        </w:rPr>
        <w:t xml:space="preserve"> se k</w:t>
      </w:r>
      <w:r w:rsidR="00E1493C">
        <w:rPr>
          <w:rFonts w:cs="Calibri"/>
        </w:rPr>
        <w:t>ë</w:t>
      </w:r>
      <w:r w:rsidR="00C12E63" w:rsidRPr="00C12E63">
        <w:rPr>
          <w:rFonts w:cs="Calibri"/>
        </w:rPr>
        <w:t>to kosto jan</w:t>
      </w:r>
      <w:r w:rsidR="00E1493C">
        <w:rPr>
          <w:rFonts w:cs="Calibri"/>
        </w:rPr>
        <w:t>ë</w:t>
      </w:r>
      <w:r w:rsidR="00C12E63" w:rsidRPr="00C12E63">
        <w:rPr>
          <w:rFonts w:cs="Calibri"/>
        </w:rPr>
        <w:t xml:space="preserve"> t</w:t>
      </w:r>
      <w:r w:rsidR="00E1493C">
        <w:rPr>
          <w:rFonts w:cs="Calibri"/>
        </w:rPr>
        <w:t>ë</w:t>
      </w:r>
      <w:r w:rsidR="00C12E63" w:rsidRPr="00C12E63">
        <w:rPr>
          <w:rFonts w:cs="Calibri"/>
        </w:rPr>
        <w:t xml:space="preserve"> p</w:t>
      </w:r>
      <w:r w:rsidR="00E1493C">
        <w:rPr>
          <w:rFonts w:cs="Calibri"/>
        </w:rPr>
        <w:t>ë</w:t>
      </w:r>
      <w:r w:rsidR="00C12E63" w:rsidRPr="00C12E63">
        <w:rPr>
          <w:rFonts w:cs="Calibri"/>
        </w:rPr>
        <w:t>rfshira n</w:t>
      </w:r>
      <w:r w:rsidR="00E1493C">
        <w:rPr>
          <w:rFonts w:cs="Calibri"/>
        </w:rPr>
        <w:t>ë</w:t>
      </w:r>
      <w:r w:rsidR="00C12E63" w:rsidRPr="00C12E63">
        <w:rPr>
          <w:rFonts w:cs="Calibri"/>
        </w:rPr>
        <w:t xml:space="preserve"> Operatorin e Tregut, ZRRE nuk i ka marr</w:t>
      </w:r>
      <w:r w:rsidR="00E1493C">
        <w:rPr>
          <w:rFonts w:cs="Calibri"/>
        </w:rPr>
        <w:t>ë</w:t>
      </w:r>
      <w:r w:rsidR="00C12E63" w:rsidRPr="00C12E63">
        <w:rPr>
          <w:rFonts w:cs="Calibri"/>
        </w:rPr>
        <w:t xml:space="preserve"> parasysh k</w:t>
      </w:r>
      <w:r w:rsidR="00E1493C">
        <w:rPr>
          <w:rFonts w:cs="Calibri"/>
        </w:rPr>
        <w:t>ë</w:t>
      </w:r>
      <w:r w:rsidR="00C12E63" w:rsidRPr="00C12E63">
        <w:rPr>
          <w:rFonts w:cs="Calibri"/>
        </w:rPr>
        <w:t>to kosto dhe nuk i ka p</w:t>
      </w:r>
      <w:r w:rsidR="00E1493C">
        <w:rPr>
          <w:rFonts w:cs="Calibri"/>
        </w:rPr>
        <w:t>ë</w:t>
      </w:r>
      <w:r w:rsidR="00C12E63" w:rsidRPr="00C12E63">
        <w:rPr>
          <w:rFonts w:cs="Calibri"/>
        </w:rPr>
        <w:t>rfshir</w:t>
      </w:r>
      <w:r w:rsidR="00E1493C">
        <w:rPr>
          <w:rFonts w:cs="Calibri"/>
        </w:rPr>
        <w:t>ë</w:t>
      </w:r>
      <w:r w:rsidR="00C12E63" w:rsidRPr="00C12E63">
        <w:rPr>
          <w:rFonts w:cs="Calibri"/>
        </w:rPr>
        <w:t xml:space="preserve"> n</w:t>
      </w:r>
      <w:r w:rsidR="00E1493C">
        <w:rPr>
          <w:rFonts w:cs="Calibri"/>
        </w:rPr>
        <w:t>ë</w:t>
      </w:r>
      <w:r w:rsidR="00C12E63" w:rsidRPr="00C12E63">
        <w:rPr>
          <w:rFonts w:cs="Calibri"/>
        </w:rPr>
        <w:t xml:space="preserve"> kostot e realizuara p</w:t>
      </w:r>
      <w:r w:rsidR="00E1493C">
        <w:rPr>
          <w:rFonts w:cs="Calibri"/>
        </w:rPr>
        <w:t>ë</w:t>
      </w:r>
      <w:r w:rsidR="00C12E63" w:rsidRPr="00C12E63">
        <w:rPr>
          <w:rFonts w:cs="Calibri"/>
        </w:rPr>
        <w:t xml:space="preserve">r menaxhimin e </w:t>
      </w:r>
      <w:r w:rsidR="00E1493C" w:rsidRPr="00C12E63">
        <w:rPr>
          <w:rFonts w:cs="Calibri"/>
        </w:rPr>
        <w:t>fondit</w:t>
      </w:r>
      <w:r w:rsidR="00C12E63" w:rsidRPr="00C12E63">
        <w:rPr>
          <w:rFonts w:cs="Calibri"/>
        </w:rPr>
        <w:t xml:space="preserve">. </w:t>
      </w:r>
    </w:p>
    <w:p w14:paraId="41404E08" w14:textId="7457761D" w:rsidR="002D26CF" w:rsidRDefault="002D26CF" w:rsidP="001930C2">
      <w:pPr>
        <w:spacing w:before="240"/>
        <w:jc w:val="both"/>
        <w:rPr>
          <w:rFonts w:cs="Calibri"/>
        </w:rPr>
      </w:pPr>
      <w:r w:rsidRPr="00C12E63">
        <w:rPr>
          <w:rFonts w:cs="Calibri"/>
        </w:rPr>
        <w:lastRenderedPageBreak/>
        <w:t>Parashikimi i kostove të fondit të BRE-ve është bërë duke u bazuar në bilancin e energjisë</w:t>
      </w:r>
      <w:r w:rsidR="004177E1" w:rsidRPr="00C12E63">
        <w:rPr>
          <w:rFonts w:cs="Calibri"/>
        </w:rPr>
        <w:t xml:space="preserve"> t</w:t>
      </w:r>
      <w:r w:rsidR="000F24A8" w:rsidRPr="00C12E63">
        <w:rPr>
          <w:rFonts w:cs="Calibri"/>
        </w:rPr>
        <w:t>ë</w:t>
      </w:r>
      <w:r w:rsidR="004177E1" w:rsidRPr="00C12E63">
        <w:rPr>
          <w:rFonts w:cs="Calibri"/>
        </w:rPr>
        <w:t xml:space="preserve"> aprovuar p</w:t>
      </w:r>
      <w:r w:rsidR="000F24A8" w:rsidRPr="00C12E63">
        <w:rPr>
          <w:rFonts w:cs="Calibri"/>
        </w:rPr>
        <w:t>ë</w:t>
      </w:r>
      <w:r w:rsidR="004177E1" w:rsidRPr="00C12E63">
        <w:rPr>
          <w:rFonts w:cs="Calibri"/>
        </w:rPr>
        <w:t>r vitin 202</w:t>
      </w:r>
      <w:r w:rsidR="002678D0" w:rsidRPr="00C12E63">
        <w:rPr>
          <w:rFonts w:cs="Calibri"/>
        </w:rPr>
        <w:t>1</w:t>
      </w:r>
      <w:r w:rsidR="004177E1" w:rsidRPr="00C12E63">
        <w:rPr>
          <w:rFonts w:cs="Calibri"/>
        </w:rPr>
        <w:t>, i cili nd</w:t>
      </w:r>
      <w:r w:rsidR="000F24A8" w:rsidRPr="00C12E63">
        <w:rPr>
          <w:rFonts w:cs="Calibri"/>
        </w:rPr>
        <w:t>ë</w:t>
      </w:r>
      <w:r w:rsidR="004177E1" w:rsidRPr="00C12E63">
        <w:rPr>
          <w:rFonts w:cs="Calibri"/>
        </w:rPr>
        <w:t xml:space="preserve">r tjera merr </w:t>
      </w:r>
      <w:r w:rsidR="000F24A8" w:rsidRPr="00C12E63">
        <w:rPr>
          <w:rFonts w:cs="Calibri"/>
        </w:rPr>
        <w:t>parasysh</w:t>
      </w:r>
      <w:r w:rsidR="004177E1" w:rsidRPr="00C12E63">
        <w:rPr>
          <w:rFonts w:cs="Calibri"/>
        </w:rPr>
        <w:t xml:space="preserve"> prodhimin e energjis</w:t>
      </w:r>
      <w:r w:rsidR="000F24A8" w:rsidRPr="00C12E63">
        <w:rPr>
          <w:rFonts w:cs="Calibri"/>
        </w:rPr>
        <w:t>ë</w:t>
      </w:r>
      <w:r w:rsidR="004177E1" w:rsidRPr="00C12E63">
        <w:rPr>
          <w:rFonts w:cs="Calibri"/>
        </w:rPr>
        <w:t xml:space="preserve"> elektrike nga BRE</w:t>
      </w:r>
      <w:r w:rsidRPr="00C12E63">
        <w:rPr>
          <w:rFonts w:cs="Calibri"/>
        </w:rPr>
        <w:t>. Vlera e kostove të fondit duke marr parasysh çmimin refe</w:t>
      </w:r>
      <w:r w:rsidR="009A2D41" w:rsidRPr="00C12E63">
        <w:rPr>
          <w:rFonts w:cs="Calibri"/>
        </w:rPr>
        <w:t>re</w:t>
      </w:r>
      <w:r w:rsidRPr="00C12E63">
        <w:rPr>
          <w:rFonts w:cs="Calibri"/>
        </w:rPr>
        <w:t xml:space="preserve">nt prej </w:t>
      </w:r>
      <w:r w:rsidR="002678D0" w:rsidRPr="00C12E63">
        <w:rPr>
          <w:rFonts w:cs="Calibri"/>
        </w:rPr>
        <w:t>40.65</w:t>
      </w:r>
      <w:r w:rsidR="001930C2" w:rsidRPr="00C12E63">
        <w:rPr>
          <w:rFonts w:cs="Calibri"/>
        </w:rPr>
        <w:t xml:space="preserve"> </w:t>
      </w:r>
      <w:r w:rsidRPr="00C12E63">
        <w:rPr>
          <w:rFonts w:cs="Calibri"/>
        </w:rPr>
        <w:t>€/</w:t>
      </w:r>
      <w:proofErr w:type="spellStart"/>
      <w:r w:rsidR="00D93C26" w:rsidRPr="00C12E63">
        <w:rPr>
          <w:rFonts w:cs="Calibri"/>
        </w:rPr>
        <w:t>M</w:t>
      </w:r>
      <w:r w:rsidR="000F24A8" w:rsidRPr="00C12E63">
        <w:rPr>
          <w:rFonts w:cs="Calibri"/>
        </w:rPr>
        <w:t>W</w:t>
      </w:r>
      <w:r w:rsidR="00D93C26" w:rsidRPr="00C12E63">
        <w:rPr>
          <w:rFonts w:cs="Calibri"/>
        </w:rPr>
        <w:t>h</w:t>
      </w:r>
      <w:proofErr w:type="spellEnd"/>
      <w:r w:rsidR="00C03DC7">
        <w:rPr>
          <w:rFonts w:cs="Calibri"/>
        </w:rPr>
        <w:t xml:space="preserve"> të kalkuluar në bazë të </w:t>
      </w:r>
      <w:proofErr w:type="spellStart"/>
      <w:r w:rsidR="00C03DC7">
        <w:rPr>
          <w:rFonts w:cs="Calibri"/>
        </w:rPr>
        <w:t>Metdologjisë</w:t>
      </w:r>
      <w:proofErr w:type="spellEnd"/>
      <w:r w:rsidR="00C03DC7">
        <w:rPr>
          <w:rFonts w:cs="Calibri"/>
        </w:rPr>
        <w:t xml:space="preserve"> për llogaritjen e çmimit referent</w:t>
      </w:r>
      <w:r w:rsidR="00542218" w:rsidRPr="00C12E63">
        <w:rPr>
          <w:rFonts w:cs="Calibri"/>
        </w:rPr>
        <w:t xml:space="preserve"> </w:t>
      </w:r>
      <w:r w:rsidR="004177E1" w:rsidRPr="00C12E63">
        <w:rPr>
          <w:rFonts w:cs="Calibri"/>
        </w:rPr>
        <w:t>(i cili p</w:t>
      </w:r>
      <w:r w:rsidR="000F24A8" w:rsidRPr="00C12E63">
        <w:rPr>
          <w:rFonts w:cs="Calibri"/>
        </w:rPr>
        <w:t>ë</w:t>
      </w:r>
      <w:r w:rsidR="004177E1" w:rsidRPr="00C12E63">
        <w:rPr>
          <w:rFonts w:cs="Calibri"/>
        </w:rPr>
        <w:t>rfshin</w:t>
      </w:r>
      <w:r w:rsidR="000F24A8" w:rsidRPr="00C12E63">
        <w:rPr>
          <w:rFonts w:cs="Calibri"/>
        </w:rPr>
        <w:t>ë</w:t>
      </w:r>
      <w:r w:rsidR="004177E1" w:rsidRPr="00C12E63">
        <w:rPr>
          <w:rFonts w:cs="Calibri"/>
        </w:rPr>
        <w:t xml:space="preserve"> blerjet me shumic</w:t>
      </w:r>
      <w:r w:rsidR="000F24A8" w:rsidRPr="00C12E63">
        <w:rPr>
          <w:rFonts w:cs="Calibri"/>
        </w:rPr>
        <w:t>ë</w:t>
      </w:r>
      <w:r w:rsidR="004177E1" w:rsidRPr="00C12E63">
        <w:rPr>
          <w:rFonts w:cs="Calibri"/>
        </w:rPr>
        <w:t xml:space="preserve"> t</w:t>
      </w:r>
      <w:r w:rsidR="000F24A8" w:rsidRPr="00C12E63">
        <w:rPr>
          <w:rFonts w:cs="Calibri"/>
        </w:rPr>
        <w:t>ë</w:t>
      </w:r>
      <w:r w:rsidR="004177E1" w:rsidRPr="00C12E63">
        <w:rPr>
          <w:rFonts w:cs="Calibri"/>
        </w:rPr>
        <w:t xml:space="preserve"> energjis</w:t>
      </w:r>
      <w:r w:rsidR="000F24A8" w:rsidRPr="00C12E63">
        <w:rPr>
          <w:rFonts w:cs="Calibri"/>
        </w:rPr>
        <w:t>ë</w:t>
      </w:r>
      <w:r w:rsidR="004177E1" w:rsidRPr="00C12E63">
        <w:rPr>
          <w:rFonts w:cs="Calibri"/>
        </w:rPr>
        <w:t xml:space="preserve"> n</w:t>
      </w:r>
      <w:r w:rsidR="000F24A8" w:rsidRPr="00C12E63">
        <w:rPr>
          <w:rFonts w:cs="Calibri"/>
        </w:rPr>
        <w:t>ë</w:t>
      </w:r>
      <w:r w:rsidR="004177E1" w:rsidRPr="00C12E63">
        <w:rPr>
          <w:rFonts w:cs="Calibri"/>
        </w:rPr>
        <w:t xml:space="preserve"> tregun vendor</w:t>
      </w:r>
      <w:r w:rsidR="000F24A8" w:rsidRPr="00C12E63">
        <w:rPr>
          <w:rFonts w:cs="Calibri"/>
        </w:rPr>
        <w:t>ë</w:t>
      </w:r>
      <w:r w:rsidR="004177E1" w:rsidRPr="00C12E63">
        <w:rPr>
          <w:rFonts w:cs="Calibri"/>
        </w:rPr>
        <w:t xml:space="preserve"> dhe importin)</w:t>
      </w:r>
      <w:r w:rsidRPr="00C12E63">
        <w:rPr>
          <w:rFonts w:cs="Calibri"/>
        </w:rPr>
        <w:t xml:space="preserve"> </w:t>
      </w:r>
      <w:r w:rsidR="00542218" w:rsidRPr="00C12E63">
        <w:rPr>
          <w:rFonts w:cs="Calibri"/>
        </w:rPr>
        <w:t>ka rezultuar që për vitin 202</w:t>
      </w:r>
      <w:r w:rsidR="002678D0" w:rsidRPr="00C12E63">
        <w:rPr>
          <w:rFonts w:cs="Calibri"/>
        </w:rPr>
        <w:t>1</w:t>
      </w:r>
      <w:r w:rsidRPr="00C12E63">
        <w:rPr>
          <w:rFonts w:cs="Calibri"/>
        </w:rPr>
        <w:t xml:space="preserve"> të jetë</w:t>
      </w:r>
      <w:r w:rsidR="00243AC4" w:rsidRPr="00C12E63">
        <w:rPr>
          <w:rFonts w:cs="Calibri"/>
        </w:rPr>
        <w:t xml:space="preserve"> </w:t>
      </w:r>
      <w:r w:rsidR="002678D0" w:rsidRPr="00C12E63">
        <w:rPr>
          <w:rFonts w:cs="Calibri"/>
        </w:rPr>
        <w:t>16.</w:t>
      </w:r>
      <w:r w:rsidR="00C12E63" w:rsidRPr="00C12E63">
        <w:rPr>
          <w:rFonts w:cs="Calibri"/>
        </w:rPr>
        <w:t>7</w:t>
      </w:r>
      <w:r w:rsidR="001930C2" w:rsidRPr="001471C5">
        <w:rPr>
          <w:rFonts w:cs="Calibri"/>
        </w:rPr>
        <w:t xml:space="preserve"> milion euro</w:t>
      </w:r>
      <w:r w:rsidRPr="001471C5">
        <w:rPr>
          <w:rFonts w:cs="Calibri"/>
        </w:rPr>
        <w:t>.</w:t>
      </w:r>
    </w:p>
    <w:p w14:paraId="5AFE5615" w14:textId="77777777" w:rsidR="00F815F2" w:rsidRPr="001471C5" w:rsidRDefault="00F815F2" w:rsidP="0014315E">
      <w:pPr>
        <w:pStyle w:val="Heading2"/>
      </w:pPr>
      <w:bookmarkStart w:id="20" w:name="_Toc511307498"/>
      <w:bookmarkStart w:id="21" w:name="_Toc71118720"/>
      <w:proofErr w:type="spellStart"/>
      <w:r w:rsidRPr="001471C5">
        <w:t>Përshtatjet</w:t>
      </w:r>
      <w:proofErr w:type="spellEnd"/>
      <w:r w:rsidRPr="001471C5">
        <w:t xml:space="preserve"> e </w:t>
      </w:r>
      <w:proofErr w:type="spellStart"/>
      <w:r w:rsidRPr="001471C5">
        <w:t>kostove</w:t>
      </w:r>
      <w:proofErr w:type="spellEnd"/>
      <w:r w:rsidRPr="001471C5">
        <w:t xml:space="preserve"> </w:t>
      </w:r>
      <w:proofErr w:type="spellStart"/>
      <w:r w:rsidRPr="001471C5">
        <w:t>të</w:t>
      </w:r>
      <w:proofErr w:type="spellEnd"/>
      <w:r w:rsidRPr="001471C5">
        <w:t xml:space="preserve"> </w:t>
      </w:r>
      <w:proofErr w:type="spellStart"/>
      <w:r w:rsidRPr="001471C5">
        <w:t>humbjeve</w:t>
      </w:r>
      <w:bookmarkEnd w:id="20"/>
      <w:bookmarkEnd w:id="21"/>
      <w:proofErr w:type="spellEnd"/>
      <w:r w:rsidRPr="001471C5">
        <w:t xml:space="preserve"> </w:t>
      </w:r>
    </w:p>
    <w:p w14:paraId="6A3940EA" w14:textId="77777777" w:rsidR="00F815F2" w:rsidRPr="001471C5" w:rsidRDefault="00F815F2" w:rsidP="00F815F2">
      <w:pPr>
        <w:spacing w:before="120"/>
        <w:jc w:val="both"/>
      </w:pPr>
      <w:r w:rsidRPr="001471C5">
        <w:t>Përshtatja e kosto</w:t>
      </w:r>
      <w:r w:rsidR="00CE7BEE" w:rsidRPr="001471C5">
        <w:t>ve t</w:t>
      </w:r>
      <w:r w:rsidRPr="001471C5">
        <w:t xml:space="preserve">ë humbjeve për </w:t>
      </w:r>
      <w:r w:rsidR="00CE7BEE" w:rsidRPr="001471C5">
        <w:t>OST</w:t>
      </w:r>
      <w:r w:rsidRPr="001471C5">
        <w:t xml:space="preserve"> bëhet përmes formulës së mëposhtme: </w:t>
      </w:r>
    </w:p>
    <w:p w14:paraId="317C3051" w14:textId="77777777" w:rsidR="00F815F2" w:rsidRPr="001471C5" w:rsidRDefault="00F815F2" w:rsidP="00F815F2">
      <w:pPr>
        <w:ind w:firstLine="720"/>
      </w:pPr>
      <w:r w:rsidRPr="001471C5">
        <w:t>(LSSCat-1 – LSSCft-1) * (1+ It)</w:t>
      </w:r>
    </w:p>
    <w:p w14:paraId="04566F11" w14:textId="34672B39" w:rsidR="00F815F2" w:rsidRPr="001471C5" w:rsidRDefault="00F815F2" w:rsidP="00F815F2">
      <w:pPr>
        <w:jc w:val="both"/>
      </w:pPr>
      <w:r w:rsidRPr="001471C5">
        <w:t xml:space="preserve">Vlera e kostos së përshtatur për humbje </w:t>
      </w:r>
      <w:r w:rsidR="006719FD">
        <w:t xml:space="preserve">duke përfshirë normën e interesit </w:t>
      </w:r>
      <w:r w:rsidRPr="001471C5">
        <w:t xml:space="preserve">është </w:t>
      </w:r>
      <w:r w:rsidR="00AD0EC2" w:rsidRPr="00C12E63">
        <w:t>-</w:t>
      </w:r>
      <w:r w:rsidR="00C12E63" w:rsidRPr="00C12E63">
        <w:t>0.8</w:t>
      </w:r>
      <w:r w:rsidR="00C12E63">
        <w:t>8</w:t>
      </w:r>
      <w:r w:rsidRPr="00C12E63">
        <w:t xml:space="preserve"> milion euro,</w:t>
      </w:r>
      <w:r w:rsidRPr="001471C5">
        <w:t xml:space="preserve"> e cila rezulton për shkak të rrjedhave më të </w:t>
      </w:r>
      <w:proofErr w:type="spellStart"/>
      <w:r w:rsidR="00AD0EC2" w:rsidRPr="001471C5">
        <w:t>ulta</w:t>
      </w:r>
      <w:proofErr w:type="spellEnd"/>
      <w:r w:rsidRPr="001471C5">
        <w:t xml:space="preserve"> të energjisë të realizuara kundrejt atyre të parashikuara dhe çmimit mesatar m</w:t>
      </w:r>
      <w:r w:rsidRPr="001471C5">
        <w:rPr>
          <w:rFonts w:cs="Calibri"/>
        </w:rPr>
        <w:t>ë</w:t>
      </w:r>
      <w:r w:rsidRPr="001471C5">
        <w:t xml:space="preserve"> t</w:t>
      </w:r>
      <w:r w:rsidRPr="001471C5">
        <w:rPr>
          <w:rFonts w:cs="Calibri"/>
        </w:rPr>
        <w:t>ë</w:t>
      </w:r>
      <w:r w:rsidRPr="001471C5">
        <w:t xml:space="preserve"> </w:t>
      </w:r>
      <w:r w:rsidR="00AD0EC2" w:rsidRPr="001471C5">
        <w:t>ul</w:t>
      </w:r>
      <w:r w:rsidRPr="001471C5">
        <w:t>ë</w:t>
      </w:r>
      <w:r w:rsidR="00AD0EC2" w:rsidRPr="001471C5">
        <w:t>t</w:t>
      </w:r>
      <w:r w:rsidR="00C03DC7">
        <w:t xml:space="preserve"> pë</w:t>
      </w:r>
      <w:r w:rsidR="00351F63">
        <w:t>r</w:t>
      </w:r>
      <w:r w:rsidRPr="001471C5">
        <w:t xml:space="preserve"> blerjen e humbjeve për vitin 20</w:t>
      </w:r>
      <w:r w:rsidR="00351F63">
        <w:t>20</w:t>
      </w:r>
      <w:r w:rsidRPr="001471C5">
        <w:t xml:space="preserve"> në rrjetin </w:t>
      </w:r>
      <w:r w:rsidR="00A40EA7" w:rsidRPr="001471C5">
        <w:t>e transmetimit</w:t>
      </w:r>
      <w:r w:rsidRPr="001471C5">
        <w:t xml:space="preserve">. Detajet e kalkulimeve janë dhënë në tabelën </w:t>
      </w:r>
      <w:r w:rsidR="001930C2" w:rsidRPr="001471C5">
        <w:t>e më</w:t>
      </w:r>
      <w:r w:rsidRPr="001471C5">
        <w:t>posht</w:t>
      </w:r>
      <w:r w:rsidR="001930C2" w:rsidRPr="001471C5">
        <w:t>me</w:t>
      </w:r>
      <w:r w:rsidRPr="001471C5">
        <w:t>.</w:t>
      </w:r>
    </w:p>
    <w:p w14:paraId="02EF9846" w14:textId="77777777" w:rsidR="001930C2" w:rsidRPr="001471C5" w:rsidRDefault="001B7F84" w:rsidP="00B5734B">
      <w:pPr>
        <w:pStyle w:val="Caption"/>
        <w:ind w:firstLine="720"/>
        <w:rPr>
          <w:lang w:val="sq-AL"/>
        </w:rPr>
      </w:pPr>
      <w:r w:rsidRPr="001471C5">
        <w:rPr>
          <w:lang w:val="sq-AL"/>
        </w:rPr>
        <w:t>Tabela 3</w:t>
      </w:r>
      <w:r w:rsidR="001930C2" w:rsidRPr="001471C5">
        <w:rPr>
          <w:lang w:val="sq-AL"/>
        </w:rPr>
        <w:t xml:space="preserve"> Përshtatjet për kostot e humbjeve</w:t>
      </w:r>
    </w:p>
    <w:tbl>
      <w:tblPr>
        <w:tblW w:w="8930" w:type="dxa"/>
        <w:jc w:val="center"/>
        <w:tblLook w:val="04A0" w:firstRow="1" w:lastRow="0" w:firstColumn="1" w:lastColumn="0" w:noHBand="0" w:noVBand="1"/>
      </w:tblPr>
      <w:tblGrid>
        <w:gridCol w:w="4744"/>
        <w:gridCol w:w="895"/>
        <w:gridCol w:w="882"/>
        <w:gridCol w:w="1134"/>
        <w:gridCol w:w="1275"/>
      </w:tblGrid>
      <w:tr w:rsidR="00F815F2" w:rsidRPr="00966518" w14:paraId="3F617B11" w14:textId="77777777" w:rsidTr="00C12E63">
        <w:trPr>
          <w:trHeight w:val="770"/>
          <w:jc w:val="center"/>
        </w:trPr>
        <w:tc>
          <w:tcPr>
            <w:tcW w:w="4744" w:type="dxa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244061" w:themeFill="accent1" w:themeFillShade="80"/>
            <w:noWrap/>
            <w:vAlign w:val="center"/>
            <w:hideMark/>
          </w:tcPr>
          <w:p w14:paraId="3CB178A4" w14:textId="77777777" w:rsidR="00F815F2" w:rsidRPr="00966518" w:rsidRDefault="004177E1" w:rsidP="004177E1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szCs w:val="20"/>
              </w:rPr>
            </w:pPr>
            <w:r w:rsidRPr="00966518">
              <w:rPr>
                <w:rFonts w:eastAsia="Times New Roman" w:cs="Calibri"/>
                <w:color w:val="FFFFFF"/>
                <w:sz w:val="20"/>
                <w:szCs w:val="20"/>
              </w:rPr>
              <w:t>OST</w:t>
            </w:r>
            <w:r w:rsidR="00BF0E8B" w:rsidRPr="00966518">
              <w:rPr>
                <w:rFonts w:eastAsia="Times New Roman" w:cs="Calibri"/>
                <w:color w:val="FFFFFF"/>
                <w:sz w:val="20"/>
                <w:szCs w:val="20"/>
              </w:rPr>
              <w:t>/OT</w:t>
            </w:r>
            <w:r w:rsidR="00F815F2" w:rsidRPr="00966518">
              <w:rPr>
                <w:rFonts w:eastAsia="Times New Roman" w:cs="Calibri"/>
                <w:color w:val="FFFFFF"/>
                <w:sz w:val="20"/>
                <w:szCs w:val="20"/>
              </w:rPr>
              <w:t xml:space="preserve"> MAR</w:t>
            </w:r>
          </w:p>
        </w:tc>
        <w:tc>
          <w:tcPr>
            <w:tcW w:w="89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14:paraId="7F6E02CB" w14:textId="77777777" w:rsidR="00F815F2" w:rsidRPr="00966518" w:rsidRDefault="00F815F2" w:rsidP="0032746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0"/>
                <w:szCs w:val="20"/>
              </w:rPr>
            </w:pPr>
            <w:r w:rsidRPr="00966518">
              <w:rPr>
                <w:rFonts w:eastAsia="Times New Roman" w:cs="Calibri"/>
                <w:color w:val="FFFFFF"/>
                <w:sz w:val="20"/>
                <w:szCs w:val="20"/>
              </w:rPr>
              <w:t>Njësia</w:t>
            </w:r>
          </w:p>
        </w:tc>
        <w:tc>
          <w:tcPr>
            <w:tcW w:w="882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14:paraId="3A6E2713" w14:textId="77777777" w:rsidR="00F815F2" w:rsidRPr="00966518" w:rsidRDefault="00F815F2" w:rsidP="0032746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0"/>
                <w:szCs w:val="20"/>
              </w:rPr>
            </w:pPr>
          </w:p>
          <w:p w14:paraId="2EDDCB29" w14:textId="77777777" w:rsidR="00F815F2" w:rsidRPr="00966518" w:rsidRDefault="00F815F2" w:rsidP="0032746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0"/>
                <w:szCs w:val="20"/>
              </w:rPr>
            </w:pPr>
            <w:r w:rsidRPr="00966518">
              <w:rPr>
                <w:rFonts w:eastAsia="Times New Roman" w:cs="Calibri"/>
                <w:color w:val="FFFFFF"/>
                <w:sz w:val="20"/>
                <w:szCs w:val="20"/>
              </w:rPr>
              <w:t>E lejuar</w:t>
            </w:r>
          </w:p>
          <w:p w14:paraId="0DC7B3C5" w14:textId="14C9828B" w:rsidR="00F815F2" w:rsidRPr="00966518" w:rsidRDefault="00F815F2" w:rsidP="00542218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0"/>
                <w:szCs w:val="20"/>
              </w:rPr>
            </w:pPr>
            <w:r w:rsidRPr="00966518">
              <w:rPr>
                <w:rFonts w:eastAsia="Times New Roman" w:cs="Calibri"/>
                <w:color w:val="FFFFFF"/>
                <w:sz w:val="20"/>
                <w:szCs w:val="20"/>
              </w:rPr>
              <w:t>20</w:t>
            </w:r>
            <w:r w:rsidR="00C12E63">
              <w:rPr>
                <w:rFonts w:eastAsia="Times New Roman" w:cs="Calibri"/>
                <w:color w:val="FFFFFF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244061" w:themeFill="accent1" w:themeFillShade="80"/>
            <w:vAlign w:val="center"/>
            <w:hideMark/>
          </w:tcPr>
          <w:p w14:paraId="4148582B" w14:textId="77777777" w:rsidR="00F815F2" w:rsidRPr="00966518" w:rsidRDefault="00F815F2" w:rsidP="0032746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0"/>
                <w:szCs w:val="20"/>
              </w:rPr>
            </w:pPr>
            <w:r w:rsidRPr="00966518">
              <w:rPr>
                <w:rFonts w:eastAsia="Times New Roman" w:cs="Calibri"/>
                <w:color w:val="FFFFFF"/>
                <w:sz w:val="20"/>
                <w:szCs w:val="20"/>
              </w:rPr>
              <w:br/>
              <w:t>E realizuar</w:t>
            </w:r>
          </w:p>
          <w:p w14:paraId="0F6B4E07" w14:textId="5D2708AB" w:rsidR="00F815F2" w:rsidRPr="00966518" w:rsidRDefault="00F815F2" w:rsidP="00542218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0"/>
                <w:szCs w:val="20"/>
              </w:rPr>
            </w:pPr>
            <w:r w:rsidRPr="00966518">
              <w:rPr>
                <w:rFonts w:eastAsia="Times New Roman" w:cs="Calibri"/>
                <w:color w:val="FFFFFF"/>
                <w:sz w:val="20"/>
                <w:szCs w:val="20"/>
              </w:rPr>
              <w:t>20</w:t>
            </w:r>
            <w:r w:rsidR="00C12E63">
              <w:rPr>
                <w:rFonts w:eastAsia="Times New Roman" w:cs="Calibri"/>
                <w:color w:val="FFFFFF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244061" w:themeFill="accent1" w:themeFillShade="80"/>
          </w:tcPr>
          <w:p w14:paraId="229D254E" w14:textId="77777777" w:rsidR="00542218" w:rsidRPr="00966518" w:rsidRDefault="00542218" w:rsidP="0032746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0"/>
                <w:szCs w:val="20"/>
              </w:rPr>
            </w:pPr>
          </w:p>
          <w:p w14:paraId="01ACF51C" w14:textId="77777777" w:rsidR="00F815F2" w:rsidRPr="00966518" w:rsidRDefault="00F815F2" w:rsidP="0032746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0"/>
                <w:szCs w:val="20"/>
              </w:rPr>
            </w:pPr>
            <w:r w:rsidRPr="00966518">
              <w:rPr>
                <w:rFonts w:eastAsia="Times New Roman" w:cs="Calibri"/>
                <w:color w:val="FFFFFF"/>
                <w:sz w:val="20"/>
                <w:szCs w:val="20"/>
              </w:rPr>
              <w:t xml:space="preserve">E propozuar </w:t>
            </w:r>
          </w:p>
          <w:p w14:paraId="6343E97E" w14:textId="1F71B535" w:rsidR="00F815F2" w:rsidRPr="00966518" w:rsidRDefault="00F815F2" w:rsidP="00C12E63">
            <w:pPr>
              <w:spacing w:after="0" w:line="240" w:lineRule="auto"/>
              <w:ind w:hanging="97"/>
              <w:jc w:val="center"/>
              <w:rPr>
                <w:rFonts w:eastAsia="Times New Roman" w:cs="Calibri"/>
                <w:color w:val="FFFFFF"/>
                <w:sz w:val="20"/>
                <w:szCs w:val="20"/>
              </w:rPr>
            </w:pPr>
            <w:r w:rsidRPr="00966518">
              <w:rPr>
                <w:rFonts w:eastAsia="Times New Roman" w:cs="Calibri"/>
                <w:color w:val="FFFFFF"/>
                <w:sz w:val="20"/>
                <w:szCs w:val="20"/>
              </w:rPr>
              <w:t>20</w:t>
            </w:r>
            <w:r w:rsidR="00542218" w:rsidRPr="00966518">
              <w:rPr>
                <w:rFonts w:eastAsia="Times New Roman" w:cs="Calibri"/>
                <w:color w:val="FFFFFF"/>
                <w:sz w:val="20"/>
                <w:szCs w:val="20"/>
              </w:rPr>
              <w:t>2</w:t>
            </w:r>
            <w:r w:rsidR="00C12E63">
              <w:rPr>
                <w:rFonts w:eastAsia="Times New Roman" w:cs="Calibri"/>
                <w:color w:val="FFFFFF"/>
                <w:sz w:val="20"/>
                <w:szCs w:val="20"/>
              </w:rPr>
              <w:t>1</w:t>
            </w:r>
          </w:p>
        </w:tc>
      </w:tr>
      <w:tr w:rsidR="00F815F2" w:rsidRPr="00966518" w14:paraId="52A81A40" w14:textId="77777777" w:rsidTr="00C12E63">
        <w:trPr>
          <w:trHeight w:val="296"/>
          <w:jc w:val="center"/>
        </w:trPr>
        <w:tc>
          <w:tcPr>
            <w:tcW w:w="47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noWrap/>
            <w:vAlign w:val="center"/>
            <w:hideMark/>
          </w:tcPr>
          <w:p w14:paraId="19BB0210" w14:textId="77777777" w:rsidR="00F815F2" w:rsidRPr="00966518" w:rsidRDefault="00F815F2" w:rsidP="0032746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966518">
              <w:rPr>
                <w:rFonts w:eastAsia="Times New Roman" w:cs="Calibri"/>
                <w:b/>
                <w:bCs/>
                <w:sz w:val="20"/>
                <w:szCs w:val="20"/>
              </w:rPr>
              <w:t>Parametri i indeksimit</w:t>
            </w:r>
          </w:p>
        </w:tc>
        <w:tc>
          <w:tcPr>
            <w:tcW w:w="89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14:paraId="364ACCD8" w14:textId="77777777" w:rsidR="00F815F2" w:rsidRPr="00966518" w:rsidRDefault="00F815F2" w:rsidP="0032746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noWrap/>
            <w:vAlign w:val="center"/>
            <w:hideMark/>
          </w:tcPr>
          <w:p w14:paraId="6EA15AAD" w14:textId="77777777" w:rsidR="00F815F2" w:rsidRPr="00966518" w:rsidRDefault="00F815F2" w:rsidP="0032746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966518">
              <w:rPr>
                <w:rFonts w:eastAsia="Times New Roma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noWrap/>
            <w:vAlign w:val="center"/>
            <w:hideMark/>
          </w:tcPr>
          <w:p w14:paraId="3F208161" w14:textId="77777777" w:rsidR="00F815F2" w:rsidRPr="00966518" w:rsidRDefault="00F815F2" w:rsidP="0032746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966518">
              <w:rPr>
                <w:rFonts w:eastAsia="Times New Roma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14:paraId="5D103AAE" w14:textId="77777777" w:rsidR="00F815F2" w:rsidRPr="00966518" w:rsidRDefault="00F815F2" w:rsidP="0032746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</w:tr>
      <w:tr w:rsidR="00F815F2" w:rsidRPr="00966518" w14:paraId="21A2F896" w14:textId="77777777" w:rsidTr="00C12E63">
        <w:trPr>
          <w:trHeight w:val="296"/>
          <w:jc w:val="center"/>
        </w:trPr>
        <w:tc>
          <w:tcPr>
            <w:tcW w:w="47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14:paraId="1603D874" w14:textId="77777777" w:rsidR="00F815F2" w:rsidRPr="00966518" w:rsidRDefault="00F815F2" w:rsidP="00327460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966518">
              <w:rPr>
                <w:rFonts w:eastAsia="Times New Roman" w:cs="Calibri"/>
                <w:sz w:val="20"/>
                <w:szCs w:val="20"/>
              </w:rPr>
              <w:t>It</w:t>
            </w:r>
          </w:p>
        </w:tc>
        <w:tc>
          <w:tcPr>
            <w:tcW w:w="8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vAlign w:val="center"/>
          </w:tcPr>
          <w:p w14:paraId="2C938D65" w14:textId="77777777" w:rsidR="00F815F2" w:rsidRPr="00966518" w:rsidRDefault="00F815F2" w:rsidP="0032746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66518">
              <w:rPr>
                <w:rFonts w:eastAsia="Times New Roman" w:cs="Calibri"/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vAlign w:val="center"/>
            <w:hideMark/>
          </w:tcPr>
          <w:p w14:paraId="33A41876" w14:textId="77777777" w:rsidR="00F815F2" w:rsidRPr="00966518" w:rsidRDefault="00F815F2" w:rsidP="00327460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vAlign w:val="center"/>
            <w:hideMark/>
          </w:tcPr>
          <w:p w14:paraId="394B2642" w14:textId="533FCFEB" w:rsidR="00F815F2" w:rsidRPr="00966518" w:rsidRDefault="00542218" w:rsidP="00327460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966518">
              <w:rPr>
                <w:rFonts w:eastAsia="Times New Roman" w:cs="Calibri"/>
                <w:sz w:val="20"/>
                <w:szCs w:val="20"/>
              </w:rPr>
              <w:t>7.3</w:t>
            </w:r>
            <w:r w:rsidR="00F815F2" w:rsidRPr="00966518">
              <w:rPr>
                <w:rFonts w:eastAsia="Times New Roman" w:cs="Calibri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vAlign w:val="center"/>
          </w:tcPr>
          <w:p w14:paraId="13077F15" w14:textId="77777777" w:rsidR="00F815F2" w:rsidRPr="00966518" w:rsidRDefault="00F815F2" w:rsidP="00327460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F815F2" w:rsidRPr="00966518" w14:paraId="3511B984" w14:textId="77777777" w:rsidTr="00C12E63">
        <w:trPr>
          <w:trHeight w:val="346"/>
          <w:jc w:val="center"/>
        </w:trPr>
        <w:tc>
          <w:tcPr>
            <w:tcW w:w="47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noWrap/>
            <w:vAlign w:val="center"/>
            <w:hideMark/>
          </w:tcPr>
          <w:p w14:paraId="04274F90" w14:textId="77777777" w:rsidR="00F815F2" w:rsidRPr="00966518" w:rsidRDefault="00F815F2" w:rsidP="0032746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966518">
              <w:rPr>
                <w:rFonts w:eastAsia="Times New Roman" w:cs="Calibri"/>
                <w:b/>
                <w:bCs/>
                <w:sz w:val="20"/>
                <w:szCs w:val="20"/>
              </w:rPr>
              <w:t>Humbjet e lejuara  (</w:t>
            </w:r>
            <w:proofErr w:type="spellStart"/>
            <w:r w:rsidRPr="00966518">
              <w:rPr>
                <w:rFonts w:eastAsia="Times New Roman" w:cs="Calibri"/>
                <w:b/>
                <w:bCs/>
                <w:sz w:val="20"/>
                <w:szCs w:val="20"/>
              </w:rPr>
              <w:t>LSSCt</w:t>
            </w:r>
            <w:proofErr w:type="spellEnd"/>
            <w:r w:rsidRPr="00966518">
              <w:rPr>
                <w:rFonts w:eastAsia="Times New Roman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DBE5F1"/>
            <w:vAlign w:val="center"/>
          </w:tcPr>
          <w:p w14:paraId="7323FC36" w14:textId="77777777" w:rsidR="00F815F2" w:rsidRPr="00966518" w:rsidRDefault="00F815F2" w:rsidP="0032746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DBE5F1"/>
            <w:noWrap/>
            <w:vAlign w:val="center"/>
            <w:hideMark/>
          </w:tcPr>
          <w:p w14:paraId="468F8699" w14:textId="77777777" w:rsidR="00F815F2" w:rsidRPr="00966518" w:rsidRDefault="00F815F2" w:rsidP="0032746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966518">
              <w:rPr>
                <w:rFonts w:eastAsia="Times New Roma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DBE5F1"/>
            <w:noWrap/>
            <w:vAlign w:val="center"/>
            <w:hideMark/>
          </w:tcPr>
          <w:p w14:paraId="0B2B737A" w14:textId="77777777" w:rsidR="00F815F2" w:rsidRPr="00966518" w:rsidRDefault="00F815F2" w:rsidP="0032746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966518">
              <w:rPr>
                <w:rFonts w:eastAsia="Times New Roma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DBE5F1"/>
            <w:vAlign w:val="center"/>
          </w:tcPr>
          <w:p w14:paraId="1CF9C545" w14:textId="77777777" w:rsidR="00F815F2" w:rsidRPr="00966518" w:rsidRDefault="00F815F2" w:rsidP="0032746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</w:tr>
      <w:tr w:rsidR="00C12E63" w:rsidRPr="00966518" w14:paraId="0C92467A" w14:textId="77777777" w:rsidTr="00C12E63">
        <w:trPr>
          <w:trHeight w:val="296"/>
          <w:jc w:val="center"/>
        </w:trPr>
        <w:tc>
          <w:tcPr>
            <w:tcW w:w="474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6C171" w14:textId="77777777" w:rsidR="00C12E63" w:rsidRPr="00966518" w:rsidRDefault="00C12E63" w:rsidP="00C12E6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966518">
              <w:rPr>
                <w:rFonts w:eastAsia="Times New Roman" w:cs="Calibri"/>
                <w:sz w:val="20"/>
                <w:szCs w:val="20"/>
              </w:rPr>
              <w:t>LSSAt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7C047" w14:textId="77777777" w:rsidR="00C12E63" w:rsidRPr="00966518" w:rsidRDefault="00C12E63" w:rsidP="00C12E6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66518">
              <w:rPr>
                <w:rFonts w:eastAsia="Times New Roman" w:cs="Calibri"/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82E6B" w14:textId="30334414" w:rsidR="00C12E63" w:rsidRPr="00966518" w:rsidRDefault="00C12E63" w:rsidP="00C12E63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966518">
              <w:rPr>
                <w:rFonts w:eastAsia="Times New Roman" w:cs="Calibri"/>
                <w:sz w:val="20"/>
                <w:szCs w:val="20"/>
              </w:rPr>
              <w:t>1.78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9BBC7" w14:textId="77777777" w:rsidR="00C12E63" w:rsidRPr="00966518" w:rsidRDefault="00C12E63" w:rsidP="00C12E63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966518">
              <w:rPr>
                <w:rFonts w:eastAsia="Times New Roman" w:cs="Calibri"/>
                <w:sz w:val="20"/>
                <w:szCs w:val="20"/>
              </w:rPr>
              <w:t>1.78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59358" w14:textId="0E0E9CA9" w:rsidR="00C12E63" w:rsidRPr="00966518" w:rsidRDefault="006C5C51" w:rsidP="00C12E63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1.78</w:t>
            </w:r>
          </w:p>
        </w:tc>
      </w:tr>
      <w:tr w:rsidR="00C12E63" w:rsidRPr="00966518" w14:paraId="4C872531" w14:textId="77777777" w:rsidTr="00C12E63">
        <w:trPr>
          <w:trHeight w:val="296"/>
          <w:jc w:val="center"/>
        </w:trPr>
        <w:tc>
          <w:tcPr>
            <w:tcW w:w="4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66FF0" w14:textId="77777777" w:rsidR="00C12E63" w:rsidRPr="00966518" w:rsidRDefault="00C12E63" w:rsidP="00C12E6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966518">
              <w:rPr>
                <w:rFonts w:eastAsia="Times New Roman" w:cs="Calibri"/>
                <w:sz w:val="20"/>
                <w:szCs w:val="20"/>
              </w:rPr>
              <w:t>REUEt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13E2E" w14:textId="77777777" w:rsidR="00C12E63" w:rsidRPr="00966518" w:rsidRDefault="00C12E63" w:rsidP="00C12E6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966518">
              <w:rPr>
                <w:rFonts w:eastAsia="Times New Roman" w:cs="Calibri"/>
                <w:sz w:val="20"/>
                <w:szCs w:val="20"/>
              </w:rPr>
              <w:t>GWh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B2514" w14:textId="383DADD1" w:rsidR="00C12E63" w:rsidRPr="00966518" w:rsidRDefault="00C12E63" w:rsidP="00C12E63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966518">
              <w:rPr>
                <w:rFonts w:eastAsia="Times New Roman" w:cs="Calibri"/>
                <w:sz w:val="20"/>
                <w:szCs w:val="20"/>
              </w:rPr>
              <w:t>6,238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A5D37" w14:textId="402B8137" w:rsidR="00C12E63" w:rsidRPr="00966518" w:rsidRDefault="00C12E63" w:rsidP="00C12E63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966518">
              <w:rPr>
                <w:rFonts w:eastAsia="Times New Roman" w:cs="Calibri"/>
                <w:sz w:val="20"/>
                <w:szCs w:val="20"/>
              </w:rPr>
              <w:t>6,</w:t>
            </w:r>
            <w:r>
              <w:rPr>
                <w:rFonts w:eastAsia="Times New Roman" w:cs="Calibri"/>
                <w:sz w:val="20"/>
                <w:szCs w:val="20"/>
              </w:rPr>
              <w:t>205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6BE80" w14:textId="585A4DCF" w:rsidR="00C12E63" w:rsidRPr="00966518" w:rsidRDefault="000864DD" w:rsidP="00C12E63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6,645</w:t>
            </w:r>
          </w:p>
        </w:tc>
      </w:tr>
      <w:tr w:rsidR="00C12E63" w:rsidRPr="00966518" w14:paraId="522EAE55" w14:textId="77777777" w:rsidTr="00C12E63">
        <w:trPr>
          <w:trHeight w:val="296"/>
          <w:jc w:val="center"/>
        </w:trPr>
        <w:tc>
          <w:tcPr>
            <w:tcW w:w="4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AA9D4" w14:textId="77777777" w:rsidR="00C12E63" w:rsidRPr="00966518" w:rsidRDefault="00C12E63" w:rsidP="00C12E63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966518">
              <w:rPr>
                <w:rFonts w:eastAsia="Times New Roman" w:cs="Calibri"/>
                <w:sz w:val="20"/>
                <w:szCs w:val="20"/>
              </w:rPr>
              <w:t>WHEAt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32D5" w14:textId="77777777" w:rsidR="00C12E63" w:rsidRPr="00966518" w:rsidRDefault="00C12E63" w:rsidP="00C12E6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66518">
              <w:rPr>
                <w:rFonts w:eastAsia="Times New Roman" w:cs="Calibri"/>
                <w:sz w:val="20"/>
                <w:szCs w:val="20"/>
              </w:rPr>
              <w:t>€/</w:t>
            </w:r>
            <w:proofErr w:type="spellStart"/>
            <w:r w:rsidRPr="00966518">
              <w:rPr>
                <w:rFonts w:eastAsia="Times New Roman" w:cs="Calibri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5094B" w14:textId="4B8A12B6" w:rsidR="00C12E63" w:rsidRPr="00966518" w:rsidRDefault="00C12E63" w:rsidP="00C12E63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966518">
              <w:rPr>
                <w:rFonts w:eastAsia="Times New Roman" w:cs="Calibri"/>
                <w:sz w:val="20"/>
                <w:szCs w:val="20"/>
              </w:rPr>
              <w:t>46.46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25C02" w14:textId="6CFCB5C4" w:rsidR="00C12E63" w:rsidRPr="00966518" w:rsidRDefault="00C12E63" w:rsidP="00C12E63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41.54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0A9CB" w14:textId="5C7D2EC9" w:rsidR="00C12E63" w:rsidRPr="00966518" w:rsidRDefault="000864DD" w:rsidP="00C12E63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46.16</w:t>
            </w:r>
          </w:p>
        </w:tc>
      </w:tr>
      <w:tr w:rsidR="00C12E63" w:rsidRPr="00966518" w14:paraId="4EF7189E" w14:textId="77777777" w:rsidTr="00C12E63">
        <w:trPr>
          <w:trHeight w:val="296"/>
          <w:jc w:val="center"/>
        </w:trPr>
        <w:tc>
          <w:tcPr>
            <w:tcW w:w="4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2C7B2" w14:textId="77777777" w:rsidR="00C12E63" w:rsidRPr="00966518" w:rsidRDefault="00C12E63" w:rsidP="00C12E6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66518">
              <w:rPr>
                <w:rFonts w:eastAsia="Times New Roman" w:cs="Calibri"/>
                <w:color w:val="000000"/>
                <w:sz w:val="20"/>
                <w:szCs w:val="20"/>
              </w:rPr>
              <w:t>Humbjet në OST me ngarkesën e veriut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3E92F" w14:textId="77777777" w:rsidR="00C12E63" w:rsidRPr="00966518" w:rsidRDefault="00C12E63" w:rsidP="00C12E6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966518">
              <w:rPr>
                <w:rFonts w:eastAsia="Times New Roman" w:cs="Calibri"/>
                <w:sz w:val="20"/>
                <w:szCs w:val="20"/>
              </w:rPr>
              <w:t>GWh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56AAB" w14:textId="77777777" w:rsidR="00C12E63" w:rsidRPr="00966518" w:rsidRDefault="00C12E63" w:rsidP="00C12E63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9FD9B" w14:textId="10F5DC85" w:rsidR="00C12E63" w:rsidRPr="00966518" w:rsidRDefault="006C5C51" w:rsidP="00C12E63">
            <w:pPr>
              <w:spacing w:after="0" w:line="240" w:lineRule="auto"/>
              <w:jc w:val="right"/>
              <w:rPr>
                <w:rFonts w:eastAsia="Times New Roman" w:cs="Calibri"/>
                <w:bCs/>
                <w:sz w:val="20"/>
                <w:szCs w:val="20"/>
              </w:rPr>
            </w:pPr>
            <w:r>
              <w:rPr>
                <w:rFonts w:eastAsia="Times New Roman" w:cs="Calibri"/>
                <w:bCs/>
                <w:sz w:val="20"/>
                <w:szCs w:val="20"/>
              </w:rPr>
              <w:t>107.3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31B31" w14:textId="171CFD83" w:rsidR="00C12E63" w:rsidRPr="000864DD" w:rsidRDefault="000864DD" w:rsidP="000864D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0864DD">
              <w:rPr>
                <w:rFonts w:eastAsia="Times New Roman" w:cs="Calibri"/>
                <w:sz w:val="20"/>
                <w:szCs w:val="20"/>
              </w:rPr>
              <w:t>118.3</w:t>
            </w:r>
          </w:p>
        </w:tc>
      </w:tr>
      <w:tr w:rsidR="00C12E63" w:rsidRPr="00966518" w14:paraId="74E7D9E3" w14:textId="77777777" w:rsidTr="00C12E63">
        <w:trPr>
          <w:trHeight w:val="284"/>
          <w:jc w:val="center"/>
        </w:trPr>
        <w:tc>
          <w:tcPr>
            <w:tcW w:w="4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83BDD" w14:textId="77777777" w:rsidR="00C12E63" w:rsidRPr="00966518" w:rsidRDefault="00C12E63" w:rsidP="00C12E6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66518">
              <w:rPr>
                <w:rFonts w:eastAsia="Times New Roman" w:cs="Calibri"/>
                <w:color w:val="000000"/>
                <w:sz w:val="20"/>
                <w:szCs w:val="20"/>
              </w:rPr>
              <w:t>Humbjet e përshtatura për shkak të ngarkesës në veri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D7EA7" w14:textId="77777777" w:rsidR="00C12E63" w:rsidRPr="000864DD" w:rsidRDefault="00C12E63" w:rsidP="00C12E6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0864DD">
              <w:rPr>
                <w:rFonts w:eastAsia="Times New Roman" w:cs="Calibri"/>
                <w:sz w:val="20"/>
                <w:szCs w:val="20"/>
              </w:rPr>
              <w:t>GWh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09FC4" w14:textId="0AFCBC78" w:rsidR="00C12E63" w:rsidRPr="000864DD" w:rsidRDefault="00C12E63" w:rsidP="00C12E63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DE68B" w14:textId="77777777" w:rsidR="00C12E63" w:rsidRPr="000864DD" w:rsidRDefault="00C12E63" w:rsidP="00C12E63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0864DD">
              <w:rPr>
                <w:rFonts w:eastAsia="Times New Roman" w:cs="Calibri"/>
                <w:sz w:val="20"/>
                <w:szCs w:val="20"/>
              </w:rPr>
              <w:t>5.3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208C8" w14:textId="40A23781" w:rsidR="00C12E63" w:rsidRPr="000864DD" w:rsidRDefault="000864DD" w:rsidP="000864D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0864DD">
              <w:rPr>
                <w:rFonts w:eastAsia="Times New Roman" w:cs="Calibri"/>
                <w:sz w:val="20"/>
                <w:szCs w:val="20"/>
              </w:rPr>
              <w:t>5.7</w:t>
            </w:r>
          </w:p>
        </w:tc>
      </w:tr>
      <w:tr w:rsidR="00C12E63" w:rsidRPr="00966518" w14:paraId="72DA16EF" w14:textId="77777777" w:rsidTr="00C12E63">
        <w:trPr>
          <w:trHeight w:val="296"/>
          <w:jc w:val="center"/>
        </w:trPr>
        <w:tc>
          <w:tcPr>
            <w:tcW w:w="4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ED59E" w14:textId="77777777" w:rsidR="00C12E63" w:rsidRPr="00966518" w:rsidRDefault="00C12E63" w:rsidP="00C12E6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66518">
              <w:rPr>
                <w:rFonts w:eastAsia="Times New Roman" w:cs="Calibri"/>
                <w:color w:val="000000"/>
                <w:sz w:val="20"/>
                <w:szCs w:val="20"/>
              </w:rPr>
              <w:t xml:space="preserve">Humbjet e lejuara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60DDA" w14:textId="77777777" w:rsidR="00C12E63" w:rsidRPr="000864DD" w:rsidRDefault="00C12E63" w:rsidP="00C12E6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0864DD">
              <w:rPr>
                <w:rFonts w:eastAsia="Times New Roman" w:cs="Calibri"/>
                <w:sz w:val="20"/>
                <w:szCs w:val="20"/>
              </w:rPr>
              <w:t>GWh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E3CFC" w14:textId="018F0629" w:rsidR="00C12E63" w:rsidRPr="000864DD" w:rsidRDefault="006C5C51" w:rsidP="00C12E63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0864DD">
              <w:rPr>
                <w:rFonts w:eastAsia="Times New Roman" w:cs="Calibri"/>
                <w:sz w:val="20"/>
                <w:szCs w:val="20"/>
              </w:rPr>
              <w:t>102.7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672C1" w14:textId="35205BFE" w:rsidR="00C12E63" w:rsidRPr="000864DD" w:rsidRDefault="00C12E63" w:rsidP="00C12E63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0864DD">
              <w:rPr>
                <w:rFonts w:eastAsia="Times New Roman" w:cs="Calibri"/>
                <w:sz w:val="20"/>
                <w:szCs w:val="20"/>
              </w:rPr>
              <w:t>10</w:t>
            </w:r>
            <w:r w:rsidR="006C5C51" w:rsidRPr="000864DD">
              <w:rPr>
                <w:rFonts w:eastAsia="Times New Roman" w:cs="Calibri"/>
                <w:sz w:val="20"/>
                <w:szCs w:val="20"/>
              </w:rPr>
              <w:t>1.4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D1C79" w14:textId="64B8D17B" w:rsidR="00C12E63" w:rsidRPr="000864DD" w:rsidRDefault="000864DD" w:rsidP="000864D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0864DD">
              <w:rPr>
                <w:rFonts w:eastAsia="Times New Roman" w:cs="Calibri"/>
                <w:sz w:val="20"/>
                <w:szCs w:val="20"/>
              </w:rPr>
              <w:t>1</w:t>
            </w:r>
            <w:r>
              <w:rPr>
                <w:rFonts w:eastAsia="Times New Roman" w:cs="Calibri"/>
                <w:sz w:val="20"/>
                <w:szCs w:val="20"/>
              </w:rPr>
              <w:t>12</w:t>
            </w:r>
            <w:r w:rsidRPr="000864DD">
              <w:rPr>
                <w:rFonts w:eastAsia="Times New Roman" w:cs="Calibri"/>
                <w:sz w:val="20"/>
                <w:szCs w:val="20"/>
              </w:rPr>
              <w:t>.9</w:t>
            </w:r>
          </w:p>
        </w:tc>
      </w:tr>
      <w:tr w:rsidR="00C12E63" w:rsidRPr="00966518" w14:paraId="39D97FA8" w14:textId="77777777" w:rsidTr="00C12E63">
        <w:trPr>
          <w:trHeight w:val="296"/>
          <w:jc w:val="center"/>
        </w:trPr>
        <w:tc>
          <w:tcPr>
            <w:tcW w:w="4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ECBE1" w14:textId="77777777" w:rsidR="00C12E63" w:rsidRPr="00966518" w:rsidRDefault="00C12E63" w:rsidP="00C12E6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66518">
              <w:rPr>
                <w:rFonts w:eastAsia="Times New Roman" w:cs="Calibri"/>
                <w:color w:val="000000"/>
                <w:sz w:val="20"/>
                <w:szCs w:val="20"/>
              </w:rPr>
              <w:t>LSSCat-1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056B8" w14:textId="77777777" w:rsidR="00C12E63" w:rsidRPr="00966518" w:rsidRDefault="00C12E63" w:rsidP="00C12E6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66518">
              <w:rPr>
                <w:rFonts w:eastAsia="Times New Roman" w:cs="Calibri"/>
                <w:sz w:val="20"/>
                <w:szCs w:val="20"/>
              </w:rPr>
              <w:t xml:space="preserve"> mil €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BC4D4" w14:textId="77777777" w:rsidR="00C12E63" w:rsidRPr="00966518" w:rsidRDefault="00C12E63" w:rsidP="00C12E63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B001D" w14:textId="05D7CDC5" w:rsidR="00C12E63" w:rsidRPr="00966518" w:rsidRDefault="00C12E63" w:rsidP="00C12E63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966518">
              <w:rPr>
                <w:rFonts w:eastAsia="Times New Roman" w:cs="Calibri"/>
                <w:b/>
                <w:bCs/>
                <w:sz w:val="20"/>
                <w:szCs w:val="20"/>
              </w:rPr>
              <w:t>4.3</w:t>
            </w:r>
            <w:r w:rsidR="006C5C51">
              <w:rPr>
                <w:rFonts w:eastAsia="Times New Roman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01F32" w14:textId="77777777" w:rsidR="00C12E63" w:rsidRPr="00966518" w:rsidRDefault="00C12E63" w:rsidP="00C12E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</w:tr>
      <w:tr w:rsidR="00C12E63" w:rsidRPr="00966518" w14:paraId="76F3030A" w14:textId="77777777" w:rsidTr="00C12E63">
        <w:trPr>
          <w:trHeight w:val="296"/>
          <w:jc w:val="center"/>
        </w:trPr>
        <w:tc>
          <w:tcPr>
            <w:tcW w:w="474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3163D" w14:textId="77777777" w:rsidR="00C12E63" w:rsidRPr="00966518" w:rsidRDefault="00C12E63" w:rsidP="00C12E6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66518">
              <w:rPr>
                <w:rFonts w:eastAsia="Times New Roman" w:cs="Calibri"/>
                <w:color w:val="000000"/>
                <w:sz w:val="20"/>
                <w:szCs w:val="20"/>
              </w:rPr>
              <w:t>LSSCft-1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90391" w14:textId="77777777" w:rsidR="00C12E63" w:rsidRPr="00966518" w:rsidRDefault="00C12E63" w:rsidP="00C12E6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66518">
              <w:rPr>
                <w:rFonts w:eastAsia="Times New Roman" w:cs="Calibri"/>
                <w:sz w:val="20"/>
                <w:szCs w:val="20"/>
              </w:rPr>
              <w:t xml:space="preserve"> mil €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AB09D" w14:textId="7C6B0A3A" w:rsidR="00C12E63" w:rsidRPr="00966518" w:rsidRDefault="00C12E63" w:rsidP="00C12E63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966518">
              <w:rPr>
                <w:rFonts w:eastAsia="Times New Roman" w:cs="Calibri"/>
                <w:b/>
                <w:sz w:val="20"/>
                <w:szCs w:val="20"/>
              </w:rPr>
              <w:t>5.16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62FD4" w14:textId="77777777" w:rsidR="00C12E63" w:rsidRPr="00966518" w:rsidRDefault="00C12E63" w:rsidP="00C12E63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5CC15" w14:textId="628A0CFB" w:rsidR="00C12E63" w:rsidRPr="00966518" w:rsidRDefault="000864DD" w:rsidP="00C12E63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5.19</w:t>
            </w:r>
          </w:p>
        </w:tc>
      </w:tr>
      <w:tr w:rsidR="00C12E63" w:rsidRPr="001471C5" w14:paraId="78CD849C" w14:textId="77777777" w:rsidTr="00C12E63">
        <w:trPr>
          <w:trHeight w:val="296"/>
          <w:jc w:val="center"/>
        </w:trPr>
        <w:tc>
          <w:tcPr>
            <w:tcW w:w="47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14:paraId="63C8866D" w14:textId="77777777" w:rsidR="00C12E63" w:rsidRPr="00966518" w:rsidRDefault="00C12E63" w:rsidP="00C12E63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966518">
              <w:rPr>
                <w:rFonts w:eastAsia="Times New Roman" w:cs="Calibri"/>
                <w:b/>
                <w:bCs/>
                <w:sz w:val="20"/>
                <w:szCs w:val="20"/>
              </w:rPr>
              <w:t>Kostot e përshtatura</w:t>
            </w:r>
            <w:r w:rsidRPr="00966518">
              <w:rPr>
                <w:rStyle w:val="FootnoteReference"/>
                <w:rFonts w:eastAsia="Times New Roman" w:cs="Calibri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ED9DDBD" w14:textId="77777777" w:rsidR="00C12E63" w:rsidRPr="00966518" w:rsidRDefault="00C12E63" w:rsidP="00C12E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966518">
              <w:rPr>
                <w:rFonts w:eastAsia="Times New Roman" w:cs="Calibri"/>
                <w:sz w:val="20"/>
                <w:szCs w:val="20"/>
              </w:rPr>
              <w:t xml:space="preserve"> mil €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14:paraId="271C62D8" w14:textId="77777777" w:rsidR="00C12E63" w:rsidRPr="00966518" w:rsidRDefault="00C12E63" w:rsidP="00C12E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14:paraId="0708C161" w14:textId="497FD4AB" w:rsidR="00C12E63" w:rsidRPr="001471C5" w:rsidRDefault="00C12E63" w:rsidP="00C12E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966518">
              <w:rPr>
                <w:rFonts w:eastAsia="Times New Roman" w:cs="Calibri"/>
                <w:b/>
                <w:bCs/>
                <w:sz w:val="20"/>
                <w:szCs w:val="20"/>
              </w:rPr>
              <w:t>-</w:t>
            </w:r>
            <w:r w:rsidR="006C5C51">
              <w:rPr>
                <w:rFonts w:eastAsia="Times New Roman" w:cs="Calibri"/>
                <w:b/>
                <w:bCs/>
                <w:sz w:val="20"/>
                <w:szCs w:val="20"/>
              </w:rPr>
              <w:t>0.88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5EF4F99" w14:textId="77777777" w:rsidR="00C12E63" w:rsidRPr="001471C5" w:rsidRDefault="00C12E63" w:rsidP="00C12E6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</w:tr>
    </w:tbl>
    <w:p w14:paraId="7F654164" w14:textId="77777777" w:rsidR="003E7F26" w:rsidRPr="001471C5" w:rsidRDefault="003E7F26" w:rsidP="003E7F26">
      <w:pPr>
        <w:jc w:val="both"/>
      </w:pPr>
    </w:p>
    <w:p w14:paraId="6A8A88BF" w14:textId="57C4A22D" w:rsidR="003E7F26" w:rsidRPr="001471C5" w:rsidRDefault="003E7F26" w:rsidP="003E7F26">
      <w:pPr>
        <w:jc w:val="both"/>
      </w:pPr>
      <w:r w:rsidRPr="001471C5">
        <w:t>Po ashtu janë përshtatur kostot e humbjeve të vitit 20</w:t>
      </w:r>
      <w:r w:rsidR="00351F63">
        <w:t>2</w:t>
      </w:r>
      <w:r w:rsidR="00045C69">
        <w:t>0</w:t>
      </w:r>
      <w:r w:rsidRPr="001471C5">
        <w:t xml:space="preserve"> ngjashëm sikurse ato të vitit 20</w:t>
      </w:r>
      <w:r w:rsidR="00045C69">
        <w:t>19</w:t>
      </w:r>
      <w:r w:rsidRPr="001471C5">
        <w:t xml:space="preserve"> që ndërlidhen me </w:t>
      </w:r>
      <w:r w:rsidR="001471C5" w:rsidRPr="001471C5">
        <w:t>ngarkesën</w:t>
      </w:r>
      <w:r w:rsidRPr="001471C5">
        <w:t xml:space="preserve"> e veriut. Vlera e energjisë së </w:t>
      </w:r>
      <w:r w:rsidR="001471C5">
        <w:t>përshtatur</w:t>
      </w:r>
      <w:r w:rsidRPr="001471C5">
        <w:t xml:space="preserve"> me këtë ngarkesë </w:t>
      </w:r>
      <w:r w:rsidR="001471C5">
        <w:t>ësht</w:t>
      </w:r>
      <w:r w:rsidR="00C03DC7">
        <w:t xml:space="preserve">ë </w:t>
      </w:r>
      <w:r w:rsidRPr="00C03DC7">
        <w:t>5</w:t>
      </w:r>
      <w:r w:rsidR="00C03DC7">
        <w:t xml:space="preserve">.3 </w:t>
      </w:r>
      <w:proofErr w:type="spellStart"/>
      <w:r w:rsidRPr="00C03DC7">
        <w:t>GWh</w:t>
      </w:r>
      <w:proofErr w:type="spellEnd"/>
      <w:r w:rsidRPr="00C03DC7">
        <w:t>.</w:t>
      </w:r>
      <w:r w:rsidRPr="001471C5">
        <w:t xml:space="preserve"> </w:t>
      </w:r>
    </w:p>
    <w:p w14:paraId="296CB7BB" w14:textId="77777777" w:rsidR="00F815F2" w:rsidRPr="001471C5" w:rsidRDefault="00F815F2" w:rsidP="00F815F2">
      <w:pPr>
        <w:pStyle w:val="Equation"/>
        <w:keepLines/>
        <w:ind w:left="2410" w:hanging="992"/>
        <w:rPr>
          <w:lang w:val="sq-AL"/>
        </w:rPr>
      </w:pPr>
      <w:r w:rsidRPr="001471C5">
        <w:rPr>
          <w:lang w:val="sq-AL"/>
        </w:rPr>
        <w:t>Ku :</w:t>
      </w:r>
      <w:r w:rsidRPr="001471C5">
        <w:rPr>
          <w:lang w:val="sq-AL"/>
        </w:rPr>
        <w:tab/>
      </w:r>
    </w:p>
    <w:p w14:paraId="4AD13C47" w14:textId="77777777" w:rsidR="00F815F2" w:rsidRPr="001471C5" w:rsidRDefault="00F815F2" w:rsidP="00F815F2">
      <w:pPr>
        <w:pStyle w:val="Equation"/>
        <w:ind w:left="2873" w:hanging="1455"/>
        <w:rPr>
          <w:lang w:val="sq-AL"/>
        </w:rPr>
      </w:pPr>
      <w:proofErr w:type="spellStart"/>
      <w:r w:rsidRPr="001471C5">
        <w:rPr>
          <w:lang w:val="sq-AL"/>
        </w:rPr>
        <w:t>LSSA</w:t>
      </w:r>
      <w:r w:rsidRPr="001471C5">
        <w:rPr>
          <w:vertAlign w:val="subscript"/>
          <w:lang w:val="sq-AL"/>
        </w:rPr>
        <w:t>t</w:t>
      </w:r>
      <w:proofErr w:type="spellEnd"/>
      <w:r w:rsidRPr="001471C5">
        <w:rPr>
          <w:lang w:val="sq-AL"/>
        </w:rPr>
        <w:tab/>
      </w:r>
      <w:r w:rsidRPr="001471C5">
        <w:rPr>
          <w:lang w:val="sq-AL"/>
        </w:rPr>
        <w:tab/>
        <w:t xml:space="preserve">janë humbjet e lejuara, që janë paraqitur si përqindje e energjisë që hyn në sistemin e shpërndarjes në vitin relevant t </w:t>
      </w:r>
    </w:p>
    <w:p w14:paraId="5802443C" w14:textId="77777777" w:rsidR="00F815F2" w:rsidRPr="001471C5" w:rsidRDefault="00F815F2" w:rsidP="00F815F2">
      <w:pPr>
        <w:pStyle w:val="Equation"/>
        <w:ind w:left="2873" w:hanging="1455"/>
        <w:jc w:val="both"/>
        <w:rPr>
          <w:lang w:val="sq-AL"/>
        </w:rPr>
      </w:pPr>
      <w:proofErr w:type="spellStart"/>
      <w:r w:rsidRPr="001471C5">
        <w:rPr>
          <w:lang w:val="sq-AL"/>
        </w:rPr>
        <w:lastRenderedPageBreak/>
        <w:t>REUE</w:t>
      </w:r>
      <w:r w:rsidRPr="001471C5">
        <w:rPr>
          <w:vertAlign w:val="subscript"/>
          <w:lang w:val="sq-AL"/>
        </w:rPr>
        <w:t>t</w:t>
      </w:r>
      <w:proofErr w:type="spellEnd"/>
      <w:r w:rsidRPr="001471C5">
        <w:rPr>
          <w:lang w:val="sq-AL"/>
        </w:rPr>
        <w:tab/>
        <w:t>janë njësitë e energjisë (</w:t>
      </w:r>
      <w:proofErr w:type="spellStart"/>
      <w:r w:rsidR="00D93C26" w:rsidRPr="001471C5">
        <w:rPr>
          <w:lang w:val="sq-AL"/>
        </w:rPr>
        <w:t>MWh</w:t>
      </w:r>
      <w:proofErr w:type="spellEnd"/>
      <w:r w:rsidRPr="001471C5">
        <w:rPr>
          <w:lang w:val="sq-AL"/>
        </w:rPr>
        <w:t>) apo (</w:t>
      </w:r>
      <w:proofErr w:type="spellStart"/>
      <w:r w:rsidR="00D93C26" w:rsidRPr="001471C5">
        <w:rPr>
          <w:lang w:val="sq-AL"/>
        </w:rPr>
        <w:t>GWh</w:t>
      </w:r>
      <w:proofErr w:type="spellEnd"/>
      <w:r w:rsidRPr="001471C5">
        <w:rPr>
          <w:lang w:val="sq-AL"/>
        </w:rPr>
        <w:t xml:space="preserve">) që hyjnë në sistemin e shpërndarjes në vitin relevant t </w:t>
      </w:r>
    </w:p>
    <w:p w14:paraId="6A00A6D5" w14:textId="77777777" w:rsidR="00F815F2" w:rsidRPr="001471C5" w:rsidRDefault="001454F3" w:rsidP="00F815F2">
      <w:pPr>
        <w:pStyle w:val="Equation"/>
        <w:ind w:left="2873" w:hanging="1455"/>
        <w:jc w:val="both"/>
        <w:rPr>
          <w:lang w:val="sq-AL"/>
        </w:rPr>
      </w:pPr>
      <w:proofErr w:type="spellStart"/>
      <w:r w:rsidRPr="001471C5">
        <w:rPr>
          <w:lang w:val="sq-AL"/>
        </w:rPr>
        <w:t>W</w:t>
      </w:r>
      <w:r w:rsidR="00F815F2" w:rsidRPr="001471C5">
        <w:rPr>
          <w:lang w:val="sq-AL"/>
        </w:rPr>
        <w:t>HEA</w:t>
      </w:r>
      <w:r w:rsidR="00F815F2" w:rsidRPr="001471C5">
        <w:rPr>
          <w:vertAlign w:val="subscript"/>
          <w:lang w:val="sq-AL"/>
        </w:rPr>
        <w:t>t</w:t>
      </w:r>
      <w:proofErr w:type="spellEnd"/>
      <w:r w:rsidR="00F815F2" w:rsidRPr="001471C5">
        <w:rPr>
          <w:lang w:val="sq-AL"/>
        </w:rPr>
        <w:tab/>
        <w:t>është mesatarja e kostos me shumicë të energjisë (€/</w:t>
      </w:r>
      <w:proofErr w:type="spellStart"/>
      <w:r w:rsidR="00D93C26" w:rsidRPr="001471C5">
        <w:rPr>
          <w:lang w:val="sq-AL"/>
        </w:rPr>
        <w:t>MWh</w:t>
      </w:r>
      <w:proofErr w:type="spellEnd"/>
      <w:r w:rsidR="00F815F2" w:rsidRPr="001471C5">
        <w:rPr>
          <w:lang w:val="sq-AL"/>
        </w:rPr>
        <w:t xml:space="preserve">) në vitin relevant t </w:t>
      </w:r>
    </w:p>
    <w:p w14:paraId="360D2EF1" w14:textId="77777777" w:rsidR="00F815F2" w:rsidRPr="001471C5" w:rsidRDefault="00F815F2" w:rsidP="00F815F2">
      <w:pPr>
        <w:pStyle w:val="Equation"/>
        <w:ind w:left="2873" w:hanging="1455"/>
        <w:jc w:val="both"/>
        <w:rPr>
          <w:lang w:val="sq-AL"/>
        </w:rPr>
      </w:pPr>
      <w:r w:rsidRPr="001471C5">
        <w:rPr>
          <w:lang w:val="sq-AL"/>
        </w:rPr>
        <w:t>LSSCa</w:t>
      </w:r>
      <w:r w:rsidRPr="001471C5">
        <w:rPr>
          <w:vertAlign w:val="subscript"/>
          <w:lang w:val="sq-AL"/>
        </w:rPr>
        <w:t>t-1</w:t>
      </w:r>
      <w:r w:rsidRPr="001471C5">
        <w:rPr>
          <w:vertAlign w:val="subscript"/>
          <w:lang w:val="sq-AL"/>
        </w:rPr>
        <w:tab/>
      </w:r>
      <w:r w:rsidRPr="001471C5">
        <w:rPr>
          <w:lang w:val="sq-AL"/>
        </w:rPr>
        <w:t xml:space="preserve">është kostoja e realizuar e humbjeve të lejuara në vitin relevant t‐1, (llogaritur duke përdorur humbjet e lejuara) </w:t>
      </w:r>
    </w:p>
    <w:p w14:paraId="32CEAD2B" w14:textId="77777777" w:rsidR="00F815F2" w:rsidRPr="001471C5" w:rsidRDefault="00F815F2" w:rsidP="00F815F2">
      <w:pPr>
        <w:pStyle w:val="Equation"/>
        <w:ind w:left="2873" w:hanging="1455"/>
        <w:jc w:val="both"/>
        <w:rPr>
          <w:lang w:val="sq-AL"/>
        </w:rPr>
      </w:pPr>
      <w:r w:rsidRPr="001471C5">
        <w:rPr>
          <w:lang w:val="sq-AL"/>
        </w:rPr>
        <w:t>LSSCf</w:t>
      </w:r>
      <w:r w:rsidRPr="001471C5">
        <w:rPr>
          <w:vertAlign w:val="subscript"/>
          <w:lang w:val="sq-AL"/>
        </w:rPr>
        <w:t>t-1</w:t>
      </w:r>
      <w:r w:rsidRPr="001471C5">
        <w:rPr>
          <w:vertAlign w:val="subscript"/>
          <w:lang w:val="sq-AL"/>
        </w:rPr>
        <w:tab/>
      </w:r>
      <w:r w:rsidRPr="001471C5">
        <w:rPr>
          <w:lang w:val="sq-AL"/>
        </w:rPr>
        <w:t xml:space="preserve">është kostoja e parashikuar e humbjeve në vitin relevant t‐1, (llogaritur duke përdorur humbjet e lejuara) </w:t>
      </w:r>
    </w:p>
    <w:p w14:paraId="3DD60763" w14:textId="77777777" w:rsidR="00F815F2" w:rsidRPr="001471C5" w:rsidRDefault="00F815F2" w:rsidP="00F815F2">
      <w:pPr>
        <w:pStyle w:val="Equation"/>
        <w:ind w:left="2873" w:hanging="1455"/>
        <w:jc w:val="both"/>
        <w:rPr>
          <w:lang w:val="sq-AL"/>
        </w:rPr>
      </w:pPr>
      <w:r w:rsidRPr="001471C5">
        <w:rPr>
          <w:lang w:val="sq-AL"/>
        </w:rPr>
        <w:t>I</w:t>
      </w:r>
      <w:r w:rsidRPr="001471C5">
        <w:rPr>
          <w:vertAlign w:val="subscript"/>
          <w:lang w:val="sq-AL"/>
        </w:rPr>
        <w:t>t</w:t>
      </w:r>
      <w:r w:rsidRPr="001471C5">
        <w:rPr>
          <w:lang w:val="sq-AL"/>
        </w:rPr>
        <w:tab/>
        <w:t xml:space="preserve">është norma e interesit për vitin relevant t, që llogaritet bazuar në EURIBOR plus S%, ku S paraqet vlerën që do përcaktohet nga Rregullatori gjatë shqyrtimeve periodike që reflekton preminë e pagueshme nga i licencuari për </w:t>
      </w:r>
      <w:proofErr w:type="spellStart"/>
      <w:r w:rsidRPr="001471C5">
        <w:rPr>
          <w:lang w:val="sq-AL"/>
        </w:rPr>
        <w:t>huatë</w:t>
      </w:r>
      <w:proofErr w:type="spellEnd"/>
      <w:r w:rsidRPr="001471C5">
        <w:rPr>
          <w:lang w:val="sq-AL"/>
        </w:rPr>
        <w:t xml:space="preserve"> afatshkurtra mbi normën e EURIBOR-it </w:t>
      </w:r>
    </w:p>
    <w:p w14:paraId="6D70933B" w14:textId="61A16659" w:rsidR="00D43486" w:rsidRPr="00301583" w:rsidRDefault="00045C69" w:rsidP="00D43486">
      <w:pPr>
        <w:jc w:val="both"/>
      </w:pPr>
      <w:bookmarkStart w:id="22" w:name="_Toc511307500"/>
      <w:r w:rsidRPr="00C03DC7">
        <w:t>Z</w:t>
      </w:r>
      <w:r w:rsidR="00D43486" w:rsidRPr="00C03DC7">
        <w:t xml:space="preserve">RRE në vlerësimin preliminar ka parashikuar kostot e blerjes së energjisë për mbulimin e humbjeve bazuar në </w:t>
      </w:r>
      <w:r w:rsidRPr="00C03DC7">
        <w:t xml:space="preserve">trendin e </w:t>
      </w:r>
      <w:r w:rsidR="00D43486" w:rsidRPr="00C03DC7">
        <w:t>çmime</w:t>
      </w:r>
      <w:r w:rsidRPr="00C03DC7">
        <w:t>v</w:t>
      </w:r>
      <w:r w:rsidR="00E1493C" w:rsidRPr="00C03DC7">
        <w:t>e si dhe planifikimet e KOSTT pë</w:t>
      </w:r>
      <w:r w:rsidRPr="00C03DC7">
        <w:t>r</w:t>
      </w:r>
      <w:r w:rsidR="00D43486" w:rsidRPr="00C03DC7">
        <w:t xml:space="preserve"> vitin 20</w:t>
      </w:r>
      <w:r w:rsidR="00351F63" w:rsidRPr="00C03DC7">
        <w:t>2</w:t>
      </w:r>
      <w:r w:rsidRPr="00C03DC7">
        <w:t>1</w:t>
      </w:r>
      <w:r w:rsidR="00D43486" w:rsidRPr="00C03DC7">
        <w:t xml:space="preserve">, por gjatë procesit të konsultimit publik, palët duhet të ofrojnë dëshmi se kanë respektuar parimet e përcaktuara në </w:t>
      </w:r>
      <w:proofErr w:type="spellStart"/>
      <w:r w:rsidR="00D43486" w:rsidRPr="00C03DC7">
        <w:t>kornizen</w:t>
      </w:r>
      <w:proofErr w:type="spellEnd"/>
      <w:r w:rsidR="00D43486" w:rsidRPr="00C03DC7">
        <w:t xml:space="preserve"> ligjore dhe </w:t>
      </w:r>
      <w:proofErr w:type="spellStart"/>
      <w:r w:rsidR="00D43486" w:rsidRPr="00C03DC7">
        <w:t>rregullative</w:t>
      </w:r>
      <w:proofErr w:type="spellEnd"/>
      <w:r w:rsidR="00D43486" w:rsidRPr="00C03DC7">
        <w:t xml:space="preserve"> për shitblerje të energjisë për mbulimin e humbjeve.</w:t>
      </w:r>
      <w:r w:rsidR="00D43486" w:rsidRPr="00301583">
        <w:t xml:space="preserve"> </w:t>
      </w:r>
    </w:p>
    <w:p w14:paraId="12CD21DE" w14:textId="4E7D9225" w:rsidR="00F815F2" w:rsidRPr="001471C5" w:rsidRDefault="00F815F2" w:rsidP="0014315E">
      <w:pPr>
        <w:pStyle w:val="Heading2"/>
      </w:pPr>
      <w:bookmarkStart w:id="23" w:name="_Toc71118721"/>
      <w:proofErr w:type="spellStart"/>
      <w:r w:rsidRPr="001471C5">
        <w:t>Përshtatje</w:t>
      </w:r>
      <w:r w:rsidR="00B5734B" w:rsidRPr="001471C5">
        <w:t>t</w:t>
      </w:r>
      <w:proofErr w:type="spellEnd"/>
      <w:r w:rsidRPr="001471C5">
        <w:t xml:space="preserve"> </w:t>
      </w:r>
      <w:proofErr w:type="spellStart"/>
      <w:r w:rsidRPr="001471C5">
        <w:t>për</w:t>
      </w:r>
      <w:proofErr w:type="spellEnd"/>
      <w:r w:rsidRPr="001471C5">
        <w:t xml:space="preserve"> </w:t>
      </w:r>
      <w:proofErr w:type="spellStart"/>
      <w:r w:rsidRPr="001471C5">
        <w:t>të</w:t>
      </w:r>
      <w:proofErr w:type="spellEnd"/>
      <w:r w:rsidRPr="001471C5">
        <w:t xml:space="preserve"> </w:t>
      </w:r>
      <w:proofErr w:type="spellStart"/>
      <w:r w:rsidRPr="001471C5">
        <w:t>hyrat</w:t>
      </w:r>
      <w:proofErr w:type="spellEnd"/>
      <w:r w:rsidRPr="001471C5">
        <w:t xml:space="preserve"> </w:t>
      </w:r>
      <w:bookmarkEnd w:id="22"/>
      <w:r w:rsidR="00B5734B" w:rsidRPr="001471C5">
        <w:t xml:space="preserve">jo </w:t>
      </w:r>
      <w:proofErr w:type="spellStart"/>
      <w:r w:rsidR="00B5734B" w:rsidRPr="001471C5">
        <w:t>tarifore</w:t>
      </w:r>
      <w:bookmarkEnd w:id="23"/>
      <w:proofErr w:type="spellEnd"/>
    </w:p>
    <w:p w14:paraId="6298F69F" w14:textId="2A36D37A" w:rsidR="00F815F2" w:rsidRPr="001471C5" w:rsidRDefault="00F815F2" w:rsidP="00F815F2">
      <w:pPr>
        <w:jc w:val="both"/>
      </w:pPr>
      <w:r w:rsidRPr="001471C5">
        <w:t xml:space="preserve">Të hyrat tjera të realizuara nga aktivitetet e pa-rregulluara siç janë: të hyrat nga dhënia me qira e </w:t>
      </w:r>
      <w:proofErr w:type="spellStart"/>
      <w:r w:rsidRPr="001471C5">
        <w:t>aseteve</w:t>
      </w:r>
      <w:proofErr w:type="spellEnd"/>
      <w:r w:rsidRPr="001471C5">
        <w:t xml:space="preserve">, shitja e </w:t>
      </w:r>
      <w:proofErr w:type="spellStart"/>
      <w:r w:rsidRPr="001471C5">
        <w:t>aseteve</w:t>
      </w:r>
      <w:proofErr w:type="spellEnd"/>
      <w:r w:rsidRPr="001471C5">
        <w:t xml:space="preserve">, </w:t>
      </w:r>
      <w:r w:rsidR="00F12E11" w:rsidRPr="001471C5">
        <w:t xml:space="preserve">nga mekanizmi </w:t>
      </w:r>
      <w:proofErr w:type="spellStart"/>
      <w:r w:rsidR="00F12E11" w:rsidRPr="001471C5">
        <w:t>kompen</w:t>
      </w:r>
      <w:r w:rsidR="000F24A8" w:rsidRPr="001471C5">
        <w:t>s</w:t>
      </w:r>
      <w:r w:rsidR="00F12E11" w:rsidRPr="001471C5">
        <w:t>ues</w:t>
      </w:r>
      <w:proofErr w:type="spellEnd"/>
      <w:r w:rsidR="00F12E11" w:rsidRPr="001471C5">
        <w:t xml:space="preserve"> nd</w:t>
      </w:r>
      <w:r w:rsidR="00F12E11" w:rsidRPr="001471C5">
        <w:rPr>
          <w:rFonts w:cs="Calibri"/>
        </w:rPr>
        <w:t>ë</w:t>
      </w:r>
      <w:r w:rsidR="00F12E11" w:rsidRPr="001471C5">
        <w:t>rmjet TSO (ITC)</w:t>
      </w:r>
      <w:r w:rsidR="000B2AB1" w:rsidRPr="001471C5">
        <w:t xml:space="preserve">, </w:t>
      </w:r>
      <w:r w:rsidRPr="001471C5">
        <w:t xml:space="preserve">zbriten nga të hyrat e lejuara maksimale. Vlera e këtyre të hyrave të realizuara </w:t>
      </w:r>
      <w:r w:rsidR="00450D0E" w:rsidRPr="001471C5">
        <w:rPr>
          <w:rFonts w:cs="Calibri"/>
        </w:rPr>
        <w:t>ë</w:t>
      </w:r>
      <w:r w:rsidR="00450D0E" w:rsidRPr="001471C5">
        <w:t>sht</w:t>
      </w:r>
      <w:r w:rsidR="00450D0E" w:rsidRPr="001471C5">
        <w:rPr>
          <w:rFonts w:cs="Calibri"/>
        </w:rPr>
        <w:t>ë</w:t>
      </w:r>
      <w:r w:rsidR="00450D0E" w:rsidRPr="001471C5">
        <w:t xml:space="preserve"> raportuar nga KOSTT </w:t>
      </w:r>
      <w:r w:rsidR="00C03DC7">
        <w:t xml:space="preserve">të jetë </w:t>
      </w:r>
      <w:r w:rsidR="00450D0E" w:rsidRPr="001471C5">
        <w:t>n</w:t>
      </w:r>
      <w:r w:rsidR="00450D0E" w:rsidRPr="001471C5">
        <w:rPr>
          <w:rFonts w:cs="Calibri"/>
        </w:rPr>
        <w:t>ë</w:t>
      </w:r>
      <w:r w:rsidR="00450D0E" w:rsidRPr="001471C5">
        <w:t xml:space="preserve"> vler</w:t>
      </w:r>
      <w:r w:rsidR="00450D0E" w:rsidRPr="001471C5">
        <w:rPr>
          <w:rFonts w:cs="Calibri"/>
        </w:rPr>
        <w:t>ë</w:t>
      </w:r>
      <w:r w:rsidR="00450D0E" w:rsidRPr="001471C5">
        <w:t xml:space="preserve"> prej </w:t>
      </w:r>
      <w:r w:rsidR="0029323D">
        <w:t>0.64</w:t>
      </w:r>
      <w:r w:rsidR="00B5734B" w:rsidRPr="00045C69">
        <w:t xml:space="preserve"> milion euro</w:t>
      </w:r>
      <w:r w:rsidR="00450D0E" w:rsidRPr="001471C5">
        <w:t>.</w:t>
      </w:r>
      <w:r w:rsidR="00351F63">
        <w:t xml:space="preserve"> </w:t>
      </w:r>
      <w:r w:rsidR="00E1493C">
        <w:t xml:space="preserve">Ndërsa të hyrat </w:t>
      </w:r>
      <w:proofErr w:type="spellStart"/>
      <w:r w:rsidR="00E1493C">
        <w:t>jotarifore</w:t>
      </w:r>
      <w:proofErr w:type="spellEnd"/>
      <w:r w:rsidR="00E1493C">
        <w:t xml:space="preserve"> për vitin 2021 parashihet të</w:t>
      </w:r>
      <w:r w:rsidR="00351F63">
        <w:t xml:space="preserve"> </w:t>
      </w:r>
      <w:r w:rsidR="00E1493C">
        <w:t>jenë 3.6 milion euro, të cilat pritet të</w:t>
      </w:r>
      <w:r w:rsidR="00351F63">
        <w:t xml:space="preserve"> realizohen si </w:t>
      </w:r>
      <w:r w:rsidR="00E1493C">
        <w:t>rezultat</w:t>
      </w:r>
      <w:r w:rsidR="00351F63">
        <w:t xml:space="preserve"> i </w:t>
      </w:r>
      <w:r w:rsidR="00E1493C">
        <w:t>pavarësimit të</w:t>
      </w:r>
      <w:r w:rsidR="00351F63">
        <w:t xml:space="preserve"> KOSTT si </w:t>
      </w:r>
      <w:r w:rsidR="00E1493C">
        <w:t>zonë</w:t>
      </w:r>
      <w:r w:rsidR="00351F63">
        <w:t xml:space="preserve"> rregulluese.</w:t>
      </w:r>
    </w:p>
    <w:p w14:paraId="213A1BB6" w14:textId="77777777" w:rsidR="00F815F2" w:rsidRPr="001471C5" w:rsidRDefault="00F815F2" w:rsidP="0014315E">
      <w:pPr>
        <w:pStyle w:val="Heading2"/>
      </w:pPr>
      <w:bookmarkStart w:id="24" w:name="_Toc511307501"/>
      <w:bookmarkStart w:id="25" w:name="_Toc71118722"/>
      <w:proofErr w:type="spellStart"/>
      <w:r w:rsidRPr="001471C5">
        <w:t>Përshtatjet</w:t>
      </w:r>
      <w:proofErr w:type="spellEnd"/>
      <w:r w:rsidRPr="001471C5">
        <w:t xml:space="preserve"> </w:t>
      </w:r>
      <w:proofErr w:type="spellStart"/>
      <w:r w:rsidRPr="001471C5">
        <w:t>për</w:t>
      </w:r>
      <w:proofErr w:type="spellEnd"/>
      <w:r w:rsidRPr="001471C5">
        <w:t xml:space="preserve"> </w:t>
      </w:r>
      <w:proofErr w:type="spellStart"/>
      <w:r w:rsidRPr="001471C5">
        <w:t>faktorin</w:t>
      </w:r>
      <w:proofErr w:type="spellEnd"/>
      <w:r w:rsidRPr="001471C5">
        <w:t xml:space="preserve"> </w:t>
      </w:r>
      <w:proofErr w:type="spellStart"/>
      <w:r w:rsidRPr="001471C5">
        <w:t>korrigjues</w:t>
      </w:r>
      <w:proofErr w:type="spellEnd"/>
      <w:r w:rsidRPr="001471C5">
        <w:t xml:space="preserve"> </w:t>
      </w:r>
      <w:proofErr w:type="spellStart"/>
      <w:r w:rsidRPr="001471C5">
        <w:t>të</w:t>
      </w:r>
      <w:proofErr w:type="spellEnd"/>
      <w:r w:rsidRPr="001471C5">
        <w:t xml:space="preserve"> </w:t>
      </w:r>
      <w:proofErr w:type="spellStart"/>
      <w:r w:rsidRPr="001471C5">
        <w:t>të</w:t>
      </w:r>
      <w:proofErr w:type="spellEnd"/>
      <w:r w:rsidRPr="001471C5">
        <w:t xml:space="preserve"> </w:t>
      </w:r>
      <w:proofErr w:type="spellStart"/>
      <w:r w:rsidRPr="001471C5">
        <w:t>hyrave</w:t>
      </w:r>
      <w:bookmarkEnd w:id="24"/>
      <w:bookmarkEnd w:id="25"/>
      <w:proofErr w:type="spellEnd"/>
    </w:p>
    <w:p w14:paraId="4D45E8D0" w14:textId="63949F99" w:rsidR="00F815F2" w:rsidRPr="001471C5" w:rsidRDefault="00F815F2" w:rsidP="00F815F2">
      <w:pPr>
        <w:spacing w:before="120"/>
        <w:jc w:val="both"/>
      </w:pPr>
      <w:r w:rsidRPr="001471C5">
        <w:t>N</w:t>
      </w:r>
      <w:r w:rsidRPr="001471C5">
        <w:rPr>
          <w:rFonts w:cs="Calibri"/>
        </w:rPr>
        <w:t>ë</w:t>
      </w:r>
      <w:r w:rsidRPr="001471C5">
        <w:t xml:space="preserve"> pajtim me Rregull</w:t>
      </w:r>
      <w:r w:rsidRPr="001471C5">
        <w:rPr>
          <w:rFonts w:cs="Calibri"/>
        </w:rPr>
        <w:t>ë</w:t>
      </w:r>
      <w:r w:rsidRPr="001471C5">
        <w:t>n p</w:t>
      </w:r>
      <w:r w:rsidRPr="001471C5">
        <w:rPr>
          <w:rFonts w:cs="Calibri"/>
        </w:rPr>
        <w:t>ë</w:t>
      </w:r>
      <w:r w:rsidRPr="001471C5">
        <w:t>r t</w:t>
      </w:r>
      <w:r w:rsidRPr="001471C5">
        <w:rPr>
          <w:rFonts w:cs="Calibri"/>
        </w:rPr>
        <w:t>ë</w:t>
      </w:r>
      <w:r w:rsidRPr="001471C5">
        <w:t xml:space="preserve"> Hyrat e Lejuara Maksimale </w:t>
      </w:r>
      <w:r w:rsidRPr="001471C5">
        <w:rPr>
          <w:rFonts w:cs="Calibri"/>
        </w:rPr>
        <w:t>ë</w:t>
      </w:r>
      <w:r w:rsidRPr="001471C5">
        <w:t>sht</w:t>
      </w:r>
      <w:r w:rsidRPr="001471C5">
        <w:rPr>
          <w:rFonts w:cs="Calibri"/>
        </w:rPr>
        <w:t>ë</w:t>
      </w:r>
      <w:r w:rsidRPr="001471C5">
        <w:t xml:space="preserve"> b</w:t>
      </w:r>
      <w:r w:rsidRPr="001471C5">
        <w:rPr>
          <w:rFonts w:cs="Calibri"/>
        </w:rPr>
        <w:t>ë</w:t>
      </w:r>
      <w:r w:rsidRPr="001471C5">
        <w:t>r</w:t>
      </w:r>
      <w:r w:rsidRPr="001471C5">
        <w:rPr>
          <w:rFonts w:cs="Calibri"/>
        </w:rPr>
        <w:t>ë</w:t>
      </w:r>
      <w:r w:rsidRPr="001471C5">
        <w:t xml:space="preserve"> kor</w:t>
      </w:r>
      <w:r w:rsidR="00B5734B" w:rsidRPr="001471C5">
        <w:t>r</w:t>
      </w:r>
      <w:r w:rsidRPr="001471C5">
        <w:t>igjimi i t</w:t>
      </w:r>
      <w:r w:rsidRPr="001471C5">
        <w:rPr>
          <w:rFonts w:cs="Calibri"/>
        </w:rPr>
        <w:t>ë</w:t>
      </w:r>
      <w:r w:rsidRPr="001471C5">
        <w:t xml:space="preserve"> hyrave t</w:t>
      </w:r>
      <w:r w:rsidRPr="001471C5">
        <w:rPr>
          <w:rFonts w:cs="Calibri"/>
        </w:rPr>
        <w:t>ë</w:t>
      </w:r>
      <w:r w:rsidR="00D67B32">
        <w:t xml:space="preserve"> vitit 2020</w:t>
      </w:r>
      <w:r w:rsidRPr="001471C5">
        <w:t>. Parimi i cili aplikohet ka t</w:t>
      </w:r>
      <w:r w:rsidRPr="001471C5">
        <w:rPr>
          <w:rFonts w:cs="Calibri"/>
        </w:rPr>
        <w:t>ë</w:t>
      </w:r>
      <w:r w:rsidRPr="001471C5">
        <w:t xml:space="preserve"> b</w:t>
      </w:r>
      <w:r w:rsidRPr="001471C5">
        <w:rPr>
          <w:rFonts w:cs="Calibri"/>
        </w:rPr>
        <w:t>ë</w:t>
      </w:r>
      <w:r w:rsidRPr="001471C5">
        <w:t>j</w:t>
      </w:r>
      <w:r w:rsidRPr="001471C5">
        <w:rPr>
          <w:rFonts w:cs="Calibri"/>
        </w:rPr>
        <w:t>ë</w:t>
      </w:r>
      <w:r w:rsidRPr="001471C5">
        <w:t xml:space="preserve"> me vler</w:t>
      </w:r>
      <w:r w:rsidRPr="001471C5">
        <w:rPr>
          <w:rFonts w:cs="Calibri"/>
        </w:rPr>
        <w:t>ë</w:t>
      </w:r>
      <w:r w:rsidRPr="001471C5">
        <w:t>sim e p</w:t>
      </w:r>
      <w:r w:rsidRPr="001471C5">
        <w:rPr>
          <w:rFonts w:cs="Calibri"/>
        </w:rPr>
        <w:t>ë</w:t>
      </w:r>
      <w:r w:rsidRPr="001471C5">
        <w:t>rgjith</w:t>
      </w:r>
      <w:r w:rsidR="001B7F84" w:rsidRPr="001471C5">
        <w:t>sh</w:t>
      </w:r>
      <w:r w:rsidRPr="001471C5">
        <w:rPr>
          <w:rFonts w:cs="Calibri"/>
        </w:rPr>
        <w:t>ë</w:t>
      </w:r>
      <w:r w:rsidRPr="001471C5">
        <w:t>m t</w:t>
      </w:r>
      <w:r w:rsidRPr="001471C5">
        <w:rPr>
          <w:rFonts w:cs="Calibri"/>
        </w:rPr>
        <w:t>ë</w:t>
      </w:r>
      <w:r w:rsidRPr="001471C5">
        <w:t xml:space="preserve"> kostove t</w:t>
      </w:r>
      <w:r w:rsidRPr="001471C5">
        <w:rPr>
          <w:rFonts w:cs="Calibri"/>
        </w:rPr>
        <w:t>ë</w:t>
      </w:r>
      <w:r w:rsidRPr="001471C5">
        <w:t xml:space="preserve"> lejuara aktuale dhe t</w:t>
      </w:r>
      <w:r w:rsidRPr="001471C5">
        <w:rPr>
          <w:rFonts w:cs="Calibri"/>
        </w:rPr>
        <w:t>ë</w:t>
      </w:r>
      <w:r w:rsidRPr="001471C5">
        <w:t xml:space="preserve"> hyrave aktuale t</w:t>
      </w:r>
      <w:r w:rsidRPr="001471C5">
        <w:rPr>
          <w:rFonts w:cs="Calibri"/>
        </w:rPr>
        <w:t>ë</w:t>
      </w:r>
      <w:r w:rsidRPr="001471C5">
        <w:t xml:space="preserve"> realizuara. K</w:t>
      </w:r>
      <w:r w:rsidRPr="001471C5">
        <w:rPr>
          <w:rFonts w:cs="Calibri"/>
        </w:rPr>
        <w:t>ë</w:t>
      </w:r>
      <w:r w:rsidRPr="001471C5">
        <w:t>to llogaritje jan</w:t>
      </w:r>
      <w:r w:rsidRPr="001471C5">
        <w:rPr>
          <w:rFonts w:cs="Calibri"/>
        </w:rPr>
        <w:t>ë</w:t>
      </w:r>
      <w:r w:rsidRPr="001471C5">
        <w:t xml:space="preserve"> b</w:t>
      </w:r>
      <w:r w:rsidRPr="001471C5">
        <w:rPr>
          <w:rFonts w:cs="Calibri"/>
        </w:rPr>
        <w:t>ë</w:t>
      </w:r>
      <w:r w:rsidRPr="001471C5">
        <w:t>r</w:t>
      </w:r>
      <w:r w:rsidRPr="001471C5">
        <w:rPr>
          <w:rFonts w:cs="Calibri"/>
        </w:rPr>
        <w:t>ë</w:t>
      </w:r>
      <w:r w:rsidRPr="001471C5">
        <w:t xml:space="preserve"> sipas formulës në vijim:</w:t>
      </w:r>
    </w:p>
    <w:p w14:paraId="0E014949" w14:textId="77777777" w:rsidR="00F815F2" w:rsidRPr="001471C5" w:rsidRDefault="00F815F2" w:rsidP="00F815F2">
      <w:pPr>
        <w:pStyle w:val="Equation"/>
        <w:ind w:left="2835" w:hanging="1701"/>
        <w:jc w:val="both"/>
        <w:rPr>
          <w:lang w:val="sq-AL"/>
        </w:rPr>
      </w:pPr>
      <w:proofErr w:type="spellStart"/>
      <w:r w:rsidRPr="001471C5">
        <w:rPr>
          <w:lang w:val="sq-AL"/>
        </w:rPr>
        <w:t>KREV</w:t>
      </w:r>
      <w:r w:rsidRPr="001471C5">
        <w:rPr>
          <w:vertAlign w:val="subscript"/>
          <w:lang w:val="sq-AL"/>
        </w:rPr>
        <w:t>t</w:t>
      </w:r>
      <w:proofErr w:type="spellEnd"/>
      <w:r w:rsidRPr="001471C5">
        <w:rPr>
          <w:lang w:val="sq-AL"/>
        </w:rPr>
        <w:t xml:space="preserve"> = (AAC</w:t>
      </w:r>
      <w:r w:rsidRPr="001471C5">
        <w:rPr>
          <w:vertAlign w:val="subscript"/>
          <w:lang w:val="sq-AL"/>
        </w:rPr>
        <w:t>at</w:t>
      </w:r>
      <w:r w:rsidRPr="001471C5">
        <w:rPr>
          <w:lang w:val="sq-AL"/>
        </w:rPr>
        <w:t>-</w:t>
      </w:r>
      <w:r w:rsidRPr="001471C5">
        <w:rPr>
          <w:vertAlign w:val="subscript"/>
          <w:lang w:val="sq-AL"/>
        </w:rPr>
        <w:t>1</w:t>
      </w:r>
      <w:r w:rsidRPr="001471C5">
        <w:rPr>
          <w:lang w:val="sq-AL"/>
        </w:rPr>
        <w:t xml:space="preserve"> – ARR</w:t>
      </w:r>
      <w:r w:rsidRPr="001471C5">
        <w:rPr>
          <w:vertAlign w:val="subscript"/>
          <w:lang w:val="sq-AL"/>
        </w:rPr>
        <w:t xml:space="preserve">t-1) </w:t>
      </w:r>
      <w:r w:rsidRPr="001471C5">
        <w:rPr>
          <w:lang w:val="sq-AL"/>
        </w:rPr>
        <w:t>* (1+ I</w:t>
      </w:r>
      <w:r w:rsidRPr="001471C5">
        <w:rPr>
          <w:vertAlign w:val="subscript"/>
          <w:lang w:val="sq-AL"/>
        </w:rPr>
        <w:t>t</w:t>
      </w:r>
      <w:r w:rsidRPr="001471C5">
        <w:rPr>
          <w:lang w:val="sq-AL"/>
        </w:rPr>
        <w:t xml:space="preserve">) </w:t>
      </w:r>
    </w:p>
    <w:p w14:paraId="62652133" w14:textId="77777777" w:rsidR="00F815F2" w:rsidRPr="001471C5" w:rsidRDefault="00F815F2" w:rsidP="00F815F2">
      <w:pPr>
        <w:pStyle w:val="Equation"/>
        <w:ind w:left="2835" w:hanging="1701"/>
        <w:jc w:val="both"/>
        <w:rPr>
          <w:lang w:val="sq-AL"/>
        </w:rPr>
      </w:pPr>
      <w:r w:rsidRPr="001471C5">
        <w:rPr>
          <w:lang w:val="sq-AL"/>
        </w:rPr>
        <w:t xml:space="preserve">Ku janë: </w:t>
      </w:r>
    </w:p>
    <w:p w14:paraId="5CB79DC2" w14:textId="77777777" w:rsidR="00F815F2" w:rsidRPr="001471C5" w:rsidRDefault="00F815F2" w:rsidP="00F815F2">
      <w:pPr>
        <w:pStyle w:val="Equation"/>
        <w:ind w:left="2835" w:hanging="1701"/>
        <w:jc w:val="both"/>
        <w:rPr>
          <w:lang w:val="sq-AL"/>
        </w:rPr>
      </w:pPr>
      <w:r w:rsidRPr="001471C5">
        <w:rPr>
          <w:lang w:val="sq-AL"/>
        </w:rPr>
        <w:t>AAC</w:t>
      </w:r>
      <w:r w:rsidRPr="001471C5">
        <w:rPr>
          <w:vertAlign w:val="subscript"/>
          <w:lang w:val="sq-AL"/>
        </w:rPr>
        <w:t xml:space="preserve">at-1 </w:t>
      </w:r>
      <w:r w:rsidRPr="001471C5">
        <w:rPr>
          <w:lang w:val="sq-AL"/>
        </w:rPr>
        <w:tab/>
        <w:t>Kostot e lejuara aktuale për vitin relevant t-1 (“</w:t>
      </w:r>
      <w:proofErr w:type="spellStart"/>
      <w:r w:rsidRPr="001471C5">
        <w:rPr>
          <w:lang w:val="sq-AL"/>
        </w:rPr>
        <w:t>Actual</w:t>
      </w:r>
      <w:proofErr w:type="spellEnd"/>
      <w:r w:rsidRPr="001471C5">
        <w:rPr>
          <w:lang w:val="sq-AL"/>
        </w:rPr>
        <w:t xml:space="preserve"> </w:t>
      </w:r>
      <w:proofErr w:type="spellStart"/>
      <w:r w:rsidRPr="001471C5">
        <w:rPr>
          <w:lang w:val="sq-AL"/>
        </w:rPr>
        <w:t>Allo</w:t>
      </w:r>
      <w:r w:rsidR="001B7F84" w:rsidRPr="001471C5">
        <w:rPr>
          <w:lang w:val="sq-AL"/>
        </w:rPr>
        <w:t>w</w:t>
      </w:r>
      <w:r w:rsidRPr="001471C5">
        <w:rPr>
          <w:lang w:val="sq-AL"/>
        </w:rPr>
        <w:t>ed</w:t>
      </w:r>
      <w:proofErr w:type="spellEnd"/>
      <w:r w:rsidRPr="001471C5">
        <w:rPr>
          <w:lang w:val="sq-AL"/>
        </w:rPr>
        <w:t xml:space="preserve"> </w:t>
      </w:r>
      <w:proofErr w:type="spellStart"/>
      <w:r w:rsidRPr="001471C5">
        <w:rPr>
          <w:lang w:val="sq-AL"/>
        </w:rPr>
        <w:t>Cost</w:t>
      </w:r>
      <w:proofErr w:type="spellEnd"/>
      <w:r w:rsidRPr="001471C5">
        <w:rPr>
          <w:lang w:val="sq-AL"/>
        </w:rPr>
        <w:t xml:space="preserve"> as </w:t>
      </w:r>
      <w:proofErr w:type="spellStart"/>
      <w:r w:rsidRPr="001471C5">
        <w:rPr>
          <w:lang w:val="sq-AL"/>
        </w:rPr>
        <w:t>determined</w:t>
      </w:r>
      <w:proofErr w:type="spellEnd"/>
      <w:r w:rsidRPr="001471C5">
        <w:rPr>
          <w:lang w:val="sq-AL"/>
        </w:rPr>
        <w:t xml:space="preserve"> in Relevant </w:t>
      </w:r>
      <w:proofErr w:type="spellStart"/>
      <w:r w:rsidRPr="001471C5">
        <w:rPr>
          <w:lang w:val="sq-AL"/>
        </w:rPr>
        <w:t>Year</w:t>
      </w:r>
      <w:proofErr w:type="spellEnd"/>
      <w:r w:rsidRPr="001471C5">
        <w:rPr>
          <w:lang w:val="sq-AL"/>
        </w:rPr>
        <w:t xml:space="preserve"> t-1”) </w:t>
      </w:r>
    </w:p>
    <w:p w14:paraId="0B2BFB77" w14:textId="77777777" w:rsidR="00F815F2" w:rsidRPr="001471C5" w:rsidRDefault="00F815F2" w:rsidP="00F815F2">
      <w:pPr>
        <w:pStyle w:val="Equation"/>
        <w:ind w:left="2835" w:hanging="1701"/>
        <w:jc w:val="both"/>
        <w:rPr>
          <w:lang w:val="sq-AL"/>
        </w:rPr>
      </w:pPr>
      <w:r w:rsidRPr="001471C5">
        <w:rPr>
          <w:lang w:val="sq-AL"/>
        </w:rPr>
        <w:t>ARR</w:t>
      </w:r>
      <w:r w:rsidRPr="001471C5">
        <w:rPr>
          <w:vertAlign w:val="subscript"/>
          <w:lang w:val="sq-AL"/>
        </w:rPr>
        <w:t xml:space="preserve">t-1 </w:t>
      </w:r>
      <w:r w:rsidRPr="001471C5">
        <w:rPr>
          <w:lang w:val="sq-AL"/>
        </w:rPr>
        <w:tab/>
        <w:t>Paraqet të hyrat e realizuara në vitin relevant t-1 (“</w:t>
      </w:r>
      <w:proofErr w:type="spellStart"/>
      <w:r w:rsidRPr="001471C5">
        <w:rPr>
          <w:lang w:val="sq-AL"/>
        </w:rPr>
        <w:t>is</w:t>
      </w:r>
      <w:proofErr w:type="spellEnd"/>
      <w:r w:rsidRPr="001471C5">
        <w:rPr>
          <w:lang w:val="sq-AL"/>
        </w:rPr>
        <w:t xml:space="preserve"> the </w:t>
      </w:r>
      <w:proofErr w:type="spellStart"/>
      <w:r w:rsidRPr="001471C5">
        <w:rPr>
          <w:lang w:val="sq-AL"/>
        </w:rPr>
        <w:t>Actual</w:t>
      </w:r>
      <w:proofErr w:type="spellEnd"/>
      <w:r w:rsidRPr="001471C5">
        <w:rPr>
          <w:lang w:val="sq-AL"/>
        </w:rPr>
        <w:t xml:space="preserve"> </w:t>
      </w:r>
      <w:proofErr w:type="spellStart"/>
      <w:r w:rsidRPr="001471C5">
        <w:rPr>
          <w:lang w:val="sq-AL"/>
        </w:rPr>
        <w:t>Regulated</w:t>
      </w:r>
      <w:proofErr w:type="spellEnd"/>
      <w:r w:rsidRPr="001471C5">
        <w:rPr>
          <w:lang w:val="sq-AL"/>
        </w:rPr>
        <w:t xml:space="preserve"> </w:t>
      </w:r>
      <w:proofErr w:type="spellStart"/>
      <w:r w:rsidRPr="001471C5">
        <w:rPr>
          <w:lang w:val="sq-AL"/>
        </w:rPr>
        <w:t>Revenues</w:t>
      </w:r>
      <w:proofErr w:type="spellEnd"/>
      <w:r w:rsidRPr="001471C5">
        <w:rPr>
          <w:lang w:val="sq-AL"/>
        </w:rPr>
        <w:t xml:space="preserve"> in Relevant </w:t>
      </w:r>
      <w:proofErr w:type="spellStart"/>
      <w:r w:rsidRPr="001471C5">
        <w:rPr>
          <w:lang w:val="sq-AL"/>
        </w:rPr>
        <w:t>Year</w:t>
      </w:r>
      <w:proofErr w:type="spellEnd"/>
      <w:r w:rsidRPr="001471C5">
        <w:rPr>
          <w:lang w:val="sq-AL"/>
        </w:rPr>
        <w:t xml:space="preserve"> t-1”)</w:t>
      </w:r>
    </w:p>
    <w:p w14:paraId="315AAB7E" w14:textId="77777777" w:rsidR="00F815F2" w:rsidRPr="001471C5" w:rsidRDefault="00F815F2" w:rsidP="00F815F2">
      <w:pPr>
        <w:pStyle w:val="Equation"/>
        <w:ind w:left="2835" w:hanging="1701"/>
        <w:jc w:val="both"/>
        <w:rPr>
          <w:rFonts w:cs="Calibri"/>
          <w:lang w:val="sq-AL"/>
        </w:rPr>
      </w:pPr>
      <w:r w:rsidRPr="001471C5">
        <w:rPr>
          <w:rFonts w:cs="Calibri"/>
          <w:lang w:val="sq-AL"/>
        </w:rPr>
        <w:t>I</w:t>
      </w:r>
      <w:r w:rsidRPr="001471C5">
        <w:rPr>
          <w:rFonts w:cs="Calibri"/>
          <w:vertAlign w:val="subscript"/>
          <w:lang w:val="sq-AL"/>
        </w:rPr>
        <w:t>t</w:t>
      </w:r>
      <w:r w:rsidRPr="001471C5">
        <w:rPr>
          <w:rFonts w:cs="Calibri"/>
          <w:lang w:val="sq-AL"/>
        </w:rPr>
        <w:tab/>
      </w:r>
      <w:r w:rsidRPr="001471C5">
        <w:rPr>
          <w:lang w:val="sq-AL"/>
        </w:rPr>
        <w:t xml:space="preserve">Norma e interesit për vitin relevant t, që llogaritet bazuar në EURIBOR plus S%, ku S paraqet vlerën e përcaktuar nga ZRRE-ja gjatë </w:t>
      </w:r>
      <w:r w:rsidRPr="001471C5">
        <w:rPr>
          <w:lang w:val="sq-AL"/>
        </w:rPr>
        <w:lastRenderedPageBreak/>
        <w:t>shqyrtimeve periodike që reflekton preminë e pagueshme nga i licencuari për hua afatshkurtra</w:t>
      </w:r>
    </w:p>
    <w:p w14:paraId="71E4FECE" w14:textId="6052B51E" w:rsidR="00F815F2" w:rsidRPr="001471C5" w:rsidRDefault="00F815F2" w:rsidP="00F815F2">
      <w:pPr>
        <w:jc w:val="both"/>
      </w:pPr>
      <w:r w:rsidRPr="001D246A">
        <w:t>Ndryshimi në mes të AAC</w:t>
      </w:r>
      <w:r w:rsidRPr="001D246A">
        <w:rPr>
          <w:vertAlign w:val="subscript"/>
        </w:rPr>
        <w:t>at</w:t>
      </w:r>
      <w:r w:rsidRPr="001D246A">
        <w:t>-</w:t>
      </w:r>
      <w:r w:rsidRPr="001D246A">
        <w:rPr>
          <w:vertAlign w:val="subscript"/>
        </w:rPr>
        <w:t>1</w:t>
      </w:r>
      <w:r w:rsidRPr="001D246A">
        <w:t xml:space="preserve"> prej </w:t>
      </w:r>
      <w:r w:rsidR="0029323D">
        <w:t>17.9</w:t>
      </w:r>
      <w:r w:rsidRPr="001D246A">
        <w:t xml:space="preserve"> </w:t>
      </w:r>
      <w:r w:rsidR="00B5734B" w:rsidRPr="001D246A">
        <w:t>milion euro</w:t>
      </w:r>
      <w:r w:rsidR="001B7F84" w:rsidRPr="001D246A">
        <w:t xml:space="preserve"> </w:t>
      </w:r>
      <w:r w:rsidRPr="001D246A">
        <w:t>dhe ARR</w:t>
      </w:r>
      <w:r w:rsidRPr="001D246A">
        <w:rPr>
          <w:vertAlign w:val="subscript"/>
        </w:rPr>
        <w:t xml:space="preserve">t-1 </w:t>
      </w:r>
      <w:r w:rsidRPr="001D246A">
        <w:t xml:space="preserve">prej </w:t>
      </w:r>
      <w:r w:rsidR="00BF0E8B" w:rsidRPr="001D246A">
        <w:t>3</w:t>
      </w:r>
      <w:r w:rsidR="00351F63" w:rsidRPr="001D246A">
        <w:t>2.</w:t>
      </w:r>
      <w:r w:rsidR="001D246A" w:rsidRPr="001D246A">
        <w:t>8</w:t>
      </w:r>
      <w:r w:rsidR="00BF0E8B" w:rsidRPr="001D246A">
        <w:t xml:space="preserve"> </w:t>
      </w:r>
      <w:r w:rsidR="001930C2" w:rsidRPr="001D246A">
        <w:t>milion euro</w:t>
      </w:r>
      <w:r w:rsidRPr="001D246A">
        <w:t>, pas aplikimit t</w:t>
      </w:r>
      <w:r w:rsidRPr="001D246A">
        <w:rPr>
          <w:rFonts w:cs="Calibri"/>
        </w:rPr>
        <w:t>ë</w:t>
      </w:r>
      <w:r w:rsidRPr="001D246A">
        <w:t xml:space="preserve"> norm</w:t>
      </w:r>
      <w:r w:rsidRPr="001D246A">
        <w:rPr>
          <w:rFonts w:cs="Calibri"/>
        </w:rPr>
        <w:t>ë</w:t>
      </w:r>
      <w:r w:rsidRPr="001D246A">
        <w:t>s s</w:t>
      </w:r>
      <w:r w:rsidRPr="001D246A">
        <w:rPr>
          <w:rFonts w:cs="Calibri"/>
        </w:rPr>
        <w:t>ë</w:t>
      </w:r>
      <w:r w:rsidRPr="001D246A">
        <w:t xml:space="preserve"> interesit rezulton t</w:t>
      </w:r>
      <w:r w:rsidRPr="001D246A">
        <w:rPr>
          <w:rFonts w:cs="Calibri"/>
        </w:rPr>
        <w:t>ë</w:t>
      </w:r>
      <w:r w:rsidRPr="001D246A">
        <w:t xml:space="preserve"> jet</w:t>
      </w:r>
      <w:r w:rsidRPr="001D246A">
        <w:rPr>
          <w:rFonts w:cs="Calibri"/>
        </w:rPr>
        <w:t>ë</w:t>
      </w:r>
      <w:r w:rsidRPr="001D246A">
        <w:t xml:space="preserve"> </w:t>
      </w:r>
      <w:r w:rsidR="00C563BD" w:rsidRPr="001D246A">
        <w:t>-</w:t>
      </w:r>
      <w:r w:rsidR="00351F63" w:rsidRPr="001D246A">
        <w:t>1</w:t>
      </w:r>
      <w:r w:rsidR="001D246A" w:rsidRPr="001D246A">
        <w:t>5.9</w:t>
      </w:r>
      <w:r w:rsidRPr="001D246A">
        <w:t xml:space="preserve"> </w:t>
      </w:r>
      <w:r w:rsidR="00B5734B" w:rsidRPr="001D246A">
        <w:t>milion euro</w:t>
      </w:r>
      <w:r w:rsidRPr="001D246A">
        <w:t>.  Ky ndryshim nd</w:t>
      </w:r>
      <w:r w:rsidRPr="001D246A">
        <w:rPr>
          <w:rFonts w:cs="Calibri"/>
        </w:rPr>
        <w:t>ë</w:t>
      </w:r>
      <w:r w:rsidRPr="001D246A">
        <w:t>rmjet t</w:t>
      </w:r>
      <w:r w:rsidRPr="001D246A">
        <w:rPr>
          <w:rFonts w:cs="Calibri"/>
        </w:rPr>
        <w:t>ë</w:t>
      </w:r>
      <w:r w:rsidRPr="001D246A">
        <w:t xml:space="preserve"> hyrave dhe kostove aktuale t</w:t>
      </w:r>
      <w:r w:rsidRPr="001D246A">
        <w:rPr>
          <w:rFonts w:cs="Calibri"/>
        </w:rPr>
        <w:t>ë</w:t>
      </w:r>
      <w:r w:rsidRPr="001D246A">
        <w:t xml:space="preserve"> lejuara bartet si azhurnim gjat</w:t>
      </w:r>
      <w:r w:rsidRPr="001D246A">
        <w:rPr>
          <w:rFonts w:cs="Calibri"/>
        </w:rPr>
        <w:t>ë</w:t>
      </w:r>
      <w:r w:rsidRPr="001D246A">
        <w:t xml:space="preserve"> p</w:t>
      </w:r>
      <w:r w:rsidRPr="001D246A">
        <w:rPr>
          <w:rFonts w:cs="Calibri"/>
        </w:rPr>
        <w:t>ë</w:t>
      </w:r>
      <w:r w:rsidRPr="001D246A">
        <w:t>rcaktimit t</w:t>
      </w:r>
      <w:r w:rsidRPr="001D246A">
        <w:rPr>
          <w:rFonts w:cs="Calibri"/>
        </w:rPr>
        <w:t>ë</w:t>
      </w:r>
      <w:r w:rsidRPr="001D246A">
        <w:t xml:space="preserve"> MAR p</w:t>
      </w:r>
      <w:r w:rsidRPr="001D246A">
        <w:rPr>
          <w:rFonts w:cs="Calibri"/>
        </w:rPr>
        <w:t>ë</w:t>
      </w:r>
      <w:r w:rsidRPr="001D246A">
        <w:t>r vitin 20</w:t>
      </w:r>
      <w:r w:rsidR="00BF0E8B" w:rsidRPr="001D246A">
        <w:t>2</w:t>
      </w:r>
      <w:r w:rsidR="00D67548" w:rsidRPr="001D246A">
        <w:t>1</w:t>
      </w:r>
      <w:r w:rsidRPr="001D246A">
        <w:t>.</w:t>
      </w:r>
    </w:p>
    <w:p w14:paraId="13CB00C3" w14:textId="77777777" w:rsidR="0014315E" w:rsidRDefault="0014315E" w:rsidP="00F815F2">
      <w:pPr>
        <w:spacing w:after="0" w:line="240" w:lineRule="auto"/>
      </w:pPr>
    </w:p>
    <w:p w14:paraId="3D18E6E6" w14:textId="4A49794A" w:rsidR="0014315E" w:rsidRDefault="0014315E" w:rsidP="0014315E">
      <w:pPr>
        <w:pStyle w:val="Heading2"/>
        <w:rPr>
          <w:lang w:val="sq-AL"/>
        </w:rPr>
      </w:pPr>
      <w:bookmarkStart w:id="26" w:name="_Toc71118723"/>
      <w:r w:rsidRPr="0014315E">
        <w:rPr>
          <w:lang w:val="sq-AL"/>
        </w:rPr>
        <w:t>Kostot e sh</w:t>
      </w:r>
      <w:r>
        <w:rPr>
          <w:lang w:val="sq-AL"/>
        </w:rPr>
        <w:t>ërbimeve ndihmë</w:t>
      </w:r>
      <w:r w:rsidRPr="0014315E">
        <w:rPr>
          <w:lang w:val="sq-AL"/>
        </w:rPr>
        <w:t>se</w:t>
      </w:r>
      <w:bookmarkEnd w:id="26"/>
    </w:p>
    <w:p w14:paraId="7FBED589" w14:textId="5AB2C30B" w:rsidR="0014315E" w:rsidRPr="0014315E" w:rsidRDefault="0014315E" w:rsidP="0014315E">
      <w:pPr>
        <w:jc w:val="both"/>
      </w:pPr>
      <w:r>
        <w:t>KOSTT në aplikacionin e tij ka paraqitur kërkesën për aprovimin e shërbimeve ndihmëse në vlerë prej 9.5 milion euro. ZRRE në vlerësimin fillestar ka marr në konsideratë kërkesën e KOSTT, por për lejimin e këtyre kostove, ZRRE kërkon që KOSTT të dëshmojë se prokurimi i këtyre shërbimeve për vitin 2021 është bërë në përputhje me legjislacionin në fuqi.</w:t>
      </w:r>
    </w:p>
    <w:p w14:paraId="7910293B" w14:textId="5D0494BD" w:rsidR="00F815F2" w:rsidRPr="001471C5" w:rsidRDefault="00F815F2" w:rsidP="00F815F2">
      <w:pPr>
        <w:spacing w:after="0" w:line="240" w:lineRule="auto"/>
      </w:pPr>
      <w:r w:rsidRPr="001471C5">
        <w:br w:type="page"/>
      </w:r>
    </w:p>
    <w:p w14:paraId="7C0ABB22" w14:textId="77777777" w:rsidR="00F815F2" w:rsidRPr="001471C5" w:rsidRDefault="00F815F2" w:rsidP="00F815F2">
      <w:pPr>
        <w:pStyle w:val="Heading1"/>
        <w:rPr>
          <w:lang w:val="sq-AL"/>
        </w:rPr>
      </w:pPr>
      <w:bookmarkStart w:id="27" w:name="_Toc443060569"/>
      <w:bookmarkStart w:id="28" w:name="_Toc476042560"/>
      <w:bookmarkStart w:id="29" w:name="_Toc71118724"/>
      <w:r w:rsidRPr="001471C5">
        <w:rPr>
          <w:lang w:val="sq-AL"/>
        </w:rPr>
        <w:lastRenderedPageBreak/>
        <w:t>Propozimi për të Hyrat e</w:t>
      </w:r>
      <w:r w:rsidR="00810CB8" w:rsidRPr="001471C5">
        <w:rPr>
          <w:lang w:val="sq-AL"/>
        </w:rPr>
        <w:t xml:space="preserve"> Lejuara Maksimale të OST/OT</w:t>
      </w:r>
      <w:r w:rsidRPr="001471C5">
        <w:rPr>
          <w:lang w:val="sq-AL"/>
        </w:rPr>
        <w:t>-së</w:t>
      </w:r>
      <w:bookmarkEnd w:id="27"/>
      <w:bookmarkEnd w:id="28"/>
      <w:bookmarkEnd w:id="29"/>
    </w:p>
    <w:p w14:paraId="42BA0D8C" w14:textId="77777777" w:rsidR="00F815F2" w:rsidRPr="001471C5" w:rsidRDefault="00F815F2" w:rsidP="00F815F2">
      <w:pPr>
        <w:jc w:val="both"/>
      </w:pPr>
      <w:r w:rsidRPr="001471C5">
        <w:t>T</w:t>
      </w:r>
      <w:r w:rsidRPr="001471C5">
        <w:rPr>
          <w:rFonts w:cs="Calibri"/>
        </w:rPr>
        <w:t>ë</w:t>
      </w:r>
      <w:r w:rsidRPr="001471C5">
        <w:t xml:space="preserve"> Hyrat e Lejuara Maksimale pë</w:t>
      </w:r>
      <w:r w:rsidR="00810CB8" w:rsidRPr="001471C5">
        <w:t>r OST/OT-n</w:t>
      </w:r>
      <w:r w:rsidR="00810CB8" w:rsidRPr="001471C5">
        <w:rPr>
          <w:rFonts w:cs="Calibri"/>
        </w:rPr>
        <w:t>ë</w:t>
      </w:r>
      <w:r w:rsidR="00810CB8" w:rsidRPr="001471C5">
        <w:t xml:space="preserve"> </w:t>
      </w:r>
      <w:r w:rsidRPr="001471C5">
        <w:t>jan</w:t>
      </w:r>
      <w:r w:rsidRPr="001471C5">
        <w:rPr>
          <w:rFonts w:cs="Calibri"/>
        </w:rPr>
        <w:t>ë</w:t>
      </w:r>
      <w:r w:rsidRPr="001471C5">
        <w:t xml:space="preserve"> llogaritur sipas formulës në vijim:</w:t>
      </w:r>
    </w:p>
    <w:p w14:paraId="76A699FC" w14:textId="77777777" w:rsidR="00810CB8" w:rsidRPr="001471C5" w:rsidRDefault="00810CB8" w:rsidP="00810CB8">
      <w:pPr>
        <w:rPr>
          <w:rFonts w:eastAsia="Times New Roman"/>
          <w:i/>
          <w:szCs w:val="24"/>
          <w:lang w:eastAsia="en-GB"/>
        </w:rPr>
      </w:pPr>
      <w:proofErr w:type="spellStart"/>
      <w:r w:rsidRPr="001471C5">
        <w:rPr>
          <w:rFonts w:eastAsia="Times New Roman"/>
          <w:i/>
          <w:szCs w:val="24"/>
          <w:lang w:eastAsia="en-GB"/>
        </w:rPr>
        <w:t>MARt</w:t>
      </w:r>
      <w:proofErr w:type="spellEnd"/>
      <w:r w:rsidRPr="001471C5">
        <w:rPr>
          <w:rFonts w:eastAsia="Times New Roman"/>
          <w:i/>
          <w:szCs w:val="24"/>
          <w:lang w:eastAsia="en-GB"/>
        </w:rPr>
        <w:t xml:space="preserve"> = </w:t>
      </w:r>
      <w:proofErr w:type="spellStart"/>
      <w:r w:rsidRPr="001471C5">
        <w:rPr>
          <w:rFonts w:eastAsia="Times New Roman"/>
          <w:i/>
          <w:szCs w:val="24"/>
          <w:lang w:eastAsia="en-GB"/>
        </w:rPr>
        <w:t>OPMCt</w:t>
      </w:r>
      <w:proofErr w:type="spellEnd"/>
      <w:r w:rsidRPr="001471C5">
        <w:rPr>
          <w:rFonts w:eastAsia="Times New Roman"/>
          <w:i/>
          <w:szCs w:val="24"/>
          <w:lang w:eastAsia="en-GB"/>
        </w:rPr>
        <w:t xml:space="preserve"> + </w:t>
      </w:r>
      <w:proofErr w:type="spellStart"/>
      <w:r w:rsidRPr="001471C5">
        <w:rPr>
          <w:rFonts w:eastAsia="Times New Roman"/>
          <w:i/>
          <w:szCs w:val="24"/>
          <w:lang w:eastAsia="en-GB"/>
        </w:rPr>
        <w:t>DEPCt</w:t>
      </w:r>
      <w:proofErr w:type="spellEnd"/>
      <w:r w:rsidRPr="001471C5">
        <w:rPr>
          <w:rFonts w:eastAsia="Times New Roman"/>
          <w:i/>
          <w:szCs w:val="24"/>
          <w:lang w:eastAsia="en-GB"/>
        </w:rPr>
        <w:t xml:space="preserve"> +  </w:t>
      </w:r>
      <w:proofErr w:type="spellStart"/>
      <w:r w:rsidRPr="001471C5">
        <w:rPr>
          <w:rFonts w:eastAsia="Times New Roman"/>
          <w:i/>
          <w:szCs w:val="24"/>
          <w:lang w:eastAsia="en-GB"/>
        </w:rPr>
        <w:t>RTNCt</w:t>
      </w:r>
      <w:proofErr w:type="spellEnd"/>
      <w:r w:rsidRPr="001471C5">
        <w:rPr>
          <w:rFonts w:eastAsia="Times New Roman"/>
          <w:i/>
          <w:szCs w:val="24"/>
          <w:lang w:eastAsia="en-GB"/>
        </w:rPr>
        <w:t xml:space="preserve"> + </w:t>
      </w:r>
      <w:proofErr w:type="spellStart"/>
      <w:r w:rsidRPr="001471C5">
        <w:rPr>
          <w:rFonts w:eastAsia="Times New Roman"/>
          <w:i/>
          <w:szCs w:val="24"/>
          <w:lang w:eastAsia="en-GB"/>
        </w:rPr>
        <w:t>ASVCt</w:t>
      </w:r>
      <w:proofErr w:type="spellEnd"/>
      <w:r w:rsidRPr="001471C5">
        <w:rPr>
          <w:rFonts w:eastAsia="Times New Roman"/>
          <w:i/>
          <w:szCs w:val="24"/>
          <w:lang w:eastAsia="en-GB"/>
        </w:rPr>
        <w:t xml:space="preserve"> + </w:t>
      </w:r>
      <w:proofErr w:type="spellStart"/>
      <w:r w:rsidRPr="001471C5">
        <w:rPr>
          <w:rFonts w:eastAsia="Times New Roman"/>
          <w:i/>
          <w:szCs w:val="24"/>
          <w:lang w:eastAsia="en-GB"/>
        </w:rPr>
        <w:t>LSSCt</w:t>
      </w:r>
      <w:proofErr w:type="spellEnd"/>
      <w:r w:rsidRPr="001471C5">
        <w:rPr>
          <w:rFonts w:eastAsia="Times New Roman"/>
          <w:i/>
          <w:szCs w:val="24"/>
          <w:lang w:eastAsia="en-GB"/>
        </w:rPr>
        <w:t xml:space="preserve"> + </w:t>
      </w:r>
      <w:proofErr w:type="spellStart"/>
      <w:r w:rsidRPr="001471C5">
        <w:rPr>
          <w:rFonts w:eastAsia="Times New Roman"/>
          <w:i/>
          <w:szCs w:val="24"/>
          <w:lang w:eastAsia="en-GB"/>
        </w:rPr>
        <w:t>LICCt</w:t>
      </w:r>
      <w:proofErr w:type="spellEnd"/>
      <w:r w:rsidRPr="001471C5">
        <w:rPr>
          <w:rFonts w:eastAsia="Times New Roman"/>
          <w:i/>
          <w:szCs w:val="24"/>
          <w:lang w:eastAsia="en-GB"/>
        </w:rPr>
        <w:t xml:space="preserve"> - ITCR - NTFR t +</w:t>
      </w:r>
      <w:proofErr w:type="spellStart"/>
      <w:r w:rsidRPr="001471C5">
        <w:rPr>
          <w:rFonts w:eastAsia="Times New Roman"/>
          <w:i/>
          <w:szCs w:val="24"/>
          <w:lang w:eastAsia="en-GB"/>
        </w:rPr>
        <w:t>ADJt</w:t>
      </w:r>
      <w:proofErr w:type="spellEnd"/>
      <w:r w:rsidRPr="001471C5">
        <w:rPr>
          <w:rFonts w:eastAsia="Times New Roman"/>
          <w:i/>
          <w:szCs w:val="24"/>
          <w:lang w:eastAsia="en-GB"/>
        </w:rPr>
        <w:t xml:space="preserve"> + </w:t>
      </w:r>
      <w:proofErr w:type="spellStart"/>
      <w:r w:rsidRPr="001471C5">
        <w:rPr>
          <w:rFonts w:eastAsia="Times New Roman"/>
          <w:i/>
          <w:szCs w:val="24"/>
          <w:lang w:eastAsia="en-GB"/>
        </w:rPr>
        <w:t>KREVt</w:t>
      </w:r>
      <w:proofErr w:type="spellEnd"/>
      <w:r w:rsidRPr="001471C5">
        <w:rPr>
          <w:rFonts w:eastAsia="Times New Roman"/>
          <w:i/>
          <w:szCs w:val="24"/>
          <w:lang w:eastAsia="en-GB"/>
        </w:rPr>
        <w:t xml:space="preserve"> </w:t>
      </w:r>
    </w:p>
    <w:p w14:paraId="706E487D" w14:textId="77777777" w:rsidR="00810CB8" w:rsidRPr="001471C5" w:rsidRDefault="00810CB8" w:rsidP="00810CB8">
      <w:pPr>
        <w:rPr>
          <w:rFonts w:eastAsia="Times New Roman"/>
          <w:i/>
          <w:szCs w:val="24"/>
          <w:lang w:eastAsia="en-GB"/>
        </w:rPr>
      </w:pPr>
      <w:r w:rsidRPr="001471C5">
        <w:rPr>
          <w:rFonts w:eastAsia="Times New Roman"/>
          <w:i/>
          <w:szCs w:val="24"/>
          <w:lang w:eastAsia="en-GB"/>
        </w:rPr>
        <w:t xml:space="preserve">Ku janë: </w:t>
      </w:r>
    </w:p>
    <w:p w14:paraId="51DFCBA2" w14:textId="77777777" w:rsidR="00810CB8" w:rsidRPr="001471C5" w:rsidRDefault="00810CB8" w:rsidP="003D1F55">
      <w:pPr>
        <w:ind w:firstLine="720"/>
        <w:rPr>
          <w:rFonts w:eastAsia="Times New Roman"/>
          <w:i/>
          <w:szCs w:val="24"/>
          <w:lang w:eastAsia="en-GB"/>
        </w:rPr>
      </w:pPr>
      <w:proofErr w:type="spellStart"/>
      <w:r w:rsidRPr="001471C5">
        <w:rPr>
          <w:rFonts w:eastAsia="Times New Roman"/>
          <w:i/>
          <w:szCs w:val="24"/>
          <w:lang w:eastAsia="en-GB"/>
        </w:rPr>
        <w:t>MARt</w:t>
      </w:r>
      <w:proofErr w:type="spellEnd"/>
      <w:r w:rsidRPr="001471C5">
        <w:rPr>
          <w:rFonts w:eastAsia="Times New Roman"/>
          <w:i/>
          <w:szCs w:val="24"/>
          <w:lang w:eastAsia="en-GB"/>
        </w:rPr>
        <w:t xml:space="preserve"> </w:t>
      </w:r>
      <w:r w:rsidR="003D1F55" w:rsidRPr="001471C5">
        <w:rPr>
          <w:rFonts w:eastAsia="Times New Roman"/>
          <w:i/>
          <w:szCs w:val="24"/>
          <w:lang w:eastAsia="en-GB"/>
        </w:rPr>
        <w:t xml:space="preserve">- </w:t>
      </w:r>
      <w:r w:rsidRPr="001471C5">
        <w:rPr>
          <w:rFonts w:eastAsia="Times New Roman"/>
          <w:i/>
          <w:szCs w:val="24"/>
          <w:lang w:eastAsia="en-GB"/>
        </w:rPr>
        <w:t xml:space="preserve">Të hyrat e lejuara maksimale në vitin relevant t </w:t>
      </w:r>
    </w:p>
    <w:p w14:paraId="1193F92B" w14:textId="77777777" w:rsidR="003D1F55" w:rsidRPr="001471C5" w:rsidRDefault="00810CB8" w:rsidP="003D1F55">
      <w:pPr>
        <w:ind w:left="720"/>
        <w:rPr>
          <w:rFonts w:eastAsia="Times New Roman"/>
          <w:i/>
          <w:szCs w:val="24"/>
          <w:lang w:eastAsia="en-GB"/>
        </w:rPr>
      </w:pPr>
      <w:proofErr w:type="spellStart"/>
      <w:r w:rsidRPr="001471C5">
        <w:rPr>
          <w:rFonts w:eastAsia="Times New Roman"/>
          <w:i/>
          <w:szCs w:val="24"/>
          <w:lang w:eastAsia="en-GB"/>
        </w:rPr>
        <w:t>OPMCt</w:t>
      </w:r>
      <w:proofErr w:type="spellEnd"/>
      <w:r w:rsidRPr="001471C5">
        <w:rPr>
          <w:rFonts w:eastAsia="Times New Roman"/>
          <w:i/>
          <w:szCs w:val="24"/>
          <w:lang w:eastAsia="en-GB"/>
        </w:rPr>
        <w:t xml:space="preserve"> </w:t>
      </w:r>
      <w:r w:rsidR="003D1F55" w:rsidRPr="001471C5">
        <w:rPr>
          <w:rFonts w:eastAsia="Times New Roman"/>
          <w:i/>
          <w:szCs w:val="24"/>
          <w:lang w:eastAsia="en-GB"/>
        </w:rPr>
        <w:t xml:space="preserve">-  </w:t>
      </w:r>
      <w:r w:rsidRPr="001471C5">
        <w:rPr>
          <w:rFonts w:eastAsia="Times New Roman"/>
          <w:i/>
          <w:szCs w:val="24"/>
          <w:lang w:eastAsia="en-GB"/>
        </w:rPr>
        <w:t>Kostot operative dhe të mirëmbajtjes në vitin relevant t</w:t>
      </w:r>
    </w:p>
    <w:p w14:paraId="74CAAF00" w14:textId="77777777" w:rsidR="003D1F55" w:rsidRPr="001471C5" w:rsidRDefault="00810CB8" w:rsidP="003D1F55">
      <w:pPr>
        <w:ind w:left="720"/>
        <w:rPr>
          <w:rFonts w:eastAsia="Times New Roman"/>
          <w:i/>
          <w:szCs w:val="24"/>
          <w:lang w:eastAsia="en-GB"/>
        </w:rPr>
      </w:pPr>
      <w:proofErr w:type="spellStart"/>
      <w:r w:rsidRPr="001471C5">
        <w:rPr>
          <w:rFonts w:eastAsia="Times New Roman"/>
          <w:i/>
          <w:szCs w:val="24"/>
          <w:lang w:eastAsia="en-GB"/>
        </w:rPr>
        <w:t>DEPCt</w:t>
      </w:r>
      <w:proofErr w:type="spellEnd"/>
      <w:r w:rsidR="003D1F55" w:rsidRPr="001471C5">
        <w:rPr>
          <w:rFonts w:eastAsia="Times New Roman"/>
          <w:i/>
          <w:szCs w:val="24"/>
          <w:lang w:eastAsia="en-GB"/>
        </w:rPr>
        <w:t xml:space="preserve"> - </w:t>
      </w:r>
      <w:r w:rsidRPr="001471C5">
        <w:rPr>
          <w:rFonts w:eastAsia="Times New Roman"/>
          <w:i/>
          <w:szCs w:val="24"/>
          <w:lang w:eastAsia="en-GB"/>
        </w:rPr>
        <w:t xml:space="preserve"> Zhvlerësimi i lejuar në vitin relevant t </w:t>
      </w:r>
    </w:p>
    <w:p w14:paraId="1EA87EAD" w14:textId="77777777" w:rsidR="003D1F55" w:rsidRPr="001471C5" w:rsidRDefault="00810CB8" w:rsidP="003D1F55">
      <w:pPr>
        <w:ind w:left="720"/>
        <w:rPr>
          <w:rFonts w:eastAsia="Times New Roman"/>
          <w:i/>
          <w:szCs w:val="24"/>
          <w:lang w:eastAsia="en-GB"/>
        </w:rPr>
      </w:pPr>
      <w:proofErr w:type="spellStart"/>
      <w:r w:rsidRPr="001471C5">
        <w:rPr>
          <w:rFonts w:eastAsia="Times New Roman"/>
          <w:i/>
          <w:szCs w:val="24"/>
          <w:lang w:eastAsia="en-GB"/>
        </w:rPr>
        <w:t>RTNCt</w:t>
      </w:r>
      <w:proofErr w:type="spellEnd"/>
      <w:r w:rsidR="003D1F55" w:rsidRPr="001471C5">
        <w:rPr>
          <w:rFonts w:eastAsia="Times New Roman"/>
          <w:i/>
          <w:szCs w:val="24"/>
          <w:lang w:eastAsia="en-GB"/>
        </w:rPr>
        <w:t xml:space="preserve"> - </w:t>
      </w:r>
      <w:r w:rsidRPr="001471C5">
        <w:rPr>
          <w:rFonts w:eastAsia="Times New Roman"/>
          <w:i/>
          <w:szCs w:val="24"/>
          <w:lang w:eastAsia="en-GB"/>
        </w:rPr>
        <w:t xml:space="preserve"> Kthimi i kostos së kapitalit i lejuar në vitin relevant t </w:t>
      </w:r>
    </w:p>
    <w:p w14:paraId="41106713" w14:textId="77777777" w:rsidR="003D1F55" w:rsidRPr="001471C5" w:rsidRDefault="00810CB8" w:rsidP="003D1F55">
      <w:pPr>
        <w:ind w:left="720"/>
        <w:rPr>
          <w:rFonts w:eastAsia="Times New Roman"/>
          <w:i/>
          <w:szCs w:val="24"/>
          <w:lang w:eastAsia="en-GB"/>
        </w:rPr>
      </w:pPr>
      <w:proofErr w:type="spellStart"/>
      <w:r w:rsidRPr="001471C5">
        <w:rPr>
          <w:rFonts w:eastAsia="Times New Roman"/>
          <w:i/>
          <w:szCs w:val="24"/>
          <w:lang w:eastAsia="en-GB"/>
        </w:rPr>
        <w:t>ASVCt</w:t>
      </w:r>
      <w:proofErr w:type="spellEnd"/>
      <w:r w:rsidRPr="001471C5">
        <w:rPr>
          <w:rFonts w:eastAsia="Times New Roman"/>
          <w:i/>
          <w:szCs w:val="24"/>
          <w:lang w:eastAsia="en-GB"/>
        </w:rPr>
        <w:t xml:space="preserve"> </w:t>
      </w:r>
      <w:r w:rsidR="003D1F55" w:rsidRPr="001471C5">
        <w:rPr>
          <w:rFonts w:eastAsia="Times New Roman"/>
          <w:i/>
          <w:szCs w:val="24"/>
          <w:lang w:eastAsia="en-GB"/>
        </w:rPr>
        <w:t xml:space="preserve">- </w:t>
      </w:r>
      <w:r w:rsidRPr="001471C5">
        <w:rPr>
          <w:rFonts w:eastAsia="Times New Roman"/>
          <w:i/>
          <w:szCs w:val="24"/>
          <w:lang w:eastAsia="en-GB"/>
        </w:rPr>
        <w:t xml:space="preserve">Kostot e lejuara për shërbime ndihmëse në vitin relevant t </w:t>
      </w:r>
    </w:p>
    <w:p w14:paraId="2D4F0E88" w14:textId="77777777" w:rsidR="003D1F55" w:rsidRPr="001471C5" w:rsidRDefault="00810CB8" w:rsidP="003D1F55">
      <w:pPr>
        <w:ind w:left="720"/>
        <w:rPr>
          <w:rFonts w:eastAsia="Times New Roman"/>
          <w:i/>
          <w:szCs w:val="24"/>
          <w:lang w:eastAsia="en-GB"/>
        </w:rPr>
      </w:pPr>
      <w:proofErr w:type="spellStart"/>
      <w:r w:rsidRPr="001471C5">
        <w:rPr>
          <w:rFonts w:eastAsia="Times New Roman"/>
          <w:i/>
          <w:szCs w:val="24"/>
          <w:lang w:eastAsia="en-GB"/>
        </w:rPr>
        <w:t>LSSCt</w:t>
      </w:r>
      <w:proofErr w:type="spellEnd"/>
      <w:r w:rsidRPr="001471C5">
        <w:rPr>
          <w:rFonts w:eastAsia="Times New Roman"/>
          <w:i/>
          <w:szCs w:val="24"/>
          <w:lang w:eastAsia="en-GB"/>
        </w:rPr>
        <w:t xml:space="preserve"> </w:t>
      </w:r>
      <w:r w:rsidR="003D1F55" w:rsidRPr="001471C5">
        <w:rPr>
          <w:rFonts w:eastAsia="Times New Roman"/>
          <w:i/>
          <w:szCs w:val="24"/>
          <w:lang w:eastAsia="en-GB"/>
        </w:rPr>
        <w:t xml:space="preserve">- </w:t>
      </w:r>
      <w:r w:rsidRPr="001471C5">
        <w:rPr>
          <w:rFonts w:eastAsia="Times New Roman"/>
          <w:i/>
          <w:szCs w:val="24"/>
          <w:lang w:eastAsia="en-GB"/>
        </w:rPr>
        <w:t>Kostoja e lejuar e humbjeve në vitin relevant t</w:t>
      </w:r>
      <w:r w:rsidR="003D1F55" w:rsidRPr="001471C5">
        <w:rPr>
          <w:rFonts w:eastAsia="Times New Roman"/>
          <w:i/>
          <w:szCs w:val="24"/>
          <w:lang w:eastAsia="en-GB"/>
        </w:rPr>
        <w:t xml:space="preserve"> </w:t>
      </w:r>
    </w:p>
    <w:p w14:paraId="4CED4DF3" w14:textId="77777777" w:rsidR="003D1F55" w:rsidRPr="001471C5" w:rsidRDefault="00810CB8" w:rsidP="003D1F55">
      <w:pPr>
        <w:ind w:left="720"/>
        <w:rPr>
          <w:rFonts w:eastAsia="Times New Roman"/>
          <w:i/>
          <w:szCs w:val="24"/>
          <w:lang w:eastAsia="en-GB"/>
        </w:rPr>
      </w:pPr>
      <w:proofErr w:type="spellStart"/>
      <w:r w:rsidRPr="001471C5">
        <w:rPr>
          <w:rFonts w:eastAsia="Times New Roman"/>
          <w:i/>
          <w:szCs w:val="24"/>
          <w:lang w:eastAsia="en-GB"/>
        </w:rPr>
        <w:t>LICCt</w:t>
      </w:r>
      <w:proofErr w:type="spellEnd"/>
      <w:r w:rsidRPr="001471C5">
        <w:rPr>
          <w:rFonts w:eastAsia="Times New Roman"/>
          <w:i/>
          <w:szCs w:val="24"/>
          <w:lang w:eastAsia="en-GB"/>
        </w:rPr>
        <w:t xml:space="preserve"> </w:t>
      </w:r>
      <w:r w:rsidR="003D1F55" w:rsidRPr="001471C5">
        <w:rPr>
          <w:rFonts w:eastAsia="Times New Roman"/>
          <w:i/>
          <w:szCs w:val="24"/>
          <w:lang w:eastAsia="en-GB"/>
        </w:rPr>
        <w:t xml:space="preserve">- </w:t>
      </w:r>
      <w:r w:rsidRPr="001471C5">
        <w:rPr>
          <w:rFonts w:eastAsia="Times New Roman"/>
          <w:i/>
          <w:szCs w:val="24"/>
          <w:lang w:eastAsia="en-GB"/>
        </w:rPr>
        <w:t xml:space="preserve">Kostoja e taksës për licencë në vitin relevant t </w:t>
      </w:r>
    </w:p>
    <w:p w14:paraId="46D43540" w14:textId="77777777" w:rsidR="003D1F55" w:rsidRPr="001471C5" w:rsidRDefault="00810CB8" w:rsidP="003D1F55">
      <w:pPr>
        <w:ind w:left="720"/>
        <w:rPr>
          <w:rFonts w:eastAsia="Times New Roman"/>
          <w:i/>
          <w:szCs w:val="24"/>
          <w:lang w:eastAsia="en-GB"/>
        </w:rPr>
      </w:pPr>
      <w:proofErr w:type="spellStart"/>
      <w:r w:rsidRPr="001471C5">
        <w:rPr>
          <w:rFonts w:eastAsia="Times New Roman"/>
          <w:i/>
          <w:szCs w:val="24"/>
          <w:lang w:eastAsia="en-GB"/>
        </w:rPr>
        <w:t>ITCRt</w:t>
      </w:r>
      <w:proofErr w:type="spellEnd"/>
      <w:r w:rsidRPr="001471C5">
        <w:rPr>
          <w:rFonts w:eastAsia="Times New Roman"/>
          <w:i/>
          <w:szCs w:val="24"/>
          <w:lang w:eastAsia="en-GB"/>
        </w:rPr>
        <w:t xml:space="preserve"> </w:t>
      </w:r>
      <w:r w:rsidR="003D1F55" w:rsidRPr="001471C5">
        <w:rPr>
          <w:rFonts w:eastAsia="Times New Roman"/>
          <w:i/>
          <w:szCs w:val="24"/>
          <w:lang w:eastAsia="en-GB"/>
        </w:rPr>
        <w:t xml:space="preserve">- </w:t>
      </w:r>
      <w:r w:rsidRPr="001471C5">
        <w:rPr>
          <w:rFonts w:eastAsia="Times New Roman"/>
          <w:i/>
          <w:szCs w:val="24"/>
          <w:lang w:eastAsia="en-GB"/>
        </w:rPr>
        <w:t xml:space="preserve">Të hyrat neto të OST/OT nga mekanizmi </w:t>
      </w:r>
      <w:proofErr w:type="spellStart"/>
      <w:r w:rsidRPr="001471C5">
        <w:rPr>
          <w:rFonts w:eastAsia="Times New Roman"/>
          <w:i/>
          <w:szCs w:val="24"/>
          <w:lang w:eastAsia="en-GB"/>
        </w:rPr>
        <w:t>kompensues</w:t>
      </w:r>
      <w:proofErr w:type="spellEnd"/>
      <w:r w:rsidRPr="001471C5">
        <w:rPr>
          <w:rFonts w:eastAsia="Times New Roman"/>
          <w:i/>
          <w:szCs w:val="24"/>
          <w:lang w:eastAsia="en-GB"/>
        </w:rPr>
        <w:t xml:space="preserve"> ndër-OST në vitin relevant t </w:t>
      </w:r>
    </w:p>
    <w:p w14:paraId="560BA726" w14:textId="77777777" w:rsidR="00810CB8" w:rsidRPr="001471C5" w:rsidRDefault="003D1F55" w:rsidP="003D1F55">
      <w:pPr>
        <w:ind w:left="720"/>
        <w:rPr>
          <w:rFonts w:eastAsia="Times New Roman"/>
          <w:i/>
          <w:szCs w:val="24"/>
          <w:lang w:eastAsia="en-GB"/>
        </w:rPr>
      </w:pPr>
      <w:r w:rsidRPr="001471C5">
        <w:rPr>
          <w:rFonts w:eastAsia="Times New Roman"/>
          <w:i/>
          <w:szCs w:val="24"/>
          <w:lang w:eastAsia="en-GB"/>
        </w:rPr>
        <w:t>NTFR t -</w:t>
      </w:r>
      <w:r w:rsidR="00810CB8" w:rsidRPr="001471C5">
        <w:rPr>
          <w:rFonts w:eastAsia="Times New Roman"/>
          <w:i/>
          <w:szCs w:val="24"/>
          <w:lang w:eastAsia="en-GB"/>
        </w:rPr>
        <w:t xml:space="preserve"> Të hyrat jo tarifore në vitin relevant t </w:t>
      </w:r>
    </w:p>
    <w:p w14:paraId="181840E9" w14:textId="77777777" w:rsidR="003D1F55" w:rsidRPr="001471C5" w:rsidRDefault="00810CB8" w:rsidP="003D1F55">
      <w:pPr>
        <w:ind w:left="720"/>
        <w:rPr>
          <w:rFonts w:eastAsia="Times New Roman"/>
          <w:i/>
          <w:szCs w:val="24"/>
          <w:lang w:eastAsia="en-GB"/>
        </w:rPr>
      </w:pPr>
      <w:proofErr w:type="spellStart"/>
      <w:r w:rsidRPr="001471C5">
        <w:rPr>
          <w:rFonts w:eastAsia="Times New Roman"/>
          <w:i/>
          <w:szCs w:val="24"/>
          <w:lang w:eastAsia="en-GB"/>
        </w:rPr>
        <w:t>ADJt</w:t>
      </w:r>
      <w:proofErr w:type="spellEnd"/>
      <w:r w:rsidR="003D1F55" w:rsidRPr="001471C5">
        <w:rPr>
          <w:rFonts w:eastAsia="Times New Roman"/>
          <w:i/>
          <w:szCs w:val="24"/>
          <w:lang w:eastAsia="en-GB"/>
        </w:rPr>
        <w:t xml:space="preserve"> - </w:t>
      </w:r>
      <w:r w:rsidRPr="001471C5">
        <w:rPr>
          <w:rFonts w:eastAsia="Times New Roman"/>
          <w:i/>
          <w:szCs w:val="24"/>
          <w:lang w:eastAsia="en-GB"/>
        </w:rPr>
        <w:t xml:space="preserve">Përshtatjet e kostove </w:t>
      </w:r>
    </w:p>
    <w:p w14:paraId="757EF7E5" w14:textId="77777777" w:rsidR="003D1F55" w:rsidRPr="001471C5" w:rsidRDefault="00810CB8" w:rsidP="003D1F55">
      <w:pPr>
        <w:ind w:left="720"/>
        <w:rPr>
          <w:rFonts w:eastAsia="Times New Roman"/>
          <w:i/>
          <w:szCs w:val="24"/>
          <w:lang w:eastAsia="en-GB"/>
        </w:rPr>
      </w:pPr>
      <w:proofErr w:type="spellStart"/>
      <w:r w:rsidRPr="001471C5">
        <w:rPr>
          <w:rFonts w:eastAsia="Times New Roman"/>
          <w:i/>
          <w:szCs w:val="24"/>
          <w:lang w:eastAsia="en-GB"/>
        </w:rPr>
        <w:t>KREVt</w:t>
      </w:r>
      <w:proofErr w:type="spellEnd"/>
      <w:r w:rsidRPr="001471C5">
        <w:rPr>
          <w:rFonts w:eastAsia="Times New Roman"/>
          <w:i/>
          <w:szCs w:val="24"/>
          <w:lang w:eastAsia="en-GB"/>
        </w:rPr>
        <w:t xml:space="preserve"> </w:t>
      </w:r>
      <w:r w:rsidR="003D1F55" w:rsidRPr="001471C5">
        <w:rPr>
          <w:rFonts w:eastAsia="Times New Roman"/>
          <w:i/>
          <w:szCs w:val="24"/>
          <w:lang w:eastAsia="en-GB"/>
        </w:rPr>
        <w:t xml:space="preserve">- </w:t>
      </w:r>
      <w:r w:rsidRPr="001471C5">
        <w:rPr>
          <w:rFonts w:eastAsia="Times New Roman"/>
          <w:i/>
          <w:szCs w:val="24"/>
          <w:lang w:eastAsia="en-GB"/>
        </w:rPr>
        <w:t xml:space="preserve">Faktori korrigjues i të hyrave në vitin relevant t </w:t>
      </w:r>
    </w:p>
    <w:p w14:paraId="22F8F073" w14:textId="77777777" w:rsidR="00F815F2" w:rsidRPr="001471C5" w:rsidRDefault="00F815F2" w:rsidP="00810CB8">
      <w:pPr>
        <w:rPr>
          <w:rFonts w:eastAsia="Times New Roman"/>
          <w:i/>
          <w:szCs w:val="24"/>
          <w:lang w:eastAsia="en-GB"/>
        </w:rPr>
      </w:pPr>
      <w:r w:rsidRPr="001471C5">
        <w:rPr>
          <w:rFonts w:cs="Calibri"/>
        </w:rPr>
        <w:t>Llogaritja e secilit nga këta komponentë është shtjelluar më poshtë.</w:t>
      </w:r>
    </w:p>
    <w:p w14:paraId="432D20C0" w14:textId="77777777" w:rsidR="00F815F2" w:rsidRPr="001471C5" w:rsidRDefault="00F815F2" w:rsidP="00F815F2">
      <w:pPr>
        <w:jc w:val="both"/>
      </w:pPr>
    </w:p>
    <w:p w14:paraId="354E4FB3" w14:textId="77777777" w:rsidR="0056576C" w:rsidRPr="001471C5" w:rsidRDefault="0056576C" w:rsidP="00F815F2">
      <w:pPr>
        <w:jc w:val="both"/>
      </w:pPr>
    </w:p>
    <w:p w14:paraId="185459BA" w14:textId="77777777" w:rsidR="0056576C" w:rsidRPr="001471C5" w:rsidRDefault="0056576C" w:rsidP="00F815F2">
      <w:pPr>
        <w:jc w:val="both"/>
      </w:pPr>
    </w:p>
    <w:p w14:paraId="7702E3EC" w14:textId="77777777" w:rsidR="0056576C" w:rsidRPr="001471C5" w:rsidRDefault="0056576C" w:rsidP="00F815F2">
      <w:pPr>
        <w:jc w:val="both"/>
      </w:pPr>
    </w:p>
    <w:p w14:paraId="44EECD25" w14:textId="77777777" w:rsidR="0056576C" w:rsidRPr="001471C5" w:rsidRDefault="0056576C" w:rsidP="00F815F2">
      <w:pPr>
        <w:jc w:val="both"/>
      </w:pPr>
    </w:p>
    <w:p w14:paraId="1840DA63" w14:textId="77777777" w:rsidR="0056576C" w:rsidRPr="001471C5" w:rsidRDefault="0056576C" w:rsidP="00F815F2">
      <w:pPr>
        <w:jc w:val="both"/>
      </w:pPr>
    </w:p>
    <w:p w14:paraId="0B06C88E" w14:textId="77777777" w:rsidR="0056576C" w:rsidRPr="001471C5" w:rsidRDefault="0056576C" w:rsidP="00F815F2">
      <w:pPr>
        <w:jc w:val="both"/>
      </w:pPr>
    </w:p>
    <w:p w14:paraId="1E48B918" w14:textId="77777777" w:rsidR="0056576C" w:rsidRPr="001471C5" w:rsidRDefault="0056576C" w:rsidP="00F815F2">
      <w:pPr>
        <w:jc w:val="both"/>
      </w:pPr>
    </w:p>
    <w:p w14:paraId="66F18876" w14:textId="77777777" w:rsidR="0056576C" w:rsidRPr="001471C5" w:rsidRDefault="0056576C" w:rsidP="00F815F2">
      <w:pPr>
        <w:jc w:val="both"/>
      </w:pPr>
    </w:p>
    <w:p w14:paraId="5B0D004A" w14:textId="77777777" w:rsidR="002F53EA" w:rsidRPr="001471C5" w:rsidRDefault="002F53EA" w:rsidP="00F815F2">
      <w:pPr>
        <w:jc w:val="both"/>
      </w:pPr>
    </w:p>
    <w:p w14:paraId="1CD10687" w14:textId="77777777" w:rsidR="002F53EA" w:rsidRPr="001471C5" w:rsidRDefault="002F53EA" w:rsidP="002F53EA">
      <w:pPr>
        <w:pStyle w:val="Caption"/>
        <w:spacing w:after="0"/>
        <w:rPr>
          <w:lang w:val="sq-AL"/>
        </w:rPr>
      </w:pPr>
      <w:r w:rsidRPr="001D246A">
        <w:rPr>
          <w:lang w:val="sq-AL"/>
        </w:rPr>
        <w:lastRenderedPageBreak/>
        <w:t xml:space="preserve">Tabela </w:t>
      </w:r>
      <w:r w:rsidR="00093103" w:rsidRPr="001D246A">
        <w:rPr>
          <w:lang w:val="sq-AL"/>
        </w:rPr>
        <w:fldChar w:fldCharType="begin"/>
      </w:r>
      <w:r w:rsidRPr="001D246A">
        <w:rPr>
          <w:lang w:val="sq-AL"/>
        </w:rPr>
        <w:instrText xml:space="preserve"> SEQ Table \* ARABIC </w:instrText>
      </w:r>
      <w:r w:rsidR="00093103" w:rsidRPr="001D246A">
        <w:rPr>
          <w:lang w:val="sq-AL"/>
        </w:rPr>
        <w:fldChar w:fldCharType="separate"/>
      </w:r>
      <w:r w:rsidRPr="001D246A">
        <w:rPr>
          <w:noProof/>
          <w:lang w:val="sq-AL"/>
        </w:rPr>
        <w:t>3</w:t>
      </w:r>
      <w:r w:rsidR="00093103" w:rsidRPr="001D246A">
        <w:rPr>
          <w:lang w:val="sq-AL"/>
        </w:rPr>
        <w:fldChar w:fldCharType="end"/>
      </w:r>
      <w:r w:rsidRPr="001D246A">
        <w:rPr>
          <w:lang w:val="sq-AL"/>
        </w:rPr>
        <w:t xml:space="preserve"> - Propozimi i MAR të OST/OT</w:t>
      </w:r>
    </w:p>
    <w:tbl>
      <w:tblPr>
        <w:tblW w:w="89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78"/>
        <w:gridCol w:w="1364"/>
        <w:gridCol w:w="1350"/>
        <w:gridCol w:w="990"/>
      </w:tblGrid>
      <w:tr w:rsidR="0056576C" w:rsidRPr="001471C5" w14:paraId="5E8EBA32" w14:textId="77777777" w:rsidTr="00825E63">
        <w:trPr>
          <w:trHeight w:val="51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19F4353F" w14:textId="77777777" w:rsidR="0056576C" w:rsidRPr="001471C5" w:rsidRDefault="00013BA5" w:rsidP="00013B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  <w:t>Te hyrat e lejuara maksimale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14:paraId="48AB814F" w14:textId="70EF69DB" w:rsidR="0056576C" w:rsidRPr="001471C5" w:rsidRDefault="00825E63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  <w:t xml:space="preserve">Lejuar/Aktual </w:t>
            </w:r>
            <w:r w:rsidR="00A85FFA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  <w:t>2019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14:paraId="768CA237" w14:textId="725307CE" w:rsidR="0056576C" w:rsidRPr="001471C5" w:rsidRDefault="0056576C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  <w:t>Lejuar</w:t>
            </w:r>
            <w:r w:rsidR="00825E63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  <w:t>/Aktual</w:t>
            </w:r>
            <w:r w:rsidRPr="001471C5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  <w:t xml:space="preserve"> </w:t>
            </w:r>
            <w:r w:rsidR="00A85FFA" w:rsidRPr="001471C5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  <w:t>20</w:t>
            </w:r>
            <w:r w:rsidR="00A85FFA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14:paraId="0C38151D" w14:textId="322F7B76" w:rsidR="0056576C" w:rsidRPr="001471C5" w:rsidRDefault="00825E63" w:rsidP="00825E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  <w:t>Propozim</w:t>
            </w:r>
            <w:r w:rsidR="00013BA5" w:rsidRPr="001471C5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  <w:t xml:space="preserve"> </w:t>
            </w:r>
            <w:r w:rsidR="00A85FFA" w:rsidRPr="001471C5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  <w:t>202</w:t>
            </w:r>
            <w:r w:rsidR="00A85FFA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  <w:t>1</w:t>
            </w:r>
          </w:p>
        </w:tc>
      </w:tr>
      <w:tr w:rsidR="0056576C" w:rsidRPr="001471C5" w14:paraId="4FD85451" w14:textId="77777777" w:rsidTr="00825E63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14:paraId="248A0701" w14:textId="77777777" w:rsidR="0056576C" w:rsidRPr="001471C5" w:rsidRDefault="0056576C" w:rsidP="005657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Parametrat e indeksimit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14:paraId="5E3B67FC" w14:textId="77777777" w:rsidR="0056576C" w:rsidRPr="001471C5" w:rsidRDefault="0056576C" w:rsidP="005657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14:paraId="28111859" w14:textId="77777777" w:rsidR="0056576C" w:rsidRPr="001471C5" w:rsidRDefault="0056576C" w:rsidP="005657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14:paraId="32DFD417" w14:textId="77777777" w:rsidR="0056576C" w:rsidRPr="001471C5" w:rsidRDefault="0056576C" w:rsidP="005657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85FFA" w:rsidRPr="001471C5" w14:paraId="65774B25" w14:textId="77777777" w:rsidTr="00825E63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778B9" w14:textId="77777777" w:rsidR="00A85FFA" w:rsidRPr="001471C5" w:rsidRDefault="00A85FFA" w:rsidP="00A85F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sz w:val="20"/>
                <w:szCs w:val="20"/>
              </w:rPr>
              <w:t>Faktori i efikasitetit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F2E1E" w14:textId="5792045B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sz w:val="20"/>
                <w:szCs w:val="20"/>
              </w:rPr>
              <w:t>1.5%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917BC" w14:textId="728628A9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sz w:val="20"/>
                <w:szCs w:val="20"/>
              </w:rPr>
              <w:t>1.5%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02AD1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sz w:val="20"/>
                <w:szCs w:val="20"/>
              </w:rPr>
              <w:t>1.5%</w:t>
            </w:r>
          </w:p>
        </w:tc>
      </w:tr>
      <w:tr w:rsidR="00A85FFA" w:rsidRPr="001471C5" w14:paraId="3833C4AF" w14:textId="77777777" w:rsidTr="00825E63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C8AC5A0" w14:textId="77777777" w:rsidR="00A85FFA" w:rsidRPr="001471C5" w:rsidRDefault="00A85FFA" w:rsidP="00A85F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sz w:val="20"/>
                <w:szCs w:val="20"/>
              </w:rPr>
              <w:t>HICP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CC5647" w14:textId="1FD2DC6C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sz w:val="20"/>
                <w:szCs w:val="20"/>
              </w:rPr>
              <w:t>1.19%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16C2C0" w14:textId="3FDEE4D8" w:rsidR="00A85FFA" w:rsidRPr="001471C5" w:rsidRDefault="001D246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0.26%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3A1B3E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85FFA" w:rsidRPr="001471C5" w14:paraId="6185BB63" w14:textId="77777777" w:rsidTr="00825E63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50D3907" w14:textId="77777777" w:rsidR="00A85FFA" w:rsidRPr="001471C5" w:rsidRDefault="00A85FFA" w:rsidP="00A85F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1471C5">
              <w:rPr>
                <w:rFonts w:asciiTheme="minorHAnsi" w:eastAsia="Times New Roman" w:hAnsiTheme="minorHAnsi" w:cstheme="minorHAnsi"/>
                <w:sz w:val="20"/>
                <w:szCs w:val="20"/>
              </w:rPr>
              <w:t>Euribor</w:t>
            </w:r>
            <w:proofErr w:type="spellEnd"/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519802" w14:textId="0FB6398B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sz w:val="20"/>
                <w:szCs w:val="20"/>
              </w:rPr>
              <w:t>-0.2%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417617" w14:textId="7C4277D6" w:rsidR="00A85FFA" w:rsidRPr="001471C5" w:rsidRDefault="001D246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-0.3%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5C49BE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85FFA" w:rsidRPr="001471C5" w14:paraId="4E35C827" w14:textId="77777777" w:rsidTr="00825E63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72BC19" w14:textId="77777777" w:rsidR="00A85FFA" w:rsidRPr="001471C5" w:rsidRDefault="00A85FFA" w:rsidP="00A85F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sz w:val="20"/>
                <w:szCs w:val="20"/>
              </w:rPr>
              <w:t>Faktori S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A703F0" w14:textId="58FBC6D0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sz w:val="20"/>
                <w:szCs w:val="20"/>
              </w:rPr>
              <w:t>7.60%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4F0DDE" w14:textId="62821350" w:rsidR="00A85FFA" w:rsidRPr="001471C5" w:rsidRDefault="001D246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7.60%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D3C4E7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85FFA" w:rsidRPr="001471C5" w14:paraId="6096AC5E" w14:textId="77777777" w:rsidTr="00825E63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04C7223" w14:textId="77777777" w:rsidR="00A85FFA" w:rsidRPr="001471C5" w:rsidRDefault="00A85FFA" w:rsidP="00A85F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sz w:val="20"/>
                <w:szCs w:val="20"/>
              </w:rPr>
              <w:t>Norma e interesit - It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366C2" w14:textId="7D9D321A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7.38%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49E33D" w14:textId="2700DCA6" w:rsidR="00A85FFA" w:rsidRPr="001471C5" w:rsidRDefault="001D246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7.30%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9F7D4C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85FFA" w:rsidRPr="001471C5" w14:paraId="250AD5D1" w14:textId="77777777" w:rsidTr="00825E63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14:paraId="0F5F7163" w14:textId="77777777" w:rsidR="00A85FFA" w:rsidRPr="001471C5" w:rsidRDefault="00A85FFA" w:rsidP="00A85F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Shpenzimet operative dhe t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ë</w:t>
            </w:r>
            <w:r w:rsidRPr="001471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mirëmbajtjes (</w:t>
            </w:r>
            <w:proofErr w:type="spellStart"/>
            <w:r w:rsidRPr="001471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OPMCt</w:t>
            </w:r>
            <w:proofErr w:type="spellEnd"/>
            <w:r w:rsidRPr="001471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14:paraId="5B8D9145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14:paraId="610AE7A5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14:paraId="7A658E23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85FFA" w:rsidRPr="001471C5" w14:paraId="6AE5A0CF" w14:textId="77777777" w:rsidTr="00825E63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98B91" w14:textId="73A5032C" w:rsidR="00A85FFA" w:rsidRPr="001471C5" w:rsidRDefault="00A85FFA" w:rsidP="00A85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Vlerësimi gjate PRR2</w:t>
            </w:r>
            <w:r w:rsidR="003312A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312AF" w:rsidRPr="004633ED">
              <w:rPr>
                <w:rFonts w:cstheme="minorHAnsi"/>
              </w:rPr>
              <w:t>€m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82C0EF3" w14:textId="6AE424FE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7.30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62884" w14:textId="6D0AB728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7.19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D1830" w14:textId="4F215B63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7.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</w:t>
            </w: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</w:t>
            </w:r>
          </w:p>
        </w:tc>
      </w:tr>
      <w:tr w:rsidR="00A85FFA" w:rsidRPr="001471C5" w14:paraId="3F94492E" w14:textId="77777777" w:rsidTr="00825E63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707F5" w14:textId="7D52103B" w:rsidR="00A85FFA" w:rsidRPr="001471C5" w:rsidRDefault="00A85FFA" w:rsidP="00A85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Lejuar -</w:t>
            </w:r>
            <w:proofErr w:type="spellStart"/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OPMCt</w:t>
            </w:r>
            <w:proofErr w:type="spellEnd"/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= OPMCt-1 * (1 + CPIt-1) * (1 – Et)* (1 – </w:t>
            </w:r>
            <w:proofErr w:type="spellStart"/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Pt</w:t>
            </w:r>
            <w:proofErr w:type="spellEnd"/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)</w:t>
            </w:r>
            <w:r w:rsidR="003312AF" w:rsidRPr="004633ED">
              <w:rPr>
                <w:rFonts w:cstheme="minorHAnsi"/>
              </w:rPr>
              <w:t xml:space="preserve"> €m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D90510" w14:textId="4DBBC77F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7.42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42675" w14:textId="37E12782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7.28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422B4" w14:textId="72473D24" w:rsidR="00A85FFA" w:rsidRPr="001471C5" w:rsidRDefault="00A85FFA" w:rsidP="00FE3C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7.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A85FFA" w:rsidRPr="001471C5" w14:paraId="40DAA4BA" w14:textId="77777777" w:rsidTr="00825E63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831DE" w14:textId="5872A98E" w:rsidR="00A85FFA" w:rsidRPr="001471C5" w:rsidRDefault="00A85FFA" w:rsidP="00A85F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sz w:val="20"/>
                <w:szCs w:val="20"/>
              </w:rPr>
              <w:t>Përshtatjet e kostove të mirëmbajtjes:</w:t>
            </w:r>
            <w:r w:rsidR="003312A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3312AF" w:rsidRPr="004633ED">
              <w:rPr>
                <w:rFonts w:cstheme="minorHAnsi"/>
              </w:rPr>
              <w:t>€m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DE86B" w14:textId="32018DAF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A1163" w14:textId="60D9C321" w:rsidR="00A85FFA" w:rsidRPr="001471C5" w:rsidRDefault="001D246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B9C581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85FFA" w:rsidRPr="001471C5" w14:paraId="3D318854" w14:textId="77777777" w:rsidTr="00825E63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E5C9F" w14:textId="479C649D" w:rsidR="00A85FFA" w:rsidRPr="001471C5" w:rsidRDefault="00A85FFA" w:rsidP="00A85F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   Aktuali</w:t>
            </w:r>
            <w:r w:rsidR="003312A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3312AF" w:rsidRPr="004633ED">
              <w:rPr>
                <w:rFonts w:cstheme="minorHAnsi"/>
              </w:rPr>
              <w:t>€m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640C90" w14:textId="5C9FFC26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sz w:val="20"/>
                <w:szCs w:val="20"/>
              </w:rPr>
              <w:t>0.68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42D11F" w14:textId="7D685BB5" w:rsidR="00A85FFA" w:rsidRPr="001471C5" w:rsidRDefault="001D246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0.75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5D5FCF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85FFA" w:rsidRPr="001471C5" w14:paraId="06404C32" w14:textId="77777777" w:rsidTr="00825E63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7C95F" w14:textId="69E9C620" w:rsidR="00A85FFA" w:rsidRPr="001471C5" w:rsidRDefault="00A85FFA" w:rsidP="00A85F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   Dallimi duke aplikuar faktorin ndarës 50/50</w:t>
            </w:r>
            <w:r w:rsidR="003312A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</w:t>
            </w:r>
            <w:r w:rsidR="003312AF" w:rsidRPr="004633ED">
              <w:rPr>
                <w:rFonts w:cstheme="minorHAnsi"/>
              </w:rPr>
              <w:t>€m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050698" w14:textId="20B31029" w:rsidR="00A85FFA" w:rsidRPr="001471C5" w:rsidRDefault="001A758C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r w:rsidR="00A85FFA" w:rsidRPr="001471C5">
              <w:rPr>
                <w:rFonts w:asciiTheme="minorHAnsi" w:eastAsia="Times New Roman" w:hAnsiTheme="minorHAnsi" w:cstheme="minorHAnsi"/>
                <w:sz w:val="20"/>
                <w:szCs w:val="20"/>
              </w:rPr>
              <w:t>0.19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DAE131" w14:textId="670D1B04" w:rsidR="00A85FFA" w:rsidRPr="001471C5" w:rsidRDefault="001A758C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r w:rsidR="001D246A">
              <w:rPr>
                <w:rFonts w:asciiTheme="minorHAnsi" w:eastAsia="Times New Roman" w:hAnsiTheme="minorHAnsi" w:cstheme="minorHAnsi"/>
                <w:sz w:val="20"/>
                <w:szCs w:val="20"/>
              </w:rPr>
              <w:t>0.15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FDE4D2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85FFA" w:rsidRPr="001471C5" w14:paraId="1C47ED2E" w14:textId="77777777" w:rsidTr="00825E63">
        <w:trPr>
          <w:trHeight w:val="315"/>
        </w:trPr>
        <w:tc>
          <w:tcPr>
            <w:tcW w:w="5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7D009" w14:textId="6F33C093" w:rsidR="00A85FFA" w:rsidRPr="001471C5" w:rsidRDefault="00A85FFA" w:rsidP="00A85F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Përshtatjet për OPEX për </w:t>
            </w:r>
            <w:proofErr w:type="spellStart"/>
            <w:r w:rsidRPr="001471C5">
              <w:rPr>
                <w:rFonts w:asciiTheme="minorHAnsi" w:eastAsia="Times New Roman" w:hAnsiTheme="minorHAnsi" w:cstheme="minorHAnsi"/>
                <w:sz w:val="20"/>
                <w:szCs w:val="20"/>
              </w:rPr>
              <w:t>Vallaq</w:t>
            </w:r>
            <w:proofErr w:type="spellEnd"/>
            <w:r w:rsidR="003312A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3312AF" w:rsidRPr="004633ED">
              <w:rPr>
                <w:rFonts w:cstheme="minorHAnsi"/>
              </w:rPr>
              <w:t>€m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B4DA1E" w14:textId="22E916AD" w:rsidR="00A85FFA" w:rsidRPr="001471C5" w:rsidRDefault="001A758C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r w:rsidR="00A85FFA" w:rsidRPr="001471C5">
              <w:rPr>
                <w:rFonts w:asciiTheme="minorHAnsi" w:eastAsia="Times New Roman" w:hAnsiTheme="minorHAnsi" w:cstheme="minorHAnsi"/>
                <w:sz w:val="20"/>
                <w:szCs w:val="20"/>
              </w:rPr>
              <w:t>0.16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20534B" w14:textId="26B0D186" w:rsidR="00A85FFA" w:rsidRPr="001471C5" w:rsidRDefault="001A758C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r w:rsidR="001D246A">
              <w:rPr>
                <w:rFonts w:asciiTheme="minorHAnsi" w:eastAsia="Times New Roman" w:hAnsiTheme="minorHAnsi" w:cstheme="minorHAnsi"/>
                <w:sz w:val="20"/>
                <w:szCs w:val="20"/>
              </w:rPr>
              <w:t>0.08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282609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85FFA" w:rsidRPr="001471C5" w14:paraId="0FA1C6A2" w14:textId="77777777" w:rsidTr="00825E63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14:paraId="0E62C33F" w14:textId="77777777" w:rsidR="00A85FFA" w:rsidRPr="001471C5" w:rsidRDefault="00A85FFA" w:rsidP="00A85F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Kostot  e zhvlerësimit (</w:t>
            </w:r>
            <w:proofErr w:type="spellStart"/>
            <w:r w:rsidRPr="001471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DEPCt</w:t>
            </w:r>
            <w:proofErr w:type="spellEnd"/>
            <w:r w:rsidRPr="001471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14:paraId="7DE910F0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14:paraId="713BCB35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14:paraId="1DEFB28E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85FFA" w:rsidRPr="001471C5" w14:paraId="7F0E9AF9" w14:textId="77777777" w:rsidTr="00825E63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DEE8C" w14:textId="3EE0D62A" w:rsidR="00A85FFA" w:rsidRPr="001471C5" w:rsidRDefault="00A85FFA" w:rsidP="00A85FFA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Vlerësimi gjate PRR2</w:t>
            </w:r>
            <w:r w:rsidR="003312A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="003312AF" w:rsidRPr="004633ED">
              <w:rPr>
                <w:rFonts w:cstheme="minorHAnsi"/>
              </w:rPr>
              <w:t>€m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4C54574" w14:textId="2E394392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10.46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064FC0" w14:textId="7ED972E2" w:rsidR="00A85FFA" w:rsidRPr="001471C5" w:rsidRDefault="00A85FFA" w:rsidP="001D24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11.2</w:t>
            </w:r>
            <w:r w:rsidR="001D246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2E6612" w14:textId="7D9BB3F4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11.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71</w:t>
            </w:r>
          </w:p>
        </w:tc>
      </w:tr>
      <w:tr w:rsidR="00A85FFA" w:rsidRPr="001471C5" w14:paraId="7E3F3E5A" w14:textId="77777777" w:rsidTr="00825E63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C4BDF" w14:textId="28CD5C17" w:rsidR="00A85FFA" w:rsidRPr="001471C5" w:rsidRDefault="00A85FFA" w:rsidP="00A85FFA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Lejuar - </w:t>
            </w:r>
            <w:proofErr w:type="spellStart"/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DEPCt</w:t>
            </w:r>
            <w:proofErr w:type="spellEnd"/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= DEPCt-1 * (1 + CPIt-1) * (1 – </w:t>
            </w:r>
            <w:proofErr w:type="spellStart"/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Pt</w:t>
            </w:r>
            <w:proofErr w:type="spellEnd"/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)</w:t>
            </w:r>
            <w:r w:rsidR="003312A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="003312AF" w:rsidRPr="004633ED">
              <w:rPr>
                <w:rFonts w:cstheme="minorHAnsi"/>
              </w:rPr>
              <w:t>€m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7AF4F" w14:textId="59539392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10.63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D48EF" w14:textId="017F8DE8" w:rsidR="00A85FFA" w:rsidRPr="001471C5" w:rsidRDefault="001D246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11.36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93CD7E" w14:textId="24116971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11.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74</w:t>
            </w:r>
          </w:p>
        </w:tc>
      </w:tr>
      <w:tr w:rsidR="00A85FFA" w:rsidRPr="001471C5" w14:paraId="0C2CAFEF" w14:textId="77777777" w:rsidTr="00825E63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14:paraId="5B47EBE5" w14:textId="77777777" w:rsidR="00A85FFA" w:rsidRPr="001471C5" w:rsidRDefault="00A85FFA" w:rsidP="00A85F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Kostot e kthimit (</w:t>
            </w:r>
            <w:proofErr w:type="spellStart"/>
            <w:r w:rsidRPr="001471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RTNCt</w:t>
            </w:r>
            <w:proofErr w:type="spellEnd"/>
            <w:r w:rsidRPr="001471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14:paraId="71318AED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14:paraId="14ABA507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14:paraId="17E6CBFF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85FFA" w:rsidRPr="001471C5" w14:paraId="79F59956" w14:textId="77777777" w:rsidTr="00825E63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62371" w14:textId="734E0FB9" w:rsidR="00A85FFA" w:rsidRPr="001471C5" w:rsidRDefault="00A85FFA" w:rsidP="00A85FFA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Vlerësimi gjate PRR2</w:t>
            </w:r>
            <w:r w:rsidR="003312A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312AF" w:rsidRPr="004633ED">
              <w:rPr>
                <w:rFonts w:cstheme="minorHAnsi"/>
              </w:rPr>
              <w:t>€m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E6A61B1" w14:textId="5269FA92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9.44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32B39E" w14:textId="358644F8" w:rsidR="00A85FFA" w:rsidRPr="001471C5" w:rsidRDefault="001D246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10.22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2198F4" w14:textId="63799A2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10.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85</w:t>
            </w:r>
          </w:p>
        </w:tc>
      </w:tr>
      <w:tr w:rsidR="00A85FFA" w:rsidRPr="001471C5" w14:paraId="52F3D24A" w14:textId="77777777" w:rsidTr="00825E63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86A22" w14:textId="11BAD346" w:rsidR="00A85FFA" w:rsidRPr="001471C5" w:rsidRDefault="00A85FFA" w:rsidP="00A85FFA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Lejuar - </w:t>
            </w:r>
            <w:proofErr w:type="spellStart"/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RTNCt</w:t>
            </w:r>
            <w:proofErr w:type="spellEnd"/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= RTNCt-1 * (1 + CPIt-1) * (1 – </w:t>
            </w:r>
            <w:proofErr w:type="spellStart"/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Pt</w:t>
            </w:r>
            <w:proofErr w:type="spellEnd"/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)</w:t>
            </w:r>
            <w:r w:rsidR="003312A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="003312AF" w:rsidRPr="004633ED">
              <w:rPr>
                <w:rFonts w:cstheme="minorHAnsi"/>
              </w:rPr>
              <w:t>€m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C77CB" w14:textId="4B1BC4D3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9.59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EC4744" w14:textId="6FEC1A94" w:rsidR="00A85FFA" w:rsidRPr="001471C5" w:rsidRDefault="001D246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10.34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76CF18" w14:textId="50103873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10.</w:t>
            </w:r>
            <w:r w:rsidR="00FE3C9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A85FFA" w:rsidRPr="001471C5" w14:paraId="1FBA1952" w14:textId="77777777" w:rsidTr="00825E63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14:paraId="6ED74369" w14:textId="77777777" w:rsidR="00A85FFA" w:rsidRPr="001471C5" w:rsidRDefault="00A85FFA" w:rsidP="00A85F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Kostot e humbjeve  (</w:t>
            </w:r>
            <w:proofErr w:type="spellStart"/>
            <w:r w:rsidRPr="001471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LSSCt</w:t>
            </w:r>
            <w:proofErr w:type="spellEnd"/>
            <w:r w:rsidRPr="001471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14:paraId="53420DE0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14:paraId="281B3899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14:paraId="3757007A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85FFA" w:rsidRPr="001471C5" w14:paraId="2F7EDA14" w14:textId="77777777" w:rsidTr="00825E63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A1FD4" w14:textId="77777777" w:rsidR="00A85FFA" w:rsidRPr="001471C5" w:rsidRDefault="00A85FFA" w:rsidP="00A85F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Parashikim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3D4F8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DF679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56BA2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85FFA" w:rsidRPr="001471C5" w14:paraId="5C7B74D5" w14:textId="77777777" w:rsidTr="00825E63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0FBE5" w14:textId="77777777" w:rsidR="00A85FFA" w:rsidRPr="001471C5" w:rsidRDefault="00A85FFA" w:rsidP="00A85FFA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1471C5">
              <w:rPr>
                <w:rFonts w:asciiTheme="minorHAnsi" w:eastAsia="Times New Roman" w:hAnsiTheme="minorHAnsi" w:cstheme="minorHAnsi"/>
                <w:sz w:val="20"/>
                <w:szCs w:val="20"/>
              </w:rPr>
              <w:t>LSSAt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4C56BB" w14:textId="19527DF4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1.78%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A83C46" w14:textId="0CB6BBE1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1.78%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1CF1F7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1.78%</w:t>
            </w:r>
          </w:p>
        </w:tc>
      </w:tr>
      <w:tr w:rsidR="00A85FFA" w:rsidRPr="001471C5" w14:paraId="5DD98439" w14:textId="77777777" w:rsidTr="00825E63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E02FF" w14:textId="2D5A2055" w:rsidR="00A85FFA" w:rsidRPr="001471C5" w:rsidRDefault="00A85FFA" w:rsidP="00A85FFA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1471C5">
              <w:rPr>
                <w:rFonts w:asciiTheme="minorHAnsi" w:eastAsia="Times New Roman" w:hAnsiTheme="minorHAnsi" w:cstheme="minorHAnsi"/>
                <w:sz w:val="20"/>
                <w:szCs w:val="20"/>
              </w:rPr>
              <w:t>REUEt</w:t>
            </w:r>
            <w:proofErr w:type="spellEnd"/>
            <w:r w:rsidR="003312A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312AF">
              <w:rPr>
                <w:rFonts w:asciiTheme="minorHAnsi" w:eastAsia="Times New Roman" w:hAnsiTheme="minorHAnsi" w:cstheme="minorHAnsi"/>
                <w:sz w:val="20"/>
                <w:szCs w:val="20"/>
              </w:rPr>
              <w:t>GWh</w:t>
            </w:r>
            <w:proofErr w:type="spellEnd"/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5AE86" w14:textId="59527018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6,395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054C3C" w14:textId="4AA31BE4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6,238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4A4F86" w14:textId="48B1BE59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</w:t>
            </w:r>
            <w:r w:rsidR="00FE3C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645</w:t>
            </w:r>
          </w:p>
        </w:tc>
      </w:tr>
      <w:tr w:rsidR="00A85FFA" w:rsidRPr="001471C5" w14:paraId="6CD2A8E3" w14:textId="77777777" w:rsidTr="00825E63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2668E" w14:textId="66F71BB0" w:rsidR="00A85FFA" w:rsidRPr="001471C5" w:rsidRDefault="00A85FFA" w:rsidP="00A85FFA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1471C5">
              <w:rPr>
                <w:rFonts w:asciiTheme="minorHAnsi" w:eastAsia="Times New Roman" w:hAnsiTheme="minorHAnsi" w:cstheme="minorHAnsi"/>
                <w:sz w:val="20"/>
                <w:szCs w:val="20"/>
              </w:rPr>
              <w:t>WHEAt</w:t>
            </w:r>
            <w:proofErr w:type="spellEnd"/>
            <w:r w:rsidR="003312A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€/</w:t>
            </w:r>
            <w:proofErr w:type="spellStart"/>
            <w:r w:rsidR="003312AF">
              <w:rPr>
                <w:rFonts w:asciiTheme="minorHAnsi" w:eastAsia="Times New Roman" w:hAnsiTheme="minorHAnsi" w:cstheme="minorHAnsi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154C58" w14:textId="65E02E9A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sz w:val="20"/>
                <w:szCs w:val="20"/>
              </w:rPr>
              <w:t>47.46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1EC86D" w14:textId="6468B4B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46.46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FBCC20" w14:textId="1FE9CA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46.</w:t>
            </w:r>
            <w:r w:rsidR="00FE3C9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Pr="00147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A85FFA" w:rsidRPr="001471C5" w14:paraId="5C015B57" w14:textId="77777777" w:rsidTr="00825E63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5EE52" w14:textId="423BC404" w:rsidR="00A85FFA" w:rsidRPr="001471C5" w:rsidRDefault="00A85FFA" w:rsidP="00A85FFA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1471C5">
              <w:rPr>
                <w:rFonts w:asciiTheme="minorHAnsi" w:eastAsia="Times New Roman" w:hAnsiTheme="minorHAnsi" w:cstheme="minorHAnsi"/>
                <w:sz w:val="20"/>
                <w:szCs w:val="20"/>
              </w:rPr>
              <w:t>Kosotja</w:t>
            </w:r>
            <w:proofErr w:type="spellEnd"/>
            <w:r w:rsidRPr="001471C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e parashikuar e humbjeve</w:t>
            </w:r>
            <w:r w:rsidR="003312A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3312AF" w:rsidRPr="004633ED">
              <w:rPr>
                <w:rFonts w:cstheme="minorHAnsi"/>
              </w:rPr>
              <w:t>€m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4A252" w14:textId="670905FA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C3F828" w14:textId="60374459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5.16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14049A" w14:textId="43460630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5.1</w:t>
            </w:r>
            <w:r w:rsidR="00FE3C9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A85FFA" w:rsidRPr="001471C5" w14:paraId="3BBC5DE0" w14:textId="77777777" w:rsidTr="00825E63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9F8D0" w14:textId="77777777" w:rsidR="00A85FFA" w:rsidRPr="001471C5" w:rsidRDefault="00A85FFA" w:rsidP="00A85F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Aktual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B2617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13B17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4A937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85FFA" w:rsidRPr="001471C5" w14:paraId="7247CB0E" w14:textId="77777777" w:rsidTr="00825E63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A2B5F" w14:textId="77777777" w:rsidR="00A85FFA" w:rsidRPr="001471C5" w:rsidRDefault="00A85FFA" w:rsidP="00A85FFA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1471C5">
              <w:rPr>
                <w:rFonts w:asciiTheme="minorHAnsi" w:eastAsia="Times New Roman" w:hAnsiTheme="minorHAnsi" w:cstheme="minorHAnsi"/>
                <w:sz w:val="20"/>
                <w:szCs w:val="20"/>
              </w:rPr>
              <w:t>LSSAt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0EC2EA" w14:textId="706842F1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1.78%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5857F6" w14:textId="3A674C9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1.78%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340C0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1.78%</w:t>
            </w:r>
          </w:p>
        </w:tc>
      </w:tr>
      <w:tr w:rsidR="00A85FFA" w:rsidRPr="001471C5" w14:paraId="44473B6F" w14:textId="77777777" w:rsidTr="00934368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5D8F6" w14:textId="75ECC062" w:rsidR="00A85FFA" w:rsidRPr="001471C5" w:rsidRDefault="00A85FFA" w:rsidP="00A85FFA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1471C5">
              <w:rPr>
                <w:rFonts w:asciiTheme="minorHAnsi" w:eastAsia="Times New Roman" w:hAnsiTheme="minorHAnsi" w:cstheme="minorHAnsi"/>
                <w:sz w:val="20"/>
                <w:szCs w:val="20"/>
              </w:rPr>
              <w:t>REUEt</w:t>
            </w:r>
            <w:proofErr w:type="spellEnd"/>
            <w:r w:rsidR="003312A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312AF">
              <w:rPr>
                <w:rFonts w:asciiTheme="minorHAnsi" w:eastAsia="Times New Roman" w:hAnsiTheme="minorHAnsi" w:cstheme="minorHAnsi"/>
                <w:sz w:val="20"/>
                <w:szCs w:val="20"/>
              </w:rPr>
              <w:t>GWh</w:t>
            </w:r>
            <w:proofErr w:type="spellEnd"/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A13F64" w14:textId="27F21C1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6,070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09B9FF" w14:textId="1D986394" w:rsidR="00A85FFA" w:rsidRPr="001471C5" w:rsidRDefault="001D246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6,205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3116DF" w14:textId="676AC8A9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85FFA" w:rsidRPr="001471C5" w14:paraId="0F99E4DF" w14:textId="77777777" w:rsidTr="00934368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FE3AB" w14:textId="63C88C61" w:rsidR="00A85FFA" w:rsidRPr="001471C5" w:rsidRDefault="00A85FFA" w:rsidP="00A85FFA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1471C5">
              <w:rPr>
                <w:rFonts w:asciiTheme="minorHAnsi" w:eastAsia="Times New Roman" w:hAnsiTheme="minorHAnsi" w:cstheme="minorHAnsi"/>
                <w:sz w:val="20"/>
                <w:szCs w:val="20"/>
              </w:rPr>
              <w:t>WHEAt</w:t>
            </w:r>
            <w:proofErr w:type="spellEnd"/>
            <w:r w:rsidR="003312A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€/</w:t>
            </w:r>
            <w:proofErr w:type="spellStart"/>
            <w:r w:rsidR="003312AF">
              <w:rPr>
                <w:rFonts w:asciiTheme="minorHAnsi" w:eastAsia="Times New Roman" w:hAnsiTheme="minorHAnsi" w:cstheme="minorHAnsi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B8E08DE" w14:textId="5A4590C2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sz w:val="20"/>
                <w:szCs w:val="20"/>
              </w:rPr>
              <w:t>42.37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F6D5EF" w14:textId="563EF716" w:rsidR="00A85FFA" w:rsidRPr="001471C5" w:rsidRDefault="001D246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41.54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7A0EE3" w14:textId="06A0E19A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85FFA" w:rsidRPr="001471C5" w14:paraId="7706927C" w14:textId="77777777" w:rsidTr="00934368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E00A7" w14:textId="1BD5337D" w:rsidR="00A85FFA" w:rsidRPr="001471C5" w:rsidRDefault="00A85FFA" w:rsidP="00A85FFA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sz w:val="20"/>
                <w:szCs w:val="20"/>
              </w:rPr>
              <w:t>Kostoja aktuale e humbjeve</w:t>
            </w:r>
            <w:r w:rsidRPr="001471C5">
              <w:rPr>
                <w:rStyle w:val="FootnoteReference"/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footnoteReference w:id="4"/>
            </w:r>
            <w:r w:rsidR="003312A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</w:t>
            </w:r>
            <w:r w:rsidR="003312AF" w:rsidRPr="004633ED">
              <w:rPr>
                <w:rFonts w:cstheme="minorHAnsi"/>
              </w:rPr>
              <w:t>€m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BBEA4" w14:textId="60970696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D675B" w14:textId="27EDB444" w:rsidR="00A85FFA" w:rsidRPr="001471C5" w:rsidRDefault="001D246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2D65C" w14:textId="64FB7B21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5FFA" w:rsidRPr="001471C5" w14:paraId="2DF939C5" w14:textId="77777777" w:rsidTr="00825E63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14:paraId="522EA40B" w14:textId="77777777" w:rsidR="00A85FFA" w:rsidRPr="001471C5" w:rsidRDefault="00A85FFA" w:rsidP="00A85F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Fondi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14:paraId="625823B8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14:paraId="6A5F2EFF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14:paraId="609ACEB7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85FFA" w:rsidRPr="001471C5" w14:paraId="14801B27" w14:textId="77777777" w:rsidTr="00825E63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9F4A3" w14:textId="1462CD8E" w:rsidR="00A85FFA" w:rsidRPr="001471C5" w:rsidRDefault="00A85FFA" w:rsidP="00A85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Parashikim</w:t>
            </w:r>
            <w:r w:rsidR="003312A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="003312AF" w:rsidRPr="004633ED">
              <w:rPr>
                <w:rFonts w:cstheme="minorHAnsi"/>
              </w:rPr>
              <w:t>€m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9AE249" w14:textId="0537EAC1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13.74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7F8E4" w14:textId="4D359A78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17.78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440BA8" w14:textId="6DD10FEB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="00FE3C9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6.67</w:t>
            </w:r>
          </w:p>
        </w:tc>
      </w:tr>
      <w:tr w:rsidR="00A85FFA" w:rsidRPr="001471C5" w14:paraId="50D63940" w14:textId="77777777" w:rsidTr="00825E63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E6908" w14:textId="1E76388D" w:rsidR="00A85FFA" w:rsidRPr="001471C5" w:rsidRDefault="00A85FFA" w:rsidP="00A85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Aktual</w:t>
            </w:r>
            <w:r w:rsidR="003312A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="003312AF" w:rsidRPr="004633ED">
              <w:rPr>
                <w:rFonts w:cstheme="minorHAnsi"/>
              </w:rPr>
              <w:t>€m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3024C9" w14:textId="085C9DB1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sz w:val="20"/>
                <w:szCs w:val="20"/>
              </w:rPr>
              <w:t>(2.86)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FFF46F" w14:textId="10DD2F48" w:rsidR="00A85FFA" w:rsidRPr="001471C5" w:rsidRDefault="001D246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(6.71)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510FC1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85FFA" w:rsidRPr="001471C5" w14:paraId="50F2EA85" w14:textId="77777777" w:rsidTr="00825E63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5F39CC" w14:textId="6E87AA54" w:rsidR="00A85FFA" w:rsidRPr="001471C5" w:rsidRDefault="00A85FFA" w:rsidP="00A85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Përshtatjet për inflacion te BRE-ve</w:t>
            </w:r>
            <w:r w:rsidR="003312A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="003312AF" w:rsidRPr="004633ED">
              <w:rPr>
                <w:rFonts w:cstheme="minorHAnsi"/>
              </w:rPr>
              <w:t>€m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391003" w14:textId="6355A27F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sz w:val="20"/>
                <w:szCs w:val="20"/>
              </w:rPr>
              <w:t>0.41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28392E" w14:textId="5BE5BBF8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265760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85FFA" w:rsidRPr="001471C5" w14:paraId="363DA6F1" w14:textId="77777777" w:rsidTr="00825E63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14:paraId="121BD8B2" w14:textId="77777777" w:rsidR="00A85FFA" w:rsidRPr="001471C5" w:rsidRDefault="00A85FFA" w:rsidP="00A85F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Shërbimet e ndihmëse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14:paraId="5154D91D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14:paraId="3F1A0D12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14:paraId="657435B7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85FFA" w:rsidRPr="001471C5" w14:paraId="56472854" w14:textId="77777777" w:rsidTr="00825E63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A2FE2" w14:textId="1D2EA930" w:rsidR="00A85FFA" w:rsidRPr="001471C5" w:rsidRDefault="00A85FFA" w:rsidP="00A85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Parashikim</w:t>
            </w:r>
            <w:r w:rsidR="003312A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="003312AF" w:rsidRPr="004633ED">
              <w:rPr>
                <w:rFonts w:cstheme="minorHAnsi"/>
              </w:rPr>
              <w:t>€m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BE41E" w14:textId="1768EF7D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7B25D8" w14:textId="2FB85272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7AC3B" w14:textId="4D3FB68E" w:rsidR="00A85FFA" w:rsidRPr="001471C5" w:rsidRDefault="00FE3C9D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9.53</w:t>
            </w:r>
          </w:p>
        </w:tc>
      </w:tr>
      <w:tr w:rsidR="00A85FFA" w:rsidRPr="001471C5" w14:paraId="67297F47" w14:textId="77777777" w:rsidTr="00825E63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2F0A4" w14:textId="33AE799F" w:rsidR="00A85FFA" w:rsidRPr="001471C5" w:rsidRDefault="00A85FFA" w:rsidP="00A85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Aktual</w:t>
            </w:r>
            <w:r w:rsidR="003312A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="003312AF" w:rsidRPr="004633ED">
              <w:rPr>
                <w:rFonts w:cstheme="minorHAnsi"/>
              </w:rPr>
              <w:t>€m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367A0D" w14:textId="458F50E7" w:rsidR="00A85FFA" w:rsidRPr="001471C5" w:rsidRDefault="00934368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F52096" w14:textId="455EBA60" w:rsidR="00A85FFA" w:rsidRPr="001471C5" w:rsidRDefault="0089635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0.23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EFFF7F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85FFA" w:rsidRPr="001471C5" w14:paraId="3A03CB90" w14:textId="77777777" w:rsidTr="00825E63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14:paraId="3E04C652" w14:textId="77777777" w:rsidR="00A85FFA" w:rsidRPr="001471C5" w:rsidRDefault="00A85FFA" w:rsidP="00A85F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Përshtatjet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14:paraId="58391779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14:paraId="21465513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14:paraId="223A84C2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85FFA" w:rsidRPr="001471C5" w14:paraId="1D15B6E9" w14:textId="77777777" w:rsidTr="00825E63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518EC" w14:textId="77777777" w:rsidR="00A85FFA" w:rsidRPr="001471C5" w:rsidRDefault="00A85FFA" w:rsidP="00A85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Të hyrat e parregulluara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9E5C2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01D05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5FE9E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85FFA" w:rsidRPr="001471C5" w14:paraId="02AFE05D" w14:textId="77777777" w:rsidTr="00825E63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6D55F" w14:textId="2F16C91B" w:rsidR="00A85FFA" w:rsidRPr="001471C5" w:rsidRDefault="00A85FFA" w:rsidP="00A85FFA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Parashikim</w:t>
            </w:r>
            <w:r w:rsidR="003312A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312AF" w:rsidRPr="004633ED">
              <w:rPr>
                <w:rFonts w:cstheme="minorHAnsi"/>
              </w:rPr>
              <w:t>€m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04775A" w14:textId="66FE5A91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(0.06)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3895F" w14:textId="46E56A7C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(0.06)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99B489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(0.06)</w:t>
            </w:r>
          </w:p>
        </w:tc>
      </w:tr>
      <w:tr w:rsidR="00A85FFA" w:rsidRPr="001471C5" w14:paraId="1048C08A" w14:textId="77777777" w:rsidTr="00825E63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EF52D" w14:textId="31E9DCD9" w:rsidR="00A85FFA" w:rsidRPr="001471C5" w:rsidRDefault="00A85FFA" w:rsidP="00A85FFA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Aktual</w:t>
            </w:r>
            <w:r w:rsidR="003312A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="003312AF" w:rsidRPr="004633ED">
              <w:rPr>
                <w:rFonts w:cstheme="minorHAnsi"/>
              </w:rPr>
              <w:t>€m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508B53" w14:textId="6A32E08D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sz w:val="20"/>
                <w:szCs w:val="20"/>
              </w:rPr>
              <w:t>(0.25)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FDE709" w14:textId="2C3000AB" w:rsidR="00A85FFA" w:rsidRPr="001471C5" w:rsidRDefault="0089635A" w:rsidP="00896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(0.43</w:t>
            </w:r>
            <w:r w:rsidR="001A758C">
              <w:rPr>
                <w:rFonts w:asciiTheme="minorHAnsi" w:eastAsia="Times New Roman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953615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85FFA" w:rsidRPr="001471C5" w14:paraId="255D04AF" w14:textId="77777777" w:rsidTr="00825E63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F19D1" w14:textId="77777777" w:rsidR="00A85FFA" w:rsidRPr="001471C5" w:rsidRDefault="00A85FFA" w:rsidP="00A85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Të hyrat nga mekanizmi ITC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E3CCC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F17BB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E2E8F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85FFA" w:rsidRPr="001471C5" w14:paraId="700CF7B4" w14:textId="77777777" w:rsidTr="00825E63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9743A" w14:textId="2CF56E12" w:rsidR="00A85FFA" w:rsidRPr="001471C5" w:rsidRDefault="00A85FFA" w:rsidP="00A85FFA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Parashikim</w:t>
            </w:r>
            <w:r w:rsidR="003312A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="003312AF" w:rsidRPr="004633ED">
              <w:rPr>
                <w:rFonts w:cstheme="minorHAnsi"/>
              </w:rPr>
              <w:t>€m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3CE04A" w14:textId="141219F1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(0.40)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753D3D" w14:textId="1579FBD5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(0.40)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B3C80" w14:textId="03BEE696" w:rsidR="00A85FFA" w:rsidRPr="001471C5" w:rsidRDefault="00A85FFA" w:rsidP="00FE3C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</w:t>
            </w:r>
            <w:r w:rsidR="00FE3C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3.60</w:t>
            </w: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A85FFA" w:rsidRPr="001471C5" w14:paraId="75C6F0F5" w14:textId="77777777" w:rsidTr="00825E63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7A250" w14:textId="41661CD3" w:rsidR="00A85FFA" w:rsidRPr="001471C5" w:rsidRDefault="00A85FFA" w:rsidP="00A85FFA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Aktual</w:t>
            </w:r>
            <w:r w:rsidR="003312A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="003312AF" w:rsidRPr="004633ED">
              <w:rPr>
                <w:rFonts w:cstheme="minorHAnsi"/>
              </w:rPr>
              <w:t>€m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6A9C86" w14:textId="4DA0B18D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sz w:val="20"/>
                <w:szCs w:val="20"/>
              </w:rPr>
              <w:t>(0.86)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0382C5" w14:textId="101F060F" w:rsidR="00A85FFA" w:rsidRPr="001471C5" w:rsidRDefault="001A758C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(0.22)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BC7AFC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85FFA" w:rsidRPr="001471C5" w14:paraId="38947EC9" w14:textId="77777777" w:rsidTr="00825E63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6D7EB" w14:textId="77777777" w:rsidR="00A85FFA" w:rsidRPr="001471C5" w:rsidRDefault="00A85FFA" w:rsidP="00A85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Përshtatjet për  (2017 dhe PR1)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64862" w14:textId="299ABBCB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(1.26)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F3B4BD" w14:textId="30231B43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(1.26)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98809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(1.26)</w:t>
            </w:r>
          </w:p>
        </w:tc>
      </w:tr>
      <w:tr w:rsidR="00A85FFA" w:rsidRPr="001471C5" w14:paraId="02E7130A" w14:textId="77777777" w:rsidTr="00825E63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0C3BB" w14:textId="77777777" w:rsidR="00A85FFA" w:rsidRPr="001471C5" w:rsidRDefault="00A85FFA" w:rsidP="00A85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Te hyrat nga KEK: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F1A72F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A7B680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411333A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85FFA" w:rsidRPr="001471C5" w14:paraId="7E81F7A1" w14:textId="77777777" w:rsidTr="00825E63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20760" w14:textId="7BC38F7E" w:rsidR="00A85FFA" w:rsidRPr="001471C5" w:rsidRDefault="00A85FFA" w:rsidP="00A85FFA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Parashikim</w:t>
            </w:r>
            <w:r w:rsidR="003312A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="003312AF" w:rsidRPr="004633ED">
              <w:rPr>
                <w:rFonts w:cstheme="minorHAnsi"/>
              </w:rPr>
              <w:t>€m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71D62E" w14:textId="4DD99BE0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(3.33)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326745" w14:textId="303DC59B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(3.33)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B0A39F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(3.33)</w:t>
            </w:r>
          </w:p>
        </w:tc>
      </w:tr>
      <w:tr w:rsidR="00A85FFA" w:rsidRPr="001471C5" w14:paraId="2FA011D0" w14:textId="77777777" w:rsidTr="00825E63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5D8C4" w14:textId="74EE0E0E" w:rsidR="00A85FFA" w:rsidRPr="001471C5" w:rsidRDefault="00A85FFA" w:rsidP="00A85FFA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Aktual</w:t>
            </w:r>
            <w:r w:rsidR="003312A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="003312AF" w:rsidRPr="004633ED">
              <w:rPr>
                <w:rFonts w:cstheme="minorHAnsi"/>
              </w:rPr>
              <w:t>€m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59CC05" w14:textId="4CD28DFF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sz w:val="20"/>
                <w:szCs w:val="20"/>
              </w:rPr>
              <w:t>(2.77)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F4961D" w14:textId="5A639898" w:rsidR="00A85FFA" w:rsidRPr="001471C5" w:rsidRDefault="001A758C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(3.05)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2F9627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85FFA" w:rsidRPr="001471C5" w14:paraId="424A8B90" w14:textId="77777777" w:rsidTr="00825E63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82285" w14:textId="77777777" w:rsidR="00A85FFA" w:rsidRPr="001471C5" w:rsidRDefault="00A85FFA" w:rsidP="00A85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Korrigjimi i </w:t>
            </w:r>
            <w:proofErr w:type="spellStart"/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jobalanceve</w:t>
            </w:r>
            <w:proofErr w:type="spellEnd"/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2017 dhe 2018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B10682" w14:textId="2F422015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5379EC" w14:textId="05817580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944A0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85FFA" w:rsidRPr="001471C5" w14:paraId="2C43C42F" w14:textId="77777777" w:rsidTr="00825E63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14:paraId="40D8DA32" w14:textId="77777777" w:rsidR="00A85FFA" w:rsidRPr="001471C5" w:rsidRDefault="00A85FFA" w:rsidP="00A85F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KREV – faktori korrigjues i të hyrave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14:paraId="5A37838F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14:paraId="1EBEE529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14:paraId="1C6A1210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85FFA" w:rsidRPr="001471C5" w14:paraId="718D3470" w14:textId="77777777" w:rsidTr="00825E63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A06C8" w14:textId="4C68118F" w:rsidR="00A85FFA" w:rsidRPr="001471C5" w:rsidRDefault="00A85FFA" w:rsidP="00A85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Faktori korrigjues i te hyrave t-1</w:t>
            </w:r>
            <w:r w:rsidR="003312A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="003312AF" w:rsidRPr="004633ED">
              <w:rPr>
                <w:rFonts w:cstheme="minorHAnsi"/>
              </w:rPr>
              <w:t>€m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72F9F9" w14:textId="16D58B04" w:rsidR="00A85FFA" w:rsidRPr="001A758C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A758C">
              <w:rPr>
                <w:rFonts w:asciiTheme="minorHAnsi" w:eastAsia="Times New Roman" w:hAnsiTheme="minorHAnsi" w:cstheme="minorHAnsi"/>
                <w:sz w:val="20"/>
                <w:szCs w:val="20"/>
              </w:rPr>
              <w:t>9.61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ECC50F" w14:textId="528556B0" w:rsidR="00A85FFA" w:rsidRPr="001A758C" w:rsidRDefault="00FE3C9D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A758C"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r w:rsidR="00A85FFA" w:rsidRPr="001A758C">
              <w:rPr>
                <w:rFonts w:asciiTheme="minorHAnsi" w:eastAsia="Times New Roman" w:hAnsiTheme="minorHAnsi" w:cstheme="minorHAnsi"/>
                <w:sz w:val="20"/>
                <w:szCs w:val="20"/>
              </w:rPr>
              <w:t>3.72</w:t>
            </w:r>
            <w:r w:rsidRPr="001A758C">
              <w:rPr>
                <w:rFonts w:asciiTheme="minorHAnsi" w:eastAsia="Times New Roman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0B71A" w14:textId="10C4ABC1" w:rsidR="00A85FFA" w:rsidRPr="001A758C" w:rsidRDefault="0089635A" w:rsidP="00FE3C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(15.91</w:t>
            </w:r>
            <w:r w:rsidR="00FE3C9D" w:rsidRPr="001A758C">
              <w:rPr>
                <w:rFonts w:asciiTheme="minorHAnsi" w:eastAsia="Times New Roman" w:hAnsiTheme="minorHAnsi" w:cstheme="minorHAnsi"/>
                <w:sz w:val="20"/>
                <w:szCs w:val="20"/>
              </w:rPr>
              <w:t>)</w:t>
            </w:r>
          </w:p>
        </w:tc>
      </w:tr>
      <w:tr w:rsidR="00A85FFA" w:rsidRPr="001471C5" w14:paraId="4B5E23E2" w14:textId="77777777" w:rsidTr="00825E63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19E47" w14:textId="7FF10518" w:rsidR="00A85FFA" w:rsidRPr="001471C5" w:rsidRDefault="00A85FFA" w:rsidP="00A85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AACt-1 - kostot aktuale për vitin t-1 </w:t>
            </w:r>
            <w:r w:rsidR="003312A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312AF" w:rsidRPr="004633ED">
              <w:rPr>
                <w:rFonts w:cstheme="minorHAnsi"/>
              </w:rPr>
              <w:t>€m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C1F1B9" w14:textId="5746193A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sz w:val="20"/>
                <w:szCs w:val="20"/>
              </w:rPr>
              <w:t>33.90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62F735" w14:textId="096CDF09" w:rsidR="00A85FFA" w:rsidRPr="001471C5" w:rsidRDefault="0089635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17.94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2A483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85FFA" w:rsidRPr="001471C5" w14:paraId="33233315" w14:textId="77777777" w:rsidTr="00825E63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37D53" w14:textId="0A7FFA4B" w:rsidR="00A85FFA" w:rsidRPr="001471C5" w:rsidRDefault="00A85FFA" w:rsidP="00A85F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ARRt-1 -  te hyrat aktuale për vitin t-1</w:t>
            </w:r>
            <w:r w:rsidR="003312A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="003312AF" w:rsidRPr="004633ED">
              <w:rPr>
                <w:rFonts w:cstheme="minorHAnsi"/>
              </w:rPr>
              <w:t>€m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3BCC65" w14:textId="15F151CC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sz w:val="20"/>
                <w:szCs w:val="20"/>
              </w:rPr>
              <w:t>37.37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1D0041" w14:textId="11DBAECA" w:rsidR="00A85FFA" w:rsidRPr="001471C5" w:rsidRDefault="00D13875" w:rsidP="00896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  <w:r w:rsidR="0089635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F94FC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85FFA" w:rsidRPr="001471C5" w14:paraId="3E140D4B" w14:textId="77777777" w:rsidTr="00825E63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686B748F" w14:textId="395312CF" w:rsidR="00A85FFA" w:rsidRPr="001A758C" w:rsidRDefault="00A85FFA" w:rsidP="00A85F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1A758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KREVt</w:t>
            </w:r>
            <w:proofErr w:type="spellEnd"/>
            <w:r w:rsidRPr="001A758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= (AACat-1 – ARRt-1) * (1+ It)</w:t>
            </w:r>
            <w:r w:rsidR="003312A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3312AF" w:rsidRPr="004633ED">
              <w:rPr>
                <w:rFonts w:cstheme="minorHAnsi"/>
              </w:rPr>
              <w:t>€m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7D637A2C" w14:textId="010A8141" w:rsidR="00A85FFA" w:rsidRPr="00BA0D6F" w:rsidRDefault="001A758C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(</w:t>
            </w:r>
            <w:r w:rsidR="00A85FFA" w:rsidRPr="001A758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3.72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6C52DD39" w14:textId="5E0DBFDE" w:rsidR="00A85FFA" w:rsidRPr="001471C5" w:rsidRDefault="0089635A" w:rsidP="00896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(15.91</w:t>
            </w:r>
            <w:r w:rsidR="00D1387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41FDBBA2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85FFA" w:rsidRPr="001471C5" w14:paraId="1FFA1ADD" w14:textId="77777777" w:rsidTr="00825E63">
        <w:trPr>
          <w:trHeight w:val="62"/>
        </w:trPr>
        <w:tc>
          <w:tcPr>
            <w:tcW w:w="5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4ECF1D" w14:textId="77777777" w:rsidR="00A85FFA" w:rsidRPr="001471C5" w:rsidRDefault="00A85FFA" w:rsidP="00A85F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6C4F58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2CCB92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8A6964" w14:textId="7777777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85FFA" w:rsidRPr="001471C5" w14:paraId="5CB42BD8" w14:textId="77777777" w:rsidTr="00825E63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8E55BBD" w14:textId="506932AE" w:rsidR="00A85FFA" w:rsidRPr="001471C5" w:rsidRDefault="00A85FFA" w:rsidP="00A85F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MAR – te hyrat e lejuara maksimale</w:t>
            </w:r>
            <w:r w:rsidR="003312A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3312AF" w:rsidRPr="004633ED">
              <w:rPr>
                <w:rFonts w:cstheme="minorHAnsi"/>
              </w:rPr>
              <w:t>€m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1FD3820" w14:textId="59731AC7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54.25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1A5F14FE" w14:textId="2FD72C85" w:rsidR="00A85FFA" w:rsidRPr="001471C5" w:rsidRDefault="00A85FF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1471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4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5.84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CB5275E" w14:textId="0BE655FD" w:rsidR="00A85FFA" w:rsidRPr="001471C5" w:rsidRDefault="0089635A" w:rsidP="00A85F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36.95</w:t>
            </w:r>
          </w:p>
        </w:tc>
      </w:tr>
    </w:tbl>
    <w:p w14:paraId="0702F07D" w14:textId="77777777" w:rsidR="00953A22" w:rsidRPr="001471C5" w:rsidRDefault="00953A22" w:rsidP="00953A22">
      <w:pPr>
        <w:spacing w:after="0" w:line="240" w:lineRule="auto"/>
      </w:pPr>
    </w:p>
    <w:p w14:paraId="16D097EC" w14:textId="4BDDBC30" w:rsidR="00F815F2" w:rsidRPr="001471C5" w:rsidRDefault="00F815F2" w:rsidP="00953A22">
      <w:pPr>
        <w:spacing w:after="0" w:line="240" w:lineRule="auto"/>
      </w:pPr>
      <w:r w:rsidRPr="001471C5">
        <w:t xml:space="preserve">Si rezultat i kalkulimeve të secilit komponent të kostove, MAR i propozuar për </w:t>
      </w:r>
      <w:r w:rsidR="00B5734B" w:rsidRPr="001471C5">
        <w:t>OST/OT</w:t>
      </w:r>
      <w:r w:rsidRPr="001471C5">
        <w:t xml:space="preserve"> për vitin 20</w:t>
      </w:r>
      <w:r w:rsidR="00BF0E8B" w:rsidRPr="001471C5">
        <w:t>2</w:t>
      </w:r>
      <w:r w:rsidR="00D67548">
        <w:t>1</w:t>
      </w:r>
      <w:r w:rsidRPr="001471C5">
        <w:t xml:space="preserve"> </w:t>
      </w:r>
      <w:r w:rsidRPr="001A758C">
        <w:t xml:space="preserve">është </w:t>
      </w:r>
      <w:r w:rsidR="003312AF">
        <w:t>36</w:t>
      </w:r>
      <w:r w:rsidR="00D67548" w:rsidRPr="001A758C">
        <w:t>.</w:t>
      </w:r>
      <w:r w:rsidR="003312AF">
        <w:t>95</w:t>
      </w:r>
      <w:r w:rsidRPr="001A758C">
        <w:t xml:space="preserve"> milion </w:t>
      </w:r>
      <w:r w:rsidR="00B5734B" w:rsidRPr="001A758C">
        <w:t>euro</w:t>
      </w:r>
      <w:r w:rsidRPr="001A758C">
        <w:t>.</w:t>
      </w:r>
      <w:r w:rsidRPr="001471C5">
        <w:t xml:space="preserve"> </w:t>
      </w:r>
    </w:p>
    <w:p w14:paraId="5B60E82A" w14:textId="77777777" w:rsidR="00F815F2" w:rsidRPr="001471C5" w:rsidRDefault="00F815F2">
      <w:pPr>
        <w:spacing w:after="0" w:line="240" w:lineRule="auto"/>
      </w:pPr>
    </w:p>
    <w:sectPr w:rsidR="00F815F2" w:rsidRPr="001471C5" w:rsidSect="00366EF2">
      <w:pgSz w:w="11907" w:h="16839" w:code="9"/>
      <w:pgMar w:top="144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34E23" w14:textId="77777777" w:rsidR="009C31E3" w:rsidRDefault="009C31E3" w:rsidP="002F09BD">
      <w:pPr>
        <w:spacing w:after="0" w:line="240" w:lineRule="auto"/>
      </w:pPr>
      <w:r>
        <w:separator/>
      </w:r>
    </w:p>
  </w:endnote>
  <w:endnote w:type="continuationSeparator" w:id="0">
    <w:p w14:paraId="393F1BAC" w14:textId="77777777" w:rsidR="009C31E3" w:rsidRDefault="009C31E3" w:rsidP="002F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0F207" w14:textId="77777777" w:rsidR="00193AA8" w:rsidRDefault="00193AA8" w:rsidP="00415BD8">
    <w:pPr>
      <w:pStyle w:val="Footer"/>
      <w:pBdr>
        <w:top w:val="single" w:sz="4" w:space="1" w:color="4F81BD"/>
      </w:pBdr>
      <w:tabs>
        <w:tab w:val="clear" w:pos="8640"/>
        <w:tab w:val="left" w:pos="6240"/>
      </w:tabs>
      <w:spacing w:after="0" w:line="240" w:lineRule="auto"/>
      <w:ind w:left="-57"/>
      <w:rPr>
        <w:rFonts w:ascii="Calibri" w:hAnsi="Calibri"/>
        <w:color w:val="005F91"/>
        <w:sz w:val="18"/>
        <w:szCs w:val="18"/>
      </w:rPr>
    </w:pPr>
    <w:proofErr w:type="spellStart"/>
    <w:r w:rsidRPr="00661073">
      <w:rPr>
        <w:rFonts w:ascii="Calibri" w:hAnsi="Calibri"/>
        <w:color w:val="005F91"/>
        <w:sz w:val="18"/>
        <w:szCs w:val="18"/>
      </w:rPr>
      <w:t>Adresa</w:t>
    </w:r>
    <w:proofErr w:type="spellEnd"/>
    <w:r w:rsidRPr="00661073">
      <w:rPr>
        <w:rFonts w:ascii="Calibri" w:hAnsi="Calibri"/>
        <w:color w:val="005F91"/>
        <w:sz w:val="18"/>
        <w:szCs w:val="18"/>
      </w:rPr>
      <w:t xml:space="preserve">: Rr. </w:t>
    </w:r>
    <w:r>
      <w:rPr>
        <w:rFonts w:ascii="Calibri" w:hAnsi="Calibri"/>
        <w:color w:val="005F91"/>
        <w:sz w:val="18"/>
        <w:szCs w:val="18"/>
      </w:rPr>
      <w:t xml:space="preserve">Dervish </w:t>
    </w:r>
    <w:proofErr w:type="spellStart"/>
    <w:r>
      <w:rPr>
        <w:rFonts w:ascii="Calibri" w:hAnsi="Calibri"/>
        <w:color w:val="005F91"/>
        <w:sz w:val="18"/>
        <w:szCs w:val="18"/>
      </w:rPr>
      <w:t>Rozhaja</w:t>
    </w:r>
    <w:proofErr w:type="spellEnd"/>
    <w:r w:rsidRPr="00661073">
      <w:rPr>
        <w:rFonts w:ascii="Calibri" w:hAnsi="Calibri"/>
        <w:color w:val="005F91"/>
        <w:sz w:val="18"/>
        <w:szCs w:val="18"/>
      </w:rPr>
      <w:t xml:space="preserve"> </w:t>
    </w:r>
    <w:proofErr w:type="spellStart"/>
    <w:r w:rsidRPr="00661073">
      <w:rPr>
        <w:rFonts w:ascii="Calibri" w:hAnsi="Calibri"/>
        <w:color w:val="005F91"/>
        <w:sz w:val="18"/>
        <w:szCs w:val="18"/>
      </w:rPr>
      <w:t>nr</w:t>
    </w:r>
    <w:proofErr w:type="spellEnd"/>
    <w:r w:rsidRPr="00661073">
      <w:rPr>
        <w:rFonts w:ascii="Calibri" w:hAnsi="Calibri"/>
        <w:color w:val="005F91"/>
        <w:sz w:val="18"/>
        <w:szCs w:val="18"/>
      </w:rPr>
      <w:t>. 1</w:t>
    </w:r>
    <w:r>
      <w:rPr>
        <w:rFonts w:ascii="Calibri" w:hAnsi="Calibri"/>
        <w:color w:val="005F91"/>
        <w:sz w:val="18"/>
        <w:szCs w:val="18"/>
      </w:rPr>
      <w:t>2</w:t>
    </w:r>
    <w:r w:rsidRPr="00661073">
      <w:rPr>
        <w:rFonts w:ascii="Calibri" w:hAnsi="Calibri"/>
        <w:color w:val="005F91"/>
        <w:sz w:val="18"/>
        <w:szCs w:val="18"/>
      </w:rPr>
      <w:t xml:space="preserve">, 10000 </w:t>
    </w:r>
    <w:proofErr w:type="spellStart"/>
    <w:r w:rsidRPr="00661073">
      <w:rPr>
        <w:rFonts w:ascii="Calibri" w:hAnsi="Calibri"/>
        <w:color w:val="005F91"/>
        <w:sz w:val="18"/>
        <w:szCs w:val="18"/>
      </w:rPr>
      <w:t>Prishtinë</w:t>
    </w:r>
    <w:proofErr w:type="spellEnd"/>
    <w:r w:rsidRPr="00661073">
      <w:rPr>
        <w:rFonts w:ascii="Calibri" w:hAnsi="Calibri"/>
        <w:color w:val="005F91"/>
        <w:sz w:val="18"/>
        <w:szCs w:val="18"/>
      </w:rPr>
      <w:t xml:space="preserve">, </w:t>
    </w:r>
    <w:proofErr w:type="spellStart"/>
    <w:r w:rsidRPr="00661073">
      <w:rPr>
        <w:rFonts w:ascii="Calibri" w:hAnsi="Calibri"/>
        <w:color w:val="005F91"/>
        <w:sz w:val="18"/>
        <w:szCs w:val="18"/>
      </w:rPr>
      <w:t>Kosovë</w:t>
    </w:r>
    <w:proofErr w:type="spellEnd"/>
  </w:p>
  <w:p w14:paraId="5F21A49F" w14:textId="77777777" w:rsidR="00193AA8" w:rsidRPr="00CC5C73" w:rsidRDefault="00193AA8" w:rsidP="00415BD8">
    <w:pPr>
      <w:pStyle w:val="Footer"/>
      <w:pBdr>
        <w:top w:val="single" w:sz="4" w:space="1" w:color="4F81BD"/>
      </w:pBdr>
      <w:tabs>
        <w:tab w:val="clear" w:pos="8640"/>
        <w:tab w:val="left" w:pos="6240"/>
      </w:tabs>
      <w:spacing w:after="0" w:line="240" w:lineRule="auto"/>
      <w:ind w:left="-57"/>
      <w:rPr>
        <w:rFonts w:ascii="Calibri" w:hAnsi="Calibri"/>
        <w:color w:val="005F91"/>
        <w:sz w:val="18"/>
        <w:szCs w:val="18"/>
      </w:rPr>
    </w:pPr>
    <w:r w:rsidRPr="00661073">
      <w:rPr>
        <w:rFonts w:ascii="Calibri" w:hAnsi="Calibri"/>
        <w:color w:val="005F91"/>
        <w:sz w:val="18"/>
        <w:szCs w:val="18"/>
      </w:rPr>
      <w:t xml:space="preserve">Tel: 038 247 615 </w:t>
    </w:r>
    <w:proofErr w:type="spellStart"/>
    <w:r w:rsidRPr="00661073">
      <w:rPr>
        <w:rFonts w:ascii="Calibri" w:hAnsi="Calibri"/>
        <w:color w:val="005F91"/>
        <w:sz w:val="18"/>
        <w:szCs w:val="18"/>
      </w:rPr>
      <w:t>lok</w:t>
    </w:r>
    <w:proofErr w:type="spellEnd"/>
    <w:r w:rsidRPr="00661073">
      <w:rPr>
        <w:rFonts w:ascii="Calibri" w:hAnsi="Calibri"/>
        <w:color w:val="005F91"/>
        <w:sz w:val="18"/>
        <w:szCs w:val="18"/>
      </w:rPr>
      <w:t xml:space="preserve">. 101, Fax: 038 247 620, E-mail: info@ero-ks.org, </w:t>
    </w:r>
    <w:r>
      <w:rPr>
        <w:rFonts w:ascii="Calibri" w:hAnsi="Calibri"/>
        <w:color w:val="005F91"/>
        <w:sz w:val="18"/>
        <w:szCs w:val="18"/>
      </w:rPr>
      <w:t>w</w:t>
    </w:r>
    <w:r w:rsidRPr="00661073">
      <w:rPr>
        <w:rFonts w:ascii="Calibri" w:hAnsi="Calibri"/>
        <w:color w:val="005F91"/>
        <w:sz w:val="18"/>
        <w:szCs w:val="18"/>
      </w:rPr>
      <w:t xml:space="preserve">eb: </w:t>
    </w:r>
    <w:r>
      <w:rPr>
        <w:rFonts w:ascii="Calibri" w:hAnsi="Calibri"/>
        <w:color w:val="005F91"/>
        <w:sz w:val="18"/>
        <w:szCs w:val="18"/>
      </w:rPr>
      <w:t>www</w:t>
    </w:r>
    <w:r w:rsidRPr="00661073">
      <w:rPr>
        <w:rFonts w:ascii="Calibri" w:hAnsi="Calibri"/>
        <w:color w:val="005F91"/>
        <w:sz w:val="18"/>
        <w:szCs w:val="18"/>
      </w:rPr>
      <w:t>.ero-ks.org</w:t>
    </w:r>
  </w:p>
  <w:p w14:paraId="28B55CCE" w14:textId="77777777" w:rsidR="00193AA8" w:rsidRDefault="00193A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964C6" w14:textId="34D904E5" w:rsidR="00193AA8" w:rsidRPr="00934368" w:rsidRDefault="00193AA8">
    <w:pPr>
      <w:pStyle w:val="Footer"/>
      <w:jc w:val="right"/>
      <w:rPr>
        <w:rFonts w:ascii="Calibri" w:hAnsi="Calibri"/>
        <w:szCs w:val="22"/>
        <w:lang w:val="sq-AL"/>
      </w:rPr>
    </w:pPr>
    <w:r w:rsidRPr="00934368">
      <w:rPr>
        <w:rFonts w:ascii="Calibri" w:hAnsi="Calibri"/>
        <w:szCs w:val="22"/>
        <w:lang w:val="sq-AL"/>
      </w:rPr>
      <w:t xml:space="preserve">Faqe </w:t>
    </w:r>
    <w:r w:rsidRPr="00934368">
      <w:rPr>
        <w:rFonts w:ascii="Calibri" w:hAnsi="Calibri"/>
        <w:szCs w:val="22"/>
        <w:lang w:val="sq-AL"/>
      </w:rPr>
      <w:fldChar w:fldCharType="begin"/>
    </w:r>
    <w:r w:rsidRPr="00934368">
      <w:rPr>
        <w:rFonts w:ascii="Calibri" w:hAnsi="Calibri"/>
        <w:szCs w:val="22"/>
        <w:lang w:val="sq-AL"/>
      </w:rPr>
      <w:instrText xml:space="preserve"> PAGE </w:instrText>
    </w:r>
    <w:r w:rsidRPr="00934368">
      <w:rPr>
        <w:rFonts w:ascii="Calibri" w:hAnsi="Calibri"/>
        <w:szCs w:val="22"/>
        <w:lang w:val="sq-AL"/>
      </w:rPr>
      <w:fldChar w:fldCharType="separate"/>
    </w:r>
    <w:r w:rsidR="00960CB7">
      <w:rPr>
        <w:rFonts w:ascii="Calibri" w:hAnsi="Calibri"/>
        <w:noProof/>
        <w:szCs w:val="22"/>
        <w:lang w:val="sq-AL"/>
      </w:rPr>
      <w:t>12</w:t>
    </w:r>
    <w:r w:rsidRPr="00934368">
      <w:rPr>
        <w:rFonts w:ascii="Calibri" w:hAnsi="Calibri"/>
        <w:szCs w:val="22"/>
        <w:lang w:val="sq-AL"/>
      </w:rPr>
      <w:fldChar w:fldCharType="end"/>
    </w:r>
    <w:r w:rsidRPr="00934368">
      <w:rPr>
        <w:rFonts w:ascii="Calibri" w:hAnsi="Calibri"/>
        <w:szCs w:val="22"/>
        <w:lang w:val="sq-AL"/>
      </w:rPr>
      <w:t xml:space="preserve"> nga 13</w:t>
    </w:r>
  </w:p>
  <w:p w14:paraId="75EBADB5" w14:textId="77777777" w:rsidR="00193AA8" w:rsidRPr="00E075FD" w:rsidRDefault="00193AA8" w:rsidP="002F09BD">
    <w:pPr>
      <w:pStyle w:val="Footer"/>
      <w:spacing w:after="0" w:line="240" w:lineRule="auto"/>
      <w:jc w:val="right"/>
      <w:rPr>
        <w:szCs w:val="4"/>
        <w:lang w:bidi="th-T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3F574" w14:textId="77777777" w:rsidR="009C31E3" w:rsidRDefault="009C31E3" w:rsidP="002F09BD">
      <w:pPr>
        <w:spacing w:after="0" w:line="240" w:lineRule="auto"/>
      </w:pPr>
      <w:r>
        <w:separator/>
      </w:r>
    </w:p>
  </w:footnote>
  <w:footnote w:type="continuationSeparator" w:id="0">
    <w:p w14:paraId="057F2975" w14:textId="77777777" w:rsidR="009C31E3" w:rsidRDefault="009C31E3" w:rsidP="002F09BD">
      <w:pPr>
        <w:spacing w:after="0" w:line="240" w:lineRule="auto"/>
      </w:pPr>
      <w:r>
        <w:continuationSeparator/>
      </w:r>
    </w:p>
  </w:footnote>
  <w:footnote w:id="1">
    <w:p w14:paraId="4D09009B" w14:textId="77777777" w:rsidR="00193AA8" w:rsidRPr="00995A0D" w:rsidRDefault="00193AA8" w:rsidP="00F815F2">
      <w:pPr>
        <w:pStyle w:val="FootnoteText"/>
        <w:spacing w:after="0"/>
        <w:ind w:right="-693"/>
        <w:rPr>
          <w:lang w:val="sq-AL"/>
        </w:rPr>
      </w:pPr>
      <w:r w:rsidRPr="00995A0D">
        <w:rPr>
          <w:rStyle w:val="FootnoteReference"/>
          <w:lang w:val="sq-AL"/>
        </w:rPr>
        <w:footnoteRef/>
      </w:r>
      <w:r w:rsidRPr="00995A0D">
        <w:rPr>
          <w:lang w:val="sq-AL"/>
        </w:rPr>
        <w:t xml:space="preserve"> Burimi: </w:t>
      </w:r>
      <w:proofErr w:type="spellStart"/>
      <w:r w:rsidRPr="00995A0D">
        <w:rPr>
          <w:lang w:val="sq-AL"/>
        </w:rPr>
        <w:t>Eurostat</w:t>
      </w:r>
      <w:proofErr w:type="spellEnd"/>
      <w:r w:rsidRPr="00995A0D">
        <w:rPr>
          <w:lang w:val="sq-AL"/>
        </w:rPr>
        <w:t xml:space="preserve">, </w:t>
      </w:r>
      <w:hyperlink r:id="rId1" w:history="1">
        <w:r w:rsidRPr="00995A0D">
          <w:rPr>
            <w:lang w:val="sq-AL"/>
          </w:rPr>
          <w:t>https://appsso.eurostat.ec.europa.eu/nui/submitViewTableAction.do</w:t>
        </w:r>
      </w:hyperlink>
      <w:r w:rsidRPr="00995A0D">
        <w:rPr>
          <w:lang w:val="sq-AL"/>
        </w:rPr>
        <w:t xml:space="preserve"> (vizituar më 27.01.2020)</w:t>
      </w:r>
    </w:p>
  </w:footnote>
  <w:footnote w:id="2">
    <w:p w14:paraId="6D690F80" w14:textId="77777777" w:rsidR="00193AA8" w:rsidRPr="00995A0D" w:rsidRDefault="00193AA8" w:rsidP="00F815F2">
      <w:pPr>
        <w:pStyle w:val="FootnoteText"/>
        <w:spacing w:after="0"/>
        <w:rPr>
          <w:lang w:val="sq-AL"/>
        </w:rPr>
      </w:pPr>
      <w:r w:rsidRPr="00995A0D">
        <w:rPr>
          <w:rStyle w:val="FootnoteReference"/>
          <w:lang w:val="sq-AL"/>
        </w:rPr>
        <w:footnoteRef/>
      </w:r>
      <w:r w:rsidRPr="00995A0D">
        <w:rPr>
          <w:lang w:val="sq-AL"/>
        </w:rPr>
        <w:t xml:space="preserve"> Sipas lejimeve të Shqyrtimit Periodik 2018-2022 </w:t>
      </w:r>
      <w:proofErr w:type="spellStart"/>
      <w:r w:rsidRPr="00995A0D">
        <w:rPr>
          <w:lang w:val="sq-AL"/>
        </w:rPr>
        <w:t>linku</w:t>
      </w:r>
      <w:proofErr w:type="spellEnd"/>
      <w:r w:rsidRPr="00995A0D">
        <w:rPr>
          <w:lang w:val="sq-AL"/>
        </w:rPr>
        <w:t>:</w:t>
      </w:r>
    </w:p>
    <w:p w14:paraId="72848F7E" w14:textId="77777777" w:rsidR="00193AA8" w:rsidRPr="00966ECD" w:rsidRDefault="00193AA8" w:rsidP="00F815F2">
      <w:pPr>
        <w:pStyle w:val="FootnoteText"/>
        <w:spacing w:after="0"/>
        <w:rPr>
          <w:lang w:val="en-US"/>
        </w:rPr>
      </w:pPr>
      <w:r w:rsidRPr="00995A0D">
        <w:rPr>
          <w:lang w:val="sq-AL"/>
        </w:rPr>
        <w:t xml:space="preserve"> http://ero-ks.org/2018/Raportet/Pergjigje%20ndaj%20komenteve%20te%20KOSTT_PRR2_final.pdf</w:t>
      </w:r>
    </w:p>
  </w:footnote>
  <w:footnote w:id="3">
    <w:p w14:paraId="6281C77D" w14:textId="77777777" w:rsidR="00193AA8" w:rsidRPr="000F24A8" w:rsidRDefault="00193AA8" w:rsidP="00F815F2">
      <w:pPr>
        <w:pStyle w:val="FootnoteText"/>
        <w:rPr>
          <w:rFonts w:ascii="Arial" w:hAnsi="Arial"/>
          <w:lang w:val="sq-AL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q-AL"/>
        </w:rPr>
        <w:t>K</w:t>
      </w:r>
      <w:r w:rsidRPr="000F24A8">
        <w:rPr>
          <w:rFonts w:cs="Calibri"/>
          <w:lang w:val="sq-AL"/>
        </w:rPr>
        <w:t>ë</w:t>
      </w:r>
      <w:r w:rsidRPr="000F24A8">
        <w:rPr>
          <w:lang w:val="sq-AL"/>
        </w:rPr>
        <w:t>to kosto jan</w:t>
      </w:r>
      <w:r w:rsidRPr="000F24A8">
        <w:rPr>
          <w:rFonts w:cs="Calibri"/>
          <w:lang w:val="sq-AL"/>
        </w:rPr>
        <w:t>ë</w:t>
      </w:r>
      <w:r w:rsidRPr="000F24A8">
        <w:rPr>
          <w:lang w:val="sq-AL"/>
        </w:rPr>
        <w:t xml:space="preserve"> pjes</w:t>
      </w:r>
      <w:r w:rsidRPr="000F24A8">
        <w:rPr>
          <w:rFonts w:cs="Calibri"/>
          <w:lang w:val="sq-AL"/>
        </w:rPr>
        <w:t>ë</w:t>
      </w:r>
      <w:r w:rsidRPr="000F24A8">
        <w:rPr>
          <w:lang w:val="sq-AL"/>
        </w:rPr>
        <w:t xml:space="preserve"> e azhurnimeve t</w:t>
      </w:r>
      <w:r w:rsidRPr="000F24A8">
        <w:rPr>
          <w:rFonts w:cs="Calibri"/>
          <w:lang w:val="sq-AL"/>
        </w:rPr>
        <w:t>ë</w:t>
      </w:r>
      <w:r w:rsidRPr="000F24A8">
        <w:rPr>
          <w:lang w:val="sq-AL"/>
        </w:rPr>
        <w:t xml:space="preserve"> p</w:t>
      </w:r>
      <w:r w:rsidRPr="000F24A8">
        <w:rPr>
          <w:rFonts w:cs="Calibri"/>
          <w:lang w:val="sq-AL"/>
        </w:rPr>
        <w:t>ë</w:t>
      </w:r>
      <w:r w:rsidRPr="000F24A8">
        <w:rPr>
          <w:lang w:val="sq-AL"/>
        </w:rPr>
        <w:t>rgjithshme dhe reflektohen n</w:t>
      </w:r>
      <w:r w:rsidRPr="000F24A8">
        <w:rPr>
          <w:rFonts w:cs="Calibri"/>
          <w:lang w:val="sq-AL"/>
        </w:rPr>
        <w:t>ë</w:t>
      </w:r>
      <w:r w:rsidRPr="000F24A8">
        <w:rPr>
          <w:lang w:val="sq-AL"/>
        </w:rPr>
        <w:t xml:space="preserve"> MAR-in e vitit 2020.  </w:t>
      </w:r>
    </w:p>
  </w:footnote>
  <w:footnote w:id="4">
    <w:p w14:paraId="27CEE3D9" w14:textId="77777777" w:rsidR="00193AA8" w:rsidRPr="001471C5" w:rsidRDefault="00193AA8" w:rsidP="00C563BD">
      <w:pPr>
        <w:pStyle w:val="FootnoteText"/>
        <w:rPr>
          <w:lang w:val="sq-AL"/>
        </w:rPr>
      </w:pPr>
      <w:r>
        <w:rPr>
          <w:rStyle w:val="FootnoteReference"/>
        </w:rPr>
        <w:footnoteRef/>
      </w:r>
      <w:r>
        <w:t xml:space="preserve"> </w:t>
      </w:r>
      <w:r w:rsidRPr="001471C5">
        <w:rPr>
          <w:lang w:val="sq-AL"/>
        </w:rPr>
        <w:t>Përshtatur për ngarkesën e veriut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69960" w14:textId="77777777" w:rsidR="00193AA8" w:rsidRDefault="00193AA8" w:rsidP="007D6036">
    <w:pPr>
      <w:pStyle w:val="Header"/>
      <w:ind w:left="-810"/>
      <w:jc w:val="center"/>
    </w:pPr>
    <w:r>
      <w:rPr>
        <w:noProof/>
        <w:lang w:val="en-US"/>
      </w:rPr>
      <w:drawing>
        <wp:inline distT="0" distB="0" distL="0" distR="0" wp14:anchorId="0C06ED0A" wp14:editId="00C06237">
          <wp:extent cx="5734050" cy="1174750"/>
          <wp:effectExtent l="1905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74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45F65" w14:textId="77777777" w:rsidR="00193AA8" w:rsidRPr="00DA0B5E" w:rsidRDefault="00193AA8" w:rsidP="00366EF2">
    <w:pPr>
      <w:pStyle w:val="Header"/>
      <w:ind w:left="-990"/>
      <w:rPr>
        <w:rFonts w:ascii="Arial" w:hAnsi="Arial"/>
        <w:color w:val="DF8D1D"/>
        <w:sz w:val="18"/>
        <w:lang w:val="sq-AL"/>
      </w:rPr>
    </w:pPr>
    <w:r>
      <w:object w:dxaOrig="1171" w:dyaOrig="1740" w14:anchorId="6F8499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57.75pt">
          <v:imagedata r:id="rId1" o:title=""/>
        </v:shape>
        <o:OLEObject Type="Embed" ProgID="CorelDRAW.Graphic.14" ShapeID="_x0000_i1025" DrawAspect="Content" ObjectID="_169132319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D5297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47578"/>
    <w:multiLevelType w:val="multilevel"/>
    <w:tmpl w:val="4B488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49165AC"/>
    <w:multiLevelType w:val="hybridMultilevel"/>
    <w:tmpl w:val="72606134"/>
    <w:lvl w:ilvl="0" w:tplc="4038083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3366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03403"/>
    <w:multiLevelType w:val="hybridMultilevel"/>
    <w:tmpl w:val="0E206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E74CD"/>
    <w:multiLevelType w:val="hybridMultilevel"/>
    <w:tmpl w:val="59BE5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13FE3"/>
    <w:multiLevelType w:val="hybridMultilevel"/>
    <w:tmpl w:val="2BA8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03CF5"/>
    <w:multiLevelType w:val="hybridMultilevel"/>
    <w:tmpl w:val="95207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D1224"/>
    <w:multiLevelType w:val="multilevel"/>
    <w:tmpl w:val="451A4D0A"/>
    <w:lvl w:ilvl="0">
      <w:start w:val="17"/>
      <w:numFmt w:val="decimal"/>
      <w:pStyle w:val="ParagraphNumbering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38221C55"/>
    <w:multiLevelType w:val="hybridMultilevel"/>
    <w:tmpl w:val="54780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C6F91"/>
    <w:multiLevelType w:val="hybridMultilevel"/>
    <w:tmpl w:val="C95C8590"/>
    <w:lvl w:ilvl="0" w:tplc="4038083A">
      <w:start w:val="1"/>
      <w:numFmt w:val="bullet"/>
      <w:lvlText w:val=""/>
      <w:lvlJc w:val="left"/>
      <w:pPr>
        <w:ind w:left="810" w:hanging="360"/>
      </w:pPr>
      <w:rPr>
        <w:rFonts w:ascii="Wingdings" w:hAnsi="Wingdings" w:hint="default"/>
        <w:b w:val="0"/>
        <w:i w:val="0"/>
        <w:color w:val="00336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D074F"/>
    <w:multiLevelType w:val="multilevel"/>
    <w:tmpl w:val="FDB83042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39E46CF"/>
    <w:multiLevelType w:val="hybridMultilevel"/>
    <w:tmpl w:val="7BD6373C"/>
    <w:lvl w:ilvl="0" w:tplc="4038083A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b w:val="0"/>
        <w:i w:val="0"/>
        <w:color w:val="00336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42C82"/>
    <w:multiLevelType w:val="hybridMultilevel"/>
    <w:tmpl w:val="8564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9AB5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4135C"/>
    <w:multiLevelType w:val="hybridMultilevel"/>
    <w:tmpl w:val="B412B6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05FE2"/>
    <w:multiLevelType w:val="hybridMultilevel"/>
    <w:tmpl w:val="7DC8E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015F9"/>
    <w:multiLevelType w:val="multilevel"/>
    <w:tmpl w:val="55E21FB6"/>
    <w:lvl w:ilvl="0">
      <w:start w:val="1"/>
      <w:numFmt w:val="decimal"/>
      <w:lvlText w:val="Schedule 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 w:color="000000"/>
        <w:effect w:val="none"/>
        <w:vertAlign w:val="baseline"/>
        <w:em w:val="none"/>
      </w:rPr>
    </w:lvl>
    <w:lvl w:ilvl="2">
      <w:start w:val="1"/>
      <w:numFmt w:val="decimal"/>
      <w:lvlText w:val="%2.%3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E453EA"/>
    <w:multiLevelType w:val="hybridMultilevel"/>
    <w:tmpl w:val="3392DE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66600"/>
    <w:multiLevelType w:val="hybridMultilevel"/>
    <w:tmpl w:val="C06C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75BCC"/>
    <w:multiLevelType w:val="multilevel"/>
    <w:tmpl w:val="8934106C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15"/>
  </w:num>
  <w:num w:numId="9">
    <w:abstractNumId w:val="17"/>
  </w:num>
  <w:num w:numId="10">
    <w:abstractNumId w:val="14"/>
  </w:num>
  <w:num w:numId="11">
    <w:abstractNumId w:val="12"/>
  </w:num>
  <w:num w:numId="12">
    <w:abstractNumId w:val="4"/>
  </w:num>
  <w:num w:numId="13">
    <w:abstractNumId w:val="3"/>
  </w:num>
  <w:num w:numId="14">
    <w:abstractNumId w:val="8"/>
  </w:num>
  <w:num w:numId="15">
    <w:abstractNumId w:val="13"/>
  </w:num>
  <w:num w:numId="16">
    <w:abstractNumId w:val="11"/>
  </w:num>
  <w:num w:numId="17">
    <w:abstractNumId w:val="9"/>
  </w:num>
  <w:num w:numId="18">
    <w:abstractNumId w:val="10"/>
    <w:lvlOverride w:ilvl="0">
      <w:startOverride w:val="3"/>
    </w:lvlOverride>
  </w:num>
  <w:num w:numId="19">
    <w:abstractNumId w:val="18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6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BD"/>
    <w:rsid w:val="00001C38"/>
    <w:rsid w:val="00010562"/>
    <w:rsid w:val="00013BA5"/>
    <w:rsid w:val="000246AC"/>
    <w:rsid w:val="00027C55"/>
    <w:rsid w:val="0003153C"/>
    <w:rsid w:val="00045C69"/>
    <w:rsid w:val="000509C4"/>
    <w:rsid w:val="00067C94"/>
    <w:rsid w:val="000727D3"/>
    <w:rsid w:val="0007441E"/>
    <w:rsid w:val="00084F51"/>
    <w:rsid w:val="000864DD"/>
    <w:rsid w:val="00093103"/>
    <w:rsid w:val="000A0332"/>
    <w:rsid w:val="000A0C46"/>
    <w:rsid w:val="000B2AB1"/>
    <w:rsid w:val="000B36A0"/>
    <w:rsid w:val="000B39F7"/>
    <w:rsid w:val="000B5031"/>
    <w:rsid w:val="000B5C57"/>
    <w:rsid w:val="000C0082"/>
    <w:rsid w:val="000C6734"/>
    <w:rsid w:val="000D13E1"/>
    <w:rsid w:val="000D2D2A"/>
    <w:rsid w:val="000E4925"/>
    <w:rsid w:val="000F241D"/>
    <w:rsid w:val="000F24A8"/>
    <w:rsid w:val="000F52C3"/>
    <w:rsid w:val="001003D6"/>
    <w:rsid w:val="00110A5E"/>
    <w:rsid w:val="0013675D"/>
    <w:rsid w:val="00136C14"/>
    <w:rsid w:val="0014315E"/>
    <w:rsid w:val="001454F3"/>
    <w:rsid w:val="001471C5"/>
    <w:rsid w:val="001511D6"/>
    <w:rsid w:val="00156A64"/>
    <w:rsid w:val="0016114E"/>
    <w:rsid w:val="00173E88"/>
    <w:rsid w:val="00177385"/>
    <w:rsid w:val="00187AD6"/>
    <w:rsid w:val="001930C2"/>
    <w:rsid w:val="00193864"/>
    <w:rsid w:val="00193AA8"/>
    <w:rsid w:val="001A4619"/>
    <w:rsid w:val="001A7286"/>
    <w:rsid w:val="001A758C"/>
    <w:rsid w:val="001B5B44"/>
    <w:rsid w:val="001B7F84"/>
    <w:rsid w:val="001C02F7"/>
    <w:rsid w:val="001C3595"/>
    <w:rsid w:val="001D246A"/>
    <w:rsid w:val="001D3DFD"/>
    <w:rsid w:val="001D6D68"/>
    <w:rsid w:val="001E48F2"/>
    <w:rsid w:val="001E4A16"/>
    <w:rsid w:val="001E633A"/>
    <w:rsid w:val="001F1C2E"/>
    <w:rsid w:val="001F26BF"/>
    <w:rsid w:val="00201EEC"/>
    <w:rsid w:val="0022032E"/>
    <w:rsid w:val="00220335"/>
    <w:rsid w:val="00223B01"/>
    <w:rsid w:val="00236883"/>
    <w:rsid w:val="00240B8D"/>
    <w:rsid w:val="00243AC4"/>
    <w:rsid w:val="00265E2C"/>
    <w:rsid w:val="002678D0"/>
    <w:rsid w:val="002725C8"/>
    <w:rsid w:val="002756E9"/>
    <w:rsid w:val="00277524"/>
    <w:rsid w:val="00277861"/>
    <w:rsid w:val="002807C0"/>
    <w:rsid w:val="00284F9D"/>
    <w:rsid w:val="002857FC"/>
    <w:rsid w:val="00285EE4"/>
    <w:rsid w:val="0029323D"/>
    <w:rsid w:val="002B09E9"/>
    <w:rsid w:val="002B1129"/>
    <w:rsid w:val="002B3DA0"/>
    <w:rsid w:val="002C75AB"/>
    <w:rsid w:val="002D1ACF"/>
    <w:rsid w:val="002D26CF"/>
    <w:rsid w:val="002E73D0"/>
    <w:rsid w:val="002F09BD"/>
    <w:rsid w:val="002F2888"/>
    <w:rsid w:val="002F3FF8"/>
    <w:rsid w:val="002F4A59"/>
    <w:rsid w:val="002F53EA"/>
    <w:rsid w:val="00301C73"/>
    <w:rsid w:val="00311108"/>
    <w:rsid w:val="00314F8E"/>
    <w:rsid w:val="00327460"/>
    <w:rsid w:val="003312AF"/>
    <w:rsid w:val="003347DA"/>
    <w:rsid w:val="00334AF4"/>
    <w:rsid w:val="00335BC6"/>
    <w:rsid w:val="00336167"/>
    <w:rsid w:val="00336382"/>
    <w:rsid w:val="00345A64"/>
    <w:rsid w:val="00347EF9"/>
    <w:rsid w:val="00351F63"/>
    <w:rsid w:val="00353FF2"/>
    <w:rsid w:val="003659BD"/>
    <w:rsid w:val="00366EF2"/>
    <w:rsid w:val="00370BD7"/>
    <w:rsid w:val="00375410"/>
    <w:rsid w:val="00382A53"/>
    <w:rsid w:val="003954DE"/>
    <w:rsid w:val="003A0F05"/>
    <w:rsid w:val="003C3C49"/>
    <w:rsid w:val="003C4F0D"/>
    <w:rsid w:val="003D1397"/>
    <w:rsid w:val="003D1F55"/>
    <w:rsid w:val="003D5FEB"/>
    <w:rsid w:val="003E1153"/>
    <w:rsid w:val="003E34BA"/>
    <w:rsid w:val="003E7F26"/>
    <w:rsid w:val="00403407"/>
    <w:rsid w:val="00413349"/>
    <w:rsid w:val="004147B1"/>
    <w:rsid w:val="00415BD8"/>
    <w:rsid w:val="004177E1"/>
    <w:rsid w:val="00450D0E"/>
    <w:rsid w:val="0046512B"/>
    <w:rsid w:val="00470E9F"/>
    <w:rsid w:val="004B1306"/>
    <w:rsid w:val="004C7F1F"/>
    <w:rsid w:val="004E47FE"/>
    <w:rsid w:val="004E512A"/>
    <w:rsid w:val="004F0E4F"/>
    <w:rsid w:val="004F52BB"/>
    <w:rsid w:val="004F52BF"/>
    <w:rsid w:val="005007E4"/>
    <w:rsid w:val="00513445"/>
    <w:rsid w:val="00513E54"/>
    <w:rsid w:val="005154F5"/>
    <w:rsid w:val="00520212"/>
    <w:rsid w:val="00520315"/>
    <w:rsid w:val="00527FDC"/>
    <w:rsid w:val="00531A83"/>
    <w:rsid w:val="0053290D"/>
    <w:rsid w:val="00536F9C"/>
    <w:rsid w:val="005404C1"/>
    <w:rsid w:val="00542218"/>
    <w:rsid w:val="0054317C"/>
    <w:rsid w:val="00546E14"/>
    <w:rsid w:val="005572CF"/>
    <w:rsid w:val="0056204C"/>
    <w:rsid w:val="0056576C"/>
    <w:rsid w:val="005670AF"/>
    <w:rsid w:val="00570AEC"/>
    <w:rsid w:val="00571B9A"/>
    <w:rsid w:val="005729A4"/>
    <w:rsid w:val="00574793"/>
    <w:rsid w:val="00577651"/>
    <w:rsid w:val="005C4850"/>
    <w:rsid w:val="005C7EBB"/>
    <w:rsid w:val="005D2ABA"/>
    <w:rsid w:val="005D321F"/>
    <w:rsid w:val="005D54A4"/>
    <w:rsid w:val="005E269A"/>
    <w:rsid w:val="005F6030"/>
    <w:rsid w:val="00602CAA"/>
    <w:rsid w:val="006057DA"/>
    <w:rsid w:val="00610C81"/>
    <w:rsid w:val="00615183"/>
    <w:rsid w:val="00630ED8"/>
    <w:rsid w:val="006316A7"/>
    <w:rsid w:val="00632DAE"/>
    <w:rsid w:val="006335B9"/>
    <w:rsid w:val="00633713"/>
    <w:rsid w:val="00646630"/>
    <w:rsid w:val="006502BF"/>
    <w:rsid w:val="00651961"/>
    <w:rsid w:val="00653535"/>
    <w:rsid w:val="00653BDA"/>
    <w:rsid w:val="006719FD"/>
    <w:rsid w:val="00672537"/>
    <w:rsid w:val="006729CF"/>
    <w:rsid w:val="0067519F"/>
    <w:rsid w:val="0068007E"/>
    <w:rsid w:val="0069144B"/>
    <w:rsid w:val="006B0C3B"/>
    <w:rsid w:val="006B0C4D"/>
    <w:rsid w:val="006B5A69"/>
    <w:rsid w:val="006B72FB"/>
    <w:rsid w:val="006C0A20"/>
    <w:rsid w:val="006C57CA"/>
    <w:rsid w:val="006C5C51"/>
    <w:rsid w:val="006C6357"/>
    <w:rsid w:val="006D00C8"/>
    <w:rsid w:val="006E074A"/>
    <w:rsid w:val="006E3D8D"/>
    <w:rsid w:val="006E5C2D"/>
    <w:rsid w:val="006F1778"/>
    <w:rsid w:val="006F34AF"/>
    <w:rsid w:val="007011D2"/>
    <w:rsid w:val="007105BA"/>
    <w:rsid w:val="007163C7"/>
    <w:rsid w:val="007226FE"/>
    <w:rsid w:val="00722DE6"/>
    <w:rsid w:val="00732E9B"/>
    <w:rsid w:val="00735BB4"/>
    <w:rsid w:val="00736EED"/>
    <w:rsid w:val="0074646A"/>
    <w:rsid w:val="00751076"/>
    <w:rsid w:val="007566D5"/>
    <w:rsid w:val="00763DC2"/>
    <w:rsid w:val="00764191"/>
    <w:rsid w:val="00771BD4"/>
    <w:rsid w:val="007768AD"/>
    <w:rsid w:val="00777932"/>
    <w:rsid w:val="007779A5"/>
    <w:rsid w:val="00780389"/>
    <w:rsid w:val="00782E58"/>
    <w:rsid w:val="007853BD"/>
    <w:rsid w:val="00787445"/>
    <w:rsid w:val="00795781"/>
    <w:rsid w:val="00796658"/>
    <w:rsid w:val="007A3202"/>
    <w:rsid w:val="007A6DDB"/>
    <w:rsid w:val="007D3F1B"/>
    <w:rsid w:val="007D43A1"/>
    <w:rsid w:val="007D5818"/>
    <w:rsid w:val="007D6036"/>
    <w:rsid w:val="007E172E"/>
    <w:rsid w:val="007F454D"/>
    <w:rsid w:val="007F7C63"/>
    <w:rsid w:val="00800DF4"/>
    <w:rsid w:val="00801EF8"/>
    <w:rsid w:val="00802C5D"/>
    <w:rsid w:val="00810CB8"/>
    <w:rsid w:val="00814FBB"/>
    <w:rsid w:val="00821F08"/>
    <w:rsid w:val="00825E63"/>
    <w:rsid w:val="0083125C"/>
    <w:rsid w:val="00853E83"/>
    <w:rsid w:val="00863F08"/>
    <w:rsid w:val="00882B1A"/>
    <w:rsid w:val="00887140"/>
    <w:rsid w:val="0089635A"/>
    <w:rsid w:val="0089662A"/>
    <w:rsid w:val="008B226A"/>
    <w:rsid w:val="008B33F1"/>
    <w:rsid w:val="008C1674"/>
    <w:rsid w:val="008D5C12"/>
    <w:rsid w:val="008D69F6"/>
    <w:rsid w:val="008E05E7"/>
    <w:rsid w:val="008E3CEF"/>
    <w:rsid w:val="008F2A8D"/>
    <w:rsid w:val="00905B3F"/>
    <w:rsid w:val="00914444"/>
    <w:rsid w:val="00917510"/>
    <w:rsid w:val="00917513"/>
    <w:rsid w:val="00925225"/>
    <w:rsid w:val="00934368"/>
    <w:rsid w:val="009513E8"/>
    <w:rsid w:val="00953A22"/>
    <w:rsid w:val="009561D2"/>
    <w:rsid w:val="009562B2"/>
    <w:rsid w:val="00960CB7"/>
    <w:rsid w:val="00966518"/>
    <w:rsid w:val="00971279"/>
    <w:rsid w:val="00971C65"/>
    <w:rsid w:val="00977162"/>
    <w:rsid w:val="0098220F"/>
    <w:rsid w:val="00982CD7"/>
    <w:rsid w:val="009846F0"/>
    <w:rsid w:val="00995A0D"/>
    <w:rsid w:val="009A2D41"/>
    <w:rsid w:val="009B0B66"/>
    <w:rsid w:val="009B1C77"/>
    <w:rsid w:val="009B30BA"/>
    <w:rsid w:val="009B71A4"/>
    <w:rsid w:val="009C0BD5"/>
    <w:rsid w:val="009C1055"/>
    <w:rsid w:val="009C12A4"/>
    <w:rsid w:val="009C1A0D"/>
    <w:rsid w:val="009C2FC0"/>
    <w:rsid w:val="009C31E3"/>
    <w:rsid w:val="009C4F5E"/>
    <w:rsid w:val="009E094D"/>
    <w:rsid w:val="009E6989"/>
    <w:rsid w:val="009F56CB"/>
    <w:rsid w:val="009F5CF9"/>
    <w:rsid w:val="00A147B5"/>
    <w:rsid w:val="00A15839"/>
    <w:rsid w:val="00A2651E"/>
    <w:rsid w:val="00A3350C"/>
    <w:rsid w:val="00A406A2"/>
    <w:rsid w:val="00A40EA7"/>
    <w:rsid w:val="00A44D20"/>
    <w:rsid w:val="00A450CD"/>
    <w:rsid w:val="00A46AFB"/>
    <w:rsid w:val="00A652F5"/>
    <w:rsid w:val="00A700B1"/>
    <w:rsid w:val="00A700FD"/>
    <w:rsid w:val="00A73E46"/>
    <w:rsid w:val="00A7477D"/>
    <w:rsid w:val="00A75056"/>
    <w:rsid w:val="00A81895"/>
    <w:rsid w:val="00A852C2"/>
    <w:rsid w:val="00A85FFA"/>
    <w:rsid w:val="00A976AC"/>
    <w:rsid w:val="00AA5A6E"/>
    <w:rsid w:val="00AD000F"/>
    <w:rsid w:val="00AD0EC2"/>
    <w:rsid w:val="00AF0767"/>
    <w:rsid w:val="00AF758A"/>
    <w:rsid w:val="00B00141"/>
    <w:rsid w:val="00B06D9B"/>
    <w:rsid w:val="00B2210C"/>
    <w:rsid w:val="00B254DC"/>
    <w:rsid w:val="00B26E14"/>
    <w:rsid w:val="00B30A85"/>
    <w:rsid w:val="00B328AC"/>
    <w:rsid w:val="00B33F0C"/>
    <w:rsid w:val="00B37E84"/>
    <w:rsid w:val="00B42D12"/>
    <w:rsid w:val="00B5297E"/>
    <w:rsid w:val="00B5734B"/>
    <w:rsid w:val="00B60343"/>
    <w:rsid w:val="00B62BEB"/>
    <w:rsid w:val="00B6788D"/>
    <w:rsid w:val="00B70813"/>
    <w:rsid w:val="00B80164"/>
    <w:rsid w:val="00B93A16"/>
    <w:rsid w:val="00BA0D6F"/>
    <w:rsid w:val="00BB0169"/>
    <w:rsid w:val="00BB393A"/>
    <w:rsid w:val="00BB438A"/>
    <w:rsid w:val="00BB67D9"/>
    <w:rsid w:val="00BC42CD"/>
    <w:rsid w:val="00BE546F"/>
    <w:rsid w:val="00BF0E8B"/>
    <w:rsid w:val="00BF3012"/>
    <w:rsid w:val="00BF7EB2"/>
    <w:rsid w:val="00C00E24"/>
    <w:rsid w:val="00C03DC7"/>
    <w:rsid w:val="00C0582A"/>
    <w:rsid w:val="00C12E63"/>
    <w:rsid w:val="00C20693"/>
    <w:rsid w:val="00C2145B"/>
    <w:rsid w:val="00C275AA"/>
    <w:rsid w:val="00C355F3"/>
    <w:rsid w:val="00C417D7"/>
    <w:rsid w:val="00C43B58"/>
    <w:rsid w:val="00C4488D"/>
    <w:rsid w:val="00C45216"/>
    <w:rsid w:val="00C549E2"/>
    <w:rsid w:val="00C55FC6"/>
    <w:rsid w:val="00C563BD"/>
    <w:rsid w:val="00C608F4"/>
    <w:rsid w:val="00C6298C"/>
    <w:rsid w:val="00C66CDD"/>
    <w:rsid w:val="00C729CF"/>
    <w:rsid w:val="00C74A04"/>
    <w:rsid w:val="00C82E8C"/>
    <w:rsid w:val="00C940D3"/>
    <w:rsid w:val="00C957A1"/>
    <w:rsid w:val="00C95D50"/>
    <w:rsid w:val="00CA020C"/>
    <w:rsid w:val="00CA5FB5"/>
    <w:rsid w:val="00CA6770"/>
    <w:rsid w:val="00CB03CA"/>
    <w:rsid w:val="00CB15CA"/>
    <w:rsid w:val="00CB7D82"/>
    <w:rsid w:val="00CD2EFD"/>
    <w:rsid w:val="00CE7BEE"/>
    <w:rsid w:val="00CF5D16"/>
    <w:rsid w:val="00CF7B05"/>
    <w:rsid w:val="00D0643B"/>
    <w:rsid w:val="00D13875"/>
    <w:rsid w:val="00D14FB8"/>
    <w:rsid w:val="00D26115"/>
    <w:rsid w:val="00D339C6"/>
    <w:rsid w:val="00D36D15"/>
    <w:rsid w:val="00D41FBE"/>
    <w:rsid w:val="00D43486"/>
    <w:rsid w:val="00D50B14"/>
    <w:rsid w:val="00D5314C"/>
    <w:rsid w:val="00D55216"/>
    <w:rsid w:val="00D56141"/>
    <w:rsid w:val="00D57D46"/>
    <w:rsid w:val="00D614E9"/>
    <w:rsid w:val="00D67548"/>
    <w:rsid w:val="00D67B32"/>
    <w:rsid w:val="00D8461C"/>
    <w:rsid w:val="00D8688D"/>
    <w:rsid w:val="00D93C26"/>
    <w:rsid w:val="00D968E5"/>
    <w:rsid w:val="00DA2B38"/>
    <w:rsid w:val="00DA32B6"/>
    <w:rsid w:val="00DA721E"/>
    <w:rsid w:val="00DB6420"/>
    <w:rsid w:val="00DB738F"/>
    <w:rsid w:val="00DD5029"/>
    <w:rsid w:val="00DD5DC7"/>
    <w:rsid w:val="00DD742B"/>
    <w:rsid w:val="00DE0514"/>
    <w:rsid w:val="00DE4CA6"/>
    <w:rsid w:val="00E10DCC"/>
    <w:rsid w:val="00E1493C"/>
    <w:rsid w:val="00E152CA"/>
    <w:rsid w:val="00E2331F"/>
    <w:rsid w:val="00E260D5"/>
    <w:rsid w:val="00E402FA"/>
    <w:rsid w:val="00E44ED4"/>
    <w:rsid w:val="00E45ED1"/>
    <w:rsid w:val="00E62DF0"/>
    <w:rsid w:val="00E7018C"/>
    <w:rsid w:val="00E72614"/>
    <w:rsid w:val="00E7350F"/>
    <w:rsid w:val="00E83C68"/>
    <w:rsid w:val="00E842F0"/>
    <w:rsid w:val="00E854BF"/>
    <w:rsid w:val="00E945BA"/>
    <w:rsid w:val="00E95952"/>
    <w:rsid w:val="00EB6374"/>
    <w:rsid w:val="00EC0FD0"/>
    <w:rsid w:val="00EE5FAE"/>
    <w:rsid w:val="00EE69CA"/>
    <w:rsid w:val="00EF0D1A"/>
    <w:rsid w:val="00F12E11"/>
    <w:rsid w:val="00F1379E"/>
    <w:rsid w:val="00F17D1D"/>
    <w:rsid w:val="00F23B93"/>
    <w:rsid w:val="00F25657"/>
    <w:rsid w:val="00F420E3"/>
    <w:rsid w:val="00F430FF"/>
    <w:rsid w:val="00F45C51"/>
    <w:rsid w:val="00F57475"/>
    <w:rsid w:val="00F6034F"/>
    <w:rsid w:val="00F62C8F"/>
    <w:rsid w:val="00F70D9C"/>
    <w:rsid w:val="00F74744"/>
    <w:rsid w:val="00F815F2"/>
    <w:rsid w:val="00F846E0"/>
    <w:rsid w:val="00F9112D"/>
    <w:rsid w:val="00F93EC0"/>
    <w:rsid w:val="00F956C5"/>
    <w:rsid w:val="00FA0298"/>
    <w:rsid w:val="00FA362F"/>
    <w:rsid w:val="00FA532E"/>
    <w:rsid w:val="00FB3C9E"/>
    <w:rsid w:val="00FD4451"/>
    <w:rsid w:val="00FD4E9E"/>
    <w:rsid w:val="00FE021E"/>
    <w:rsid w:val="00FE3C9D"/>
    <w:rsid w:val="00FF1593"/>
    <w:rsid w:val="00FF510E"/>
    <w:rsid w:val="00FF7475"/>
    <w:rsid w:val="00FF7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8A696"/>
  <w15:docId w15:val="{42FBF289-EA73-4F30-BFB1-BE2C2DAC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9BD"/>
    <w:pPr>
      <w:spacing w:after="200" w:line="276" w:lineRule="auto"/>
    </w:pPr>
    <w:rPr>
      <w:sz w:val="22"/>
      <w:szCs w:val="22"/>
      <w:lang w:val="sq-AL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09BD"/>
    <w:pPr>
      <w:keepNext/>
      <w:numPr>
        <w:numId w:val="1"/>
      </w:numPr>
      <w:spacing w:before="360"/>
      <w:outlineLvl w:val="0"/>
    </w:pPr>
    <w:rPr>
      <w:rFonts w:eastAsia="Times New Roman" w:cs="Arial"/>
      <w:b/>
      <w:bCs/>
      <w:color w:val="003366"/>
      <w:sz w:val="28"/>
      <w:szCs w:val="24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14315E"/>
    <w:pPr>
      <w:keepNext/>
      <w:numPr>
        <w:ilvl w:val="1"/>
        <w:numId w:val="1"/>
      </w:numPr>
      <w:autoSpaceDE w:val="0"/>
      <w:autoSpaceDN w:val="0"/>
      <w:adjustRightInd w:val="0"/>
      <w:spacing w:before="360"/>
      <w:jc w:val="both"/>
      <w:outlineLvl w:val="1"/>
    </w:pPr>
    <w:rPr>
      <w:rFonts w:eastAsia="Times New Roman" w:cs="Arial"/>
      <w:b/>
      <w:bCs/>
      <w:color w:val="003366"/>
      <w:sz w:val="24"/>
      <w:lang w:val="en-GB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2F09BD"/>
    <w:pPr>
      <w:numPr>
        <w:ilvl w:val="2"/>
      </w:numPr>
      <w:tabs>
        <w:tab w:val="left" w:pos="2160"/>
      </w:tabs>
      <w:spacing w:after="120"/>
      <w:outlineLvl w:val="2"/>
    </w:pPr>
    <w:rPr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F09BD"/>
    <w:rPr>
      <w:rFonts w:eastAsia="Times New Roman" w:cs="Arial"/>
      <w:b/>
      <w:bCs/>
      <w:color w:val="003366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14315E"/>
    <w:rPr>
      <w:rFonts w:eastAsia="Times New Roman" w:cs="Arial"/>
      <w:b/>
      <w:bCs/>
      <w:color w:val="003366"/>
      <w:sz w:val="24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2F09BD"/>
    <w:rPr>
      <w:rFonts w:ascii="Calibri" w:eastAsia="Times New Roman" w:hAnsi="Calibri" w:cs="Arial"/>
      <w:b/>
      <w:bCs/>
      <w:i/>
      <w:color w:val="003366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2F09BD"/>
    <w:pPr>
      <w:tabs>
        <w:tab w:val="center" w:pos="4320"/>
        <w:tab w:val="right" w:pos="8640"/>
      </w:tabs>
      <w:spacing w:after="0" w:line="240" w:lineRule="auto"/>
      <w:jc w:val="both"/>
    </w:pPr>
    <w:rPr>
      <w:rFonts w:eastAsia="Times New Roman" w:cs="Arial"/>
      <w:b/>
      <w:color w:val="FFCC00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F09BD"/>
    <w:rPr>
      <w:rFonts w:ascii="Calibri" w:eastAsia="Times New Roman" w:hAnsi="Calibri" w:cs="Arial"/>
      <w:b/>
      <w:color w:val="FFCC0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F09BD"/>
    <w:pPr>
      <w:tabs>
        <w:tab w:val="center" w:pos="4320"/>
        <w:tab w:val="right" w:pos="8640"/>
      </w:tabs>
      <w:jc w:val="both"/>
    </w:pPr>
    <w:rPr>
      <w:rFonts w:ascii="Arial" w:eastAsia="Times New Roman" w:hAnsi="Arial" w:cs="Arial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F09BD"/>
    <w:rPr>
      <w:rFonts w:ascii="Arial" w:eastAsia="Times New Roman" w:hAnsi="Arial" w:cs="Arial"/>
      <w:szCs w:val="24"/>
      <w:lang w:val="en-GB"/>
    </w:rPr>
  </w:style>
  <w:style w:type="character" w:styleId="PageNumber">
    <w:name w:val="page number"/>
    <w:basedOn w:val="DefaultParagraphFont"/>
    <w:uiPriority w:val="99"/>
    <w:rsid w:val="002F09BD"/>
    <w:rPr>
      <w:rFonts w:ascii="Calibri" w:hAnsi="Calibri"/>
      <w:sz w:val="18"/>
    </w:rPr>
  </w:style>
  <w:style w:type="paragraph" w:styleId="Title">
    <w:name w:val="Title"/>
    <w:basedOn w:val="Normal"/>
    <w:link w:val="TitleChar"/>
    <w:uiPriority w:val="99"/>
    <w:qFormat/>
    <w:rsid w:val="002F09BD"/>
    <w:pPr>
      <w:shd w:val="pct10" w:color="auto" w:fill="auto"/>
      <w:tabs>
        <w:tab w:val="center" w:pos="4320"/>
      </w:tabs>
      <w:spacing w:before="240"/>
    </w:pPr>
    <w:rPr>
      <w:rFonts w:eastAsia="Times New Roman" w:cs="Arial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2F09BD"/>
    <w:rPr>
      <w:rFonts w:ascii="Calibri" w:eastAsia="Times New Roman" w:hAnsi="Calibri" w:cs="Arial"/>
      <w:b/>
      <w:bCs/>
      <w:sz w:val="32"/>
      <w:szCs w:val="24"/>
      <w:shd w:val="pct10" w:color="auto" w:fill="auto"/>
      <w:lang w:val="sq-AL"/>
    </w:rPr>
  </w:style>
  <w:style w:type="paragraph" w:styleId="Caption">
    <w:name w:val="caption"/>
    <w:aliases w:val="Tabellen"/>
    <w:basedOn w:val="Normal"/>
    <w:next w:val="Normal"/>
    <w:uiPriority w:val="35"/>
    <w:qFormat/>
    <w:rsid w:val="002F09BD"/>
    <w:pPr>
      <w:keepNext/>
      <w:jc w:val="both"/>
    </w:pPr>
    <w:rPr>
      <w:rFonts w:eastAsia="Times New Roman" w:cs="Arial"/>
      <w:b/>
      <w:bCs/>
      <w:i/>
      <w:color w:val="003366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rsid w:val="002F09BD"/>
    <w:pPr>
      <w:jc w:val="both"/>
    </w:pPr>
    <w:rPr>
      <w:rFonts w:eastAsia="Times New Roman" w:cs="Arial"/>
      <w:sz w:val="20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09BD"/>
    <w:rPr>
      <w:rFonts w:ascii="Calibri" w:eastAsia="Times New Roman" w:hAnsi="Calibri" w:cs="Arial"/>
      <w:sz w:val="20"/>
      <w:szCs w:val="24"/>
      <w:lang w:val="en-GB"/>
    </w:rPr>
  </w:style>
  <w:style w:type="character" w:styleId="FootnoteReference">
    <w:name w:val="footnote reference"/>
    <w:basedOn w:val="DefaultParagraphFont"/>
    <w:uiPriority w:val="99"/>
    <w:rsid w:val="002F09BD"/>
    <w:rPr>
      <w:vertAlign w:val="superscript"/>
    </w:rPr>
  </w:style>
  <w:style w:type="character" w:styleId="Hyperlink">
    <w:name w:val="Hyperlink"/>
    <w:basedOn w:val="DefaultParagraphFont"/>
    <w:uiPriority w:val="99"/>
    <w:rsid w:val="002F09BD"/>
    <w:rPr>
      <w:color w:val="0000FF"/>
      <w:u w:val="single"/>
    </w:rPr>
  </w:style>
  <w:style w:type="paragraph" w:styleId="ListBullet">
    <w:name w:val="List Bullet"/>
    <w:basedOn w:val="Normal"/>
    <w:uiPriority w:val="99"/>
    <w:rsid w:val="002F09BD"/>
    <w:pPr>
      <w:numPr>
        <w:numId w:val="3"/>
      </w:numPr>
      <w:tabs>
        <w:tab w:val="clear" w:pos="360"/>
        <w:tab w:val="num" w:pos="720"/>
      </w:tabs>
      <w:ind w:left="720"/>
      <w:jc w:val="both"/>
    </w:pPr>
    <w:rPr>
      <w:rFonts w:eastAsia="Times New Roman" w:cs="Arial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rsid w:val="002F09BD"/>
    <w:pPr>
      <w:spacing w:before="200"/>
      <w:jc w:val="both"/>
    </w:pPr>
    <w:rPr>
      <w:rFonts w:eastAsia="Times New Roman" w:cs="Arial"/>
      <w:b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rsid w:val="002F09BD"/>
    <w:pPr>
      <w:spacing w:after="100"/>
      <w:ind w:left="245"/>
      <w:jc w:val="both"/>
    </w:pPr>
    <w:rPr>
      <w:rFonts w:eastAsia="Times New Roman" w:cs="Arial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F09BD"/>
    <w:pPr>
      <w:ind w:left="720"/>
      <w:contextualSpacing/>
      <w:jc w:val="both"/>
    </w:pPr>
    <w:rPr>
      <w:rFonts w:eastAsia="Times New Roman" w:cs="Arial"/>
      <w:szCs w:val="24"/>
      <w:lang w:val="en-GB"/>
    </w:rPr>
  </w:style>
  <w:style w:type="paragraph" w:customStyle="1" w:styleId="TextS">
    <w:name w:val="TextS"/>
    <w:basedOn w:val="Normal"/>
    <w:link w:val="TextSChar"/>
    <w:qFormat/>
    <w:rsid w:val="002F09BD"/>
    <w:pPr>
      <w:spacing w:before="240" w:after="240" w:line="240" w:lineRule="auto"/>
      <w:ind w:left="720" w:hanging="720"/>
    </w:pPr>
    <w:rPr>
      <w:rFonts w:eastAsia="Times New Roman"/>
      <w:szCs w:val="24"/>
      <w:lang w:val="en-AU" w:eastAsia="en-GB"/>
    </w:rPr>
  </w:style>
  <w:style w:type="character" w:customStyle="1" w:styleId="TextSChar">
    <w:name w:val="TextS Char"/>
    <w:basedOn w:val="DefaultParagraphFont"/>
    <w:link w:val="TextS"/>
    <w:rsid w:val="002F09BD"/>
    <w:rPr>
      <w:rFonts w:ascii="Calibri" w:eastAsia="Times New Roman" w:hAnsi="Calibri" w:cs="Times New Roman"/>
      <w:szCs w:val="24"/>
      <w:lang w:val="en-AU" w:eastAsia="en-GB"/>
    </w:rPr>
  </w:style>
  <w:style w:type="paragraph" w:customStyle="1" w:styleId="Equation">
    <w:name w:val="Equation"/>
    <w:basedOn w:val="TextS"/>
    <w:link w:val="EquationChar"/>
    <w:qFormat/>
    <w:rsid w:val="002F09BD"/>
    <w:pPr>
      <w:ind w:left="2160" w:hanging="1440"/>
    </w:pPr>
    <w:rPr>
      <w:i/>
      <w:lang w:val="en-GB"/>
    </w:rPr>
  </w:style>
  <w:style w:type="character" w:customStyle="1" w:styleId="EquationChar">
    <w:name w:val="Equation Char"/>
    <w:basedOn w:val="TextSChar"/>
    <w:link w:val="Equation"/>
    <w:rsid w:val="002F09BD"/>
    <w:rPr>
      <w:rFonts w:ascii="Calibri" w:eastAsia="Times New Roman" w:hAnsi="Calibri" w:cs="Times New Roman"/>
      <w:i/>
      <w:szCs w:val="24"/>
      <w:lang w:val="en-GB" w:eastAsia="en-GB"/>
    </w:rPr>
  </w:style>
  <w:style w:type="paragraph" w:customStyle="1" w:styleId="ParagraphNumbering">
    <w:name w:val="Paragraph Numbering"/>
    <w:basedOn w:val="Normal"/>
    <w:rsid w:val="002F09BD"/>
    <w:pPr>
      <w:numPr>
        <w:numId w:val="6"/>
      </w:numPr>
      <w:jc w:val="both"/>
    </w:pPr>
    <w:rPr>
      <w:rFonts w:cs="Arial"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93EC0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265E2C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F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F84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6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6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6E0"/>
    <w:rPr>
      <w:b/>
      <w:bCs/>
      <w:sz w:val="20"/>
      <w:szCs w:val="20"/>
    </w:rPr>
  </w:style>
  <w:style w:type="paragraph" w:customStyle="1" w:styleId="HeadingS">
    <w:name w:val="Heading S"/>
    <w:basedOn w:val="Heading1"/>
    <w:next w:val="TextS"/>
    <w:qFormat/>
    <w:rsid w:val="002F2888"/>
    <w:pPr>
      <w:pageBreakBefore/>
      <w:numPr>
        <w:numId w:val="0"/>
      </w:numPr>
      <w:spacing w:before="480" w:after="480" w:line="312" w:lineRule="auto"/>
      <w:ind w:left="360" w:hanging="360"/>
      <w:jc w:val="center"/>
    </w:pPr>
    <w:rPr>
      <w:rFonts w:cs="Times New Roman"/>
      <w:bCs w:val="0"/>
      <w:caps/>
      <w:color w:val="auto"/>
      <w:sz w:val="22"/>
      <w:szCs w:val="22"/>
      <w:lang w:val="en-AU" w:eastAsia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2888"/>
    <w:rPr>
      <w:rFonts w:eastAsia="Calibri"/>
    </w:rPr>
  </w:style>
  <w:style w:type="character" w:customStyle="1" w:styleId="DateChar">
    <w:name w:val="Date Char"/>
    <w:basedOn w:val="DefaultParagraphFont"/>
    <w:link w:val="Date"/>
    <w:uiPriority w:val="99"/>
    <w:semiHidden/>
    <w:rsid w:val="002F2888"/>
    <w:rPr>
      <w:rFonts w:ascii="Calibri" w:eastAsia="Calibri" w:hAnsi="Calibri" w:cs="Times New Roman"/>
      <w:sz w:val="22"/>
      <w:szCs w:val="22"/>
    </w:rPr>
  </w:style>
  <w:style w:type="paragraph" w:customStyle="1" w:styleId="ReportTitle">
    <w:name w:val="Report Title"/>
    <w:basedOn w:val="Title"/>
    <w:link w:val="ReportTitleChar"/>
    <w:qFormat/>
    <w:rsid w:val="002F2888"/>
    <w:pPr>
      <w:shd w:val="clear" w:color="auto" w:fill="005D97"/>
      <w:spacing w:before="0" w:after="0"/>
      <w:jc w:val="center"/>
    </w:pPr>
    <w:rPr>
      <w:color w:val="8064A2"/>
      <w:sz w:val="48"/>
      <w:szCs w:val="40"/>
      <w:lang w:val="en-US"/>
    </w:rPr>
  </w:style>
  <w:style w:type="paragraph" w:customStyle="1" w:styleId="ReportSubTitle">
    <w:name w:val="Report SubTitle"/>
    <w:basedOn w:val="Title"/>
    <w:link w:val="ReportSubTitleChar"/>
    <w:qFormat/>
    <w:rsid w:val="002F2888"/>
    <w:pPr>
      <w:shd w:val="clear" w:color="auto" w:fill="005D97"/>
      <w:spacing w:before="0" w:after="0"/>
      <w:jc w:val="center"/>
    </w:pPr>
    <w:rPr>
      <w:color w:val="8064A2"/>
      <w:sz w:val="28"/>
      <w:lang w:val="en-US"/>
    </w:rPr>
  </w:style>
  <w:style w:type="character" w:customStyle="1" w:styleId="ReportTitleChar">
    <w:name w:val="Report Title Char"/>
    <w:basedOn w:val="TitleChar"/>
    <w:link w:val="ReportTitle"/>
    <w:rsid w:val="002F2888"/>
    <w:rPr>
      <w:rFonts w:ascii="Calibri" w:eastAsia="Times New Roman" w:hAnsi="Calibri" w:cs="Arial"/>
      <w:b/>
      <w:bCs/>
      <w:color w:val="8064A2"/>
      <w:sz w:val="48"/>
      <w:szCs w:val="40"/>
      <w:shd w:val="clear" w:color="auto" w:fill="005D97"/>
      <w:lang w:val="sq-AL"/>
    </w:rPr>
  </w:style>
  <w:style w:type="paragraph" w:customStyle="1" w:styleId="ReportDate">
    <w:name w:val="Report Date"/>
    <w:basedOn w:val="Normal"/>
    <w:link w:val="ReportDateChar"/>
    <w:qFormat/>
    <w:rsid w:val="002F2888"/>
    <w:pPr>
      <w:tabs>
        <w:tab w:val="left" w:pos="2175"/>
      </w:tabs>
      <w:jc w:val="center"/>
    </w:pPr>
    <w:rPr>
      <w:rFonts w:eastAsia="Calibri"/>
      <w:b/>
      <w:bCs/>
      <w:color w:val="005D97"/>
      <w:sz w:val="36"/>
      <w:szCs w:val="36"/>
    </w:rPr>
  </w:style>
  <w:style w:type="character" w:customStyle="1" w:styleId="ReportSubTitleChar">
    <w:name w:val="Report SubTitle Char"/>
    <w:basedOn w:val="TitleChar"/>
    <w:link w:val="ReportSubTitle"/>
    <w:rsid w:val="002F2888"/>
    <w:rPr>
      <w:rFonts w:ascii="Calibri" w:eastAsia="Times New Roman" w:hAnsi="Calibri" w:cs="Arial"/>
      <w:b/>
      <w:bCs/>
      <w:color w:val="8064A2"/>
      <w:sz w:val="28"/>
      <w:szCs w:val="24"/>
      <w:shd w:val="clear" w:color="auto" w:fill="005D97"/>
      <w:lang w:val="sq-AL"/>
    </w:rPr>
  </w:style>
  <w:style w:type="character" w:customStyle="1" w:styleId="ReportDateChar">
    <w:name w:val="Report Date Char"/>
    <w:basedOn w:val="DefaultParagraphFont"/>
    <w:link w:val="ReportDate"/>
    <w:rsid w:val="002F2888"/>
    <w:rPr>
      <w:rFonts w:ascii="Calibri" w:eastAsia="Calibri" w:hAnsi="Calibri" w:cs="Times New Roman"/>
      <w:b/>
      <w:bCs/>
      <w:color w:val="005D97"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F2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2888"/>
    <w:rPr>
      <w:rFonts w:ascii="Courier New" w:eastAsia="Times New Roman" w:hAnsi="Courier New" w:cs="Courier New"/>
    </w:rPr>
  </w:style>
  <w:style w:type="paragraph" w:styleId="BodyText">
    <w:name w:val="Body Text"/>
    <w:basedOn w:val="Normal"/>
    <w:link w:val="BodyTextChar"/>
    <w:rsid w:val="009B0B66"/>
    <w:pPr>
      <w:spacing w:after="180" w:line="280" w:lineRule="atLeast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B0B66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815F2"/>
    <w:rPr>
      <w:rFonts w:eastAsia="Times New Roman" w:cs="Calibri"/>
      <w:lang w:val="sq-AL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rsid w:val="005729A4"/>
    <w:pPr>
      <w:suppressAutoHyphens/>
      <w:autoSpaceDN w:val="0"/>
      <w:textAlignment w:val="baseline"/>
    </w:pPr>
    <w:rPr>
      <w:rFonts w:eastAsia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E1493C"/>
    <w:rPr>
      <w:sz w:val="22"/>
      <w:szCs w:val="22"/>
      <w:lang w:val="sq-A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o.pricing-tariffs@ero-k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ppsso.eurostat.ec.europa.eu/nui/submitViewTableAction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C300D-B7E8-4F22-91B5-48D696C8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3413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 Isufi</dc:creator>
  <cp:lastModifiedBy>Adelina Murtezaj</cp:lastModifiedBy>
  <cp:revision>2</cp:revision>
  <cp:lastPrinted>2017-03-01T10:10:00Z</cp:lastPrinted>
  <dcterms:created xsi:type="dcterms:W3CDTF">2021-08-24T13:13:00Z</dcterms:created>
  <dcterms:modified xsi:type="dcterms:W3CDTF">2021-08-24T13:13:00Z</dcterms:modified>
</cp:coreProperties>
</file>