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78" w:rsidRPr="005524CC" w:rsidRDefault="00084778" w:rsidP="00327E77">
      <w:pPr>
        <w:rPr>
          <w:rFonts w:asciiTheme="minorHAnsi" w:hAnsiTheme="minorHAnsi" w:cstheme="minorHAnsi"/>
        </w:rPr>
      </w:pPr>
    </w:p>
    <w:p w:rsidR="00277E59" w:rsidRPr="005524CC" w:rsidRDefault="00277E59" w:rsidP="00327E77">
      <w:pPr>
        <w:rPr>
          <w:rFonts w:asciiTheme="minorHAnsi" w:hAnsiTheme="minorHAnsi" w:cstheme="minorHAnsi"/>
        </w:rPr>
      </w:pPr>
    </w:p>
    <w:p w:rsidR="00277E59" w:rsidRPr="005524CC" w:rsidRDefault="00277E59" w:rsidP="00327E77">
      <w:pPr>
        <w:rPr>
          <w:rFonts w:asciiTheme="minorHAnsi" w:hAnsiTheme="minorHAnsi" w:cstheme="minorHAnsi"/>
        </w:rPr>
      </w:pPr>
    </w:p>
    <w:p w:rsidR="00277E59" w:rsidRPr="005524CC" w:rsidRDefault="00277E59" w:rsidP="00327E77">
      <w:pPr>
        <w:rPr>
          <w:rFonts w:asciiTheme="minorHAnsi" w:hAnsiTheme="minorHAnsi" w:cstheme="minorHAnsi"/>
        </w:rPr>
      </w:pP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b/>
          <w:sz w:val="40"/>
          <w:szCs w:val="40"/>
        </w:rPr>
      </w:pPr>
    </w:p>
    <w:p w:rsidR="00240087" w:rsidRPr="005524CC" w:rsidRDefault="00240087" w:rsidP="00277E59">
      <w:pPr>
        <w:jc w:val="center"/>
        <w:rPr>
          <w:rFonts w:asciiTheme="minorHAnsi" w:hAnsiTheme="minorHAnsi" w:cstheme="minorHAnsi"/>
          <w:b/>
          <w:sz w:val="40"/>
          <w:szCs w:val="40"/>
        </w:rPr>
      </w:pPr>
    </w:p>
    <w:p w:rsidR="00240087" w:rsidRPr="005524CC" w:rsidRDefault="00240087" w:rsidP="00277E59">
      <w:pPr>
        <w:jc w:val="center"/>
        <w:rPr>
          <w:rFonts w:asciiTheme="minorHAnsi" w:hAnsiTheme="minorHAnsi" w:cstheme="minorHAnsi"/>
          <w:b/>
          <w:sz w:val="40"/>
          <w:szCs w:val="40"/>
        </w:rPr>
      </w:pPr>
    </w:p>
    <w:p w:rsidR="00A80110" w:rsidRPr="005524CC" w:rsidRDefault="006803FB" w:rsidP="00277E59">
      <w:pPr>
        <w:jc w:val="center"/>
        <w:rPr>
          <w:rFonts w:asciiTheme="minorHAnsi" w:hAnsiTheme="minorHAnsi" w:cstheme="minorHAnsi"/>
          <w:b/>
          <w:caps/>
          <w:sz w:val="72"/>
          <w:szCs w:val="72"/>
        </w:rPr>
      </w:pPr>
      <w:r w:rsidRPr="005524CC">
        <w:rPr>
          <w:rFonts w:asciiTheme="minorHAnsi" w:hAnsiTheme="minorHAnsi" w:cstheme="minorHAnsi"/>
          <w:b/>
          <w:caps/>
          <w:sz w:val="72"/>
          <w:szCs w:val="72"/>
        </w:rPr>
        <w:t xml:space="preserve">Plan učinka za </w:t>
      </w:r>
      <w:r w:rsidR="004840B0" w:rsidRPr="005524CC">
        <w:rPr>
          <w:rFonts w:asciiTheme="minorHAnsi" w:hAnsiTheme="minorHAnsi" w:cstheme="minorHAnsi"/>
          <w:b/>
          <w:caps/>
          <w:sz w:val="72"/>
          <w:szCs w:val="72"/>
        </w:rPr>
        <w:t>2021</w:t>
      </w:r>
      <w:r w:rsidRPr="005524CC">
        <w:rPr>
          <w:rFonts w:asciiTheme="minorHAnsi" w:hAnsiTheme="minorHAnsi" w:cstheme="minorHAnsi"/>
          <w:b/>
          <w:caps/>
          <w:sz w:val="72"/>
          <w:szCs w:val="72"/>
        </w:rPr>
        <w:t>. godinu</w:t>
      </w: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sz w:val="40"/>
          <w:szCs w:val="40"/>
        </w:rPr>
      </w:pPr>
    </w:p>
    <w:p w:rsidR="00277E59" w:rsidRPr="005524CC" w:rsidRDefault="00277E59" w:rsidP="00277E59">
      <w:pPr>
        <w:jc w:val="center"/>
        <w:rPr>
          <w:rFonts w:asciiTheme="minorHAnsi" w:hAnsiTheme="minorHAnsi" w:cstheme="minorHAnsi"/>
          <w:sz w:val="40"/>
          <w:szCs w:val="40"/>
        </w:rPr>
      </w:pPr>
    </w:p>
    <w:p w:rsidR="004A6866" w:rsidRPr="005524CC" w:rsidRDefault="004A6866" w:rsidP="00240087">
      <w:pPr>
        <w:jc w:val="center"/>
        <w:rPr>
          <w:rFonts w:asciiTheme="minorHAnsi" w:hAnsiTheme="minorHAnsi" w:cstheme="minorHAnsi"/>
          <w:sz w:val="24"/>
        </w:rPr>
      </w:pPr>
    </w:p>
    <w:p w:rsidR="00C937A4" w:rsidRPr="005524CC" w:rsidRDefault="003D5C97">
      <w:pPr>
        <w:spacing w:after="0" w:line="240" w:lineRule="auto"/>
        <w:jc w:val="left"/>
        <w:rPr>
          <w:rFonts w:asciiTheme="minorHAnsi" w:hAnsiTheme="minorHAnsi" w:cstheme="minorHAnsi"/>
          <w:b/>
          <w:sz w:val="24"/>
        </w:rPr>
      </w:pPr>
      <w:r>
        <w:rPr>
          <w:rFonts w:asciiTheme="minorHAnsi" w:hAnsiTheme="minorHAnsi" w:cstheme="minorHAnsi"/>
          <w:b/>
          <w:sz w:val="24"/>
        </w:rPr>
        <w:lastRenderedPageBreak/>
        <w:t>S</w:t>
      </w:r>
      <w:r w:rsidRPr="003D5C97">
        <w:rPr>
          <w:rFonts w:asciiTheme="minorHAnsi" w:hAnsiTheme="minorHAnsi" w:cstheme="minorHAnsi"/>
          <w:b/>
          <w:sz w:val="24"/>
        </w:rPr>
        <w:t>adržaj</w:t>
      </w:r>
    </w:p>
    <w:sdt>
      <w:sdtPr>
        <w:rPr>
          <w:rFonts w:asciiTheme="minorHAnsi" w:eastAsia="MS Mincho" w:hAnsiTheme="minorHAnsi" w:cstheme="minorHAnsi"/>
          <w:b w:val="0"/>
          <w:bCs w:val="0"/>
          <w:color w:val="auto"/>
          <w:sz w:val="22"/>
          <w:szCs w:val="24"/>
          <w:lang w:val="sr-Latn-CS"/>
        </w:rPr>
        <w:id w:val="1370210938"/>
        <w:docPartObj>
          <w:docPartGallery w:val="Table of Contents"/>
          <w:docPartUnique/>
        </w:docPartObj>
      </w:sdtPr>
      <w:sdtContent>
        <w:p w:rsidR="00C937A4" w:rsidRPr="005524CC" w:rsidRDefault="00C937A4">
          <w:pPr>
            <w:pStyle w:val="TOCHeading"/>
            <w:rPr>
              <w:rFonts w:asciiTheme="minorHAnsi" w:hAnsiTheme="minorHAnsi" w:cstheme="minorHAnsi"/>
              <w:lang w:val="sr-Latn-CS"/>
            </w:rPr>
          </w:pPr>
        </w:p>
        <w:p w:rsidR="00E0104C" w:rsidRDefault="0007212B">
          <w:pPr>
            <w:pStyle w:val="TOC1"/>
            <w:tabs>
              <w:tab w:val="right" w:leader="dot" w:pos="9063"/>
            </w:tabs>
            <w:rPr>
              <w:rFonts w:asciiTheme="minorHAnsi" w:eastAsiaTheme="minorEastAsia" w:hAnsiTheme="minorHAnsi" w:cstheme="minorBidi"/>
              <w:b w:val="0"/>
              <w:noProof/>
              <w:szCs w:val="22"/>
              <w:lang w:val="en-US"/>
            </w:rPr>
          </w:pPr>
          <w:r w:rsidRPr="0007212B">
            <w:rPr>
              <w:rFonts w:asciiTheme="minorHAnsi" w:hAnsiTheme="minorHAnsi" w:cstheme="minorHAnsi"/>
            </w:rPr>
            <w:fldChar w:fldCharType="begin"/>
          </w:r>
          <w:r w:rsidR="00C937A4" w:rsidRPr="005524CC">
            <w:rPr>
              <w:rFonts w:asciiTheme="minorHAnsi" w:hAnsiTheme="minorHAnsi" w:cstheme="minorHAnsi"/>
            </w:rPr>
            <w:instrText xml:space="preserve"> TOC \o "1-3" \h \z \u </w:instrText>
          </w:r>
          <w:r w:rsidRPr="0007212B">
            <w:rPr>
              <w:rFonts w:asciiTheme="minorHAnsi" w:hAnsiTheme="minorHAnsi" w:cstheme="minorHAnsi"/>
            </w:rPr>
            <w:fldChar w:fldCharType="separate"/>
          </w:r>
          <w:hyperlink w:anchor="_Toc56589711" w:history="1">
            <w:r w:rsidR="00E0104C" w:rsidRPr="00152AFC">
              <w:rPr>
                <w:rStyle w:val="Hyperlink"/>
                <w:rFonts w:cstheme="minorHAnsi"/>
                <w:caps/>
                <w:noProof/>
              </w:rPr>
              <w:t>skraćenice</w:t>
            </w:r>
            <w:r w:rsidR="00E0104C">
              <w:rPr>
                <w:noProof/>
                <w:webHidden/>
              </w:rPr>
              <w:tab/>
            </w:r>
            <w:r w:rsidR="00E0104C">
              <w:rPr>
                <w:noProof/>
                <w:webHidden/>
              </w:rPr>
              <w:fldChar w:fldCharType="begin"/>
            </w:r>
            <w:r w:rsidR="00E0104C">
              <w:rPr>
                <w:noProof/>
                <w:webHidden/>
              </w:rPr>
              <w:instrText xml:space="preserve"> PAGEREF _Toc56589711 \h </w:instrText>
            </w:r>
            <w:r w:rsidR="00E0104C">
              <w:rPr>
                <w:noProof/>
                <w:webHidden/>
              </w:rPr>
            </w:r>
            <w:r w:rsidR="00E0104C">
              <w:rPr>
                <w:noProof/>
                <w:webHidden/>
              </w:rPr>
              <w:fldChar w:fldCharType="separate"/>
            </w:r>
            <w:r w:rsidR="00E0104C">
              <w:rPr>
                <w:noProof/>
                <w:webHidden/>
              </w:rPr>
              <w:t>3</w:t>
            </w:r>
            <w:r w:rsidR="00E0104C">
              <w:rPr>
                <w:noProof/>
                <w:webHidden/>
              </w:rPr>
              <w:fldChar w:fldCharType="end"/>
            </w:r>
          </w:hyperlink>
        </w:p>
        <w:p w:rsidR="00E0104C" w:rsidRDefault="00E0104C">
          <w:pPr>
            <w:pStyle w:val="TOC1"/>
            <w:tabs>
              <w:tab w:val="left" w:pos="475"/>
              <w:tab w:val="right" w:leader="dot" w:pos="9063"/>
            </w:tabs>
            <w:rPr>
              <w:rFonts w:asciiTheme="minorHAnsi" w:eastAsiaTheme="minorEastAsia" w:hAnsiTheme="minorHAnsi" w:cstheme="minorBidi"/>
              <w:b w:val="0"/>
              <w:noProof/>
              <w:szCs w:val="22"/>
              <w:lang w:val="en-US"/>
            </w:rPr>
          </w:pPr>
          <w:hyperlink w:anchor="_Toc56589712" w:history="1">
            <w:r w:rsidRPr="00152AFC">
              <w:rPr>
                <w:rStyle w:val="Hyperlink"/>
                <w:rFonts w:cstheme="minorHAnsi"/>
                <w:noProof/>
              </w:rPr>
              <w:t>1</w:t>
            </w:r>
            <w:r>
              <w:rPr>
                <w:rFonts w:asciiTheme="minorHAnsi" w:eastAsiaTheme="minorEastAsia" w:hAnsiTheme="minorHAnsi" w:cstheme="minorBidi"/>
                <w:b w:val="0"/>
                <w:noProof/>
                <w:szCs w:val="22"/>
                <w:lang w:val="en-US"/>
              </w:rPr>
              <w:tab/>
            </w:r>
            <w:r w:rsidRPr="00152AFC">
              <w:rPr>
                <w:rStyle w:val="Hyperlink"/>
                <w:rFonts w:cstheme="minorHAnsi"/>
                <w:caps/>
                <w:noProof/>
              </w:rPr>
              <w:t>Uvod</w:t>
            </w:r>
            <w:r>
              <w:rPr>
                <w:noProof/>
                <w:webHidden/>
              </w:rPr>
              <w:tab/>
            </w:r>
            <w:r>
              <w:rPr>
                <w:noProof/>
                <w:webHidden/>
              </w:rPr>
              <w:fldChar w:fldCharType="begin"/>
            </w:r>
            <w:r>
              <w:rPr>
                <w:noProof/>
                <w:webHidden/>
              </w:rPr>
              <w:instrText xml:space="preserve"> PAGEREF _Toc56589712 \h </w:instrText>
            </w:r>
            <w:r>
              <w:rPr>
                <w:noProof/>
                <w:webHidden/>
              </w:rPr>
            </w:r>
            <w:r>
              <w:rPr>
                <w:noProof/>
                <w:webHidden/>
              </w:rPr>
              <w:fldChar w:fldCharType="separate"/>
            </w:r>
            <w:r>
              <w:rPr>
                <w:noProof/>
                <w:webHidden/>
              </w:rPr>
              <w:t>4</w:t>
            </w:r>
            <w:r>
              <w:rPr>
                <w:noProof/>
                <w:webHidden/>
              </w:rPr>
              <w:fldChar w:fldCharType="end"/>
            </w:r>
          </w:hyperlink>
        </w:p>
        <w:p w:rsidR="00E0104C" w:rsidRDefault="00E0104C">
          <w:pPr>
            <w:pStyle w:val="TOC1"/>
            <w:tabs>
              <w:tab w:val="left" w:pos="475"/>
              <w:tab w:val="right" w:leader="dot" w:pos="9063"/>
            </w:tabs>
            <w:rPr>
              <w:rFonts w:asciiTheme="minorHAnsi" w:eastAsiaTheme="minorEastAsia" w:hAnsiTheme="minorHAnsi" w:cstheme="minorBidi"/>
              <w:b w:val="0"/>
              <w:noProof/>
              <w:szCs w:val="22"/>
              <w:lang w:val="en-US"/>
            </w:rPr>
          </w:pPr>
          <w:hyperlink w:anchor="_Toc56589713" w:history="1">
            <w:r w:rsidRPr="00152AFC">
              <w:rPr>
                <w:rStyle w:val="Hyperlink"/>
                <w:rFonts w:cstheme="minorHAnsi"/>
                <w:caps/>
                <w:noProof/>
              </w:rPr>
              <w:t>2</w:t>
            </w:r>
            <w:r>
              <w:rPr>
                <w:rFonts w:asciiTheme="minorHAnsi" w:eastAsiaTheme="minorEastAsia" w:hAnsiTheme="minorHAnsi" w:cstheme="minorBidi"/>
                <w:b w:val="0"/>
                <w:noProof/>
                <w:szCs w:val="22"/>
                <w:lang w:val="en-US"/>
              </w:rPr>
              <w:tab/>
            </w:r>
            <w:r w:rsidRPr="00152AFC">
              <w:rPr>
                <w:rStyle w:val="Hyperlink"/>
                <w:rFonts w:cstheme="minorHAnsi"/>
                <w:caps/>
                <w:noProof/>
              </w:rPr>
              <w:t>MANDAT regulatornog ureda za energiju</w:t>
            </w:r>
            <w:r>
              <w:rPr>
                <w:noProof/>
                <w:webHidden/>
              </w:rPr>
              <w:tab/>
            </w:r>
            <w:r>
              <w:rPr>
                <w:noProof/>
                <w:webHidden/>
              </w:rPr>
              <w:fldChar w:fldCharType="begin"/>
            </w:r>
            <w:r>
              <w:rPr>
                <w:noProof/>
                <w:webHidden/>
              </w:rPr>
              <w:instrText xml:space="preserve"> PAGEREF _Toc56589713 \h </w:instrText>
            </w:r>
            <w:r>
              <w:rPr>
                <w:noProof/>
                <w:webHidden/>
              </w:rPr>
            </w:r>
            <w:r>
              <w:rPr>
                <w:noProof/>
                <w:webHidden/>
              </w:rPr>
              <w:fldChar w:fldCharType="separate"/>
            </w:r>
            <w:r>
              <w:rPr>
                <w:noProof/>
                <w:webHidden/>
              </w:rPr>
              <w:t>5</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14" w:history="1">
            <w:r w:rsidRPr="00152AFC">
              <w:rPr>
                <w:rStyle w:val="Hyperlink"/>
                <w:rFonts w:cstheme="minorHAnsi"/>
                <w:noProof/>
              </w:rPr>
              <w:t>2.1</w:t>
            </w:r>
            <w:r>
              <w:rPr>
                <w:rFonts w:asciiTheme="minorHAnsi" w:eastAsiaTheme="minorEastAsia" w:hAnsiTheme="minorHAnsi" w:cstheme="minorBidi"/>
                <w:noProof/>
                <w:szCs w:val="22"/>
                <w:lang w:val="en-US"/>
              </w:rPr>
              <w:tab/>
            </w:r>
            <w:r w:rsidRPr="00152AFC">
              <w:rPr>
                <w:rStyle w:val="Hyperlink"/>
                <w:rFonts w:cstheme="minorHAnsi"/>
                <w:noProof/>
              </w:rPr>
              <w:t>Organizovanje RUE-a</w:t>
            </w:r>
            <w:r>
              <w:rPr>
                <w:noProof/>
                <w:webHidden/>
              </w:rPr>
              <w:tab/>
            </w:r>
            <w:r>
              <w:rPr>
                <w:noProof/>
                <w:webHidden/>
              </w:rPr>
              <w:fldChar w:fldCharType="begin"/>
            </w:r>
            <w:r>
              <w:rPr>
                <w:noProof/>
                <w:webHidden/>
              </w:rPr>
              <w:instrText xml:space="preserve"> PAGEREF _Toc56589714 \h </w:instrText>
            </w:r>
            <w:r>
              <w:rPr>
                <w:noProof/>
                <w:webHidden/>
              </w:rPr>
            </w:r>
            <w:r>
              <w:rPr>
                <w:noProof/>
                <w:webHidden/>
              </w:rPr>
              <w:fldChar w:fldCharType="separate"/>
            </w:r>
            <w:r>
              <w:rPr>
                <w:noProof/>
                <w:webHidden/>
              </w:rPr>
              <w:t>5</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15" w:history="1">
            <w:r w:rsidRPr="00152AFC">
              <w:rPr>
                <w:rStyle w:val="Hyperlink"/>
                <w:rFonts w:cstheme="minorHAnsi"/>
                <w:noProof/>
              </w:rPr>
              <w:t>2.2</w:t>
            </w:r>
            <w:r>
              <w:rPr>
                <w:rFonts w:asciiTheme="minorHAnsi" w:eastAsiaTheme="minorEastAsia" w:hAnsiTheme="minorHAnsi" w:cstheme="minorBidi"/>
                <w:noProof/>
                <w:szCs w:val="22"/>
                <w:lang w:val="en-US"/>
              </w:rPr>
              <w:tab/>
            </w:r>
            <w:r w:rsidRPr="00152AFC">
              <w:rPr>
                <w:rStyle w:val="Hyperlink"/>
                <w:rFonts w:cstheme="minorHAnsi"/>
                <w:noProof/>
              </w:rPr>
              <w:t>Poslovanje RUE-a</w:t>
            </w:r>
            <w:r>
              <w:rPr>
                <w:noProof/>
                <w:webHidden/>
              </w:rPr>
              <w:tab/>
            </w:r>
            <w:r>
              <w:rPr>
                <w:noProof/>
                <w:webHidden/>
              </w:rPr>
              <w:fldChar w:fldCharType="begin"/>
            </w:r>
            <w:r>
              <w:rPr>
                <w:noProof/>
                <w:webHidden/>
              </w:rPr>
              <w:instrText xml:space="preserve"> PAGEREF _Toc56589715 \h </w:instrText>
            </w:r>
            <w:r>
              <w:rPr>
                <w:noProof/>
                <w:webHidden/>
              </w:rPr>
            </w:r>
            <w:r>
              <w:rPr>
                <w:noProof/>
                <w:webHidden/>
              </w:rPr>
              <w:fldChar w:fldCharType="separate"/>
            </w:r>
            <w:r>
              <w:rPr>
                <w:noProof/>
                <w:webHidden/>
              </w:rPr>
              <w:t>8</w:t>
            </w:r>
            <w:r>
              <w:rPr>
                <w:noProof/>
                <w:webHidden/>
              </w:rPr>
              <w:fldChar w:fldCharType="end"/>
            </w:r>
          </w:hyperlink>
        </w:p>
        <w:p w:rsidR="00E0104C" w:rsidRDefault="00E0104C">
          <w:pPr>
            <w:pStyle w:val="TOC1"/>
            <w:tabs>
              <w:tab w:val="left" w:pos="475"/>
              <w:tab w:val="right" w:leader="dot" w:pos="9063"/>
            </w:tabs>
            <w:rPr>
              <w:rFonts w:asciiTheme="minorHAnsi" w:eastAsiaTheme="minorEastAsia" w:hAnsiTheme="minorHAnsi" w:cstheme="minorBidi"/>
              <w:b w:val="0"/>
              <w:noProof/>
              <w:szCs w:val="22"/>
              <w:lang w:val="en-US"/>
            </w:rPr>
          </w:pPr>
          <w:hyperlink w:anchor="_Toc56589716" w:history="1">
            <w:r w:rsidRPr="00152AFC">
              <w:rPr>
                <w:rStyle w:val="Hyperlink"/>
                <w:rFonts w:cstheme="minorHAnsi"/>
                <w:caps/>
                <w:noProof/>
              </w:rPr>
              <w:t>3</w:t>
            </w:r>
            <w:r>
              <w:rPr>
                <w:rFonts w:asciiTheme="minorHAnsi" w:eastAsiaTheme="minorEastAsia" w:hAnsiTheme="minorHAnsi" w:cstheme="minorBidi"/>
                <w:b w:val="0"/>
                <w:noProof/>
                <w:szCs w:val="22"/>
                <w:lang w:val="en-US"/>
              </w:rPr>
              <w:tab/>
            </w:r>
            <w:r w:rsidRPr="00152AFC">
              <w:rPr>
                <w:rStyle w:val="Hyperlink"/>
                <w:rFonts w:cstheme="minorHAnsi"/>
                <w:caps/>
                <w:noProof/>
              </w:rPr>
              <w:t>Struktura plana učinka</w:t>
            </w:r>
            <w:r>
              <w:rPr>
                <w:noProof/>
                <w:webHidden/>
              </w:rPr>
              <w:tab/>
            </w:r>
            <w:r>
              <w:rPr>
                <w:noProof/>
                <w:webHidden/>
              </w:rPr>
              <w:fldChar w:fldCharType="begin"/>
            </w:r>
            <w:r>
              <w:rPr>
                <w:noProof/>
                <w:webHidden/>
              </w:rPr>
              <w:instrText xml:space="preserve"> PAGEREF _Toc56589716 \h </w:instrText>
            </w:r>
            <w:r>
              <w:rPr>
                <w:noProof/>
                <w:webHidden/>
              </w:rPr>
            </w:r>
            <w:r>
              <w:rPr>
                <w:noProof/>
                <w:webHidden/>
              </w:rPr>
              <w:fldChar w:fldCharType="separate"/>
            </w:r>
            <w:r>
              <w:rPr>
                <w:noProof/>
                <w:webHidden/>
              </w:rPr>
              <w:t>8</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17" w:history="1">
            <w:r w:rsidRPr="00152AFC">
              <w:rPr>
                <w:rStyle w:val="Hyperlink"/>
                <w:rFonts w:cstheme="minorHAnsi"/>
                <w:noProof/>
              </w:rPr>
              <w:t>3.1</w:t>
            </w:r>
            <w:r>
              <w:rPr>
                <w:rFonts w:asciiTheme="minorHAnsi" w:eastAsiaTheme="minorEastAsia" w:hAnsiTheme="minorHAnsi" w:cstheme="minorBidi"/>
                <w:noProof/>
                <w:szCs w:val="22"/>
                <w:lang w:val="en-US"/>
              </w:rPr>
              <w:tab/>
            </w:r>
            <w:r w:rsidRPr="00152AFC">
              <w:rPr>
                <w:rStyle w:val="Hyperlink"/>
                <w:rFonts w:cstheme="minorHAnsi"/>
                <w:noProof/>
              </w:rPr>
              <w:t>Integrisanje tržišta</w:t>
            </w:r>
            <w:r>
              <w:rPr>
                <w:noProof/>
                <w:webHidden/>
              </w:rPr>
              <w:tab/>
            </w:r>
            <w:r>
              <w:rPr>
                <w:noProof/>
                <w:webHidden/>
              </w:rPr>
              <w:fldChar w:fldCharType="begin"/>
            </w:r>
            <w:r>
              <w:rPr>
                <w:noProof/>
                <w:webHidden/>
              </w:rPr>
              <w:instrText xml:space="preserve"> PAGEREF _Toc56589717 \h </w:instrText>
            </w:r>
            <w:r>
              <w:rPr>
                <w:noProof/>
                <w:webHidden/>
              </w:rPr>
            </w:r>
            <w:r>
              <w:rPr>
                <w:noProof/>
                <w:webHidden/>
              </w:rPr>
              <w:fldChar w:fldCharType="separate"/>
            </w:r>
            <w:r>
              <w:rPr>
                <w:noProof/>
                <w:webHidden/>
              </w:rPr>
              <w:t>9</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18" w:history="1">
            <w:r w:rsidRPr="00152AFC">
              <w:rPr>
                <w:rStyle w:val="Hyperlink"/>
                <w:rFonts w:cstheme="minorHAnsi"/>
                <w:noProof/>
              </w:rPr>
              <w:t>3.2</w:t>
            </w:r>
            <w:r>
              <w:rPr>
                <w:rFonts w:asciiTheme="minorHAnsi" w:eastAsiaTheme="minorEastAsia" w:hAnsiTheme="minorHAnsi" w:cstheme="minorBidi"/>
                <w:noProof/>
                <w:szCs w:val="22"/>
                <w:lang w:val="en-US"/>
              </w:rPr>
              <w:tab/>
            </w:r>
            <w:r w:rsidRPr="00152AFC">
              <w:rPr>
                <w:rStyle w:val="Hyperlink"/>
                <w:rFonts w:cstheme="minorHAnsi"/>
                <w:noProof/>
              </w:rPr>
              <w:t>Konkurentnost u sektoru električne energije</w:t>
            </w:r>
            <w:r>
              <w:rPr>
                <w:noProof/>
                <w:webHidden/>
              </w:rPr>
              <w:tab/>
            </w:r>
            <w:r>
              <w:rPr>
                <w:noProof/>
                <w:webHidden/>
              </w:rPr>
              <w:fldChar w:fldCharType="begin"/>
            </w:r>
            <w:r>
              <w:rPr>
                <w:noProof/>
                <w:webHidden/>
              </w:rPr>
              <w:instrText xml:space="preserve"> PAGEREF _Toc56589718 \h </w:instrText>
            </w:r>
            <w:r>
              <w:rPr>
                <w:noProof/>
                <w:webHidden/>
              </w:rPr>
            </w:r>
            <w:r>
              <w:rPr>
                <w:noProof/>
                <w:webHidden/>
              </w:rPr>
              <w:fldChar w:fldCharType="separate"/>
            </w:r>
            <w:r>
              <w:rPr>
                <w:noProof/>
                <w:webHidden/>
              </w:rPr>
              <w:t>9</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19" w:history="1">
            <w:r w:rsidRPr="00152AFC">
              <w:rPr>
                <w:rStyle w:val="Hyperlink"/>
                <w:rFonts w:cstheme="minorHAnsi"/>
                <w:noProof/>
              </w:rPr>
              <w:t>3.3</w:t>
            </w:r>
            <w:r>
              <w:rPr>
                <w:rFonts w:asciiTheme="minorHAnsi" w:eastAsiaTheme="minorEastAsia" w:hAnsiTheme="minorHAnsi" w:cstheme="minorBidi"/>
                <w:noProof/>
                <w:szCs w:val="22"/>
                <w:lang w:val="en-US"/>
              </w:rPr>
              <w:tab/>
            </w:r>
            <w:r w:rsidRPr="00152AFC">
              <w:rPr>
                <w:rStyle w:val="Hyperlink"/>
                <w:rFonts w:cstheme="minorHAnsi"/>
                <w:noProof/>
              </w:rPr>
              <w:t>Deregulacija cena</w:t>
            </w:r>
            <w:r>
              <w:rPr>
                <w:noProof/>
                <w:webHidden/>
              </w:rPr>
              <w:tab/>
            </w:r>
            <w:r>
              <w:rPr>
                <w:noProof/>
                <w:webHidden/>
              </w:rPr>
              <w:fldChar w:fldCharType="begin"/>
            </w:r>
            <w:r>
              <w:rPr>
                <w:noProof/>
                <w:webHidden/>
              </w:rPr>
              <w:instrText xml:space="preserve"> PAGEREF _Toc56589719 \h </w:instrText>
            </w:r>
            <w:r>
              <w:rPr>
                <w:noProof/>
                <w:webHidden/>
              </w:rPr>
            </w:r>
            <w:r>
              <w:rPr>
                <w:noProof/>
                <w:webHidden/>
              </w:rPr>
              <w:fldChar w:fldCharType="separate"/>
            </w:r>
            <w:r>
              <w:rPr>
                <w:noProof/>
                <w:webHidden/>
              </w:rPr>
              <w:t>10</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0" w:history="1">
            <w:r w:rsidRPr="00152AFC">
              <w:rPr>
                <w:rStyle w:val="Hyperlink"/>
                <w:rFonts w:cstheme="minorHAnsi"/>
                <w:noProof/>
              </w:rPr>
              <w:t>3.4</w:t>
            </w:r>
            <w:r>
              <w:rPr>
                <w:rFonts w:asciiTheme="minorHAnsi" w:eastAsiaTheme="minorEastAsia" w:hAnsiTheme="minorHAnsi" w:cstheme="minorBidi"/>
                <w:noProof/>
                <w:szCs w:val="22"/>
                <w:lang w:val="en-US"/>
              </w:rPr>
              <w:tab/>
            </w:r>
            <w:r w:rsidRPr="00152AFC">
              <w:rPr>
                <w:rStyle w:val="Hyperlink"/>
                <w:rFonts w:cstheme="minorHAnsi"/>
                <w:noProof/>
              </w:rPr>
              <w:t>Osiguranje snabdevanja električnom energijom</w:t>
            </w:r>
            <w:r>
              <w:rPr>
                <w:noProof/>
                <w:webHidden/>
              </w:rPr>
              <w:tab/>
            </w:r>
            <w:r>
              <w:rPr>
                <w:noProof/>
                <w:webHidden/>
              </w:rPr>
              <w:fldChar w:fldCharType="begin"/>
            </w:r>
            <w:r>
              <w:rPr>
                <w:noProof/>
                <w:webHidden/>
              </w:rPr>
              <w:instrText xml:space="preserve"> PAGEREF _Toc56589720 \h </w:instrText>
            </w:r>
            <w:r>
              <w:rPr>
                <w:noProof/>
                <w:webHidden/>
              </w:rPr>
            </w:r>
            <w:r>
              <w:rPr>
                <w:noProof/>
                <w:webHidden/>
              </w:rPr>
              <w:fldChar w:fldCharType="separate"/>
            </w:r>
            <w:r>
              <w:rPr>
                <w:noProof/>
                <w:webHidden/>
              </w:rPr>
              <w:t>10</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1" w:history="1">
            <w:r w:rsidRPr="00152AFC">
              <w:rPr>
                <w:rStyle w:val="Hyperlink"/>
                <w:rFonts w:cstheme="minorHAnsi"/>
                <w:noProof/>
              </w:rPr>
              <w:t>3.5</w:t>
            </w:r>
            <w:r>
              <w:rPr>
                <w:rFonts w:asciiTheme="minorHAnsi" w:eastAsiaTheme="minorEastAsia" w:hAnsiTheme="minorHAnsi" w:cstheme="minorBidi"/>
                <w:noProof/>
                <w:szCs w:val="22"/>
                <w:lang w:val="en-US"/>
              </w:rPr>
              <w:tab/>
            </w:r>
            <w:r w:rsidRPr="00152AFC">
              <w:rPr>
                <w:rStyle w:val="Hyperlink"/>
                <w:rFonts w:cstheme="minorHAnsi"/>
                <w:noProof/>
              </w:rPr>
              <w:t>Paket čiste energije</w:t>
            </w:r>
            <w:r>
              <w:rPr>
                <w:noProof/>
                <w:webHidden/>
              </w:rPr>
              <w:tab/>
            </w:r>
            <w:r>
              <w:rPr>
                <w:noProof/>
                <w:webHidden/>
              </w:rPr>
              <w:fldChar w:fldCharType="begin"/>
            </w:r>
            <w:r>
              <w:rPr>
                <w:noProof/>
                <w:webHidden/>
              </w:rPr>
              <w:instrText xml:space="preserve"> PAGEREF _Toc56589721 \h </w:instrText>
            </w:r>
            <w:r>
              <w:rPr>
                <w:noProof/>
                <w:webHidden/>
              </w:rPr>
            </w:r>
            <w:r>
              <w:rPr>
                <w:noProof/>
                <w:webHidden/>
              </w:rPr>
              <w:fldChar w:fldCharType="separate"/>
            </w:r>
            <w:r>
              <w:rPr>
                <w:noProof/>
                <w:webHidden/>
              </w:rPr>
              <w:t>10</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2" w:history="1">
            <w:r w:rsidRPr="00152AFC">
              <w:rPr>
                <w:rStyle w:val="Hyperlink"/>
                <w:rFonts w:cstheme="minorHAnsi"/>
                <w:noProof/>
              </w:rPr>
              <w:t>3.6</w:t>
            </w:r>
            <w:r>
              <w:rPr>
                <w:rFonts w:asciiTheme="minorHAnsi" w:eastAsiaTheme="minorEastAsia" w:hAnsiTheme="minorHAnsi" w:cstheme="minorBidi"/>
                <w:noProof/>
                <w:szCs w:val="22"/>
                <w:lang w:val="en-US"/>
              </w:rPr>
              <w:tab/>
            </w:r>
            <w:r w:rsidRPr="00152AFC">
              <w:rPr>
                <w:rStyle w:val="Hyperlink"/>
                <w:rFonts w:cstheme="minorHAnsi"/>
                <w:noProof/>
              </w:rPr>
              <w:t>Zaštita potrošača u potrebi</w:t>
            </w:r>
            <w:r>
              <w:rPr>
                <w:noProof/>
                <w:webHidden/>
              </w:rPr>
              <w:tab/>
            </w:r>
            <w:r>
              <w:rPr>
                <w:noProof/>
                <w:webHidden/>
              </w:rPr>
              <w:fldChar w:fldCharType="begin"/>
            </w:r>
            <w:r>
              <w:rPr>
                <w:noProof/>
                <w:webHidden/>
              </w:rPr>
              <w:instrText xml:space="preserve"> PAGEREF _Toc56589722 \h </w:instrText>
            </w:r>
            <w:r>
              <w:rPr>
                <w:noProof/>
                <w:webHidden/>
              </w:rPr>
            </w:r>
            <w:r>
              <w:rPr>
                <w:noProof/>
                <w:webHidden/>
              </w:rPr>
              <w:fldChar w:fldCharType="separate"/>
            </w:r>
            <w:r>
              <w:rPr>
                <w:noProof/>
                <w:webHidden/>
              </w:rPr>
              <w:t>11</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3" w:history="1">
            <w:r w:rsidRPr="00152AFC">
              <w:rPr>
                <w:rStyle w:val="Hyperlink"/>
                <w:rFonts w:cstheme="minorHAnsi"/>
                <w:noProof/>
              </w:rPr>
              <w:t>3.7</w:t>
            </w:r>
            <w:r>
              <w:rPr>
                <w:rFonts w:asciiTheme="minorHAnsi" w:eastAsiaTheme="minorEastAsia" w:hAnsiTheme="minorHAnsi" w:cstheme="minorBidi"/>
                <w:noProof/>
                <w:szCs w:val="22"/>
                <w:lang w:val="en-US"/>
              </w:rPr>
              <w:tab/>
            </w:r>
            <w:r w:rsidRPr="00152AFC">
              <w:rPr>
                <w:rStyle w:val="Hyperlink"/>
                <w:rFonts w:cstheme="minorHAnsi"/>
                <w:noProof/>
              </w:rPr>
              <w:t>Električne i toplotne mreže</w:t>
            </w:r>
            <w:r>
              <w:rPr>
                <w:noProof/>
                <w:webHidden/>
              </w:rPr>
              <w:tab/>
            </w:r>
            <w:r>
              <w:rPr>
                <w:noProof/>
                <w:webHidden/>
              </w:rPr>
              <w:fldChar w:fldCharType="begin"/>
            </w:r>
            <w:r>
              <w:rPr>
                <w:noProof/>
                <w:webHidden/>
              </w:rPr>
              <w:instrText xml:space="preserve"> PAGEREF _Toc56589723 \h </w:instrText>
            </w:r>
            <w:r>
              <w:rPr>
                <w:noProof/>
                <w:webHidden/>
              </w:rPr>
            </w:r>
            <w:r>
              <w:rPr>
                <w:noProof/>
                <w:webHidden/>
              </w:rPr>
              <w:fldChar w:fldCharType="separate"/>
            </w:r>
            <w:r>
              <w:rPr>
                <w:noProof/>
                <w:webHidden/>
              </w:rPr>
              <w:t>12</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4" w:history="1">
            <w:r w:rsidRPr="00152AFC">
              <w:rPr>
                <w:rStyle w:val="Hyperlink"/>
                <w:rFonts w:cstheme="minorHAnsi"/>
                <w:noProof/>
              </w:rPr>
              <w:t>3.8</w:t>
            </w:r>
            <w:r>
              <w:rPr>
                <w:rFonts w:asciiTheme="minorHAnsi" w:eastAsiaTheme="minorEastAsia" w:hAnsiTheme="minorHAnsi" w:cstheme="minorBidi"/>
                <w:noProof/>
                <w:szCs w:val="22"/>
                <w:lang w:val="en-US"/>
              </w:rPr>
              <w:tab/>
            </w:r>
            <w:r w:rsidRPr="00152AFC">
              <w:rPr>
                <w:rStyle w:val="Hyperlink"/>
                <w:rFonts w:cstheme="minorHAnsi"/>
                <w:noProof/>
              </w:rPr>
              <w:t>REMIT - Transparentnost i integracija tržišta energije</w:t>
            </w:r>
            <w:r>
              <w:rPr>
                <w:noProof/>
                <w:webHidden/>
              </w:rPr>
              <w:tab/>
            </w:r>
            <w:r>
              <w:rPr>
                <w:noProof/>
                <w:webHidden/>
              </w:rPr>
              <w:fldChar w:fldCharType="begin"/>
            </w:r>
            <w:r>
              <w:rPr>
                <w:noProof/>
                <w:webHidden/>
              </w:rPr>
              <w:instrText xml:space="preserve"> PAGEREF _Toc56589724 \h </w:instrText>
            </w:r>
            <w:r>
              <w:rPr>
                <w:noProof/>
                <w:webHidden/>
              </w:rPr>
            </w:r>
            <w:r>
              <w:rPr>
                <w:noProof/>
                <w:webHidden/>
              </w:rPr>
              <w:fldChar w:fldCharType="separate"/>
            </w:r>
            <w:r>
              <w:rPr>
                <w:noProof/>
                <w:webHidden/>
              </w:rPr>
              <w:t>12</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5" w:history="1">
            <w:r w:rsidRPr="00152AFC">
              <w:rPr>
                <w:rStyle w:val="Hyperlink"/>
                <w:rFonts w:cstheme="minorHAnsi"/>
                <w:noProof/>
              </w:rPr>
              <w:t>3.9</w:t>
            </w:r>
            <w:r>
              <w:rPr>
                <w:rFonts w:asciiTheme="minorHAnsi" w:eastAsiaTheme="minorEastAsia" w:hAnsiTheme="minorHAnsi" w:cstheme="minorBidi"/>
                <w:noProof/>
                <w:szCs w:val="22"/>
                <w:lang w:val="en-US"/>
              </w:rPr>
              <w:tab/>
            </w:r>
            <w:r w:rsidRPr="00152AFC">
              <w:rPr>
                <w:rStyle w:val="Hyperlink"/>
                <w:rFonts w:cstheme="minorHAnsi"/>
                <w:noProof/>
              </w:rPr>
              <w:t>Raspodela kapaciteta i upravljanje zagušenjima</w:t>
            </w:r>
            <w:r>
              <w:rPr>
                <w:noProof/>
                <w:webHidden/>
              </w:rPr>
              <w:tab/>
            </w:r>
            <w:r>
              <w:rPr>
                <w:noProof/>
                <w:webHidden/>
              </w:rPr>
              <w:fldChar w:fldCharType="begin"/>
            </w:r>
            <w:r>
              <w:rPr>
                <w:noProof/>
                <w:webHidden/>
              </w:rPr>
              <w:instrText xml:space="preserve"> PAGEREF _Toc56589725 \h </w:instrText>
            </w:r>
            <w:r>
              <w:rPr>
                <w:noProof/>
                <w:webHidden/>
              </w:rPr>
            </w:r>
            <w:r>
              <w:rPr>
                <w:noProof/>
                <w:webHidden/>
              </w:rPr>
              <w:fldChar w:fldCharType="separate"/>
            </w:r>
            <w:r>
              <w:rPr>
                <w:noProof/>
                <w:webHidden/>
              </w:rPr>
              <w:t>13</w:t>
            </w:r>
            <w:r>
              <w:rPr>
                <w:noProof/>
                <w:webHidden/>
              </w:rPr>
              <w:fldChar w:fldCharType="end"/>
            </w:r>
          </w:hyperlink>
        </w:p>
        <w:p w:rsidR="00E0104C" w:rsidRDefault="00E0104C">
          <w:pPr>
            <w:pStyle w:val="TOC1"/>
            <w:tabs>
              <w:tab w:val="left" w:pos="475"/>
              <w:tab w:val="right" w:leader="dot" w:pos="9063"/>
            </w:tabs>
            <w:rPr>
              <w:rFonts w:asciiTheme="minorHAnsi" w:eastAsiaTheme="minorEastAsia" w:hAnsiTheme="minorHAnsi" w:cstheme="minorBidi"/>
              <w:b w:val="0"/>
              <w:noProof/>
              <w:szCs w:val="22"/>
              <w:lang w:val="en-US"/>
            </w:rPr>
          </w:pPr>
          <w:hyperlink w:anchor="_Toc56589726" w:history="1">
            <w:r w:rsidRPr="00152AFC">
              <w:rPr>
                <w:rStyle w:val="Hyperlink"/>
                <w:rFonts w:cstheme="minorHAnsi"/>
                <w:noProof/>
              </w:rPr>
              <w:t>4</w:t>
            </w:r>
            <w:r>
              <w:rPr>
                <w:rFonts w:asciiTheme="minorHAnsi" w:eastAsiaTheme="minorEastAsia" w:hAnsiTheme="minorHAnsi" w:cstheme="minorBidi"/>
                <w:b w:val="0"/>
                <w:noProof/>
                <w:szCs w:val="22"/>
                <w:lang w:val="en-US"/>
              </w:rPr>
              <w:tab/>
            </w:r>
            <w:r w:rsidRPr="00152AFC">
              <w:rPr>
                <w:rStyle w:val="Hyperlink"/>
                <w:rFonts w:cstheme="minorHAnsi"/>
                <w:noProof/>
              </w:rPr>
              <w:t>FINANSIRANJE UREDA ZA ENERGETIKU</w:t>
            </w:r>
            <w:r>
              <w:rPr>
                <w:noProof/>
                <w:webHidden/>
              </w:rPr>
              <w:tab/>
            </w:r>
            <w:r>
              <w:rPr>
                <w:noProof/>
                <w:webHidden/>
              </w:rPr>
              <w:fldChar w:fldCharType="begin"/>
            </w:r>
            <w:r>
              <w:rPr>
                <w:noProof/>
                <w:webHidden/>
              </w:rPr>
              <w:instrText xml:space="preserve"> PAGEREF _Toc56589726 \h </w:instrText>
            </w:r>
            <w:r>
              <w:rPr>
                <w:noProof/>
                <w:webHidden/>
              </w:rPr>
            </w:r>
            <w:r>
              <w:rPr>
                <w:noProof/>
                <w:webHidden/>
              </w:rPr>
              <w:fldChar w:fldCharType="separate"/>
            </w:r>
            <w:r>
              <w:rPr>
                <w:noProof/>
                <w:webHidden/>
              </w:rPr>
              <w:t>14</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7" w:history="1">
            <w:r w:rsidRPr="00152AFC">
              <w:rPr>
                <w:rStyle w:val="Hyperlink"/>
                <w:rFonts w:cstheme="minorHAnsi"/>
                <w:noProof/>
              </w:rPr>
              <w:t>4.1</w:t>
            </w:r>
            <w:r>
              <w:rPr>
                <w:rFonts w:asciiTheme="minorHAnsi" w:eastAsiaTheme="minorEastAsia" w:hAnsiTheme="minorHAnsi" w:cstheme="minorBidi"/>
                <w:noProof/>
                <w:szCs w:val="22"/>
                <w:lang w:val="en-US"/>
              </w:rPr>
              <w:tab/>
            </w:r>
            <w:r w:rsidRPr="00152AFC">
              <w:rPr>
                <w:rStyle w:val="Hyperlink"/>
                <w:rFonts w:cstheme="minorHAnsi"/>
                <w:noProof/>
              </w:rPr>
              <w:t>Planiranje prihoda RUE</w:t>
            </w:r>
            <w:r>
              <w:rPr>
                <w:noProof/>
                <w:webHidden/>
              </w:rPr>
              <w:tab/>
            </w:r>
            <w:r>
              <w:rPr>
                <w:noProof/>
                <w:webHidden/>
              </w:rPr>
              <w:fldChar w:fldCharType="begin"/>
            </w:r>
            <w:r>
              <w:rPr>
                <w:noProof/>
                <w:webHidden/>
              </w:rPr>
              <w:instrText xml:space="preserve"> PAGEREF _Toc56589727 \h </w:instrText>
            </w:r>
            <w:r>
              <w:rPr>
                <w:noProof/>
                <w:webHidden/>
              </w:rPr>
            </w:r>
            <w:r>
              <w:rPr>
                <w:noProof/>
                <w:webHidden/>
              </w:rPr>
              <w:fldChar w:fldCharType="separate"/>
            </w:r>
            <w:r>
              <w:rPr>
                <w:noProof/>
                <w:webHidden/>
              </w:rPr>
              <w:t>14</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8" w:history="1">
            <w:r w:rsidRPr="00152AFC">
              <w:rPr>
                <w:rStyle w:val="Hyperlink"/>
                <w:rFonts w:cstheme="minorHAnsi"/>
                <w:noProof/>
              </w:rPr>
              <w:t>4.2</w:t>
            </w:r>
            <w:r>
              <w:rPr>
                <w:rFonts w:asciiTheme="minorHAnsi" w:eastAsiaTheme="minorEastAsia" w:hAnsiTheme="minorHAnsi" w:cstheme="minorBidi"/>
                <w:noProof/>
                <w:szCs w:val="22"/>
                <w:lang w:val="en-US"/>
              </w:rPr>
              <w:tab/>
            </w:r>
            <w:r w:rsidRPr="00152AFC">
              <w:rPr>
                <w:rStyle w:val="Hyperlink"/>
                <w:rFonts w:cstheme="minorHAnsi"/>
                <w:noProof/>
              </w:rPr>
              <w:t>Prihodi i rashodi</w:t>
            </w:r>
            <w:r>
              <w:rPr>
                <w:noProof/>
                <w:webHidden/>
              </w:rPr>
              <w:tab/>
            </w:r>
            <w:r>
              <w:rPr>
                <w:noProof/>
                <w:webHidden/>
              </w:rPr>
              <w:fldChar w:fldCharType="begin"/>
            </w:r>
            <w:r>
              <w:rPr>
                <w:noProof/>
                <w:webHidden/>
              </w:rPr>
              <w:instrText xml:space="preserve"> PAGEREF _Toc56589728 \h </w:instrText>
            </w:r>
            <w:r>
              <w:rPr>
                <w:noProof/>
                <w:webHidden/>
              </w:rPr>
            </w:r>
            <w:r>
              <w:rPr>
                <w:noProof/>
                <w:webHidden/>
              </w:rPr>
              <w:fldChar w:fldCharType="separate"/>
            </w:r>
            <w:r>
              <w:rPr>
                <w:noProof/>
                <w:webHidden/>
              </w:rPr>
              <w:t>15</w:t>
            </w:r>
            <w:r>
              <w:rPr>
                <w:noProof/>
                <w:webHidden/>
              </w:rPr>
              <w:fldChar w:fldCharType="end"/>
            </w:r>
          </w:hyperlink>
        </w:p>
        <w:p w:rsidR="00E0104C" w:rsidRDefault="00E0104C">
          <w:pPr>
            <w:pStyle w:val="TOC2"/>
            <w:tabs>
              <w:tab w:val="left" w:pos="880"/>
              <w:tab w:val="right" w:leader="dot" w:pos="9063"/>
            </w:tabs>
            <w:rPr>
              <w:rFonts w:asciiTheme="minorHAnsi" w:eastAsiaTheme="minorEastAsia" w:hAnsiTheme="minorHAnsi" w:cstheme="minorBidi"/>
              <w:noProof/>
              <w:szCs w:val="22"/>
              <w:lang w:val="en-US"/>
            </w:rPr>
          </w:pPr>
          <w:hyperlink w:anchor="_Toc56589729" w:history="1">
            <w:r w:rsidRPr="00152AFC">
              <w:rPr>
                <w:rStyle w:val="Hyperlink"/>
                <w:rFonts w:cstheme="minorHAnsi"/>
                <w:noProof/>
              </w:rPr>
              <w:t>4.3</w:t>
            </w:r>
            <w:r>
              <w:rPr>
                <w:rFonts w:asciiTheme="minorHAnsi" w:eastAsiaTheme="minorEastAsia" w:hAnsiTheme="minorHAnsi" w:cstheme="minorBidi"/>
                <w:noProof/>
                <w:szCs w:val="22"/>
                <w:lang w:val="en-US"/>
              </w:rPr>
              <w:tab/>
            </w:r>
            <w:r w:rsidRPr="00152AFC">
              <w:rPr>
                <w:rStyle w:val="Hyperlink"/>
                <w:rFonts w:cstheme="minorHAnsi"/>
                <w:noProof/>
              </w:rPr>
              <w:t>Donacije</w:t>
            </w:r>
            <w:r>
              <w:rPr>
                <w:noProof/>
                <w:webHidden/>
              </w:rPr>
              <w:tab/>
            </w:r>
            <w:r>
              <w:rPr>
                <w:noProof/>
                <w:webHidden/>
              </w:rPr>
              <w:fldChar w:fldCharType="begin"/>
            </w:r>
            <w:r>
              <w:rPr>
                <w:noProof/>
                <w:webHidden/>
              </w:rPr>
              <w:instrText xml:space="preserve"> PAGEREF _Toc56589729 \h </w:instrText>
            </w:r>
            <w:r>
              <w:rPr>
                <w:noProof/>
                <w:webHidden/>
              </w:rPr>
            </w:r>
            <w:r>
              <w:rPr>
                <w:noProof/>
                <w:webHidden/>
              </w:rPr>
              <w:fldChar w:fldCharType="separate"/>
            </w:r>
            <w:r>
              <w:rPr>
                <w:noProof/>
                <w:webHidden/>
              </w:rPr>
              <w:t>16</w:t>
            </w:r>
            <w:r>
              <w:rPr>
                <w:noProof/>
                <w:webHidden/>
              </w:rPr>
              <w:fldChar w:fldCharType="end"/>
            </w:r>
          </w:hyperlink>
        </w:p>
        <w:p w:rsidR="00E0104C" w:rsidRDefault="00E0104C">
          <w:pPr>
            <w:pStyle w:val="TOC1"/>
            <w:tabs>
              <w:tab w:val="left" w:pos="475"/>
              <w:tab w:val="right" w:leader="dot" w:pos="9063"/>
            </w:tabs>
            <w:rPr>
              <w:rFonts w:asciiTheme="minorHAnsi" w:eastAsiaTheme="minorEastAsia" w:hAnsiTheme="minorHAnsi" w:cstheme="minorBidi"/>
              <w:b w:val="0"/>
              <w:noProof/>
              <w:szCs w:val="22"/>
              <w:lang w:val="en-US"/>
            </w:rPr>
          </w:pPr>
          <w:hyperlink w:anchor="_Toc56589730" w:history="1">
            <w:r w:rsidRPr="00152AFC">
              <w:rPr>
                <w:rStyle w:val="Hyperlink"/>
                <w:rFonts w:cstheme="minorHAnsi"/>
                <w:noProof/>
              </w:rPr>
              <w:t>5</w:t>
            </w:r>
            <w:r>
              <w:rPr>
                <w:rFonts w:asciiTheme="minorHAnsi" w:eastAsiaTheme="minorEastAsia" w:hAnsiTheme="minorHAnsi" w:cstheme="minorBidi"/>
                <w:b w:val="0"/>
                <w:noProof/>
                <w:szCs w:val="22"/>
                <w:lang w:val="en-US"/>
              </w:rPr>
              <w:tab/>
            </w:r>
            <w:r w:rsidRPr="00152AFC">
              <w:rPr>
                <w:rStyle w:val="Hyperlink"/>
                <w:rFonts w:cstheme="minorHAnsi"/>
                <w:noProof/>
              </w:rPr>
              <w:t>Do</w:t>
            </w:r>
            <w:r w:rsidRPr="00152AFC">
              <w:rPr>
                <w:rStyle w:val="Hyperlink"/>
                <w:rFonts w:cstheme="minorHAnsi"/>
                <w:noProof/>
                <w:lang w:val="sr-Latn-BA"/>
              </w:rPr>
              <w:t xml:space="preserve">datak </w:t>
            </w:r>
            <w:r w:rsidRPr="00152AFC">
              <w:rPr>
                <w:rStyle w:val="Hyperlink"/>
                <w:rFonts w:cstheme="minorHAnsi"/>
                <w:noProof/>
              </w:rPr>
              <w:t>I - Plan performase</w:t>
            </w:r>
            <w:r>
              <w:rPr>
                <w:noProof/>
                <w:webHidden/>
              </w:rPr>
              <w:tab/>
            </w:r>
            <w:r>
              <w:rPr>
                <w:noProof/>
                <w:webHidden/>
              </w:rPr>
              <w:fldChar w:fldCharType="begin"/>
            </w:r>
            <w:r>
              <w:rPr>
                <w:noProof/>
                <w:webHidden/>
              </w:rPr>
              <w:instrText xml:space="preserve"> PAGEREF _Toc56589730 \h </w:instrText>
            </w:r>
            <w:r>
              <w:rPr>
                <w:noProof/>
                <w:webHidden/>
              </w:rPr>
            </w:r>
            <w:r>
              <w:rPr>
                <w:noProof/>
                <w:webHidden/>
              </w:rPr>
              <w:fldChar w:fldCharType="separate"/>
            </w:r>
            <w:r>
              <w:rPr>
                <w:noProof/>
                <w:webHidden/>
              </w:rPr>
              <w:t>17</w:t>
            </w:r>
            <w:r>
              <w:rPr>
                <w:noProof/>
                <w:webHidden/>
              </w:rPr>
              <w:fldChar w:fldCharType="end"/>
            </w:r>
          </w:hyperlink>
        </w:p>
        <w:p w:rsidR="00C937A4" w:rsidRPr="005524CC" w:rsidRDefault="0007212B">
          <w:pPr>
            <w:rPr>
              <w:rFonts w:asciiTheme="minorHAnsi" w:hAnsiTheme="minorHAnsi" w:cstheme="minorHAnsi"/>
            </w:rPr>
          </w:pPr>
          <w:r w:rsidRPr="005524CC">
            <w:rPr>
              <w:rFonts w:asciiTheme="minorHAnsi" w:hAnsiTheme="minorHAnsi" w:cstheme="minorHAnsi"/>
            </w:rPr>
            <w:fldChar w:fldCharType="end"/>
          </w:r>
        </w:p>
      </w:sdtContent>
    </w:sdt>
    <w:p w:rsidR="00C937A4" w:rsidRPr="005524CC" w:rsidRDefault="00C937A4">
      <w:pPr>
        <w:spacing w:after="0" w:line="240" w:lineRule="auto"/>
        <w:jc w:val="left"/>
        <w:rPr>
          <w:rFonts w:asciiTheme="minorHAnsi" w:hAnsiTheme="minorHAnsi" w:cstheme="minorHAnsi"/>
          <w:b/>
          <w:sz w:val="24"/>
        </w:rPr>
      </w:pPr>
      <w:r w:rsidRPr="005524CC">
        <w:rPr>
          <w:rFonts w:asciiTheme="minorHAnsi" w:hAnsiTheme="minorHAnsi" w:cstheme="minorHAnsi"/>
          <w:b/>
          <w:sz w:val="24"/>
        </w:rPr>
        <w:br w:type="page"/>
      </w:r>
    </w:p>
    <w:p w:rsidR="00835E80" w:rsidRPr="005524CC" w:rsidRDefault="00835E80">
      <w:pPr>
        <w:spacing w:after="0" w:line="240" w:lineRule="auto"/>
        <w:jc w:val="left"/>
        <w:rPr>
          <w:rFonts w:asciiTheme="minorHAnsi" w:hAnsiTheme="minorHAnsi" w:cstheme="minorHAnsi"/>
          <w:b/>
          <w:sz w:val="24"/>
        </w:rPr>
      </w:pPr>
    </w:p>
    <w:p w:rsidR="00835E80" w:rsidRPr="005524CC" w:rsidRDefault="00D3485A" w:rsidP="00835E80">
      <w:pPr>
        <w:pStyle w:val="Heading1"/>
        <w:numPr>
          <w:ilvl w:val="0"/>
          <w:numId w:val="0"/>
        </w:numPr>
        <w:ind w:left="720" w:hanging="720"/>
        <w:rPr>
          <w:rFonts w:asciiTheme="minorHAnsi" w:hAnsiTheme="minorHAnsi" w:cstheme="minorHAnsi"/>
          <w:caps/>
          <w:sz w:val="22"/>
          <w:szCs w:val="22"/>
        </w:rPr>
      </w:pPr>
      <w:bookmarkStart w:id="0" w:name="_Toc56589711"/>
      <w:r w:rsidRPr="005524CC">
        <w:rPr>
          <w:rFonts w:asciiTheme="minorHAnsi" w:hAnsiTheme="minorHAnsi" w:cstheme="minorHAnsi"/>
          <w:caps/>
          <w:sz w:val="22"/>
          <w:szCs w:val="22"/>
        </w:rPr>
        <w:t>skraćenice</w:t>
      </w:r>
      <w:bookmarkEnd w:id="0"/>
    </w:p>
    <w:p w:rsidR="00835E80" w:rsidRPr="005524CC" w:rsidRDefault="00D3485A" w:rsidP="00835E80">
      <w:pPr>
        <w:rPr>
          <w:rFonts w:asciiTheme="minorHAnsi" w:hAnsiTheme="minorHAnsi" w:cstheme="minorHAnsi"/>
          <w:szCs w:val="22"/>
        </w:rPr>
      </w:pPr>
      <w:r w:rsidRPr="005524CC">
        <w:rPr>
          <w:rFonts w:asciiTheme="minorHAnsi" w:hAnsiTheme="minorHAnsi" w:cstheme="minorHAnsi"/>
          <w:szCs w:val="22"/>
        </w:rPr>
        <w:t>J</w:t>
      </w:r>
      <w:r w:rsidR="00835E80" w:rsidRPr="005524CC">
        <w:rPr>
          <w:rFonts w:asciiTheme="minorHAnsi" w:hAnsiTheme="minorHAnsi" w:cstheme="minorHAnsi"/>
          <w:szCs w:val="22"/>
        </w:rPr>
        <w:t>A</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Jedinica administracije </w:t>
      </w:r>
    </w:p>
    <w:p w:rsidR="00835E80" w:rsidRPr="005524CC" w:rsidRDefault="00D3485A" w:rsidP="00835E80">
      <w:pPr>
        <w:rPr>
          <w:rFonts w:asciiTheme="minorHAnsi" w:hAnsiTheme="minorHAnsi" w:cstheme="minorHAnsi"/>
          <w:szCs w:val="22"/>
        </w:rPr>
      </w:pPr>
      <w:r w:rsidRPr="005524CC">
        <w:rPr>
          <w:rFonts w:asciiTheme="minorHAnsi" w:hAnsiTheme="minorHAnsi" w:cstheme="minorHAnsi"/>
          <w:szCs w:val="22"/>
        </w:rPr>
        <w:t>UD</w:t>
      </w:r>
      <w:r w:rsidR="00835E80" w:rsidRPr="005524CC">
        <w:rPr>
          <w:rFonts w:asciiTheme="minorHAnsi" w:hAnsiTheme="minorHAnsi" w:cstheme="minorHAnsi"/>
          <w:szCs w:val="22"/>
        </w:rPr>
        <w:t xml:space="preserve"> </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Upravni direktor </w:t>
      </w:r>
    </w:p>
    <w:p w:rsidR="00835E80" w:rsidRPr="005524CC" w:rsidRDefault="00D3485A" w:rsidP="00835E80">
      <w:pPr>
        <w:rPr>
          <w:rFonts w:asciiTheme="minorHAnsi" w:hAnsiTheme="minorHAnsi" w:cstheme="minorHAnsi"/>
          <w:szCs w:val="22"/>
        </w:rPr>
      </w:pPr>
      <w:r w:rsidRPr="005524CC">
        <w:rPr>
          <w:rFonts w:asciiTheme="minorHAnsi" w:hAnsiTheme="minorHAnsi" w:cstheme="minorHAnsi"/>
          <w:szCs w:val="22"/>
        </w:rPr>
        <w:t>OZP</w:t>
      </w:r>
      <w:r w:rsidR="00835E80" w:rsidRPr="005524CC">
        <w:rPr>
          <w:rFonts w:asciiTheme="minorHAnsi" w:hAnsiTheme="minorHAnsi" w:cstheme="minorHAnsi"/>
          <w:szCs w:val="22"/>
        </w:rPr>
        <w:tab/>
      </w:r>
      <w:r w:rsidRPr="005524CC">
        <w:rPr>
          <w:rFonts w:asciiTheme="minorHAnsi" w:hAnsiTheme="minorHAnsi" w:cstheme="minorHAnsi"/>
          <w:szCs w:val="22"/>
        </w:rPr>
        <w:tab/>
        <w:t xml:space="preserve">Odeljenje za zaštitu potrošača </w:t>
      </w:r>
    </w:p>
    <w:p w:rsidR="00572A88" w:rsidRPr="005524CC" w:rsidRDefault="00FE1E1D" w:rsidP="00572A88">
      <w:pPr>
        <w:rPr>
          <w:rFonts w:asciiTheme="minorHAnsi" w:hAnsiTheme="minorHAnsi" w:cstheme="minorHAnsi"/>
          <w:szCs w:val="22"/>
        </w:rPr>
      </w:pPr>
      <w:r w:rsidRPr="005524CC">
        <w:rPr>
          <w:rFonts w:asciiTheme="minorHAnsi" w:hAnsiTheme="minorHAnsi" w:cstheme="minorHAnsi"/>
          <w:szCs w:val="22"/>
        </w:rPr>
        <w:t>OSP/OT</w:t>
      </w:r>
      <w:r w:rsidRPr="005524CC">
        <w:rPr>
          <w:rFonts w:asciiTheme="minorHAnsi" w:hAnsiTheme="minorHAnsi" w:cstheme="minorHAnsi"/>
          <w:szCs w:val="22"/>
        </w:rPr>
        <w:tab/>
      </w:r>
      <w:r w:rsidRPr="005524CC">
        <w:rPr>
          <w:rFonts w:asciiTheme="minorHAnsi" w:hAnsiTheme="minorHAnsi" w:cstheme="minorHAnsi"/>
          <w:szCs w:val="22"/>
        </w:rPr>
        <w:tab/>
        <w:t>Operate</w:t>
      </w:r>
      <w:r w:rsidR="00572A88" w:rsidRPr="005524CC">
        <w:rPr>
          <w:rFonts w:asciiTheme="minorHAnsi" w:hAnsiTheme="minorHAnsi" w:cstheme="minorHAnsi"/>
          <w:szCs w:val="22"/>
        </w:rPr>
        <w:t>r</w:t>
      </w:r>
      <w:r w:rsidRPr="005524CC">
        <w:rPr>
          <w:rFonts w:asciiTheme="minorHAnsi" w:hAnsiTheme="minorHAnsi" w:cstheme="minorHAnsi"/>
          <w:szCs w:val="22"/>
        </w:rPr>
        <w:t xml:space="preserve"> sistema prenosa i tržišta </w:t>
      </w:r>
    </w:p>
    <w:p w:rsidR="00572A88" w:rsidRPr="005524CC" w:rsidRDefault="00FE1E1D" w:rsidP="00572A88">
      <w:pPr>
        <w:rPr>
          <w:rFonts w:asciiTheme="minorHAnsi" w:hAnsiTheme="minorHAnsi" w:cstheme="minorHAnsi"/>
          <w:szCs w:val="22"/>
        </w:rPr>
      </w:pPr>
      <w:r w:rsidRPr="005524CC">
        <w:rPr>
          <w:rFonts w:asciiTheme="minorHAnsi" w:hAnsiTheme="minorHAnsi" w:cstheme="minorHAnsi"/>
          <w:szCs w:val="22"/>
        </w:rPr>
        <w:t>OSD</w:t>
      </w:r>
      <w:r w:rsidRPr="005524CC">
        <w:rPr>
          <w:rFonts w:asciiTheme="minorHAnsi" w:hAnsiTheme="minorHAnsi" w:cstheme="minorHAnsi"/>
          <w:szCs w:val="22"/>
        </w:rPr>
        <w:tab/>
      </w:r>
      <w:r w:rsidRPr="005524CC">
        <w:rPr>
          <w:rFonts w:asciiTheme="minorHAnsi" w:hAnsiTheme="minorHAnsi" w:cstheme="minorHAnsi"/>
          <w:szCs w:val="22"/>
        </w:rPr>
        <w:tab/>
        <w:t xml:space="preserve">Operater sistema distribucije </w:t>
      </w:r>
    </w:p>
    <w:p w:rsidR="00572A88" w:rsidRPr="005524CC" w:rsidRDefault="00FE1E1D" w:rsidP="00572A88">
      <w:pPr>
        <w:rPr>
          <w:rFonts w:asciiTheme="minorHAnsi" w:hAnsiTheme="minorHAnsi" w:cstheme="minorHAnsi"/>
          <w:szCs w:val="22"/>
        </w:rPr>
      </w:pPr>
      <w:r w:rsidRPr="005524CC">
        <w:rPr>
          <w:rFonts w:asciiTheme="minorHAnsi" w:hAnsiTheme="minorHAnsi" w:cstheme="minorHAnsi"/>
          <w:szCs w:val="22"/>
        </w:rPr>
        <w:t>S</w:t>
      </w:r>
      <w:r w:rsidR="00572A88" w:rsidRPr="005524CC">
        <w:rPr>
          <w:rFonts w:asciiTheme="minorHAnsi" w:hAnsiTheme="minorHAnsi" w:cstheme="minorHAnsi"/>
          <w:szCs w:val="22"/>
        </w:rPr>
        <w:t>U</w:t>
      </w:r>
      <w:r w:rsidRPr="005524CC">
        <w:rPr>
          <w:rFonts w:asciiTheme="minorHAnsi" w:hAnsiTheme="minorHAnsi" w:cstheme="minorHAnsi"/>
          <w:szCs w:val="22"/>
        </w:rPr>
        <w:t>U</w:t>
      </w:r>
      <w:r w:rsidR="00572A88" w:rsidRPr="005524CC">
        <w:rPr>
          <w:rFonts w:asciiTheme="minorHAnsi" w:hAnsiTheme="minorHAnsi" w:cstheme="minorHAnsi"/>
          <w:szCs w:val="22"/>
        </w:rPr>
        <w:tab/>
      </w:r>
      <w:r w:rsidR="00572A88" w:rsidRPr="005524CC">
        <w:rPr>
          <w:rFonts w:asciiTheme="minorHAnsi" w:hAnsiTheme="minorHAnsi" w:cstheme="minorHAnsi"/>
          <w:szCs w:val="22"/>
        </w:rPr>
        <w:tab/>
      </w:r>
      <w:r w:rsidRPr="005524CC">
        <w:rPr>
          <w:rFonts w:asciiTheme="minorHAnsi" w:hAnsiTheme="minorHAnsi" w:cstheme="minorHAnsi"/>
          <w:szCs w:val="22"/>
        </w:rPr>
        <w:t xml:space="preserve">Snabdevač univerzalnih usluga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CG</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Centralno grejanje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EBRD</w:t>
      </w:r>
      <w:r w:rsidRPr="005524CC">
        <w:rPr>
          <w:rFonts w:asciiTheme="minorHAnsi" w:hAnsiTheme="minorHAnsi" w:cstheme="minorHAnsi"/>
          <w:szCs w:val="22"/>
        </w:rPr>
        <w:tab/>
      </w:r>
      <w:r w:rsidRPr="005524CC">
        <w:rPr>
          <w:rFonts w:asciiTheme="minorHAnsi" w:hAnsiTheme="minorHAnsi" w:cstheme="minorHAnsi"/>
          <w:szCs w:val="22"/>
        </w:rPr>
        <w:tab/>
      </w:r>
      <w:r w:rsidR="00FE1E1D" w:rsidRPr="005524CC">
        <w:rPr>
          <w:rFonts w:asciiTheme="minorHAnsi" w:hAnsiTheme="minorHAnsi" w:cstheme="minorHAnsi"/>
          <w:szCs w:val="22"/>
        </w:rPr>
        <w:t xml:space="preserve">Regulatorni odbor energetske zajednice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RUE</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Regulatorni ured za energiju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ERRA</w:t>
      </w:r>
      <w:r w:rsidRPr="005524CC">
        <w:rPr>
          <w:rFonts w:asciiTheme="minorHAnsi" w:hAnsiTheme="minorHAnsi" w:cstheme="minorHAnsi"/>
          <w:szCs w:val="22"/>
        </w:rPr>
        <w:tab/>
      </w:r>
      <w:r w:rsidRPr="005524CC">
        <w:rPr>
          <w:rFonts w:asciiTheme="minorHAnsi" w:hAnsiTheme="minorHAnsi" w:cstheme="minorHAnsi"/>
          <w:szCs w:val="22"/>
        </w:rPr>
        <w:tab/>
      </w:r>
      <w:r w:rsidR="00FE1E1D" w:rsidRPr="005524CC">
        <w:rPr>
          <w:rFonts w:asciiTheme="minorHAnsi" w:hAnsiTheme="minorHAnsi" w:cstheme="minorHAnsi"/>
          <w:szCs w:val="22"/>
        </w:rPr>
        <w:t xml:space="preserve">Regionalna asocijacija energetskih regulatora </w:t>
      </w:r>
    </w:p>
    <w:p w:rsidR="00835E80" w:rsidRPr="005524CC" w:rsidRDefault="00471A8C" w:rsidP="00835E80">
      <w:pPr>
        <w:rPr>
          <w:rFonts w:asciiTheme="minorHAnsi" w:hAnsiTheme="minorHAnsi" w:cstheme="minorHAnsi"/>
          <w:szCs w:val="22"/>
        </w:rPr>
      </w:pPr>
      <w:r w:rsidRPr="005524CC">
        <w:rPr>
          <w:rFonts w:asciiTheme="minorHAnsi" w:hAnsiTheme="minorHAnsi" w:cstheme="minorHAnsi"/>
          <w:szCs w:val="22"/>
        </w:rPr>
        <w:t>OS</w:t>
      </w:r>
      <w:r w:rsidR="00835E80" w:rsidRPr="005524CC">
        <w:rPr>
          <w:rFonts w:asciiTheme="minorHAnsi" w:hAnsiTheme="minorHAnsi" w:cstheme="minorHAnsi"/>
          <w:szCs w:val="22"/>
        </w:rPr>
        <w:t>EST</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00FE1E1D" w:rsidRPr="005524CC">
        <w:rPr>
          <w:rFonts w:asciiTheme="minorHAnsi" w:hAnsiTheme="minorHAnsi" w:cstheme="minorHAnsi"/>
          <w:szCs w:val="22"/>
        </w:rPr>
        <w:t>Odeljenje za snabdevanje energijom i struktur</w:t>
      </w:r>
      <w:r w:rsidRPr="005524CC">
        <w:rPr>
          <w:rFonts w:asciiTheme="minorHAnsi" w:hAnsiTheme="minorHAnsi" w:cstheme="minorHAnsi"/>
          <w:szCs w:val="22"/>
        </w:rPr>
        <w:t xml:space="preserve">u </w:t>
      </w:r>
      <w:r w:rsidR="00FE1E1D" w:rsidRPr="005524CC">
        <w:rPr>
          <w:rFonts w:asciiTheme="minorHAnsi" w:hAnsiTheme="minorHAnsi" w:cstheme="minorHAnsi"/>
          <w:szCs w:val="22"/>
        </w:rPr>
        <w:t xml:space="preserve">tržišta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E</w:t>
      </w:r>
      <w:r w:rsidR="00FE1E1D" w:rsidRPr="005524CC">
        <w:rPr>
          <w:rFonts w:asciiTheme="minorHAnsi" w:hAnsiTheme="minorHAnsi" w:cstheme="minorHAnsi"/>
          <w:szCs w:val="22"/>
        </w:rPr>
        <w:t>U</w:t>
      </w:r>
      <w:r w:rsidRPr="005524CC">
        <w:rPr>
          <w:rFonts w:asciiTheme="minorHAnsi" w:hAnsiTheme="minorHAnsi" w:cstheme="minorHAnsi"/>
          <w:szCs w:val="22"/>
        </w:rPr>
        <w:tab/>
      </w:r>
      <w:r w:rsidRPr="005524CC">
        <w:rPr>
          <w:rFonts w:asciiTheme="minorHAnsi" w:hAnsiTheme="minorHAnsi" w:cstheme="minorHAnsi"/>
          <w:szCs w:val="22"/>
        </w:rPr>
        <w:tab/>
      </w:r>
      <w:r w:rsidR="00FE1E1D" w:rsidRPr="005524CC">
        <w:rPr>
          <w:rFonts w:asciiTheme="minorHAnsi" w:hAnsiTheme="minorHAnsi" w:cstheme="minorHAnsi"/>
          <w:szCs w:val="22"/>
        </w:rPr>
        <w:t xml:space="preserve">Evropska Unija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I</w:t>
      </w:r>
      <w:r w:rsidR="00FE1E1D" w:rsidRPr="005524CC">
        <w:rPr>
          <w:rFonts w:asciiTheme="minorHAnsi" w:hAnsiTheme="minorHAnsi" w:cstheme="minorHAnsi"/>
          <w:szCs w:val="22"/>
        </w:rPr>
        <w:t>T</w:t>
      </w:r>
      <w:r w:rsidRPr="005524CC">
        <w:rPr>
          <w:rFonts w:asciiTheme="minorHAnsi" w:hAnsiTheme="minorHAnsi" w:cstheme="minorHAnsi"/>
          <w:szCs w:val="22"/>
        </w:rPr>
        <w:tab/>
      </w:r>
      <w:r w:rsidRPr="005524CC">
        <w:rPr>
          <w:rFonts w:asciiTheme="minorHAnsi" w:hAnsiTheme="minorHAnsi" w:cstheme="minorHAnsi"/>
          <w:szCs w:val="22"/>
        </w:rPr>
        <w:tab/>
      </w:r>
      <w:r w:rsidR="00FE1E1D" w:rsidRPr="005524CC">
        <w:rPr>
          <w:rFonts w:asciiTheme="minorHAnsi" w:hAnsiTheme="minorHAnsi" w:cstheme="minorHAnsi"/>
          <w:szCs w:val="22"/>
        </w:rPr>
        <w:t xml:space="preserve">Informacione tehnologije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 xml:space="preserve">KOSTT </w:t>
      </w:r>
      <w:r w:rsidRPr="005524CC">
        <w:rPr>
          <w:rFonts w:asciiTheme="minorHAnsi" w:hAnsiTheme="minorHAnsi" w:cstheme="minorHAnsi"/>
          <w:szCs w:val="22"/>
        </w:rPr>
        <w:tab/>
      </w:r>
      <w:r w:rsidRPr="005524CC">
        <w:rPr>
          <w:rFonts w:asciiTheme="minorHAnsi" w:hAnsiTheme="minorHAnsi" w:cstheme="minorHAnsi"/>
          <w:szCs w:val="22"/>
        </w:rPr>
        <w:tab/>
        <w:t>Operate</w:t>
      </w:r>
      <w:r w:rsidR="00835E80" w:rsidRPr="005524CC">
        <w:rPr>
          <w:rFonts w:asciiTheme="minorHAnsi" w:hAnsiTheme="minorHAnsi" w:cstheme="minorHAnsi"/>
          <w:szCs w:val="22"/>
        </w:rPr>
        <w:t>r</w:t>
      </w:r>
      <w:r w:rsidRPr="005524CC">
        <w:rPr>
          <w:rFonts w:asciiTheme="minorHAnsi" w:hAnsiTheme="minorHAnsi" w:cstheme="minorHAnsi"/>
          <w:szCs w:val="22"/>
        </w:rPr>
        <w:t xml:space="preserve"> sistema prenosa i tržišta Kosova </w:t>
      </w:r>
    </w:p>
    <w:p w:rsidR="00835E80" w:rsidRPr="005524CC" w:rsidRDefault="00B23C2E" w:rsidP="00835E80">
      <w:pPr>
        <w:rPr>
          <w:rFonts w:asciiTheme="minorHAnsi" w:hAnsiTheme="minorHAnsi" w:cstheme="minorHAnsi"/>
          <w:szCs w:val="22"/>
        </w:rPr>
      </w:pPr>
      <w:r w:rsidRPr="005524CC">
        <w:rPr>
          <w:rFonts w:asciiTheme="minorHAnsi" w:hAnsiTheme="minorHAnsi" w:cstheme="minorHAnsi"/>
          <w:szCs w:val="22"/>
        </w:rPr>
        <w:t>LAN</w:t>
      </w:r>
      <w:r w:rsidRPr="005524CC">
        <w:rPr>
          <w:rFonts w:asciiTheme="minorHAnsi" w:hAnsiTheme="minorHAnsi" w:cstheme="minorHAnsi"/>
          <w:szCs w:val="22"/>
        </w:rPr>
        <w:tab/>
      </w:r>
      <w:r w:rsidRPr="005524CC">
        <w:rPr>
          <w:rFonts w:asciiTheme="minorHAnsi" w:hAnsiTheme="minorHAnsi" w:cstheme="minorHAnsi"/>
          <w:szCs w:val="22"/>
        </w:rPr>
        <w:tab/>
      </w:r>
      <w:r w:rsidR="00FE1E1D" w:rsidRPr="005524CC">
        <w:rPr>
          <w:rFonts w:asciiTheme="minorHAnsi" w:hAnsiTheme="minorHAnsi" w:cstheme="minorHAnsi"/>
          <w:szCs w:val="22"/>
        </w:rPr>
        <w:t xml:space="preserve">Mreža lokalne zone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OPPL</w:t>
      </w:r>
      <w:r w:rsidR="00835E80" w:rsidRPr="005524CC">
        <w:rPr>
          <w:rFonts w:asciiTheme="minorHAnsi" w:hAnsiTheme="minorHAnsi" w:cstheme="minorHAnsi"/>
          <w:szCs w:val="22"/>
        </w:rPr>
        <w:t xml:space="preserve"> </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Odeljenje za pravne poslove i licenciranje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MEF</w:t>
      </w:r>
      <w:r w:rsidRPr="005524CC">
        <w:rPr>
          <w:rFonts w:asciiTheme="minorHAnsi" w:hAnsiTheme="minorHAnsi" w:cstheme="minorHAnsi"/>
          <w:szCs w:val="22"/>
        </w:rPr>
        <w:tab/>
      </w:r>
      <w:r w:rsidRPr="005524CC">
        <w:rPr>
          <w:rFonts w:asciiTheme="minorHAnsi" w:hAnsiTheme="minorHAnsi" w:cstheme="minorHAnsi"/>
          <w:szCs w:val="22"/>
        </w:rPr>
        <w:tab/>
        <w:t>Minist</w:t>
      </w:r>
      <w:r w:rsidR="00FE1E1D" w:rsidRPr="005524CC">
        <w:rPr>
          <w:rFonts w:asciiTheme="minorHAnsi" w:hAnsiTheme="minorHAnsi" w:cstheme="minorHAnsi"/>
          <w:szCs w:val="22"/>
        </w:rPr>
        <w:t>a</w:t>
      </w:r>
      <w:r w:rsidRPr="005524CC">
        <w:rPr>
          <w:rFonts w:asciiTheme="minorHAnsi" w:hAnsiTheme="minorHAnsi" w:cstheme="minorHAnsi"/>
          <w:szCs w:val="22"/>
        </w:rPr>
        <w:t>r</w:t>
      </w:r>
      <w:r w:rsidR="00FE1E1D" w:rsidRPr="005524CC">
        <w:rPr>
          <w:rFonts w:asciiTheme="minorHAnsi" w:hAnsiTheme="minorHAnsi" w:cstheme="minorHAnsi"/>
          <w:szCs w:val="22"/>
        </w:rPr>
        <w:t xml:space="preserve">stvo ekonomije i finansija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MEŽS</w:t>
      </w:r>
      <w:r w:rsidR="00835E80" w:rsidRPr="005524CC">
        <w:rPr>
          <w:rFonts w:asciiTheme="minorHAnsi" w:hAnsiTheme="minorHAnsi" w:cstheme="minorHAnsi"/>
          <w:szCs w:val="22"/>
        </w:rPr>
        <w:tab/>
      </w:r>
      <w:r w:rsidR="00835E80" w:rsidRPr="005524CC">
        <w:rPr>
          <w:rFonts w:asciiTheme="minorHAnsi" w:hAnsiTheme="minorHAnsi" w:cstheme="minorHAnsi"/>
          <w:szCs w:val="22"/>
        </w:rPr>
        <w:tab/>
        <w:t>Min</w:t>
      </w:r>
      <w:r w:rsidR="00B23C2E" w:rsidRPr="005524CC">
        <w:rPr>
          <w:rFonts w:asciiTheme="minorHAnsi" w:hAnsiTheme="minorHAnsi" w:cstheme="minorHAnsi"/>
          <w:szCs w:val="22"/>
        </w:rPr>
        <w:t>ist</w:t>
      </w:r>
      <w:r w:rsidRPr="005524CC">
        <w:rPr>
          <w:rFonts w:asciiTheme="minorHAnsi" w:hAnsiTheme="minorHAnsi" w:cstheme="minorHAnsi"/>
          <w:szCs w:val="22"/>
        </w:rPr>
        <w:t xml:space="preserve">arstvo ekonomije i životne sredine </w:t>
      </w:r>
    </w:p>
    <w:p w:rsidR="00835E80" w:rsidRPr="005524CC" w:rsidRDefault="00FE1E1D" w:rsidP="00835E80">
      <w:pPr>
        <w:rPr>
          <w:rFonts w:asciiTheme="minorHAnsi" w:hAnsiTheme="minorHAnsi" w:cstheme="minorHAnsi"/>
          <w:szCs w:val="22"/>
        </w:rPr>
      </w:pPr>
      <w:r w:rsidRPr="005524CC">
        <w:rPr>
          <w:rFonts w:asciiTheme="minorHAnsi" w:hAnsiTheme="minorHAnsi" w:cstheme="minorHAnsi"/>
          <w:szCs w:val="22"/>
        </w:rPr>
        <w:t>OJ</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Odnosi sa javnošću </w:t>
      </w:r>
    </w:p>
    <w:p w:rsidR="00835E80" w:rsidRPr="005524CC" w:rsidRDefault="00E801F1" w:rsidP="00835E80">
      <w:pPr>
        <w:rPr>
          <w:rFonts w:asciiTheme="minorHAnsi" w:hAnsiTheme="minorHAnsi" w:cstheme="minorHAnsi"/>
          <w:szCs w:val="22"/>
        </w:rPr>
      </w:pPr>
      <w:r w:rsidRPr="005524CC">
        <w:rPr>
          <w:rFonts w:asciiTheme="minorHAnsi" w:hAnsiTheme="minorHAnsi" w:cstheme="minorHAnsi"/>
          <w:szCs w:val="22"/>
        </w:rPr>
        <w:t>O</w:t>
      </w:r>
      <w:r w:rsidR="00924025" w:rsidRPr="005524CC">
        <w:rPr>
          <w:rFonts w:asciiTheme="minorHAnsi" w:hAnsiTheme="minorHAnsi" w:cstheme="minorHAnsi"/>
          <w:szCs w:val="22"/>
        </w:rPr>
        <w:t>TC</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00924025" w:rsidRPr="005524CC">
        <w:rPr>
          <w:rFonts w:asciiTheme="minorHAnsi" w:hAnsiTheme="minorHAnsi" w:cstheme="minorHAnsi"/>
          <w:szCs w:val="22"/>
        </w:rPr>
        <w:t xml:space="preserve">Odeljenje za tarife i cene </w:t>
      </w:r>
    </w:p>
    <w:p w:rsidR="00835E80" w:rsidRPr="005524CC" w:rsidRDefault="00924025" w:rsidP="00835E80">
      <w:pPr>
        <w:rPr>
          <w:rFonts w:asciiTheme="minorHAnsi" w:hAnsiTheme="minorHAnsi" w:cstheme="minorHAnsi"/>
          <w:szCs w:val="22"/>
        </w:rPr>
      </w:pPr>
      <w:r w:rsidRPr="005524CC">
        <w:rPr>
          <w:rFonts w:asciiTheme="minorHAnsi" w:hAnsiTheme="minorHAnsi" w:cstheme="minorHAnsi"/>
          <w:szCs w:val="22"/>
        </w:rPr>
        <w:t>TE</w:t>
      </w:r>
      <w:r w:rsidR="00835E80" w:rsidRPr="005524CC">
        <w:rPr>
          <w:rFonts w:asciiTheme="minorHAnsi" w:hAnsiTheme="minorHAnsi" w:cstheme="minorHAnsi"/>
          <w:szCs w:val="22"/>
        </w:rPr>
        <w:tab/>
      </w:r>
      <w:r w:rsidR="00835E80" w:rsidRPr="005524CC">
        <w:rPr>
          <w:rFonts w:asciiTheme="minorHAnsi" w:hAnsiTheme="minorHAnsi" w:cstheme="minorHAnsi"/>
          <w:szCs w:val="22"/>
        </w:rPr>
        <w:tab/>
        <w:t>Termo</w:t>
      </w:r>
      <w:r w:rsidRPr="005524CC">
        <w:rPr>
          <w:rFonts w:asciiTheme="minorHAnsi" w:hAnsiTheme="minorHAnsi" w:cstheme="minorHAnsi"/>
          <w:szCs w:val="22"/>
        </w:rPr>
        <w:t xml:space="preserve">elektrana </w:t>
      </w:r>
    </w:p>
    <w:p w:rsidR="00835E80" w:rsidRPr="005524CC" w:rsidRDefault="00835E80" w:rsidP="00835E80">
      <w:pPr>
        <w:rPr>
          <w:rFonts w:asciiTheme="minorHAnsi" w:hAnsiTheme="minorHAnsi" w:cstheme="minorHAnsi"/>
          <w:szCs w:val="22"/>
        </w:rPr>
      </w:pPr>
      <w:r w:rsidRPr="005524CC">
        <w:rPr>
          <w:rFonts w:asciiTheme="minorHAnsi" w:hAnsiTheme="minorHAnsi" w:cstheme="minorHAnsi"/>
          <w:szCs w:val="22"/>
        </w:rPr>
        <w:t xml:space="preserve">USAID </w:t>
      </w:r>
      <w:r w:rsidRPr="005524CC">
        <w:rPr>
          <w:rFonts w:asciiTheme="minorHAnsi" w:hAnsiTheme="minorHAnsi" w:cstheme="minorHAnsi"/>
          <w:szCs w:val="22"/>
        </w:rPr>
        <w:tab/>
      </w:r>
      <w:r w:rsidRPr="005524CC">
        <w:rPr>
          <w:rFonts w:asciiTheme="minorHAnsi" w:hAnsiTheme="minorHAnsi" w:cstheme="minorHAnsi"/>
          <w:szCs w:val="22"/>
        </w:rPr>
        <w:tab/>
      </w:r>
      <w:r w:rsidR="00924025" w:rsidRPr="005524CC">
        <w:rPr>
          <w:rFonts w:asciiTheme="minorHAnsi" w:hAnsiTheme="minorHAnsi" w:cstheme="minorHAnsi"/>
          <w:szCs w:val="22"/>
        </w:rPr>
        <w:t xml:space="preserve">Američka agencija za međunarodni razvoj </w:t>
      </w:r>
    </w:p>
    <w:p w:rsidR="00F40A98" w:rsidRPr="005524CC" w:rsidRDefault="00924025" w:rsidP="00835E80">
      <w:pPr>
        <w:rPr>
          <w:rFonts w:asciiTheme="minorHAnsi" w:hAnsiTheme="minorHAnsi" w:cstheme="minorHAnsi"/>
          <w:szCs w:val="22"/>
        </w:rPr>
      </w:pPr>
      <w:r w:rsidRPr="005524CC">
        <w:rPr>
          <w:rFonts w:asciiTheme="minorHAnsi" w:hAnsiTheme="minorHAnsi" w:cstheme="minorHAnsi"/>
          <w:szCs w:val="22"/>
        </w:rPr>
        <w:t>S</w:t>
      </w:r>
      <w:r w:rsidR="00F40A98" w:rsidRPr="005524CC">
        <w:rPr>
          <w:rFonts w:asciiTheme="minorHAnsi" w:hAnsiTheme="minorHAnsi" w:cstheme="minorHAnsi"/>
          <w:szCs w:val="22"/>
        </w:rPr>
        <w:t>E</w:t>
      </w:r>
      <w:r w:rsidRPr="005524CC">
        <w:rPr>
          <w:rFonts w:asciiTheme="minorHAnsi" w:hAnsiTheme="minorHAnsi" w:cstheme="minorHAnsi"/>
          <w:szCs w:val="22"/>
        </w:rPr>
        <w:t>Z</w:t>
      </w:r>
      <w:r w:rsidR="00F40A98" w:rsidRPr="005524CC">
        <w:rPr>
          <w:rFonts w:asciiTheme="minorHAnsi" w:hAnsiTheme="minorHAnsi" w:cstheme="minorHAnsi"/>
          <w:szCs w:val="22"/>
        </w:rPr>
        <w:tab/>
      </w:r>
      <w:r w:rsidR="00F40A98" w:rsidRPr="005524CC">
        <w:rPr>
          <w:rFonts w:asciiTheme="minorHAnsi" w:hAnsiTheme="minorHAnsi" w:cstheme="minorHAnsi"/>
          <w:szCs w:val="22"/>
        </w:rPr>
        <w:tab/>
        <w:t>Sekretari</w:t>
      </w:r>
      <w:r w:rsidRPr="005524CC">
        <w:rPr>
          <w:rFonts w:asciiTheme="minorHAnsi" w:hAnsiTheme="minorHAnsi" w:cstheme="minorHAnsi"/>
          <w:szCs w:val="22"/>
        </w:rPr>
        <w:t>j</w:t>
      </w:r>
      <w:r w:rsidR="00F40A98" w:rsidRPr="005524CC">
        <w:rPr>
          <w:rFonts w:asciiTheme="minorHAnsi" w:hAnsiTheme="minorHAnsi" w:cstheme="minorHAnsi"/>
          <w:szCs w:val="22"/>
        </w:rPr>
        <w:t>at</w:t>
      </w:r>
      <w:r w:rsidRPr="005524CC">
        <w:rPr>
          <w:rFonts w:asciiTheme="minorHAnsi" w:hAnsiTheme="minorHAnsi" w:cstheme="minorHAnsi"/>
          <w:szCs w:val="22"/>
        </w:rPr>
        <w:t xml:space="preserve"> Energetske Zajednice </w:t>
      </w:r>
    </w:p>
    <w:p w:rsidR="00835E80" w:rsidRPr="005524CC" w:rsidRDefault="00924025" w:rsidP="00835E80">
      <w:pPr>
        <w:rPr>
          <w:rFonts w:asciiTheme="minorHAnsi" w:hAnsiTheme="minorHAnsi" w:cstheme="minorHAnsi"/>
          <w:szCs w:val="22"/>
        </w:rPr>
      </w:pPr>
      <w:r w:rsidRPr="005524CC">
        <w:rPr>
          <w:rFonts w:asciiTheme="minorHAnsi" w:hAnsiTheme="minorHAnsi" w:cstheme="minorHAnsi"/>
          <w:szCs w:val="22"/>
        </w:rPr>
        <w:t>S</w:t>
      </w:r>
      <w:r w:rsidR="00835E80" w:rsidRPr="005524CC">
        <w:rPr>
          <w:rFonts w:asciiTheme="minorHAnsi" w:hAnsiTheme="minorHAnsi" w:cstheme="minorHAnsi"/>
          <w:szCs w:val="22"/>
        </w:rPr>
        <w:t>B</w:t>
      </w:r>
      <w:r w:rsidR="00835E80" w:rsidRPr="005524CC">
        <w:rPr>
          <w:rFonts w:asciiTheme="minorHAnsi" w:hAnsiTheme="minorHAnsi" w:cstheme="minorHAnsi"/>
          <w:szCs w:val="22"/>
        </w:rPr>
        <w:tab/>
      </w:r>
      <w:r w:rsidR="00835E80" w:rsidRPr="005524CC">
        <w:rPr>
          <w:rFonts w:asciiTheme="minorHAnsi" w:hAnsiTheme="minorHAnsi" w:cstheme="minorHAnsi"/>
          <w:szCs w:val="22"/>
        </w:rPr>
        <w:tab/>
      </w:r>
      <w:r w:rsidRPr="005524CC">
        <w:rPr>
          <w:rFonts w:asciiTheme="minorHAnsi" w:hAnsiTheme="minorHAnsi" w:cstheme="minorHAnsi"/>
          <w:szCs w:val="22"/>
        </w:rPr>
        <w:t xml:space="preserve">Svetska </w:t>
      </w:r>
      <w:r w:rsidR="00835E80" w:rsidRPr="005524CC">
        <w:rPr>
          <w:rFonts w:asciiTheme="minorHAnsi" w:hAnsiTheme="minorHAnsi" w:cstheme="minorHAnsi"/>
          <w:szCs w:val="22"/>
        </w:rPr>
        <w:t xml:space="preserve">Banka </w:t>
      </w:r>
    </w:p>
    <w:p w:rsidR="00835E80" w:rsidRPr="005524CC" w:rsidRDefault="00835E80" w:rsidP="00835E80">
      <w:pPr>
        <w:rPr>
          <w:rFonts w:asciiTheme="minorHAnsi" w:hAnsiTheme="minorHAnsi" w:cstheme="minorHAnsi"/>
          <w:sz w:val="24"/>
        </w:rPr>
      </w:pPr>
    </w:p>
    <w:p w:rsidR="00277E59" w:rsidRPr="005524CC" w:rsidRDefault="00924025" w:rsidP="001217F0">
      <w:pPr>
        <w:pStyle w:val="Heading1"/>
        <w:rPr>
          <w:rFonts w:asciiTheme="minorHAnsi" w:hAnsiTheme="minorHAnsi" w:cstheme="minorHAnsi"/>
          <w:sz w:val="24"/>
        </w:rPr>
      </w:pPr>
      <w:bookmarkStart w:id="1" w:name="_Toc56589712"/>
      <w:r w:rsidRPr="005524CC">
        <w:rPr>
          <w:rFonts w:asciiTheme="minorHAnsi" w:hAnsiTheme="minorHAnsi" w:cstheme="minorHAnsi"/>
          <w:caps/>
          <w:sz w:val="24"/>
        </w:rPr>
        <w:t>Uvod</w:t>
      </w:r>
      <w:bookmarkEnd w:id="1"/>
      <w:r w:rsidRPr="005524CC">
        <w:rPr>
          <w:rFonts w:asciiTheme="minorHAnsi" w:hAnsiTheme="minorHAnsi" w:cstheme="minorHAnsi"/>
          <w:sz w:val="24"/>
        </w:rPr>
        <w:t xml:space="preserve"> </w:t>
      </w:r>
    </w:p>
    <w:p w:rsidR="00EA5A65" w:rsidRPr="005524CC" w:rsidRDefault="00924025" w:rsidP="00EA5A65">
      <w:pPr>
        <w:spacing w:line="312" w:lineRule="auto"/>
        <w:rPr>
          <w:rFonts w:asciiTheme="minorHAnsi" w:hAnsiTheme="minorHAnsi" w:cstheme="minorHAnsi"/>
        </w:rPr>
      </w:pPr>
      <w:r w:rsidRPr="005524CC">
        <w:rPr>
          <w:rFonts w:asciiTheme="minorHAnsi" w:hAnsiTheme="minorHAnsi" w:cstheme="minorHAnsi"/>
        </w:rPr>
        <w:t>Regulatorni ured za energiju (RU</w:t>
      </w:r>
      <w:r w:rsidR="00EA5A65" w:rsidRPr="005524CC">
        <w:rPr>
          <w:rFonts w:asciiTheme="minorHAnsi" w:hAnsiTheme="minorHAnsi" w:cstheme="minorHAnsi"/>
        </w:rPr>
        <w:t xml:space="preserve">E) </w:t>
      </w:r>
      <w:r w:rsidRPr="005524CC">
        <w:rPr>
          <w:rFonts w:asciiTheme="minorHAnsi" w:hAnsiTheme="minorHAnsi" w:cstheme="minorHAnsi"/>
        </w:rPr>
        <w:t xml:space="preserve">je osnovan </w:t>
      </w:r>
      <w:r w:rsidR="00EA5A65" w:rsidRPr="005524CC">
        <w:rPr>
          <w:rFonts w:asciiTheme="minorHAnsi" w:hAnsiTheme="minorHAnsi" w:cstheme="minorHAnsi"/>
        </w:rPr>
        <w:t>2004</w:t>
      </w:r>
      <w:r w:rsidRPr="005524CC">
        <w:rPr>
          <w:rFonts w:asciiTheme="minorHAnsi" w:hAnsiTheme="minorHAnsi" w:cstheme="minorHAnsi"/>
        </w:rPr>
        <w:t>. godine</w:t>
      </w:r>
      <w:r w:rsidR="00EA5A65" w:rsidRPr="005524CC">
        <w:rPr>
          <w:rFonts w:asciiTheme="minorHAnsi" w:hAnsiTheme="minorHAnsi" w:cstheme="minorHAnsi"/>
        </w:rPr>
        <w:t xml:space="preserve">, </w:t>
      </w:r>
      <w:r w:rsidRPr="005524CC">
        <w:rPr>
          <w:rFonts w:asciiTheme="minorHAnsi" w:hAnsiTheme="minorHAnsi" w:cstheme="minorHAnsi"/>
        </w:rPr>
        <w:t>u skladu sa Zakonom o energetskom regulatoru. RU</w:t>
      </w:r>
      <w:r w:rsidR="00EA5A65" w:rsidRPr="005524CC">
        <w:rPr>
          <w:rFonts w:asciiTheme="minorHAnsi" w:hAnsiTheme="minorHAnsi" w:cstheme="minorHAnsi"/>
        </w:rPr>
        <w:t xml:space="preserve">E </w:t>
      </w:r>
      <w:r w:rsidRPr="005524CC">
        <w:rPr>
          <w:rFonts w:asciiTheme="minorHAnsi" w:hAnsiTheme="minorHAnsi" w:cstheme="minorHAnsi"/>
        </w:rPr>
        <w:t>igra važnu ulogu u transformaciji i nadgledanju sektora energije na Kosovu</w:t>
      </w:r>
      <w:r w:rsidR="00EA5A65" w:rsidRPr="005524CC">
        <w:rPr>
          <w:rFonts w:asciiTheme="minorHAnsi" w:hAnsiTheme="minorHAnsi" w:cstheme="minorHAnsi"/>
        </w:rPr>
        <w:t xml:space="preserve">, </w:t>
      </w:r>
      <w:r w:rsidRPr="005524CC">
        <w:rPr>
          <w:rFonts w:asciiTheme="minorHAnsi" w:hAnsiTheme="minorHAnsi" w:cstheme="minorHAnsi"/>
        </w:rPr>
        <w:t>procesu licenciranja</w:t>
      </w:r>
      <w:r w:rsidR="00EA5A65" w:rsidRPr="005524CC">
        <w:rPr>
          <w:rFonts w:asciiTheme="minorHAnsi" w:hAnsiTheme="minorHAnsi" w:cstheme="minorHAnsi"/>
        </w:rPr>
        <w:t>, konkur</w:t>
      </w:r>
      <w:r w:rsidRPr="005524CC">
        <w:rPr>
          <w:rFonts w:asciiTheme="minorHAnsi" w:hAnsiTheme="minorHAnsi" w:cstheme="minorHAnsi"/>
        </w:rPr>
        <w:t>enciji i regulisanom funkcionisanju tržišta električne energije</w:t>
      </w:r>
      <w:r w:rsidR="00EA5A65" w:rsidRPr="005524CC">
        <w:rPr>
          <w:rFonts w:asciiTheme="minorHAnsi" w:hAnsiTheme="minorHAnsi" w:cstheme="minorHAnsi"/>
        </w:rPr>
        <w:t xml:space="preserve">, </w:t>
      </w:r>
      <w:r w:rsidRPr="005524CC">
        <w:rPr>
          <w:rFonts w:asciiTheme="minorHAnsi" w:hAnsiTheme="minorHAnsi" w:cstheme="minorHAnsi"/>
        </w:rPr>
        <w:t>centralnog grejanja i prirodnog gasa</w:t>
      </w:r>
      <w:r w:rsidR="00EA5A65" w:rsidRPr="005524CC">
        <w:rPr>
          <w:rFonts w:asciiTheme="minorHAnsi" w:hAnsiTheme="minorHAnsi" w:cstheme="minorHAnsi"/>
        </w:rPr>
        <w:t xml:space="preserve">, </w:t>
      </w:r>
      <w:r w:rsidRPr="005524CC">
        <w:rPr>
          <w:rFonts w:asciiTheme="minorHAnsi" w:hAnsiTheme="minorHAnsi" w:cstheme="minorHAnsi"/>
        </w:rPr>
        <w:t>kao i regulisanom funkcionisanju energetskih kompanija</w:t>
      </w:r>
      <w:r w:rsidR="00EA5A65" w:rsidRPr="005524CC">
        <w:rPr>
          <w:rFonts w:asciiTheme="minorHAnsi" w:hAnsiTheme="minorHAnsi" w:cstheme="minorHAnsi"/>
        </w:rPr>
        <w:t xml:space="preserve">, </w:t>
      </w:r>
      <w:r w:rsidRPr="005524CC">
        <w:rPr>
          <w:rFonts w:asciiTheme="minorHAnsi" w:hAnsiTheme="minorHAnsi" w:cstheme="minorHAnsi"/>
        </w:rPr>
        <w:t>koja se mogu okarakterisati kao monopoli</w:t>
      </w:r>
      <w:r w:rsidR="00EA5A65" w:rsidRPr="005524CC">
        <w:rPr>
          <w:rFonts w:asciiTheme="minorHAnsi" w:hAnsiTheme="minorHAnsi" w:cstheme="minorHAnsi"/>
        </w:rPr>
        <w:t>.</w:t>
      </w:r>
    </w:p>
    <w:p w:rsidR="00EA5A65" w:rsidRPr="005524CC" w:rsidRDefault="004840B0" w:rsidP="00EA5A65">
      <w:pPr>
        <w:spacing w:line="312" w:lineRule="auto"/>
        <w:rPr>
          <w:rFonts w:asciiTheme="minorHAnsi" w:hAnsiTheme="minorHAnsi" w:cstheme="minorHAnsi"/>
        </w:rPr>
      </w:pPr>
      <w:r w:rsidRPr="005524CC">
        <w:rPr>
          <w:rFonts w:asciiTheme="minorHAnsi" w:hAnsiTheme="minorHAnsi" w:cstheme="minorHAnsi"/>
        </w:rPr>
        <w:t>Plan</w:t>
      </w:r>
      <w:r w:rsidR="00924025" w:rsidRPr="005524CC">
        <w:rPr>
          <w:rFonts w:asciiTheme="minorHAnsi" w:hAnsiTheme="minorHAnsi" w:cstheme="minorHAnsi"/>
        </w:rPr>
        <w:t xml:space="preserve"> učinka RUE-a se razvija na godišnjem nivou ili srednjoročnom periodu</w:t>
      </w:r>
      <w:r w:rsidR="00EA5A65" w:rsidRPr="005524CC">
        <w:rPr>
          <w:rFonts w:asciiTheme="minorHAnsi" w:hAnsiTheme="minorHAnsi" w:cstheme="minorHAnsi"/>
        </w:rPr>
        <w:t xml:space="preserve">, </w:t>
      </w:r>
      <w:r w:rsidR="00924025" w:rsidRPr="005524CC">
        <w:rPr>
          <w:rFonts w:asciiTheme="minorHAnsi" w:hAnsiTheme="minorHAnsi" w:cstheme="minorHAnsi"/>
        </w:rPr>
        <w:t>u zavisnosti od zahteva za stvaranje jedne jasnije vizije za trendove razvoja sektora</w:t>
      </w:r>
      <w:r w:rsidR="00EA5A65" w:rsidRPr="005524CC">
        <w:rPr>
          <w:rFonts w:asciiTheme="minorHAnsi" w:hAnsiTheme="minorHAnsi" w:cstheme="minorHAnsi"/>
        </w:rPr>
        <w:t xml:space="preserve">, </w:t>
      </w:r>
      <w:r w:rsidR="00924025" w:rsidRPr="005524CC">
        <w:rPr>
          <w:rFonts w:asciiTheme="minorHAnsi" w:hAnsiTheme="minorHAnsi" w:cstheme="minorHAnsi"/>
        </w:rPr>
        <w:t>i transformaciju tržišta energije na Kosovu i šire</w:t>
      </w:r>
      <w:r w:rsidR="007E1874" w:rsidRPr="005524CC">
        <w:rPr>
          <w:rFonts w:asciiTheme="minorHAnsi" w:hAnsiTheme="minorHAnsi" w:cstheme="minorHAnsi"/>
        </w:rPr>
        <w:t xml:space="preserve">. </w:t>
      </w:r>
      <w:r w:rsidR="00924025" w:rsidRPr="005524CC">
        <w:rPr>
          <w:rFonts w:asciiTheme="minorHAnsi" w:hAnsiTheme="minorHAnsi" w:cstheme="minorHAnsi"/>
        </w:rPr>
        <w:t xml:space="preserve">Ovaj plan pokriva </w:t>
      </w:r>
      <w:r w:rsidR="007E1874" w:rsidRPr="005524CC">
        <w:rPr>
          <w:rFonts w:asciiTheme="minorHAnsi" w:hAnsiTheme="minorHAnsi" w:cstheme="minorHAnsi"/>
        </w:rPr>
        <w:t>1</w:t>
      </w:r>
      <w:r w:rsidR="00924025" w:rsidRPr="005524CC">
        <w:rPr>
          <w:rFonts w:asciiTheme="minorHAnsi" w:hAnsiTheme="minorHAnsi" w:cstheme="minorHAnsi"/>
        </w:rPr>
        <w:t>. godišnji period</w:t>
      </w:r>
      <w:r w:rsidR="00EA5A65" w:rsidRPr="005524CC">
        <w:rPr>
          <w:rFonts w:asciiTheme="minorHAnsi" w:hAnsiTheme="minorHAnsi" w:cstheme="minorHAnsi"/>
        </w:rPr>
        <w:t xml:space="preserve">, </w:t>
      </w:r>
      <w:r w:rsidR="00924025" w:rsidRPr="005524CC">
        <w:rPr>
          <w:rFonts w:asciiTheme="minorHAnsi" w:hAnsiTheme="minorHAnsi" w:cstheme="minorHAnsi"/>
        </w:rPr>
        <w:t>uglavnom navodeći aktivnosti koje bi se razvijale</w:t>
      </w:r>
      <w:r w:rsidR="00EA5A65" w:rsidRPr="005524CC">
        <w:rPr>
          <w:rFonts w:asciiTheme="minorHAnsi" w:hAnsiTheme="minorHAnsi" w:cstheme="minorHAnsi"/>
        </w:rPr>
        <w:t xml:space="preserve">, </w:t>
      </w:r>
      <w:r w:rsidR="00924025" w:rsidRPr="005524CC">
        <w:rPr>
          <w:rFonts w:asciiTheme="minorHAnsi" w:hAnsiTheme="minorHAnsi" w:cstheme="minorHAnsi"/>
        </w:rPr>
        <w:t>ali i pravne i strateške zahteve energetskog sektora</w:t>
      </w:r>
      <w:r w:rsidR="00EA5A65" w:rsidRPr="005524CC">
        <w:rPr>
          <w:rFonts w:asciiTheme="minorHAnsi" w:hAnsiTheme="minorHAnsi" w:cstheme="minorHAnsi"/>
        </w:rPr>
        <w:t xml:space="preserve">, </w:t>
      </w:r>
      <w:r w:rsidR="00924025" w:rsidRPr="005524CC">
        <w:rPr>
          <w:rFonts w:asciiTheme="minorHAnsi" w:hAnsiTheme="minorHAnsi" w:cstheme="minorHAnsi"/>
        </w:rPr>
        <w:t xml:space="preserve">uporedo sa Strategijom </w:t>
      </w:r>
      <w:r w:rsidR="00670038" w:rsidRPr="005524CC">
        <w:rPr>
          <w:rFonts w:asciiTheme="minorHAnsi" w:hAnsiTheme="minorHAnsi" w:cstheme="minorHAnsi"/>
        </w:rPr>
        <w:t>za energiju i plana sprovođenja nacionalne energije</w:t>
      </w:r>
      <w:r w:rsidR="00EA5A65" w:rsidRPr="005524CC">
        <w:rPr>
          <w:rFonts w:asciiTheme="minorHAnsi" w:hAnsiTheme="minorHAnsi" w:cstheme="minorHAnsi"/>
        </w:rPr>
        <w:t>.</w:t>
      </w:r>
      <w:r w:rsidR="00670038" w:rsidRPr="005524CC">
        <w:rPr>
          <w:rFonts w:asciiTheme="minorHAnsi" w:hAnsiTheme="minorHAnsi" w:cstheme="minorHAnsi"/>
        </w:rPr>
        <w:t xml:space="preserve"> Zahtev za jedan Plan učinka RU</w:t>
      </w:r>
      <w:r w:rsidR="00EA5A65" w:rsidRPr="005524CC">
        <w:rPr>
          <w:rFonts w:asciiTheme="minorHAnsi" w:hAnsiTheme="minorHAnsi" w:cstheme="minorHAnsi"/>
        </w:rPr>
        <w:t>E-</w:t>
      </w:r>
      <w:r w:rsidR="00670038" w:rsidRPr="005524CC">
        <w:rPr>
          <w:rFonts w:asciiTheme="minorHAnsi" w:hAnsiTheme="minorHAnsi" w:cstheme="minorHAnsi"/>
        </w:rPr>
        <w:t>a</w:t>
      </w:r>
      <w:r w:rsidR="00EA5A65" w:rsidRPr="005524CC">
        <w:rPr>
          <w:rFonts w:asciiTheme="minorHAnsi" w:hAnsiTheme="minorHAnsi" w:cstheme="minorHAnsi"/>
        </w:rPr>
        <w:t xml:space="preserve">, </w:t>
      </w:r>
      <w:r w:rsidR="00670038" w:rsidRPr="005524CC">
        <w:rPr>
          <w:rFonts w:asciiTheme="minorHAnsi" w:hAnsiTheme="minorHAnsi" w:cstheme="minorHAnsi"/>
        </w:rPr>
        <w:t>osim što predstavlja zakonski zahtev</w:t>
      </w:r>
      <w:r w:rsidR="00EA5A65" w:rsidRPr="005524CC">
        <w:rPr>
          <w:rFonts w:asciiTheme="minorHAnsi" w:hAnsiTheme="minorHAnsi" w:cstheme="minorHAnsi"/>
        </w:rPr>
        <w:t xml:space="preserve">, </w:t>
      </w:r>
      <w:r w:rsidR="00670038" w:rsidRPr="005524CC">
        <w:rPr>
          <w:rFonts w:asciiTheme="minorHAnsi" w:hAnsiTheme="minorHAnsi" w:cstheme="minorHAnsi"/>
        </w:rPr>
        <w:t>veoma je neophodan</w:t>
      </w:r>
      <w:r w:rsidR="00EA5A65" w:rsidRPr="005524CC">
        <w:rPr>
          <w:rFonts w:asciiTheme="minorHAnsi" w:hAnsiTheme="minorHAnsi" w:cstheme="minorHAnsi"/>
        </w:rPr>
        <w:t xml:space="preserve">, </w:t>
      </w:r>
      <w:r w:rsidR="00670038" w:rsidRPr="005524CC">
        <w:rPr>
          <w:rFonts w:asciiTheme="minorHAnsi" w:hAnsiTheme="minorHAnsi" w:cstheme="minorHAnsi"/>
        </w:rPr>
        <w:t>uzimajući u obzir sve izmene u energetskom sektoru</w:t>
      </w:r>
      <w:r w:rsidR="00EA5A65" w:rsidRPr="005524CC">
        <w:rPr>
          <w:rFonts w:asciiTheme="minorHAnsi" w:hAnsiTheme="minorHAnsi" w:cstheme="minorHAnsi"/>
        </w:rPr>
        <w:t xml:space="preserve">, </w:t>
      </w:r>
      <w:r w:rsidR="00670038" w:rsidRPr="005524CC">
        <w:rPr>
          <w:rFonts w:asciiTheme="minorHAnsi" w:hAnsiTheme="minorHAnsi" w:cstheme="minorHAnsi"/>
        </w:rPr>
        <w:t>od kojih se očekuje značajno transformisanje na tržištu</w:t>
      </w:r>
      <w:r w:rsidR="00EA5A65" w:rsidRPr="005524CC">
        <w:rPr>
          <w:rFonts w:asciiTheme="minorHAnsi" w:hAnsiTheme="minorHAnsi" w:cstheme="minorHAnsi"/>
        </w:rPr>
        <w:t>.</w:t>
      </w:r>
    </w:p>
    <w:p w:rsidR="00EA5A65" w:rsidRPr="005524CC" w:rsidRDefault="007E1874" w:rsidP="00EA5A65">
      <w:pPr>
        <w:spacing w:line="312" w:lineRule="auto"/>
        <w:rPr>
          <w:rFonts w:asciiTheme="minorHAnsi" w:hAnsiTheme="minorHAnsi" w:cstheme="minorHAnsi"/>
        </w:rPr>
      </w:pPr>
      <w:r w:rsidRPr="005524CC">
        <w:rPr>
          <w:rFonts w:asciiTheme="minorHAnsi" w:hAnsiTheme="minorHAnsi" w:cstheme="minorHAnsi"/>
        </w:rPr>
        <w:t>Plan</w:t>
      </w:r>
      <w:r w:rsidR="00670038" w:rsidRPr="005524CC">
        <w:rPr>
          <w:rFonts w:asciiTheme="minorHAnsi" w:hAnsiTheme="minorHAnsi" w:cstheme="minorHAnsi"/>
        </w:rPr>
        <w:t xml:space="preserve"> učinka ima za cilj razvoj mehanizama za poštovanje rokova i procedura kao napor za realizaciju operativnih ciljeva</w:t>
      </w:r>
      <w:r w:rsidR="00EA5A65" w:rsidRPr="005524CC">
        <w:rPr>
          <w:rFonts w:asciiTheme="minorHAnsi" w:hAnsiTheme="minorHAnsi" w:cstheme="minorHAnsi"/>
        </w:rPr>
        <w:t>:</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Opis objektiva i ciljeva Akcionog plana</w:t>
      </w:r>
      <w:r w:rsidR="00EA5A65" w:rsidRPr="005524CC">
        <w:rPr>
          <w:rFonts w:asciiTheme="minorHAnsi" w:hAnsiTheme="minorHAnsi" w:cstheme="minorHAnsi"/>
        </w:rPr>
        <w:t>;</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Očekivani rezultati</w:t>
      </w:r>
      <w:r w:rsidR="00EA5A65" w:rsidRPr="005524CC">
        <w:rPr>
          <w:rFonts w:asciiTheme="minorHAnsi" w:hAnsiTheme="minorHAnsi" w:cstheme="minorHAnsi"/>
        </w:rPr>
        <w:t>;</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Raspored neophodnih delovanja</w:t>
      </w:r>
      <w:r w:rsidR="00EA5A65" w:rsidRPr="005524CC">
        <w:rPr>
          <w:rFonts w:asciiTheme="minorHAnsi" w:hAnsiTheme="minorHAnsi" w:cstheme="minorHAnsi"/>
        </w:rPr>
        <w:t>;</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Određivanje sredstava delovanja</w:t>
      </w:r>
      <w:r w:rsidR="00EA5A65" w:rsidRPr="005524CC">
        <w:rPr>
          <w:rFonts w:asciiTheme="minorHAnsi" w:hAnsiTheme="minorHAnsi" w:cstheme="minorHAnsi"/>
        </w:rPr>
        <w:t xml:space="preserve">; </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 xml:space="preserve">Odnos između sličnih delovanja </w:t>
      </w:r>
      <w:r w:rsidR="00EA5A65" w:rsidRPr="005524CC">
        <w:rPr>
          <w:rFonts w:asciiTheme="minorHAnsi" w:hAnsiTheme="minorHAnsi" w:cstheme="minorHAnsi"/>
        </w:rPr>
        <w:t>(</w:t>
      </w:r>
      <w:r w:rsidRPr="005524CC">
        <w:rPr>
          <w:rFonts w:asciiTheme="minorHAnsi" w:hAnsiTheme="minorHAnsi" w:cstheme="minorHAnsi"/>
        </w:rPr>
        <w:t>ukoliko je primenjivo</w:t>
      </w:r>
      <w:r w:rsidR="00EA5A65" w:rsidRPr="005524CC">
        <w:rPr>
          <w:rFonts w:asciiTheme="minorHAnsi" w:hAnsiTheme="minorHAnsi" w:cstheme="minorHAnsi"/>
        </w:rPr>
        <w:t xml:space="preserve">); </w:t>
      </w:r>
      <w:r w:rsidRPr="005524CC">
        <w:rPr>
          <w:rFonts w:asciiTheme="minorHAnsi" w:hAnsiTheme="minorHAnsi" w:cstheme="minorHAnsi"/>
        </w:rPr>
        <w:t xml:space="preserve">i </w:t>
      </w:r>
    </w:p>
    <w:p w:rsidR="00EA5A65" w:rsidRPr="005524CC" w:rsidRDefault="00670038" w:rsidP="00EA5A65">
      <w:pPr>
        <w:pStyle w:val="ListParagraph"/>
        <w:numPr>
          <w:ilvl w:val="0"/>
          <w:numId w:val="12"/>
        </w:numPr>
        <w:spacing w:line="312" w:lineRule="auto"/>
        <w:rPr>
          <w:rFonts w:asciiTheme="minorHAnsi" w:hAnsiTheme="minorHAnsi" w:cstheme="minorHAnsi"/>
        </w:rPr>
      </w:pPr>
      <w:r w:rsidRPr="005524CC">
        <w:rPr>
          <w:rFonts w:asciiTheme="minorHAnsi" w:hAnsiTheme="minorHAnsi" w:cstheme="minorHAnsi"/>
        </w:rPr>
        <w:t>Rokovi delovanja</w:t>
      </w:r>
      <w:r w:rsidR="00EA5A65" w:rsidRPr="005524CC">
        <w:rPr>
          <w:rFonts w:asciiTheme="minorHAnsi" w:hAnsiTheme="minorHAnsi" w:cstheme="minorHAnsi"/>
        </w:rPr>
        <w:t xml:space="preserve">;  </w:t>
      </w:r>
      <w:bookmarkStart w:id="2" w:name="_GoBack"/>
      <w:bookmarkEnd w:id="2"/>
    </w:p>
    <w:p w:rsidR="007E1874" w:rsidRPr="005524CC" w:rsidRDefault="007E1874" w:rsidP="007E1874">
      <w:pPr>
        <w:rPr>
          <w:rFonts w:asciiTheme="minorHAnsi" w:hAnsiTheme="minorHAnsi" w:cstheme="minorHAnsi"/>
        </w:rPr>
      </w:pPr>
      <w:r w:rsidRPr="005524CC">
        <w:rPr>
          <w:rFonts w:asciiTheme="minorHAnsi" w:hAnsiTheme="minorHAnsi" w:cstheme="minorHAnsi"/>
        </w:rPr>
        <w:t>Plan</w:t>
      </w:r>
      <w:r w:rsidR="00670038" w:rsidRPr="005524CC">
        <w:rPr>
          <w:rFonts w:asciiTheme="minorHAnsi" w:hAnsiTheme="minorHAnsi" w:cstheme="minorHAnsi"/>
        </w:rPr>
        <w:t xml:space="preserve"> učinka je značajan odlučujući faktor za ispunjavanje zakonskih obaveza i odgovornosti određenih u članu </w:t>
      </w:r>
      <w:r w:rsidR="00113696" w:rsidRPr="005524CC">
        <w:rPr>
          <w:rFonts w:asciiTheme="minorHAnsi" w:hAnsiTheme="minorHAnsi" w:cstheme="minorHAnsi"/>
        </w:rPr>
        <w:t>15</w:t>
      </w:r>
      <w:r w:rsidR="00670038" w:rsidRPr="005524CC">
        <w:rPr>
          <w:rFonts w:asciiTheme="minorHAnsi" w:hAnsiTheme="minorHAnsi" w:cstheme="minorHAnsi"/>
        </w:rPr>
        <w:t>.</w:t>
      </w:r>
      <w:r w:rsidR="00113696" w:rsidRPr="005524CC">
        <w:rPr>
          <w:rFonts w:asciiTheme="minorHAnsi" w:hAnsiTheme="minorHAnsi" w:cstheme="minorHAnsi"/>
        </w:rPr>
        <w:t xml:space="preserve"> </w:t>
      </w:r>
      <w:r w:rsidR="00670038" w:rsidRPr="005524CC">
        <w:rPr>
          <w:rFonts w:asciiTheme="minorHAnsi" w:hAnsiTheme="minorHAnsi" w:cstheme="minorHAnsi"/>
        </w:rPr>
        <w:t>Zakona o energetskom regulatoru</w:t>
      </w:r>
      <w:r w:rsidR="00113696" w:rsidRPr="005524CC">
        <w:rPr>
          <w:rFonts w:asciiTheme="minorHAnsi" w:hAnsiTheme="minorHAnsi" w:cstheme="minorHAnsi"/>
        </w:rPr>
        <w:t xml:space="preserve">, </w:t>
      </w:r>
      <w:r w:rsidR="00670038" w:rsidRPr="005524CC">
        <w:rPr>
          <w:rFonts w:asciiTheme="minorHAnsi" w:hAnsiTheme="minorHAnsi" w:cstheme="minorHAnsi"/>
        </w:rPr>
        <w:t xml:space="preserve">kao i za planiranje Prihoda i Rashoda RUE-a pripremljenih u skladu sa članom </w:t>
      </w:r>
      <w:r w:rsidR="00EA5A65" w:rsidRPr="005524CC">
        <w:rPr>
          <w:rFonts w:asciiTheme="minorHAnsi" w:hAnsiTheme="minorHAnsi" w:cstheme="minorHAnsi"/>
        </w:rPr>
        <w:t>22</w:t>
      </w:r>
      <w:r w:rsidR="00670038" w:rsidRPr="005524CC">
        <w:rPr>
          <w:rFonts w:asciiTheme="minorHAnsi" w:hAnsiTheme="minorHAnsi" w:cstheme="minorHAnsi"/>
        </w:rPr>
        <w:t xml:space="preserve">. Zakona o energetskom regulatoru </w:t>
      </w:r>
      <w:r w:rsidRPr="005524CC">
        <w:rPr>
          <w:rFonts w:asciiTheme="minorHAnsi" w:hAnsiTheme="minorHAnsi" w:cstheme="minorHAnsi"/>
        </w:rPr>
        <w:t>(</w:t>
      </w:r>
      <w:r w:rsidR="00670038" w:rsidRPr="005524CC">
        <w:rPr>
          <w:rFonts w:asciiTheme="minorHAnsi" w:hAnsiTheme="minorHAnsi" w:cstheme="minorHAnsi"/>
        </w:rPr>
        <w:t>Zakon B</w:t>
      </w:r>
      <w:r w:rsidR="00EA5A65" w:rsidRPr="005524CC">
        <w:rPr>
          <w:rFonts w:asciiTheme="minorHAnsi" w:hAnsiTheme="minorHAnsi" w:cstheme="minorHAnsi"/>
        </w:rPr>
        <w:t>r. 05/L-084</w:t>
      </w:r>
      <w:r w:rsidRPr="005524CC">
        <w:rPr>
          <w:rFonts w:asciiTheme="minorHAnsi" w:hAnsiTheme="minorHAnsi" w:cstheme="minorHAnsi"/>
        </w:rPr>
        <w:t>)</w:t>
      </w:r>
      <w:r w:rsidR="00113696" w:rsidRPr="005524CC">
        <w:rPr>
          <w:rFonts w:asciiTheme="minorHAnsi" w:hAnsiTheme="minorHAnsi" w:cstheme="minorHAnsi"/>
        </w:rPr>
        <w:t xml:space="preserve">. </w:t>
      </w:r>
      <w:r w:rsidR="00670038" w:rsidRPr="005524CC">
        <w:rPr>
          <w:rFonts w:asciiTheme="minorHAnsi" w:hAnsiTheme="minorHAnsi" w:cstheme="minorHAnsi"/>
        </w:rPr>
        <w:t xml:space="preserve">Takođe, ovaj plan je pripremljen na osnovu zahteva člana </w:t>
      </w:r>
      <w:r w:rsidRPr="005524CC">
        <w:rPr>
          <w:rFonts w:asciiTheme="minorHAnsi" w:hAnsiTheme="minorHAnsi" w:cstheme="minorHAnsi"/>
        </w:rPr>
        <w:t>43</w:t>
      </w:r>
      <w:r w:rsidR="00670038" w:rsidRPr="005524CC">
        <w:rPr>
          <w:rFonts w:asciiTheme="minorHAnsi" w:hAnsiTheme="minorHAnsi" w:cstheme="minorHAnsi"/>
        </w:rPr>
        <w:t>.</w:t>
      </w:r>
      <w:r w:rsidRPr="005524CC">
        <w:rPr>
          <w:rFonts w:asciiTheme="minorHAnsi" w:hAnsiTheme="minorHAnsi" w:cstheme="minorHAnsi"/>
        </w:rPr>
        <w:t xml:space="preserve"> </w:t>
      </w:r>
      <w:r w:rsidR="00670038" w:rsidRPr="005524CC">
        <w:rPr>
          <w:rFonts w:asciiTheme="minorHAnsi" w:hAnsiTheme="minorHAnsi" w:cstheme="minorHAnsi"/>
        </w:rPr>
        <w:t>tačka</w:t>
      </w:r>
      <w:r w:rsidRPr="005524CC">
        <w:rPr>
          <w:rFonts w:asciiTheme="minorHAnsi" w:hAnsiTheme="minorHAnsi" w:cstheme="minorHAnsi"/>
        </w:rPr>
        <w:t xml:space="preserve"> 3</w:t>
      </w:r>
      <w:r w:rsidR="00670038" w:rsidRPr="005524CC">
        <w:rPr>
          <w:rFonts w:asciiTheme="minorHAnsi" w:hAnsiTheme="minorHAnsi" w:cstheme="minorHAnsi"/>
        </w:rPr>
        <w:t>. Zakona o organizovanju i funkcionisanju državne administracije i nezavisnih agencija (Zakon B</w:t>
      </w:r>
      <w:r w:rsidRPr="005524CC">
        <w:rPr>
          <w:rFonts w:asciiTheme="minorHAnsi" w:hAnsiTheme="minorHAnsi" w:cstheme="minorHAnsi"/>
        </w:rPr>
        <w:t>r.06/-113)</w:t>
      </w:r>
    </w:p>
    <w:p w:rsidR="00EA5A65" w:rsidRPr="005524CC" w:rsidRDefault="00670038" w:rsidP="00EA5A65">
      <w:pPr>
        <w:spacing w:line="312" w:lineRule="auto"/>
        <w:rPr>
          <w:rFonts w:asciiTheme="minorHAnsi" w:hAnsiTheme="minorHAnsi" w:cstheme="minorHAnsi"/>
        </w:rPr>
      </w:pPr>
      <w:r w:rsidRPr="005524CC">
        <w:rPr>
          <w:rFonts w:asciiTheme="minorHAnsi" w:hAnsiTheme="minorHAnsi" w:cstheme="minorHAnsi"/>
        </w:rPr>
        <w:t>Objavljivanje ovog Plana rada će ojačati transparentnost i odgovornost</w:t>
      </w:r>
      <w:r w:rsidR="00EA5A65" w:rsidRPr="005524CC">
        <w:rPr>
          <w:rFonts w:asciiTheme="minorHAnsi" w:hAnsiTheme="minorHAnsi" w:cstheme="minorHAnsi"/>
        </w:rPr>
        <w:t xml:space="preserve">, </w:t>
      </w:r>
      <w:r w:rsidRPr="005524CC">
        <w:rPr>
          <w:rFonts w:asciiTheme="minorHAnsi" w:hAnsiTheme="minorHAnsi" w:cstheme="minorHAnsi"/>
        </w:rPr>
        <w:t>omogućavanjem svim zainteresovanim stranama da se osiguraju da planirane aktivnosti za svaku godinu uzastopno budu u skladu sa zakonskim obavezama i funkcijama RUE-a</w:t>
      </w:r>
      <w:r w:rsidR="00EA5A65" w:rsidRPr="005524CC">
        <w:rPr>
          <w:rFonts w:asciiTheme="minorHAnsi" w:hAnsiTheme="minorHAnsi" w:cstheme="minorHAnsi"/>
        </w:rPr>
        <w:t>.</w:t>
      </w:r>
    </w:p>
    <w:p w:rsidR="00F40A98" w:rsidRPr="005524CC" w:rsidRDefault="00F40A98" w:rsidP="00EA5A65">
      <w:pPr>
        <w:spacing w:line="312" w:lineRule="auto"/>
        <w:rPr>
          <w:rFonts w:asciiTheme="minorHAnsi" w:hAnsiTheme="minorHAnsi" w:cstheme="minorHAnsi"/>
        </w:rPr>
      </w:pPr>
    </w:p>
    <w:p w:rsidR="00313D14" w:rsidRPr="005524CC" w:rsidRDefault="00313D14" w:rsidP="00EA5A65">
      <w:pPr>
        <w:spacing w:line="312" w:lineRule="auto"/>
        <w:rPr>
          <w:rFonts w:asciiTheme="minorHAnsi" w:hAnsiTheme="minorHAnsi" w:cstheme="minorHAnsi"/>
        </w:rPr>
      </w:pPr>
    </w:p>
    <w:p w:rsidR="00313D14" w:rsidRPr="005524CC" w:rsidRDefault="00313D14" w:rsidP="00EA5A65">
      <w:pPr>
        <w:spacing w:line="312" w:lineRule="auto"/>
        <w:rPr>
          <w:rFonts w:asciiTheme="minorHAnsi" w:hAnsiTheme="minorHAnsi" w:cstheme="minorHAnsi"/>
        </w:rPr>
      </w:pPr>
    </w:p>
    <w:p w:rsidR="001217F0" w:rsidRPr="005524CC" w:rsidRDefault="001217F0" w:rsidP="001217F0">
      <w:pPr>
        <w:pStyle w:val="Heading1"/>
        <w:tabs>
          <w:tab w:val="clear" w:pos="720"/>
        </w:tabs>
        <w:spacing w:after="60" w:line="240" w:lineRule="auto"/>
        <w:rPr>
          <w:rFonts w:asciiTheme="minorHAnsi" w:hAnsiTheme="minorHAnsi" w:cstheme="minorHAnsi"/>
          <w:caps/>
          <w:sz w:val="24"/>
        </w:rPr>
      </w:pPr>
      <w:bookmarkStart w:id="3" w:name="_Toc56589713"/>
      <w:r w:rsidRPr="005524CC">
        <w:rPr>
          <w:rFonts w:asciiTheme="minorHAnsi" w:hAnsiTheme="minorHAnsi" w:cstheme="minorHAnsi"/>
          <w:caps/>
          <w:sz w:val="24"/>
        </w:rPr>
        <w:lastRenderedPageBreak/>
        <w:t>MANDAT</w:t>
      </w:r>
      <w:r w:rsidR="00670038" w:rsidRPr="005524CC">
        <w:rPr>
          <w:rFonts w:asciiTheme="minorHAnsi" w:hAnsiTheme="minorHAnsi" w:cstheme="minorHAnsi"/>
          <w:caps/>
          <w:sz w:val="24"/>
        </w:rPr>
        <w:t xml:space="preserve"> regulatornog ureda za energiju</w:t>
      </w:r>
      <w:bookmarkEnd w:id="3"/>
      <w:r w:rsidR="00670038" w:rsidRPr="005524CC">
        <w:rPr>
          <w:rFonts w:asciiTheme="minorHAnsi" w:hAnsiTheme="minorHAnsi" w:cstheme="minorHAnsi"/>
          <w:caps/>
          <w:sz w:val="24"/>
        </w:rPr>
        <w:t xml:space="preserve"> </w:t>
      </w:r>
    </w:p>
    <w:p w:rsidR="00313D14" w:rsidRPr="005524CC" w:rsidRDefault="00313D14" w:rsidP="00A12516">
      <w:pPr>
        <w:spacing w:after="0" w:line="240" w:lineRule="auto"/>
        <w:rPr>
          <w:rFonts w:asciiTheme="minorHAnsi" w:hAnsiTheme="minorHAnsi" w:cstheme="minorHAnsi"/>
        </w:rPr>
      </w:pPr>
    </w:p>
    <w:p w:rsidR="001217F0" w:rsidRPr="005524CC" w:rsidRDefault="00670038" w:rsidP="001217F0">
      <w:pPr>
        <w:spacing w:line="312" w:lineRule="auto"/>
        <w:rPr>
          <w:rFonts w:asciiTheme="minorHAnsi" w:hAnsiTheme="minorHAnsi" w:cstheme="minorHAnsi"/>
        </w:rPr>
      </w:pPr>
      <w:r w:rsidRPr="005524CC">
        <w:rPr>
          <w:rFonts w:asciiTheme="minorHAnsi" w:hAnsiTheme="minorHAnsi" w:cstheme="minorHAnsi"/>
        </w:rPr>
        <w:t>Regulatorni ured za energiju (</w:t>
      </w:r>
      <w:r w:rsidR="002D1940" w:rsidRPr="005524CC">
        <w:rPr>
          <w:rFonts w:asciiTheme="minorHAnsi" w:hAnsiTheme="minorHAnsi" w:cstheme="minorHAnsi"/>
        </w:rPr>
        <w:t>R</w:t>
      </w:r>
      <w:r w:rsidRPr="005524CC">
        <w:rPr>
          <w:rFonts w:asciiTheme="minorHAnsi" w:hAnsiTheme="minorHAnsi" w:cstheme="minorHAnsi"/>
        </w:rPr>
        <w:t>U</w:t>
      </w:r>
      <w:r w:rsidR="002D1940" w:rsidRPr="005524CC">
        <w:rPr>
          <w:rFonts w:asciiTheme="minorHAnsi" w:hAnsiTheme="minorHAnsi" w:cstheme="minorHAnsi"/>
        </w:rPr>
        <w:t xml:space="preserve">E) </w:t>
      </w:r>
      <w:r w:rsidRPr="005524CC">
        <w:rPr>
          <w:rFonts w:asciiTheme="minorHAnsi" w:hAnsiTheme="minorHAnsi" w:cstheme="minorHAnsi"/>
        </w:rPr>
        <w:t xml:space="preserve">je agencija osnovana sa posebnim ciljem i objektivima </w:t>
      </w:r>
      <w:r w:rsidR="00BA060C" w:rsidRPr="005524CC">
        <w:rPr>
          <w:rFonts w:asciiTheme="minorHAnsi" w:hAnsiTheme="minorHAnsi" w:cstheme="minorHAnsi"/>
        </w:rPr>
        <w:t>određenim uglavnom Zakonom o energetici</w:t>
      </w:r>
      <w:r w:rsidR="001217F0" w:rsidRPr="005524CC">
        <w:rPr>
          <w:rFonts w:asciiTheme="minorHAnsi" w:hAnsiTheme="minorHAnsi" w:cstheme="minorHAnsi"/>
        </w:rPr>
        <w:t xml:space="preserve">, </w:t>
      </w:r>
      <w:r w:rsidR="00BA060C" w:rsidRPr="005524CC">
        <w:rPr>
          <w:rFonts w:asciiTheme="minorHAnsi" w:hAnsiTheme="minorHAnsi" w:cstheme="minorHAnsi"/>
        </w:rPr>
        <w:t>Zakonom o energetskom regulatoru</w:t>
      </w:r>
      <w:r w:rsidR="00113696" w:rsidRPr="005524CC">
        <w:rPr>
          <w:rFonts w:asciiTheme="minorHAnsi" w:hAnsiTheme="minorHAnsi" w:cstheme="minorHAnsi"/>
        </w:rPr>
        <w:t xml:space="preserve">, </w:t>
      </w:r>
      <w:r w:rsidR="00BA060C" w:rsidRPr="005524CC">
        <w:rPr>
          <w:rFonts w:asciiTheme="minorHAnsi" w:hAnsiTheme="minorHAnsi" w:cstheme="minorHAnsi"/>
        </w:rPr>
        <w:t>i relevantnim zakonima za električnu energiju</w:t>
      </w:r>
      <w:r w:rsidR="001217F0" w:rsidRPr="005524CC">
        <w:rPr>
          <w:rFonts w:asciiTheme="minorHAnsi" w:hAnsiTheme="minorHAnsi" w:cstheme="minorHAnsi"/>
        </w:rPr>
        <w:t xml:space="preserve">, </w:t>
      </w:r>
      <w:r w:rsidR="00BA060C" w:rsidRPr="005524CC">
        <w:rPr>
          <w:rFonts w:asciiTheme="minorHAnsi" w:hAnsiTheme="minorHAnsi" w:cstheme="minorHAnsi"/>
        </w:rPr>
        <w:t>toplotnu energiju i prirodni gas</w:t>
      </w:r>
      <w:r w:rsidR="00330D35" w:rsidRPr="005524CC">
        <w:rPr>
          <w:rFonts w:asciiTheme="minorHAnsi" w:hAnsiTheme="minorHAnsi" w:cstheme="minorHAnsi"/>
        </w:rPr>
        <w:t xml:space="preserve">, </w:t>
      </w:r>
      <w:r w:rsidR="00BA060C" w:rsidRPr="005524CC">
        <w:rPr>
          <w:rFonts w:asciiTheme="minorHAnsi" w:hAnsiTheme="minorHAnsi" w:cstheme="minorHAnsi"/>
        </w:rPr>
        <w:t>kao i drugim zakonodavnim aktima</w:t>
      </w:r>
      <w:r w:rsidR="001217F0" w:rsidRPr="005524CC">
        <w:rPr>
          <w:rFonts w:asciiTheme="minorHAnsi" w:hAnsiTheme="minorHAnsi" w:cstheme="minorHAnsi"/>
        </w:rPr>
        <w:t xml:space="preserve">. </w:t>
      </w:r>
      <w:r w:rsidR="00BA060C" w:rsidRPr="005524CC">
        <w:rPr>
          <w:rFonts w:asciiTheme="minorHAnsi" w:hAnsiTheme="minorHAnsi" w:cstheme="minorHAnsi"/>
        </w:rPr>
        <w:t xml:space="preserve">Kao rezultat njegovog mandata i uloge, </w:t>
      </w:r>
      <w:r w:rsidR="001217F0" w:rsidRPr="005524CC">
        <w:rPr>
          <w:rFonts w:asciiTheme="minorHAnsi" w:hAnsiTheme="minorHAnsi" w:cstheme="minorHAnsi"/>
        </w:rPr>
        <w:t>R</w:t>
      </w:r>
      <w:r w:rsidR="00BA060C" w:rsidRPr="005524CC">
        <w:rPr>
          <w:rFonts w:asciiTheme="minorHAnsi" w:hAnsiTheme="minorHAnsi" w:cstheme="minorHAnsi"/>
        </w:rPr>
        <w:t>U</w:t>
      </w:r>
      <w:r w:rsidR="001217F0" w:rsidRPr="005524CC">
        <w:rPr>
          <w:rFonts w:asciiTheme="minorHAnsi" w:hAnsiTheme="minorHAnsi" w:cstheme="minorHAnsi"/>
        </w:rPr>
        <w:t xml:space="preserve">E </w:t>
      </w:r>
      <w:r w:rsidR="00BA060C" w:rsidRPr="005524CC">
        <w:rPr>
          <w:rFonts w:asciiTheme="minorHAnsi" w:hAnsiTheme="minorHAnsi" w:cstheme="minorHAnsi"/>
        </w:rPr>
        <w:t xml:space="preserve">je ključna institucija u sektoru energije na Kosovu i centralna kontakt tačka za sve </w:t>
      </w:r>
      <w:r w:rsidR="001217F0" w:rsidRPr="005524CC">
        <w:rPr>
          <w:rFonts w:asciiTheme="minorHAnsi" w:hAnsiTheme="minorHAnsi" w:cstheme="minorHAnsi"/>
        </w:rPr>
        <w:t>entitete</w:t>
      </w:r>
      <w:r w:rsidR="00BA060C" w:rsidRPr="005524CC">
        <w:rPr>
          <w:rFonts w:asciiTheme="minorHAnsi" w:hAnsiTheme="minorHAnsi" w:cstheme="minorHAnsi"/>
        </w:rPr>
        <w:t xml:space="preserve"> uključene na tržištu. RU</w:t>
      </w:r>
      <w:r w:rsidR="001217F0" w:rsidRPr="005524CC">
        <w:rPr>
          <w:rFonts w:asciiTheme="minorHAnsi" w:hAnsiTheme="minorHAnsi" w:cstheme="minorHAnsi"/>
        </w:rPr>
        <w:t xml:space="preserve">E </w:t>
      </w:r>
      <w:r w:rsidR="00BA060C" w:rsidRPr="005524CC">
        <w:rPr>
          <w:rFonts w:asciiTheme="minorHAnsi" w:hAnsiTheme="minorHAnsi" w:cstheme="minorHAnsi"/>
        </w:rPr>
        <w:t>igra aktivnu ulogu u razvoju</w:t>
      </w:r>
      <w:r w:rsidR="001217F0" w:rsidRPr="005524CC">
        <w:rPr>
          <w:rFonts w:asciiTheme="minorHAnsi" w:hAnsiTheme="minorHAnsi" w:cstheme="minorHAnsi"/>
        </w:rPr>
        <w:t xml:space="preserve">, </w:t>
      </w:r>
      <w:r w:rsidR="00BA060C" w:rsidRPr="005524CC">
        <w:rPr>
          <w:rFonts w:asciiTheme="minorHAnsi" w:hAnsiTheme="minorHAnsi" w:cstheme="minorHAnsi"/>
        </w:rPr>
        <w:t>usvajanju i sprovođenju regulatornog okvira koji je pogodan za razvoj i funkcionisanje konkurentnog energetskog tržišta na Kosovu</w:t>
      </w:r>
      <w:r w:rsidR="001217F0" w:rsidRPr="005524CC">
        <w:rPr>
          <w:rFonts w:asciiTheme="minorHAnsi" w:hAnsiTheme="minorHAnsi" w:cstheme="minorHAnsi"/>
        </w:rPr>
        <w:t>.</w:t>
      </w:r>
    </w:p>
    <w:p w:rsidR="001217F0" w:rsidRPr="005524CC" w:rsidRDefault="001217F0" w:rsidP="001217F0">
      <w:pPr>
        <w:spacing w:line="312" w:lineRule="auto"/>
        <w:rPr>
          <w:rFonts w:asciiTheme="minorHAnsi" w:hAnsiTheme="minorHAnsi" w:cstheme="minorHAnsi"/>
        </w:rPr>
      </w:pPr>
      <w:r w:rsidRPr="005524CC">
        <w:rPr>
          <w:rFonts w:asciiTheme="minorHAnsi" w:hAnsiTheme="minorHAnsi" w:cstheme="minorHAnsi"/>
        </w:rPr>
        <w:t>R</w:t>
      </w:r>
      <w:r w:rsidR="007B2F87" w:rsidRPr="005524CC">
        <w:rPr>
          <w:rFonts w:asciiTheme="minorHAnsi" w:hAnsiTheme="minorHAnsi" w:cstheme="minorHAnsi"/>
        </w:rPr>
        <w:t>U</w:t>
      </w:r>
      <w:r w:rsidRPr="005524CC">
        <w:rPr>
          <w:rFonts w:asciiTheme="minorHAnsi" w:hAnsiTheme="minorHAnsi" w:cstheme="minorHAnsi"/>
        </w:rPr>
        <w:t xml:space="preserve">E </w:t>
      </w:r>
      <w:r w:rsidR="007B2F87" w:rsidRPr="005524CC">
        <w:rPr>
          <w:rFonts w:asciiTheme="minorHAnsi" w:hAnsiTheme="minorHAnsi" w:cstheme="minorHAnsi"/>
        </w:rPr>
        <w:t xml:space="preserve">je angažovana u skladu sa Zakonom o energetskom regulatoru </w:t>
      </w:r>
      <w:r w:rsidRPr="005524CC">
        <w:rPr>
          <w:rFonts w:asciiTheme="minorHAnsi" w:hAnsiTheme="minorHAnsi" w:cstheme="minorHAnsi"/>
        </w:rPr>
        <w:t>(</w:t>
      </w:r>
      <w:r w:rsidR="007B2F87" w:rsidRPr="005524CC">
        <w:rPr>
          <w:rFonts w:asciiTheme="minorHAnsi" w:hAnsiTheme="minorHAnsi" w:cstheme="minorHAnsi"/>
        </w:rPr>
        <w:t xml:space="preserve">Poglavlje </w:t>
      </w:r>
      <w:r w:rsidRPr="005524CC">
        <w:rPr>
          <w:rFonts w:asciiTheme="minorHAnsi" w:hAnsiTheme="minorHAnsi" w:cstheme="minorHAnsi"/>
        </w:rPr>
        <w:t xml:space="preserve">II </w:t>
      </w:r>
      <w:r w:rsidR="007B2F87" w:rsidRPr="005524CC">
        <w:rPr>
          <w:rFonts w:asciiTheme="minorHAnsi" w:hAnsiTheme="minorHAnsi" w:cstheme="minorHAnsi"/>
        </w:rPr>
        <w:t>Zakona</w:t>
      </w:r>
      <w:r w:rsidRPr="005524CC">
        <w:rPr>
          <w:rFonts w:asciiTheme="minorHAnsi" w:hAnsiTheme="minorHAnsi" w:cstheme="minorHAnsi"/>
        </w:rPr>
        <w:t xml:space="preserve">) </w:t>
      </w:r>
      <w:r w:rsidR="007B2F87" w:rsidRPr="005524CC">
        <w:rPr>
          <w:rFonts w:asciiTheme="minorHAnsi" w:hAnsiTheme="minorHAnsi" w:cstheme="minorHAnsi"/>
        </w:rPr>
        <w:t>i Priručnikom o poslovanju RUE-a</w:t>
      </w:r>
      <w:r w:rsidRPr="005524CC">
        <w:rPr>
          <w:rFonts w:asciiTheme="minorHAnsi" w:hAnsiTheme="minorHAnsi" w:cstheme="minorHAnsi"/>
        </w:rPr>
        <w:t>. Misi</w:t>
      </w:r>
      <w:r w:rsidR="007B2F87" w:rsidRPr="005524CC">
        <w:rPr>
          <w:rFonts w:asciiTheme="minorHAnsi" w:hAnsiTheme="minorHAnsi" w:cstheme="minorHAnsi"/>
        </w:rPr>
        <w:t xml:space="preserve">ja RUE-a je za uspostavljanje održivog energetskog tržišta </w:t>
      </w:r>
      <w:r w:rsidRPr="005524CC">
        <w:rPr>
          <w:rFonts w:asciiTheme="minorHAnsi" w:hAnsiTheme="minorHAnsi" w:cstheme="minorHAnsi"/>
        </w:rPr>
        <w:t>n</w:t>
      </w:r>
      <w:r w:rsidR="007B2F87" w:rsidRPr="005524CC">
        <w:rPr>
          <w:rFonts w:asciiTheme="minorHAnsi" w:hAnsiTheme="minorHAnsi" w:cstheme="minorHAnsi"/>
        </w:rPr>
        <w:t>a Kosovu</w:t>
      </w:r>
      <w:r w:rsidRPr="005524CC">
        <w:rPr>
          <w:rFonts w:asciiTheme="minorHAnsi" w:hAnsiTheme="minorHAnsi" w:cstheme="minorHAnsi"/>
        </w:rPr>
        <w:t xml:space="preserve">, </w:t>
      </w:r>
      <w:r w:rsidR="007B2F87" w:rsidRPr="005524CC">
        <w:rPr>
          <w:rFonts w:asciiTheme="minorHAnsi" w:hAnsiTheme="minorHAnsi" w:cstheme="minorHAnsi"/>
        </w:rPr>
        <w:t>zasnovanog na principima transparentnosti i slobodne konkurentnosti</w:t>
      </w:r>
      <w:r w:rsidRPr="005524CC">
        <w:rPr>
          <w:rFonts w:asciiTheme="minorHAnsi" w:hAnsiTheme="minorHAnsi" w:cstheme="minorHAnsi"/>
        </w:rPr>
        <w:t xml:space="preserve">, </w:t>
      </w:r>
      <w:r w:rsidR="007B2F87" w:rsidRPr="005524CC">
        <w:rPr>
          <w:rFonts w:asciiTheme="minorHAnsi" w:hAnsiTheme="minorHAnsi" w:cstheme="minorHAnsi"/>
        </w:rPr>
        <w:t>koje dodaju vrednost kako za potrošače tako i za preduzeća</w:t>
      </w:r>
      <w:r w:rsidRPr="005524CC">
        <w:rPr>
          <w:rFonts w:asciiTheme="minorHAnsi" w:hAnsiTheme="minorHAnsi" w:cstheme="minorHAnsi"/>
        </w:rPr>
        <w:t>.</w:t>
      </w:r>
    </w:p>
    <w:p w:rsidR="002D1940" w:rsidRPr="005524CC" w:rsidRDefault="002D1940" w:rsidP="002D1940">
      <w:pPr>
        <w:spacing w:line="312" w:lineRule="auto"/>
        <w:rPr>
          <w:rFonts w:asciiTheme="minorHAnsi" w:hAnsiTheme="minorHAnsi" w:cstheme="minorHAnsi"/>
        </w:rPr>
      </w:pPr>
      <w:r w:rsidRPr="005524CC">
        <w:rPr>
          <w:rFonts w:asciiTheme="minorHAnsi" w:hAnsiTheme="minorHAnsi" w:cstheme="minorHAnsi"/>
        </w:rPr>
        <w:t>Objektiv</w:t>
      </w:r>
      <w:r w:rsidR="007B2F87" w:rsidRPr="005524CC">
        <w:rPr>
          <w:rFonts w:asciiTheme="minorHAnsi" w:hAnsiTheme="minorHAnsi" w:cstheme="minorHAnsi"/>
        </w:rPr>
        <w:t>i RUE-a su sledeći</w:t>
      </w:r>
      <w:r w:rsidRPr="005524CC">
        <w:rPr>
          <w:rFonts w:asciiTheme="minorHAnsi" w:hAnsiTheme="minorHAnsi" w:cstheme="minorHAnsi"/>
        </w:rPr>
        <w:t>:</w:t>
      </w:r>
    </w:p>
    <w:p w:rsidR="002D1940" w:rsidRPr="005524CC" w:rsidRDefault="007B2F87" w:rsidP="002D1940">
      <w:pPr>
        <w:pStyle w:val="ListParagraph"/>
        <w:numPr>
          <w:ilvl w:val="0"/>
          <w:numId w:val="23"/>
        </w:numPr>
        <w:spacing w:line="312" w:lineRule="auto"/>
        <w:rPr>
          <w:rFonts w:asciiTheme="minorHAnsi" w:hAnsiTheme="minorHAnsi" w:cstheme="minorHAnsi"/>
        </w:rPr>
      </w:pPr>
      <w:r w:rsidRPr="005524CC">
        <w:rPr>
          <w:rFonts w:asciiTheme="minorHAnsi" w:hAnsiTheme="minorHAnsi" w:cstheme="minorHAnsi"/>
        </w:rPr>
        <w:t>Izrada pravilnika</w:t>
      </w:r>
      <w:r w:rsidR="002D1940" w:rsidRPr="005524CC">
        <w:rPr>
          <w:rFonts w:asciiTheme="minorHAnsi" w:hAnsiTheme="minorHAnsi" w:cstheme="minorHAnsi"/>
        </w:rPr>
        <w:t xml:space="preserve">, </w:t>
      </w:r>
      <w:r w:rsidRPr="005524CC">
        <w:rPr>
          <w:rFonts w:asciiTheme="minorHAnsi" w:hAnsiTheme="minorHAnsi" w:cstheme="minorHAnsi"/>
        </w:rPr>
        <w:t>uredbi</w:t>
      </w:r>
      <w:r w:rsidR="002D1940" w:rsidRPr="005524CC">
        <w:rPr>
          <w:rFonts w:asciiTheme="minorHAnsi" w:hAnsiTheme="minorHAnsi" w:cstheme="minorHAnsi"/>
        </w:rPr>
        <w:t xml:space="preserve">, procedura </w:t>
      </w:r>
      <w:r w:rsidRPr="005524CC">
        <w:rPr>
          <w:rFonts w:asciiTheme="minorHAnsi" w:hAnsiTheme="minorHAnsi" w:cstheme="minorHAnsi"/>
        </w:rPr>
        <w:t xml:space="preserve">i metodologija za uspostavljanje i </w:t>
      </w:r>
      <w:r w:rsidR="002D1940" w:rsidRPr="005524CC">
        <w:rPr>
          <w:rFonts w:asciiTheme="minorHAnsi" w:hAnsiTheme="minorHAnsi" w:cstheme="minorHAnsi"/>
        </w:rPr>
        <w:t>funk</w:t>
      </w:r>
      <w:r w:rsidRPr="005524CC">
        <w:rPr>
          <w:rFonts w:asciiTheme="minorHAnsi" w:hAnsiTheme="minorHAnsi" w:cstheme="minorHAnsi"/>
        </w:rPr>
        <w:t xml:space="preserve">cionisanje efektivnog i neophodnog tržišta </w:t>
      </w:r>
      <w:r w:rsidR="002D1940" w:rsidRPr="005524CC">
        <w:rPr>
          <w:rFonts w:asciiTheme="minorHAnsi" w:hAnsiTheme="minorHAnsi" w:cstheme="minorHAnsi"/>
        </w:rPr>
        <w:t>energ</w:t>
      </w:r>
      <w:r w:rsidRPr="005524CC">
        <w:rPr>
          <w:rFonts w:asciiTheme="minorHAnsi" w:hAnsiTheme="minorHAnsi" w:cstheme="minorHAnsi"/>
        </w:rPr>
        <w:t>ije</w:t>
      </w:r>
      <w:r w:rsidR="002D1940" w:rsidRPr="005524CC">
        <w:rPr>
          <w:rFonts w:asciiTheme="minorHAnsi" w:hAnsiTheme="minorHAnsi" w:cstheme="minorHAnsi"/>
        </w:rPr>
        <w:t>;</w:t>
      </w:r>
    </w:p>
    <w:p w:rsidR="002D1940" w:rsidRPr="005524CC" w:rsidRDefault="007B2F87" w:rsidP="002D1940">
      <w:pPr>
        <w:pStyle w:val="ListParagraph"/>
        <w:numPr>
          <w:ilvl w:val="0"/>
          <w:numId w:val="23"/>
        </w:numPr>
        <w:spacing w:line="312" w:lineRule="auto"/>
        <w:rPr>
          <w:rFonts w:asciiTheme="minorHAnsi" w:hAnsiTheme="minorHAnsi" w:cstheme="minorHAnsi"/>
        </w:rPr>
      </w:pPr>
      <w:r w:rsidRPr="005524CC">
        <w:rPr>
          <w:rFonts w:asciiTheme="minorHAnsi" w:hAnsiTheme="minorHAnsi" w:cstheme="minorHAnsi"/>
        </w:rPr>
        <w:t xml:space="preserve">Razvoj metodologije prihoda i usvajanje </w:t>
      </w:r>
      <w:r w:rsidR="002D1940" w:rsidRPr="005524CC">
        <w:rPr>
          <w:rFonts w:asciiTheme="minorHAnsi" w:hAnsiTheme="minorHAnsi" w:cstheme="minorHAnsi"/>
        </w:rPr>
        <w:t>tarifa</w:t>
      </w:r>
      <w:r w:rsidRPr="005524CC">
        <w:rPr>
          <w:rFonts w:asciiTheme="minorHAnsi" w:hAnsiTheme="minorHAnsi" w:cstheme="minorHAnsi"/>
        </w:rPr>
        <w:t xml:space="preserve"> za regulisane aktivnosti</w:t>
      </w:r>
      <w:r w:rsidR="002D1940" w:rsidRPr="005524CC">
        <w:rPr>
          <w:rFonts w:asciiTheme="minorHAnsi" w:hAnsiTheme="minorHAnsi" w:cstheme="minorHAnsi"/>
        </w:rPr>
        <w:t>;</w:t>
      </w:r>
    </w:p>
    <w:p w:rsidR="002D1940" w:rsidRPr="005524CC" w:rsidRDefault="007B2F87" w:rsidP="002D1940">
      <w:pPr>
        <w:pStyle w:val="ListParagraph"/>
        <w:numPr>
          <w:ilvl w:val="0"/>
          <w:numId w:val="23"/>
        </w:numPr>
        <w:spacing w:line="312" w:lineRule="auto"/>
        <w:rPr>
          <w:rFonts w:asciiTheme="minorHAnsi" w:hAnsiTheme="minorHAnsi" w:cstheme="minorHAnsi"/>
        </w:rPr>
      </w:pPr>
      <w:r w:rsidRPr="005524CC">
        <w:rPr>
          <w:rFonts w:asciiTheme="minorHAnsi" w:hAnsiTheme="minorHAnsi" w:cstheme="minorHAnsi"/>
        </w:rPr>
        <w:t xml:space="preserve">Razvoj </w:t>
      </w:r>
      <w:r w:rsidR="002D1940" w:rsidRPr="005524CC">
        <w:rPr>
          <w:rFonts w:asciiTheme="minorHAnsi" w:hAnsiTheme="minorHAnsi" w:cstheme="minorHAnsi"/>
        </w:rPr>
        <w:t>sistem</w:t>
      </w:r>
      <w:r w:rsidRPr="005524CC">
        <w:rPr>
          <w:rFonts w:asciiTheme="minorHAnsi" w:hAnsiTheme="minorHAnsi" w:cstheme="minorHAnsi"/>
        </w:rPr>
        <w:t>a za nadgledanje kvaliteta usluge i usklađenosti licenciranog</w:t>
      </w:r>
      <w:r w:rsidR="002D1940" w:rsidRPr="005524CC">
        <w:rPr>
          <w:rFonts w:asciiTheme="minorHAnsi" w:hAnsiTheme="minorHAnsi" w:cstheme="minorHAnsi"/>
        </w:rPr>
        <w:t xml:space="preserve">; </w:t>
      </w:r>
      <w:r w:rsidRPr="005524CC">
        <w:rPr>
          <w:rFonts w:asciiTheme="minorHAnsi" w:hAnsiTheme="minorHAnsi" w:cstheme="minorHAnsi"/>
        </w:rPr>
        <w:t>i</w:t>
      </w:r>
    </w:p>
    <w:p w:rsidR="002D1940" w:rsidRPr="005524CC" w:rsidRDefault="007B2F87" w:rsidP="002D1940">
      <w:pPr>
        <w:pStyle w:val="ListParagraph"/>
        <w:numPr>
          <w:ilvl w:val="0"/>
          <w:numId w:val="23"/>
        </w:numPr>
        <w:spacing w:line="312" w:lineRule="auto"/>
        <w:rPr>
          <w:rFonts w:asciiTheme="minorHAnsi" w:hAnsiTheme="minorHAnsi" w:cstheme="minorHAnsi"/>
        </w:rPr>
      </w:pPr>
      <w:r w:rsidRPr="005524CC">
        <w:rPr>
          <w:rFonts w:asciiTheme="minorHAnsi" w:hAnsiTheme="minorHAnsi" w:cstheme="minorHAnsi"/>
        </w:rPr>
        <w:t>Zahtevanje sprovođenja i usklađivanja licenciranih sa pravilima</w:t>
      </w:r>
      <w:r w:rsidR="002D1940" w:rsidRPr="005524CC">
        <w:rPr>
          <w:rFonts w:asciiTheme="minorHAnsi" w:hAnsiTheme="minorHAnsi" w:cstheme="minorHAnsi"/>
        </w:rPr>
        <w:t xml:space="preserve">, </w:t>
      </w:r>
      <w:r w:rsidRPr="005524CC">
        <w:rPr>
          <w:rFonts w:asciiTheme="minorHAnsi" w:hAnsiTheme="minorHAnsi" w:cstheme="minorHAnsi"/>
        </w:rPr>
        <w:t>procedurama i gore navedenim metodologijama</w:t>
      </w:r>
      <w:r w:rsidR="002D1940" w:rsidRPr="005524CC">
        <w:rPr>
          <w:rFonts w:asciiTheme="minorHAnsi" w:hAnsiTheme="minorHAnsi" w:cstheme="minorHAnsi"/>
        </w:rPr>
        <w:t xml:space="preserve">, </w:t>
      </w:r>
      <w:r w:rsidRPr="005524CC">
        <w:rPr>
          <w:rFonts w:asciiTheme="minorHAnsi" w:hAnsiTheme="minorHAnsi" w:cstheme="minorHAnsi"/>
        </w:rPr>
        <w:t>i da deluje kao faktor balansiranja između učesnika tržišta</w:t>
      </w:r>
      <w:r w:rsidR="002D1940" w:rsidRPr="005524CC">
        <w:rPr>
          <w:rFonts w:asciiTheme="minorHAnsi" w:hAnsiTheme="minorHAnsi" w:cstheme="minorHAnsi"/>
        </w:rPr>
        <w:t>.</w:t>
      </w:r>
    </w:p>
    <w:p w:rsidR="002D1940" w:rsidRPr="005524CC" w:rsidRDefault="007B2F87" w:rsidP="002D1940">
      <w:pPr>
        <w:spacing w:line="312" w:lineRule="auto"/>
        <w:rPr>
          <w:rFonts w:asciiTheme="minorHAnsi" w:hAnsiTheme="minorHAnsi" w:cstheme="minorHAnsi"/>
        </w:rPr>
      </w:pPr>
      <w:r w:rsidRPr="005524CC">
        <w:rPr>
          <w:rFonts w:asciiTheme="minorHAnsi" w:hAnsiTheme="minorHAnsi" w:cstheme="minorHAnsi"/>
        </w:rPr>
        <w:t xml:space="preserve">Ove funkcije </w:t>
      </w:r>
      <w:r w:rsidR="002D1940" w:rsidRPr="005524CC">
        <w:rPr>
          <w:rFonts w:asciiTheme="minorHAnsi" w:hAnsiTheme="minorHAnsi" w:cstheme="minorHAnsi"/>
        </w:rPr>
        <w:t>R</w:t>
      </w:r>
      <w:r w:rsidRPr="005524CC">
        <w:rPr>
          <w:rFonts w:asciiTheme="minorHAnsi" w:hAnsiTheme="minorHAnsi" w:cstheme="minorHAnsi"/>
        </w:rPr>
        <w:t>U</w:t>
      </w:r>
      <w:r w:rsidR="002D1940" w:rsidRPr="005524CC">
        <w:rPr>
          <w:rFonts w:asciiTheme="minorHAnsi" w:hAnsiTheme="minorHAnsi" w:cstheme="minorHAnsi"/>
        </w:rPr>
        <w:t>E-</w:t>
      </w:r>
      <w:r w:rsidRPr="005524CC">
        <w:rPr>
          <w:rFonts w:asciiTheme="minorHAnsi" w:hAnsiTheme="minorHAnsi" w:cstheme="minorHAnsi"/>
        </w:rPr>
        <w:t>a se obavljaju putem Odbora</w:t>
      </w:r>
      <w:r w:rsidR="002D1940" w:rsidRPr="005524CC">
        <w:rPr>
          <w:rFonts w:asciiTheme="minorHAnsi" w:hAnsiTheme="minorHAnsi" w:cstheme="minorHAnsi"/>
        </w:rPr>
        <w:t xml:space="preserve">, </w:t>
      </w:r>
      <w:r w:rsidRPr="005524CC">
        <w:rPr>
          <w:rFonts w:asciiTheme="minorHAnsi" w:hAnsiTheme="minorHAnsi" w:cstheme="minorHAnsi"/>
        </w:rPr>
        <w:t xml:space="preserve">kojem su zakonom određene sledeće obaveze </w:t>
      </w:r>
      <w:r w:rsidR="002D1940" w:rsidRPr="005524CC">
        <w:rPr>
          <w:rFonts w:asciiTheme="minorHAnsi" w:hAnsiTheme="minorHAnsi" w:cstheme="minorHAnsi"/>
        </w:rPr>
        <w:t>(</w:t>
      </w:r>
      <w:r w:rsidRPr="005524CC">
        <w:rPr>
          <w:rFonts w:asciiTheme="minorHAnsi" w:hAnsiTheme="minorHAnsi" w:cstheme="minorHAnsi"/>
        </w:rPr>
        <w:t xml:space="preserve">član </w:t>
      </w:r>
      <w:r w:rsidR="002D1940" w:rsidRPr="005524CC">
        <w:rPr>
          <w:rFonts w:asciiTheme="minorHAnsi" w:hAnsiTheme="minorHAnsi" w:cstheme="minorHAnsi"/>
        </w:rPr>
        <w:t>15</w:t>
      </w:r>
      <w:r w:rsidRPr="005524CC">
        <w:rPr>
          <w:rFonts w:asciiTheme="minorHAnsi" w:hAnsiTheme="minorHAnsi" w:cstheme="minorHAnsi"/>
        </w:rPr>
        <w:t>. Zakona o energetskom regulatoru</w:t>
      </w:r>
      <w:r w:rsidR="002D1940" w:rsidRPr="005524CC">
        <w:rPr>
          <w:rFonts w:asciiTheme="minorHAnsi" w:hAnsiTheme="minorHAnsi" w:cstheme="minorHAnsi"/>
        </w:rPr>
        <w:t>):</w:t>
      </w:r>
    </w:p>
    <w:p w:rsidR="002D1940" w:rsidRPr="005524CC" w:rsidRDefault="007B2F87"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usvoji regulatorne i operativne politike RUE-a</w:t>
      </w:r>
      <w:r w:rsidR="002D1940" w:rsidRPr="005524CC">
        <w:rPr>
          <w:rFonts w:asciiTheme="minorHAnsi" w:hAnsiTheme="minorHAnsi" w:cstheme="minorHAnsi"/>
        </w:rPr>
        <w:t>;</w:t>
      </w:r>
    </w:p>
    <w:p w:rsidR="002D1940" w:rsidRPr="005524CC" w:rsidRDefault="007B2F87"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organizuje i nadgleda radom RUE-a</w:t>
      </w:r>
      <w:r w:rsidR="002D1940" w:rsidRPr="005524CC">
        <w:rPr>
          <w:rFonts w:asciiTheme="minorHAnsi" w:hAnsiTheme="minorHAnsi" w:cstheme="minorHAnsi"/>
        </w:rPr>
        <w:t>;</w:t>
      </w:r>
    </w:p>
    <w:p w:rsidR="002D1940" w:rsidRPr="005524CC" w:rsidRDefault="007B2F87"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nadgleda sprovođenje budžeta i finansijsko upravljanje RU</w:t>
      </w:r>
      <w:r w:rsidR="002D1940" w:rsidRPr="005524CC">
        <w:rPr>
          <w:rFonts w:asciiTheme="minorHAnsi" w:hAnsiTheme="minorHAnsi" w:cstheme="minorHAnsi"/>
        </w:rPr>
        <w:t>E-</w:t>
      </w:r>
      <w:r w:rsidRPr="005524CC">
        <w:rPr>
          <w:rFonts w:asciiTheme="minorHAnsi" w:hAnsiTheme="minorHAnsi" w:cstheme="minorHAnsi"/>
        </w:rPr>
        <w:t xml:space="preserve">a i da usvoji izveštaje i finansijske </w:t>
      </w:r>
      <w:r w:rsidR="00E801F1" w:rsidRPr="005524CC">
        <w:rPr>
          <w:rFonts w:asciiTheme="minorHAnsi" w:hAnsiTheme="minorHAnsi" w:cstheme="minorHAnsi"/>
        </w:rPr>
        <w:t>izveštaje</w:t>
      </w:r>
      <w:r w:rsidR="002D1940" w:rsidRPr="005524CC">
        <w:rPr>
          <w:rFonts w:asciiTheme="minorHAnsi" w:hAnsiTheme="minorHAnsi" w:cstheme="minorHAnsi"/>
        </w:rPr>
        <w:t>;</w:t>
      </w:r>
    </w:p>
    <w:p w:rsidR="002D1940" w:rsidRPr="005524CC" w:rsidRDefault="00E801F1"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organizuje regrutovanje</w:t>
      </w:r>
      <w:r w:rsidR="002D1940" w:rsidRPr="005524CC">
        <w:rPr>
          <w:rFonts w:asciiTheme="minorHAnsi" w:hAnsiTheme="minorHAnsi" w:cstheme="minorHAnsi"/>
        </w:rPr>
        <w:t xml:space="preserve">, </w:t>
      </w:r>
      <w:r w:rsidRPr="005524CC">
        <w:rPr>
          <w:rFonts w:asciiTheme="minorHAnsi" w:hAnsiTheme="minorHAnsi" w:cstheme="minorHAnsi"/>
        </w:rPr>
        <w:t>imenovanje i nadgledanje rada osoblja zaposlenog od strane RUE</w:t>
      </w:r>
      <w:r w:rsidR="002D1940" w:rsidRPr="005524CC">
        <w:rPr>
          <w:rFonts w:asciiTheme="minorHAnsi" w:hAnsiTheme="minorHAnsi" w:cstheme="minorHAnsi"/>
        </w:rPr>
        <w:t>;</w:t>
      </w:r>
    </w:p>
    <w:p w:rsidR="002D1940" w:rsidRPr="005524CC" w:rsidRDefault="00E801F1"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usvoji isplatu i druge uslove zaposlenja za osoblje RUE-a</w:t>
      </w:r>
      <w:r w:rsidR="002D1940" w:rsidRPr="005524CC">
        <w:rPr>
          <w:rFonts w:asciiTheme="minorHAnsi" w:hAnsiTheme="minorHAnsi" w:cstheme="minorHAnsi"/>
        </w:rPr>
        <w:t>;</w:t>
      </w:r>
    </w:p>
    <w:p w:rsidR="002D1940" w:rsidRPr="005524CC" w:rsidRDefault="00E801F1" w:rsidP="002D1940">
      <w:pPr>
        <w:pStyle w:val="ListParagraph"/>
        <w:numPr>
          <w:ilvl w:val="0"/>
          <w:numId w:val="24"/>
        </w:numPr>
        <w:spacing w:line="312" w:lineRule="auto"/>
        <w:rPr>
          <w:rFonts w:asciiTheme="minorHAnsi" w:hAnsiTheme="minorHAnsi" w:cstheme="minorHAnsi"/>
        </w:rPr>
      </w:pPr>
      <w:r w:rsidRPr="005524CC">
        <w:rPr>
          <w:rFonts w:asciiTheme="minorHAnsi" w:hAnsiTheme="minorHAnsi" w:cstheme="minorHAnsi"/>
        </w:rPr>
        <w:t>Da donese odluke i pravilnike i ostale podzakonske akte neophodne za sprovođenje Zakona o energetskom regulatoru</w:t>
      </w:r>
      <w:r w:rsidR="002D1940" w:rsidRPr="005524CC">
        <w:rPr>
          <w:rFonts w:asciiTheme="minorHAnsi" w:hAnsiTheme="minorHAnsi" w:cstheme="minorHAnsi"/>
        </w:rPr>
        <w:t>.</w:t>
      </w:r>
    </w:p>
    <w:p w:rsidR="002D1940" w:rsidRPr="005524CC" w:rsidRDefault="002D1940" w:rsidP="002D1940">
      <w:pPr>
        <w:pStyle w:val="Bulletlist1"/>
        <w:numPr>
          <w:ilvl w:val="0"/>
          <w:numId w:val="0"/>
        </w:numPr>
        <w:spacing w:line="305" w:lineRule="exact"/>
        <w:ind w:left="360"/>
        <w:rPr>
          <w:rFonts w:asciiTheme="minorHAnsi" w:eastAsia="Cambria" w:hAnsiTheme="minorHAnsi" w:cstheme="minorHAnsi"/>
          <w:color w:val="000000"/>
          <w:sz w:val="24"/>
          <w:szCs w:val="24"/>
          <w:lang w:val="sr-Latn-CS"/>
        </w:rPr>
      </w:pPr>
    </w:p>
    <w:p w:rsidR="00287984" w:rsidRPr="005524CC" w:rsidRDefault="003A4914" w:rsidP="002D1940">
      <w:pPr>
        <w:pStyle w:val="Heading2"/>
        <w:rPr>
          <w:rFonts w:asciiTheme="minorHAnsi" w:hAnsiTheme="minorHAnsi" w:cstheme="minorHAnsi"/>
        </w:rPr>
      </w:pPr>
      <w:bookmarkStart w:id="4" w:name="_Toc56589714"/>
      <w:r w:rsidRPr="005524CC">
        <w:rPr>
          <w:rFonts w:asciiTheme="minorHAnsi" w:hAnsiTheme="minorHAnsi" w:cstheme="minorHAnsi"/>
        </w:rPr>
        <w:t>Organiz</w:t>
      </w:r>
      <w:r w:rsidR="00E801F1" w:rsidRPr="005524CC">
        <w:rPr>
          <w:rFonts w:asciiTheme="minorHAnsi" w:hAnsiTheme="minorHAnsi" w:cstheme="minorHAnsi"/>
        </w:rPr>
        <w:t>ovanje RUE-a</w:t>
      </w:r>
      <w:bookmarkEnd w:id="4"/>
    </w:p>
    <w:p w:rsidR="00EA5A65" w:rsidRPr="005524CC" w:rsidRDefault="00E801F1" w:rsidP="00EA5A65">
      <w:pPr>
        <w:spacing w:line="312" w:lineRule="auto"/>
        <w:rPr>
          <w:rFonts w:asciiTheme="minorHAnsi" w:hAnsiTheme="minorHAnsi" w:cstheme="minorHAnsi"/>
        </w:rPr>
      </w:pPr>
      <w:r w:rsidRPr="005524CC">
        <w:rPr>
          <w:rFonts w:asciiTheme="minorHAnsi" w:hAnsiTheme="minorHAnsi" w:cstheme="minorHAnsi"/>
        </w:rPr>
        <w:t>Organizaciona struktura RUE-a</w:t>
      </w:r>
      <w:r w:rsidR="00EA5A65" w:rsidRPr="005524CC">
        <w:rPr>
          <w:rFonts w:asciiTheme="minorHAnsi" w:hAnsiTheme="minorHAnsi" w:cstheme="minorHAnsi"/>
        </w:rPr>
        <w:t xml:space="preserve"> </w:t>
      </w:r>
      <w:r w:rsidRPr="005524CC">
        <w:rPr>
          <w:rFonts w:asciiTheme="minorHAnsi" w:hAnsiTheme="minorHAnsi" w:cstheme="minorHAnsi"/>
        </w:rPr>
        <w:t>je određena od strane Odbora RUE-a</w:t>
      </w:r>
      <w:r w:rsidR="00EA5A65" w:rsidRPr="005524CC">
        <w:rPr>
          <w:rFonts w:asciiTheme="minorHAnsi" w:hAnsiTheme="minorHAnsi" w:cstheme="minorHAnsi"/>
        </w:rPr>
        <w:t>, n</w:t>
      </w:r>
      <w:r w:rsidRPr="005524CC">
        <w:rPr>
          <w:rFonts w:asciiTheme="minorHAnsi" w:hAnsiTheme="minorHAnsi" w:cstheme="minorHAnsi"/>
        </w:rPr>
        <w:t>a osnovu obaveza i odgovornosti određenih Zakonom o energetskom regulatoru Br</w:t>
      </w:r>
      <w:r w:rsidR="00EA5A65" w:rsidRPr="005524CC">
        <w:rPr>
          <w:rFonts w:asciiTheme="minorHAnsi" w:hAnsiTheme="minorHAnsi" w:cstheme="minorHAnsi"/>
        </w:rPr>
        <w:t xml:space="preserve">. </w:t>
      </w:r>
      <w:r w:rsidR="005C08B6" w:rsidRPr="005524CC">
        <w:rPr>
          <w:rFonts w:asciiTheme="minorHAnsi" w:hAnsiTheme="minorHAnsi" w:cstheme="minorHAnsi"/>
        </w:rPr>
        <w:t xml:space="preserve">05/L-084 </w:t>
      </w:r>
      <w:r w:rsidR="00EA5A65" w:rsidRPr="005524CC">
        <w:rPr>
          <w:rFonts w:asciiTheme="minorHAnsi" w:hAnsiTheme="minorHAnsi" w:cstheme="minorHAnsi"/>
        </w:rPr>
        <w:t>.</w:t>
      </w:r>
    </w:p>
    <w:p w:rsidR="00EA5A65" w:rsidRPr="005524CC" w:rsidRDefault="00E801F1" w:rsidP="00EA5A65">
      <w:pPr>
        <w:spacing w:line="312" w:lineRule="auto"/>
        <w:rPr>
          <w:rFonts w:asciiTheme="minorHAnsi" w:hAnsiTheme="minorHAnsi" w:cstheme="minorHAnsi"/>
        </w:rPr>
      </w:pPr>
      <w:r w:rsidRPr="005524CC">
        <w:rPr>
          <w:rFonts w:asciiTheme="minorHAnsi" w:hAnsiTheme="minorHAnsi" w:cstheme="minorHAnsi"/>
        </w:rPr>
        <w:lastRenderedPageBreak/>
        <w:t>U skladu sa Zakonom o energetskom regulatoru</w:t>
      </w:r>
      <w:r w:rsidR="00EA5A65" w:rsidRPr="005524CC">
        <w:rPr>
          <w:rFonts w:asciiTheme="minorHAnsi" w:hAnsiTheme="minorHAnsi" w:cstheme="minorHAnsi"/>
        </w:rPr>
        <w:t xml:space="preserve">, </w:t>
      </w:r>
      <w:r w:rsidRPr="005524CC">
        <w:rPr>
          <w:rFonts w:asciiTheme="minorHAnsi" w:hAnsiTheme="minorHAnsi" w:cstheme="minorHAnsi"/>
        </w:rPr>
        <w:t>Regulatorni ured za energiju se predvodi od strane Odbora od pet članova</w:t>
      </w:r>
      <w:r w:rsidR="00EA5A65" w:rsidRPr="005524CC">
        <w:rPr>
          <w:rFonts w:asciiTheme="minorHAnsi" w:hAnsiTheme="minorHAnsi" w:cstheme="minorHAnsi"/>
        </w:rPr>
        <w:t xml:space="preserve">, </w:t>
      </w:r>
      <w:r w:rsidRPr="005524CC">
        <w:rPr>
          <w:rFonts w:asciiTheme="minorHAnsi" w:hAnsiTheme="minorHAnsi" w:cstheme="minorHAnsi"/>
        </w:rPr>
        <w:t>odgovornih za usvajanje operativnih politika</w:t>
      </w:r>
      <w:r w:rsidR="00EA5A65" w:rsidRPr="005524CC">
        <w:rPr>
          <w:rFonts w:asciiTheme="minorHAnsi" w:hAnsiTheme="minorHAnsi" w:cstheme="minorHAnsi"/>
        </w:rPr>
        <w:t xml:space="preserve">; </w:t>
      </w:r>
      <w:r w:rsidRPr="005524CC">
        <w:rPr>
          <w:rFonts w:asciiTheme="minorHAnsi" w:hAnsiTheme="minorHAnsi" w:cstheme="minorHAnsi"/>
        </w:rPr>
        <w:t>usvajanje</w:t>
      </w:r>
      <w:r w:rsidR="00EA5A65" w:rsidRPr="005524CC">
        <w:rPr>
          <w:rFonts w:asciiTheme="minorHAnsi" w:hAnsiTheme="minorHAnsi" w:cstheme="minorHAnsi"/>
        </w:rPr>
        <w:t xml:space="preserve">, </w:t>
      </w:r>
      <w:r w:rsidRPr="005524CC">
        <w:rPr>
          <w:rFonts w:asciiTheme="minorHAnsi" w:hAnsiTheme="minorHAnsi" w:cstheme="minorHAnsi"/>
        </w:rPr>
        <w:t>u skladu sa procedurama javne konsultacije</w:t>
      </w:r>
      <w:r w:rsidR="00EA5A65" w:rsidRPr="005524CC">
        <w:rPr>
          <w:rFonts w:asciiTheme="minorHAnsi" w:hAnsiTheme="minorHAnsi" w:cstheme="minorHAnsi"/>
        </w:rPr>
        <w:t xml:space="preserve">, </w:t>
      </w:r>
      <w:r w:rsidRPr="005524CC">
        <w:rPr>
          <w:rFonts w:asciiTheme="minorHAnsi" w:hAnsiTheme="minorHAnsi" w:cstheme="minorHAnsi"/>
        </w:rPr>
        <w:t>sekundarnog zakonodavs</w:t>
      </w:r>
      <w:r w:rsidR="00EA5A65" w:rsidRPr="005524CC">
        <w:rPr>
          <w:rFonts w:asciiTheme="minorHAnsi" w:hAnsiTheme="minorHAnsi" w:cstheme="minorHAnsi"/>
        </w:rPr>
        <w:t>t</w:t>
      </w:r>
      <w:r w:rsidRPr="005524CC">
        <w:rPr>
          <w:rFonts w:asciiTheme="minorHAnsi" w:hAnsiTheme="minorHAnsi" w:cstheme="minorHAnsi"/>
        </w:rPr>
        <w:t>va</w:t>
      </w:r>
      <w:r w:rsidR="00EA5A65" w:rsidRPr="005524CC">
        <w:rPr>
          <w:rFonts w:asciiTheme="minorHAnsi" w:hAnsiTheme="minorHAnsi" w:cstheme="minorHAnsi"/>
        </w:rPr>
        <w:t xml:space="preserve">, </w:t>
      </w:r>
      <w:r w:rsidRPr="005524CC">
        <w:rPr>
          <w:rFonts w:asciiTheme="minorHAnsi" w:hAnsiTheme="minorHAnsi" w:cstheme="minorHAnsi"/>
        </w:rPr>
        <w:t>pravilnika</w:t>
      </w:r>
      <w:r w:rsidR="00EA5A65" w:rsidRPr="005524CC">
        <w:rPr>
          <w:rFonts w:asciiTheme="minorHAnsi" w:hAnsiTheme="minorHAnsi" w:cstheme="minorHAnsi"/>
        </w:rPr>
        <w:t xml:space="preserve">, </w:t>
      </w:r>
      <w:r w:rsidRPr="005524CC">
        <w:rPr>
          <w:rFonts w:asciiTheme="minorHAnsi" w:hAnsiTheme="minorHAnsi" w:cstheme="minorHAnsi"/>
        </w:rPr>
        <w:t>donesenih od strane RUE</w:t>
      </w:r>
      <w:r w:rsidR="007C6A94" w:rsidRPr="005524CC">
        <w:rPr>
          <w:rFonts w:asciiTheme="minorHAnsi" w:hAnsiTheme="minorHAnsi" w:cstheme="minorHAnsi"/>
        </w:rPr>
        <w:t>;</w:t>
      </w:r>
      <w:r w:rsidR="00EA5A65" w:rsidRPr="005524CC">
        <w:rPr>
          <w:rFonts w:asciiTheme="minorHAnsi" w:hAnsiTheme="minorHAnsi" w:cstheme="minorHAnsi"/>
        </w:rPr>
        <w:t xml:space="preserve"> </w:t>
      </w:r>
      <w:r w:rsidRPr="005524CC">
        <w:rPr>
          <w:rFonts w:asciiTheme="minorHAnsi" w:hAnsiTheme="minorHAnsi" w:cstheme="minorHAnsi"/>
        </w:rPr>
        <w:t>nadgledanje budžeta i finansijsko upravljanje</w:t>
      </w:r>
      <w:r w:rsidR="00EA5A65" w:rsidRPr="005524CC">
        <w:rPr>
          <w:rFonts w:asciiTheme="minorHAnsi" w:hAnsiTheme="minorHAnsi" w:cstheme="minorHAnsi"/>
        </w:rPr>
        <w:t xml:space="preserve">; </w:t>
      </w:r>
      <w:r w:rsidRPr="005524CC">
        <w:rPr>
          <w:rFonts w:asciiTheme="minorHAnsi" w:hAnsiTheme="minorHAnsi" w:cstheme="minorHAnsi"/>
        </w:rPr>
        <w:t>kao i usvajanje izveštaja i finansijskih izveštaja RUE-a</w:t>
      </w:r>
      <w:r w:rsidR="00EA5A65" w:rsidRPr="005524CC">
        <w:rPr>
          <w:rFonts w:asciiTheme="minorHAnsi" w:hAnsiTheme="minorHAnsi" w:cstheme="minorHAnsi"/>
        </w:rPr>
        <w:t>.</w:t>
      </w:r>
    </w:p>
    <w:p w:rsidR="00EA5A65" w:rsidRPr="005524CC" w:rsidRDefault="00E801F1" w:rsidP="00EA5A65">
      <w:pPr>
        <w:spacing w:line="312" w:lineRule="auto"/>
        <w:rPr>
          <w:rFonts w:asciiTheme="minorHAnsi" w:hAnsiTheme="minorHAnsi" w:cstheme="minorHAnsi"/>
        </w:rPr>
      </w:pPr>
      <w:r w:rsidRPr="005524CC">
        <w:rPr>
          <w:rFonts w:asciiTheme="minorHAnsi" w:hAnsiTheme="minorHAnsi" w:cstheme="minorHAnsi"/>
        </w:rPr>
        <w:t>Osnovna organizaciona struktura RUE-a se sastoji od Odbora</w:t>
      </w:r>
      <w:r w:rsidR="00A12516" w:rsidRPr="005524CC">
        <w:rPr>
          <w:rFonts w:asciiTheme="minorHAnsi" w:hAnsiTheme="minorHAnsi" w:cstheme="minorHAnsi"/>
        </w:rPr>
        <w:t>,</w:t>
      </w:r>
      <w:r w:rsidR="007C6A94" w:rsidRPr="005524CC">
        <w:rPr>
          <w:rFonts w:asciiTheme="minorHAnsi" w:hAnsiTheme="minorHAnsi" w:cstheme="minorHAnsi"/>
        </w:rPr>
        <w:t xml:space="preserve"> </w:t>
      </w:r>
      <w:r w:rsidRPr="005524CC">
        <w:rPr>
          <w:rFonts w:asciiTheme="minorHAnsi" w:hAnsiTheme="minorHAnsi" w:cstheme="minorHAnsi"/>
        </w:rPr>
        <w:t>Upravnog direktora</w:t>
      </w:r>
      <w:r w:rsidR="00330D35" w:rsidRPr="005524CC">
        <w:rPr>
          <w:rFonts w:asciiTheme="minorHAnsi" w:hAnsiTheme="minorHAnsi" w:cstheme="minorHAnsi"/>
        </w:rPr>
        <w:t>,</w:t>
      </w:r>
      <w:r w:rsidRPr="005524CC">
        <w:rPr>
          <w:rFonts w:asciiTheme="minorHAnsi" w:hAnsiTheme="minorHAnsi" w:cstheme="minorHAnsi"/>
        </w:rPr>
        <w:t xml:space="preserve"> pet operativnih odeljenja i Jedinice administracije</w:t>
      </w:r>
      <w:r w:rsidR="00A12516" w:rsidRPr="005524CC">
        <w:rPr>
          <w:rFonts w:asciiTheme="minorHAnsi" w:hAnsiTheme="minorHAnsi" w:cstheme="minorHAnsi"/>
        </w:rPr>
        <w:t>.</w:t>
      </w:r>
      <w:r w:rsidR="007C6A94" w:rsidRPr="005524CC">
        <w:rPr>
          <w:rFonts w:asciiTheme="minorHAnsi" w:hAnsiTheme="minorHAnsi" w:cstheme="minorHAnsi"/>
        </w:rPr>
        <w:t xml:space="preserve"> </w:t>
      </w:r>
      <w:r w:rsidRPr="005524CC">
        <w:rPr>
          <w:rFonts w:asciiTheme="minorHAnsi" w:hAnsiTheme="minorHAnsi" w:cstheme="minorHAnsi"/>
        </w:rPr>
        <w:t>Upravni direktor</w:t>
      </w:r>
      <w:r w:rsidR="007C6A94" w:rsidRPr="005524CC">
        <w:rPr>
          <w:rFonts w:asciiTheme="minorHAnsi" w:hAnsiTheme="minorHAnsi" w:cstheme="minorHAnsi"/>
        </w:rPr>
        <w:t>,</w:t>
      </w:r>
      <w:r w:rsidR="00EA5A65" w:rsidRPr="005524CC">
        <w:rPr>
          <w:rFonts w:asciiTheme="minorHAnsi" w:hAnsiTheme="minorHAnsi" w:cstheme="minorHAnsi"/>
        </w:rPr>
        <w:t xml:space="preserve"> </w:t>
      </w:r>
      <w:r w:rsidRPr="005524CC">
        <w:rPr>
          <w:rFonts w:asciiTheme="minorHAnsi" w:hAnsiTheme="minorHAnsi" w:cstheme="minorHAnsi"/>
        </w:rPr>
        <w:t>Odeljenja i Jedinica administracije su osnovane u skladu sa operacionim obavezama RUE-a</w:t>
      </w:r>
      <w:r w:rsidR="007C6A94" w:rsidRPr="005524CC">
        <w:rPr>
          <w:rFonts w:asciiTheme="minorHAnsi" w:hAnsiTheme="minorHAnsi" w:cstheme="minorHAnsi"/>
        </w:rPr>
        <w:t>. S</w:t>
      </w:r>
      <w:r w:rsidRPr="005524CC">
        <w:rPr>
          <w:rFonts w:asciiTheme="minorHAnsi" w:hAnsiTheme="minorHAnsi" w:cstheme="minorHAnsi"/>
        </w:rPr>
        <w:t>vako odeljenje se sastoji od njihovih organizacionih jedinica</w:t>
      </w:r>
      <w:r w:rsidR="007C6A94" w:rsidRPr="005524CC">
        <w:rPr>
          <w:rFonts w:asciiTheme="minorHAnsi" w:hAnsiTheme="minorHAnsi" w:cstheme="minorHAnsi"/>
        </w:rPr>
        <w:t xml:space="preserve">. </w:t>
      </w:r>
      <w:r w:rsidR="00330D35" w:rsidRPr="005524CC">
        <w:rPr>
          <w:rFonts w:asciiTheme="minorHAnsi" w:hAnsiTheme="minorHAnsi" w:cstheme="minorHAnsi"/>
        </w:rPr>
        <w:t>Pe</w:t>
      </w:r>
      <w:r w:rsidRPr="005524CC">
        <w:rPr>
          <w:rFonts w:asciiTheme="minorHAnsi" w:hAnsiTheme="minorHAnsi" w:cstheme="minorHAnsi"/>
        </w:rPr>
        <w:t>t operativnih odeljenja su</w:t>
      </w:r>
      <w:r w:rsidR="00EA5A65" w:rsidRPr="005524CC">
        <w:rPr>
          <w:rFonts w:asciiTheme="minorHAnsi" w:hAnsiTheme="minorHAnsi" w:cstheme="minorHAnsi"/>
        </w:rPr>
        <w:t>:</w:t>
      </w:r>
    </w:p>
    <w:p w:rsidR="007C6A94" w:rsidRPr="005524CC" w:rsidRDefault="00E801F1" w:rsidP="007C6A94">
      <w:pPr>
        <w:pStyle w:val="ListParagraph"/>
        <w:numPr>
          <w:ilvl w:val="0"/>
          <w:numId w:val="14"/>
        </w:numPr>
        <w:spacing w:line="312" w:lineRule="auto"/>
        <w:rPr>
          <w:rFonts w:asciiTheme="minorHAnsi" w:hAnsiTheme="minorHAnsi" w:cstheme="minorHAnsi"/>
        </w:rPr>
      </w:pPr>
      <w:r w:rsidRPr="005524CC">
        <w:rPr>
          <w:rFonts w:asciiTheme="minorHAnsi" w:hAnsiTheme="minorHAnsi" w:cstheme="minorHAnsi"/>
        </w:rPr>
        <w:t xml:space="preserve">Odeljenje za pravne poslove i licenciranje </w:t>
      </w:r>
      <w:r w:rsidR="007C6A94" w:rsidRPr="005524CC">
        <w:rPr>
          <w:rFonts w:asciiTheme="minorHAnsi" w:hAnsiTheme="minorHAnsi" w:cstheme="minorHAnsi"/>
        </w:rPr>
        <w:t>(</w:t>
      </w:r>
      <w:r w:rsidRPr="005524CC">
        <w:rPr>
          <w:rFonts w:asciiTheme="minorHAnsi" w:hAnsiTheme="minorHAnsi" w:cstheme="minorHAnsi"/>
        </w:rPr>
        <w:t>OPPL</w:t>
      </w:r>
      <w:r w:rsidR="007C6A94" w:rsidRPr="005524CC">
        <w:rPr>
          <w:rFonts w:asciiTheme="minorHAnsi" w:hAnsiTheme="minorHAnsi" w:cstheme="minorHAnsi"/>
        </w:rPr>
        <w:t>),</w:t>
      </w:r>
    </w:p>
    <w:p w:rsidR="007C6A94" w:rsidRPr="005524CC" w:rsidRDefault="00E801F1" w:rsidP="007C6A94">
      <w:pPr>
        <w:pStyle w:val="ListParagraph"/>
        <w:numPr>
          <w:ilvl w:val="0"/>
          <w:numId w:val="14"/>
        </w:numPr>
        <w:spacing w:line="312" w:lineRule="auto"/>
        <w:rPr>
          <w:rFonts w:asciiTheme="minorHAnsi" w:hAnsiTheme="minorHAnsi" w:cstheme="minorHAnsi"/>
        </w:rPr>
      </w:pPr>
      <w:r w:rsidRPr="005524CC">
        <w:rPr>
          <w:rFonts w:asciiTheme="minorHAnsi" w:hAnsiTheme="minorHAnsi" w:cstheme="minorHAnsi"/>
        </w:rPr>
        <w:t xml:space="preserve">Odeljenje za zaštitu potrošača </w:t>
      </w:r>
      <w:r w:rsidR="007C6A94" w:rsidRPr="005524CC">
        <w:rPr>
          <w:rFonts w:asciiTheme="minorHAnsi" w:hAnsiTheme="minorHAnsi" w:cstheme="minorHAnsi"/>
        </w:rPr>
        <w:t>(</w:t>
      </w:r>
      <w:r w:rsidRPr="005524CC">
        <w:rPr>
          <w:rFonts w:asciiTheme="minorHAnsi" w:hAnsiTheme="minorHAnsi" w:cstheme="minorHAnsi"/>
        </w:rPr>
        <w:t>OZP</w:t>
      </w:r>
      <w:r w:rsidR="007C6A94" w:rsidRPr="005524CC">
        <w:rPr>
          <w:rFonts w:asciiTheme="minorHAnsi" w:hAnsiTheme="minorHAnsi" w:cstheme="minorHAnsi"/>
        </w:rPr>
        <w:t>),</w:t>
      </w:r>
    </w:p>
    <w:p w:rsidR="007C6A94" w:rsidRPr="005524CC" w:rsidRDefault="00E801F1" w:rsidP="007C6A94">
      <w:pPr>
        <w:pStyle w:val="ListParagraph"/>
        <w:numPr>
          <w:ilvl w:val="0"/>
          <w:numId w:val="14"/>
        </w:numPr>
        <w:spacing w:line="312" w:lineRule="auto"/>
        <w:rPr>
          <w:rFonts w:asciiTheme="minorHAnsi" w:hAnsiTheme="minorHAnsi" w:cstheme="minorHAnsi"/>
        </w:rPr>
      </w:pPr>
      <w:r w:rsidRPr="005524CC">
        <w:rPr>
          <w:rFonts w:asciiTheme="minorHAnsi" w:hAnsiTheme="minorHAnsi" w:cstheme="minorHAnsi"/>
        </w:rPr>
        <w:t>Odeljenje energetskog tržišta (O</w:t>
      </w:r>
      <w:r w:rsidR="007C6A94" w:rsidRPr="005524CC">
        <w:rPr>
          <w:rFonts w:asciiTheme="minorHAnsi" w:hAnsiTheme="minorHAnsi" w:cstheme="minorHAnsi"/>
        </w:rPr>
        <w:t>E</w:t>
      </w:r>
      <w:r w:rsidRPr="005524CC">
        <w:rPr>
          <w:rFonts w:asciiTheme="minorHAnsi" w:hAnsiTheme="minorHAnsi" w:cstheme="minorHAnsi"/>
        </w:rPr>
        <w:t>T</w:t>
      </w:r>
      <w:r w:rsidR="007C6A94" w:rsidRPr="005524CC">
        <w:rPr>
          <w:rFonts w:asciiTheme="minorHAnsi" w:hAnsiTheme="minorHAnsi" w:cstheme="minorHAnsi"/>
        </w:rPr>
        <w:t>),</w:t>
      </w:r>
    </w:p>
    <w:p w:rsidR="007C6A94" w:rsidRPr="005524CC" w:rsidRDefault="00E801F1" w:rsidP="007C6A94">
      <w:pPr>
        <w:pStyle w:val="ListParagraph"/>
        <w:numPr>
          <w:ilvl w:val="0"/>
          <w:numId w:val="14"/>
        </w:numPr>
        <w:spacing w:line="312" w:lineRule="auto"/>
        <w:rPr>
          <w:rFonts w:asciiTheme="minorHAnsi" w:hAnsiTheme="minorHAnsi" w:cstheme="minorHAnsi"/>
        </w:rPr>
      </w:pPr>
      <w:r w:rsidRPr="005524CC">
        <w:rPr>
          <w:rFonts w:asciiTheme="minorHAnsi" w:hAnsiTheme="minorHAnsi" w:cstheme="minorHAnsi"/>
        </w:rPr>
        <w:t xml:space="preserve">Odeljenje za toplotnu energiju i prirodni gas </w:t>
      </w:r>
      <w:r w:rsidR="007C6A94" w:rsidRPr="005524CC">
        <w:rPr>
          <w:rFonts w:asciiTheme="minorHAnsi" w:hAnsiTheme="minorHAnsi" w:cstheme="minorHAnsi"/>
        </w:rPr>
        <w:t>(</w:t>
      </w:r>
      <w:r w:rsidRPr="005524CC">
        <w:rPr>
          <w:rFonts w:asciiTheme="minorHAnsi" w:hAnsiTheme="minorHAnsi" w:cstheme="minorHAnsi"/>
        </w:rPr>
        <w:t>OTEPG</w:t>
      </w:r>
      <w:r w:rsidR="007C6A94" w:rsidRPr="005524CC">
        <w:rPr>
          <w:rFonts w:asciiTheme="minorHAnsi" w:hAnsiTheme="minorHAnsi" w:cstheme="minorHAnsi"/>
        </w:rPr>
        <w:t>),</w:t>
      </w:r>
    </w:p>
    <w:p w:rsidR="007C6A94" w:rsidRPr="005524CC" w:rsidRDefault="00E801F1" w:rsidP="007C6A94">
      <w:pPr>
        <w:pStyle w:val="ListParagraph"/>
        <w:numPr>
          <w:ilvl w:val="0"/>
          <w:numId w:val="14"/>
        </w:numPr>
        <w:spacing w:line="312" w:lineRule="auto"/>
        <w:rPr>
          <w:rFonts w:asciiTheme="minorHAnsi" w:hAnsiTheme="minorHAnsi" w:cstheme="minorHAnsi"/>
        </w:rPr>
      </w:pPr>
      <w:r w:rsidRPr="005524CC">
        <w:rPr>
          <w:rFonts w:asciiTheme="minorHAnsi" w:hAnsiTheme="minorHAnsi" w:cstheme="minorHAnsi"/>
        </w:rPr>
        <w:t>Odeljenje za tarife i cene (OTC</w:t>
      </w:r>
      <w:r w:rsidR="007C6A94" w:rsidRPr="005524CC">
        <w:rPr>
          <w:rFonts w:asciiTheme="minorHAnsi" w:hAnsiTheme="minorHAnsi" w:cstheme="minorHAnsi"/>
        </w:rPr>
        <w:t>).</w:t>
      </w:r>
    </w:p>
    <w:p w:rsidR="00DF4183" w:rsidRPr="005524CC" w:rsidRDefault="00E801F1" w:rsidP="00DF4183">
      <w:pPr>
        <w:rPr>
          <w:rFonts w:asciiTheme="minorHAnsi" w:hAnsiTheme="minorHAnsi" w:cstheme="minorHAnsi"/>
        </w:rPr>
      </w:pPr>
      <w:r w:rsidRPr="005524CC">
        <w:rPr>
          <w:rFonts w:asciiTheme="minorHAnsi" w:hAnsiTheme="minorHAnsi" w:cstheme="minorHAnsi"/>
        </w:rPr>
        <w:t xml:space="preserve">Trenutna organizaciona struktura </w:t>
      </w:r>
      <w:r w:rsidR="00DF4183" w:rsidRPr="005524CC">
        <w:rPr>
          <w:rFonts w:asciiTheme="minorHAnsi" w:hAnsiTheme="minorHAnsi" w:cstheme="minorHAnsi"/>
        </w:rPr>
        <w:t>R</w:t>
      </w:r>
      <w:r w:rsidRPr="005524CC">
        <w:rPr>
          <w:rFonts w:asciiTheme="minorHAnsi" w:hAnsiTheme="minorHAnsi" w:cstheme="minorHAnsi"/>
        </w:rPr>
        <w:t>U</w:t>
      </w:r>
      <w:r w:rsidR="00DF4183" w:rsidRPr="005524CC">
        <w:rPr>
          <w:rFonts w:asciiTheme="minorHAnsi" w:hAnsiTheme="minorHAnsi" w:cstheme="minorHAnsi"/>
        </w:rPr>
        <w:t>E</w:t>
      </w:r>
      <w:r w:rsidRPr="005524CC">
        <w:rPr>
          <w:rFonts w:asciiTheme="minorHAnsi" w:hAnsiTheme="minorHAnsi" w:cstheme="minorHAnsi"/>
        </w:rPr>
        <w:t xml:space="preserve">-a je predstavljena u nastavku, u pojednostavljenom grafikonu </w:t>
      </w:r>
    </w:p>
    <w:p w:rsidR="00DF4183" w:rsidRPr="005524CC" w:rsidRDefault="00DF4183" w:rsidP="00DF4183">
      <w:pPr>
        <w:spacing w:line="312" w:lineRule="auto"/>
        <w:rPr>
          <w:rFonts w:asciiTheme="minorHAnsi" w:hAnsiTheme="minorHAnsi" w:cstheme="minorHAnsi"/>
        </w:rPr>
      </w:pPr>
    </w:p>
    <w:p w:rsidR="00DF4183" w:rsidRPr="005524CC" w:rsidRDefault="0007212B" w:rsidP="00F40A98">
      <w:pPr>
        <w:pStyle w:val="Default"/>
        <w:rPr>
          <w:rFonts w:asciiTheme="minorHAnsi" w:hAnsiTheme="minorHAnsi" w:cstheme="minorHAnsi"/>
          <w:b/>
          <w:i/>
          <w:lang w:val="sr-Latn-CS"/>
        </w:rPr>
      </w:pPr>
      <w:r w:rsidRPr="0007212B">
        <w:rPr>
          <w:rFonts w:asciiTheme="minorHAnsi" w:hAnsiTheme="minorHAnsi" w:cstheme="minorHAnsi"/>
          <w:b/>
          <w:i/>
          <w:lang w:val="sr-Latn-CS"/>
        </w:rPr>
      </w:r>
      <w:r>
        <w:rPr>
          <w:rFonts w:asciiTheme="minorHAnsi" w:hAnsiTheme="minorHAnsi" w:cstheme="minorHAnsi"/>
          <w:b/>
          <w:i/>
          <w:lang w:val="sr-Latn-CS"/>
        </w:rPr>
        <w:pict>
          <v:group id="_x0000_s1028" editas="canvas" style="width:454.05pt;height:198.05pt;mso-position-horizontal-relative:char;mso-position-vertical-relative:line" coordsize="9081,39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81;height:3961" o:preferrelative="f">
              <v:fill o:detectmouseclick="t"/>
              <v:path o:extrusionok="t" o:connecttype="none"/>
              <o:lock v:ext="edit" text="t"/>
            </v:shape>
            <v:shape id="_x0000_s1029" style="position:absolute;left:1894;top:1539;width:17;height:306" coordsize="17,306" path="m17,r,68l,68,,,17,xm17,119r,68l,187,,119r17,xm17,238r,68l,306,,238r17,xe" fillcolor="#4a7ebb" strokecolor="#4a7ebb" strokeweight="0">
              <v:path arrowok="t"/>
              <o:lock v:ext="edit" verticies="t"/>
            </v:shape>
            <v:shape id="_x0000_s1030" style="position:absolute;left:3577;top:9;width:1910;height:756" coordsize="1910,756" path="m,119l8,76,34,34,76,8,118,r,l118,,1784,r,l1826,8r42,26l1894,76r16,43l1910,119r,l1910,629r,l1894,671r-26,43l1826,739r-42,17l1784,756r,l118,756r,l76,739,34,714,8,671,,629r,l,119xe" fillcolor="#b9cde5" stroked="f">
              <v:path arrowok="t"/>
            </v:shape>
            <v:rect id="_x0000_s1031" style="position:absolute;left:3907;top:187;width:1328;height:425;mso-wrap-style:none" filled="f" stroked="f">
              <v:textbox style="mso-next-textbox:#_x0000_s1031;mso-fit-shape-to-text:t" inset="0,0,0,0">
                <w:txbxContent>
                  <w:p w:rsidR="003B7A31" w:rsidRPr="00B05278" w:rsidRDefault="003B7A31">
                    <w:r>
                      <w:rPr>
                        <w:rFonts w:ascii="Calibri" w:hAnsi="Calibri" w:cs="Calibri"/>
                        <w:color w:val="1F497D"/>
                        <w:sz w:val="16"/>
                        <w:szCs w:val="16"/>
                      </w:rPr>
                      <w:t>Odbor Regulatornog</w:t>
                    </w:r>
                  </w:p>
                </w:txbxContent>
              </v:textbox>
            </v:rect>
            <v:rect id="_x0000_s1032" style="position:absolute;left:3981;top:383;width:1145;height:425;mso-wrap-style:none" filled="f" stroked="f">
              <v:textbox style="mso-next-textbox:#_x0000_s1032;mso-fit-shape-to-text:t" inset="0,0,0,0">
                <w:txbxContent>
                  <w:p w:rsidR="003B7A31" w:rsidRDefault="003B7A31">
                    <w:r>
                      <w:rPr>
                        <w:rFonts w:ascii="Calibri" w:hAnsi="Calibri" w:cs="Calibri"/>
                        <w:color w:val="1F497D"/>
                        <w:sz w:val="16"/>
                        <w:szCs w:val="16"/>
                      </w:rPr>
                      <w:t xml:space="preserve">Ureda za energiju </w:t>
                    </w:r>
                  </w:p>
                </w:txbxContent>
              </v:textbox>
            </v:rect>
            <v:shape id="_x0000_s1033" style="position:absolute;left:3644;top:1496;width:1785;height:731" coordsize="1785,731" path="m,119l9,68,34,34,68,9,118,r,l118,,1658,r,l1709,9r33,25l1768,68r17,51l1785,119r,l1785,604r,l1768,655r-26,34l1709,714r-51,17l1658,731r,l118,731r,l68,714,34,689,9,655,,604r,l,119xe" fillcolor="#b9cde5" stroked="f">
              <v:path arrowok="t"/>
            </v:shape>
            <v:rect id="_x0000_s1034" style="position:absolute;left:3779;top:1715;width:1486;height:509;mso-wrap-style:none" filled="f" stroked="f">
              <v:textbox style="mso-next-textbox:#_x0000_s1034;mso-fit-shape-to-text:t" inset="0,0,0,0">
                <w:txbxContent>
                  <w:p w:rsidR="003B7A31" w:rsidRPr="00B05278" w:rsidRDefault="003B7A31">
                    <w:r>
                      <w:t>Upravni direktor</w:t>
                    </w:r>
                  </w:p>
                </w:txbxContent>
              </v:textbox>
            </v:rect>
            <v:rect id="_x0000_s1036" style="position:absolute;left:2567;top:1156;width:1927;height:17" fillcolor="#4a7ebb" strokecolor="#4a7ebb" strokeweight="0"/>
            <v:shape id="_x0000_s1037" style="position:absolute;left:1894;top:1836;width:1717;height:26" coordsize="1717,26" path="m,l67,r,17l,17,,xm118,r67,l185,17r-67,l118,xm235,r68,l303,17r-68,l235,xm353,r67,l420,17r-67,l353,xm471,r67,l538,17r-67,l471,xm589,r67,l656,17r-67,l589,xm707,r67,l774,17r-67,l707,xm824,r68,9l892,26,824,17,824,xm942,9r68,l1010,26r-68,l942,9xm1060,9r67,l1127,26r-67,l1060,9xm1178,9r67,l1245,26r-67,l1178,9xm1296,9r67,l1363,26r-67,l1296,9xm1414,9r67,l1481,26r-67,l1414,9xm1531,9r68,l1599,26r-68,l1531,9xm1649,9r68,l1717,26r-68,l1649,9xe" fillcolor="#4a7ebb" strokecolor="#4a7ebb" strokeweight="0">
              <v:path arrowok="t"/>
              <o:lock v:ext="edit" verticies="t"/>
            </v:shape>
            <v:shape id="_x0000_s1038" style="position:absolute;left:4486;top:1139;width:2659;height:34" coordsize="2659,34" path="m,17r67,l67,34,,34,,17xm118,17r67,l185,34r-67,l118,17xm236,17r67,l303,34r-67,l236,17xm353,9r68,l421,26r-68,l353,9xm471,9r68,l539,26r-68,l471,9xm589,9r67,l656,26r-67,l589,9xm707,9r67,l774,26r-67,l707,9xm825,9r67,l892,26r-67,l825,9xm943,9r67,l1010,26r-67,l943,9xm1060,9r68,l1128,26r-68,l1060,9xm1178,9r68,l1246,26r-68,l1178,9xm1296,9r67,l1363,26r-67,l1296,9xm1414,9r67,l1481,26r-67,l1414,9xm1532,9l1599,r,17l1532,26r,-17xm1650,r67,l1717,17r-67,l1650,xm1767,r68,l1835,17r-68,l1767,xm1885,r68,l1953,17r-68,l1885,xm2003,r67,l2070,17r-67,l2003,xm2121,r67,l2188,17r-67,l2121,xm2239,r67,l2306,17r-67,l2239,xm2356,r68,l2424,17r-68,l2356,xm2474,r68,l2542,17r-68,l2474,xm2592,r67,l2659,17r-67,l2592,xe" fillcolor="#4a7ebb" strokecolor="#4a7ebb" strokeweight="0">
              <v:path arrowok="t"/>
              <o:lock v:ext="edit" verticies="t"/>
            </v:shape>
            <v:shape id="_x0000_s1039" style="position:absolute;left:8;top:3035;width:1372;height:765" coordsize="1372,765" path="m,127l9,76,34,34,76,8,127,r,l127,,1246,r,l1288,8r42,26l1355,76r17,51l1372,127r,l1372,637r,l1355,680r-25,42l1288,748r-42,17l1246,765r,l127,765r,l76,748,34,722,9,680,,637r,l,127xe" fillcolor="#b9cde5" stroked="f">
              <v:path arrowok="t"/>
            </v:shape>
            <v:rect id="_x0000_s1040" style="position:absolute;left:384;top:3128;width:627;height:425;mso-wrap-style:none" filled="f" stroked="f">
              <v:textbox style="mso-next-textbox:#_x0000_s1040;mso-fit-shape-to-text:t" inset="0,0,0,0">
                <w:txbxContent>
                  <w:p w:rsidR="003B7A31" w:rsidRPr="005D2D3F" w:rsidRDefault="003B7A31">
                    <w:r>
                      <w:rPr>
                        <w:rFonts w:ascii="Calibri" w:hAnsi="Calibri" w:cs="Calibri"/>
                        <w:color w:val="1F497D"/>
                        <w:sz w:val="16"/>
                        <w:szCs w:val="16"/>
                      </w:rPr>
                      <w:t xml:space="preserve">Odeljenje </w:t>
                    </w:r>
                  </w:p>
                </w:txbxContent>
              </v:textbox>
            </v:rect>
            <v:rect id="_x0000_s1041" style="position:absolute;left:329;top:3324;width:803;height:425;mso-wrap-style:none" filled="f" stroked="f">
              <v:textbox style="mso-next-textbox:#_x0000_s1041;mso-fit-shape-to-text:t" inset="0,0,0,0">
                <w:txbxContent>
                  <w:p w:rsidR="003B7A31" w:rsidRPr="005D2D3F" w:rsidRDefault="003B7A31">
                    <w:r>
                      <w:rPr>
                        <w:rFonts w:ascii="Calibri" w:hAnsi="Calibri" w:cs="Calibri"/>
                        <w:color w:val="1F497D"/>
                        <w:sz w:val="16"/>
                        <w:szCs w:val="16"/>
                      </w:rPr>
                      <w:t>energetskog</w:t>
                    </w:r>
                  </w:p>
                </w:txbxContent>
              </v:textbox>
            </v:rect>
            <v:rect id="_x0000_s1042" style="position:absolute;left:479;top:3511;width:403;height:425;mso-wrap-style:none" filled="f" stroked="f">
              <v:textbox style="mso-next-textbox:#_x0000_s1042;mso-fit-shape-to-text:t" inset="0,0,0,0">
                <w:txbxContent>
                  <w:p w:rsidR="003B7A31" w:rsidRPr="005D2D3F" w:rsidRDefault="003B7A31">
                    <w:r>
                      <w:rPr>
                        <w:rFonts w:ascii="Calibri" w:hAnsi="Calibri" w:cs="Calibri"/>
                        <w:color w:val="1F497D"/>
                        <w:sz w:val="16"/>
                        <w:szCs w:val="16"/>
                      </w:rPr>
                      <w:t>tržišta</w:t>
                    </w:r>
                  </w:p>
                </w:txbxContent>
              </v:textbox>
            </v:rect>
            <v:shape id="_x0000_s1043" style="position:absolute;left:1549;top:3043;width:1363;height:765" coordsize="1363,765" path="m,128l8,77,33,34,75,9,126,r,l126,,1237,r,l1279,9r42,25l1346,77r17,51l1363,128r,l1363,638r,l1346,680r-25,43l1279,748r-42,17l1237,765r,l126,765r,l75,748,33,723,8,680,,638r,l,128xe" fillcolor="#b9cde5" stroked="f">
              <v:path arrowok="t"/>
            </v:shape>
            <v:rect id="_x0000_s1044" style="position:absolute;left:1772;top:3212;width:803;height:425;mso-wrap-style:none" filled="f" stroked="f">
              <v:textbox style="mso-next-textbox:#_x0000_s1044;mso-fit-shape-to-text:t" inset="0,0,0,0">
                <w:txbxContent>
                  <w:p w:rsidR="003B7A31" w:rsidRPr="005D2D3F" w:rsidRDefault="003B7A31">
                    <w:r>
                      <w:rPr>
                        <w:rFonts w:ascii="Calibri" w:hAnsi="Calibri" w:cs="Calibri"/>
                        <w:color w:val="1F497D"/>
                        <w:sz w:val="16"/>
                        <w:szCs w:val="16"/>
                      </w:rPr>
                      <w:t xml:space="preserve">Odeljenje za </w:t>
                    </w:r>
                  </w:p>
                </w:txbxContent>
              </v:textbox>
            </v:rect>
            <v:rect id="_x0000_s1045" style="position:absolute;left:1741;top:3452;width:772;height:425;mso-wrap-style:none" filled="f" stroked="f">
              <v:textbox style="mso-next-textbox:#_x0000_s1045;mso-fit-shape-to-text:t" inset="0,0,0,0">
                <w:txbxContent>
                  <w:p w:rsidR="003B7A31" w:rsidRPr="005D2D3F" w:rsidRDefault="003B7A31">
                    <w:r>
                      <w:rPr>
                        <w:rFonts w:ascii="Calibri" w:hAnsi="Calibri" w:cs="Calibri"/>
                        <w:color w:val="1F497D"/>
                        <w:sz w:val="16"/>
                        <w:szCs w:val="16"/>
                      </w:rPr>
                      <w:t>cene i tarife</w:t>
                    </w:r>
                  </w:p>
                </w:txbxContent>
              </v:textbox>
            </v:rect>
            <v:shape id="_x0000_s1047" style="position:absolute;left:3080;top:3052;width:1381;height:765" coordsize="1381,765" path="m,127l9,76,34,34,76,8,127,r,l127,,1254,r,l1297,8r42,26l1364,76r17,51l1381,127r,l1381,637r,l1364,680r-25,42l1297,748r-43,17l1254,765r,l127,765r,l76,748,34,722,9,680,,637r,l,127xe" fillcolor="#b9cde5" stroked="f">
              <v:path arrowok="t"/>
            </v:shape>
            <v:rect id="_x0000_s1048" style="position:absolute;left:3399;top:3145;width:803;height:425;mso-wrap-style:none" filled="f" stroked="f">
              <v:textbox style="mso-next-textbox:#_x0000_s1048;mso-fit-shape-to-text:t" inset="0,0,0,0">
                <w:txbxContent>
                  <w:p w:rsidR="003B7A31" w:rsidRPr="005D2D3F" w:rsidRDefault="003B7A31">
                    <w:r>
                      <w:rPr>
                        <w:rFonts w:ascii="Calibri" w:hAnsi="Calibri" w:cs="Calibri"/>
                        <w:color w:val="1F497D"/>
                        <w:sz w:val="16"/>
                        <w:szCs w:val="16"/>
                      </w:rPr>
                      <w:t xml:space="preserve">Odeljenje za </w:t>
                    </w:r>
                  </w:p>
                </w:txbxContent>
              </v:textbox>
            </v:rect>
            <v:rect id="_x0000_s1049" style="position:absolute;left:3275;top:3341;width:1065;height:425;mso-wrap-style:none" filled="f" stroked="f">
              <v:textbox style="mso-next-textbox:#_x0000_s1049;mso-fit-shape-to-text:t" inset="0,0,0,0">
                <w:txbxContent>
                  <w:p w:rsidR="003B7A31" w:rsidRPr="005D2D3F" w:rsidRDefault="003B7A31">
                    <w:r>
                      <w:rPr>
                        <w:rFonts w:ascii="Calibri" w:hAnsi="Calibri" w:cs="Calibri"/>
                        <w:color w:val="1F497D"/>
                        <w:sz w:val="16"/>
                        <w:szCs w:val="16"/>
                      </w:rPr>
                      <w:t xml:space="preserve">Pravne poslove i </w:t>
                    </w:r>
                  </w:p>
                </w:txbxContent>
              </v:textbox>
            </v:rect>
            <v:rect id="_x0000_s1050" style="position:absolute;left:3421;top:3528;width:744;height:425;mso-wrap-style:none" filled="f" stroked="f">
              <v:textbox style="mso-next-textbox:#_x0000_s1050;mso-fit-shape-to-text:t" inset="0,0,0,0">
                <w:txbxContent>
                  <w:p w:rsidR="003B7A31" w:rsidRPr="005D2D3F" w:rsidRDefault="003B7A31">
                    <w:r>
                      <w:rPr>
                        <w:rFonts w:ascii="Calibri" w:hAnsi="Calibri" w:cs="Calibri"/>
                        <w:color w:val="1F497D"/>
                        <w:sz w:val="16"/>
                        <w:szCs w:val="16"/>
                      </w:rPr>
                      <w:t>licenciranje</w:t>
                    </w:r>
                  </w:p>
                </w:txbxContent>
              </v:textbox>
            </v:rect>
            <v:shape id="_x0000_s1051" style="position:absolute;left:4629;top:3060;width:1321;height:765" coordsize="1321,765" path="m,128l8,77,34,34,76,9,126,r,l126,,1195,r,l1237,9r42,25l1305,77r16,51l1321,128r,l1321,638r,l1305,680r-26,43l1237,748r-42,17l1195,765r,l126,765r,l76,748,34,723,8,680,,638r,l,128xe" fillcolor="#b9cde5" stroked="f">
              <v:path arrowok="t"/>
            </v:shape>
            <v:rect id="_x0000_s1052" style="position:absolute;left:4839;top:3154;width:803;height:425;mso-wrap-style:none" filled="f" stroked="f">
              <v:textbox style="mso-next-textbox:#_x0000_s1052;mso-fit-shape-to-text:t" inset="0,0,0,0">
                <w:txbxContent>
                  <w:p w:rsidR="003B7A31" w:rsidRPr="005D2D3F" w:rsidRDefault="003B7A31">
                    <w:r>
                      <w:rPr>
                        <w:rFonts w:ascii="Calibri" w:hAnsi="Calibri" w:cs="Calibri"/>
                        <w:color w:val="1F497D"/>
                        <w:sz w:val="16"/>
                        <w:szCs w:val="16"/>
                      </w:rPr>
                      <w:t xml:space="preserve">Odeljenje za </w:t>
                    </w:r>
                  </w:p>
                </w:txbxContent>
              </v:textbox>
            </v:rect>
            <v:rect id="_x0000_s1053" style="position:absolute;left:5014;top:3349;width:431;height:425;mso-wrap-style:none" filled="f" stroked="f">
              <v:textbox style="mso-next-textbox:#_x0000_s1053;mso-fit-shape-to-text:t" inset="0,0,0,0">
                <w:txbxContent>
                  <w:p w:rsidR="003B7A31" w:rsidRPr="005D2D3F" w:rsidRDefault="003B7A31">
                    <w:r>
                      <w:rPr>
                        <w:rFonts w:ascii="Calibri" w:hAnsi="Calibri" w:cs="Calibri"/>
                        <w:color w:val="1F497D"/>
                        <w:sz w:val="16"/>
                        <w:szCs w:val="16"/>
                      </w:rPr>
                      <w:t>zaštitu</w:t>
                    </w:r>
                  </w:p>
                </w:txbxContent>
              </v:textbox>
            </v:rect>
            <v:rect id="_x0000_s1054" style="position:absolute;left:4930;top:3536;width:646;height:425;mso-wrap-style:none" filled="f" stroked="f">
              <v:textbox style="mso-next-textbox:#_x0000_s1054;mso-fit-shape-to-text:t" inset="0,0,0,0">
                <w:txbxContent>
                  <w:p w:rsidR="003B7A31" w:rsidRPr="005D2D3F" w:rsidRDefault="003B7A31">
                    <w:r>
                      <w:rPr>
                        <w:rFonts w:ascii="Calibri" w:hAnsi="Calibri" w:cs="Calibri"/>
                        <w:color w:val="1F497D"/>
                        <w:sz w:val="16"/>
                        <w:szCs w:val="16"/>
                      </w:rPr>
                      <w:t>potrošača</w:t>
                    </w:r>
                  </w:p>
                </w:txbxContent>
              </v:textbox>
            </v:rect>
            <v:shape id="_x0000_s1055" style="position:absolute;left:6093;top:3060;width:1372;height:765" coordsize="1372,765" path="m,128l9,77,34,34,76,9,127,r,l127,,1246,r,l1288,9r42,25l1355,77r17,51l1372,128r,l1372,638r,l1355,680r-25,43l1288,748r-42,17l1246,765r,l127,765r,l76,748,34,723,9,680,,638r,l,128xe" fillcolor="#b9cde5" stroked="f">
              <v:path arrowok="t"/>
            </v:shape>
            <v:rect id="_x0000_s1056" style="position:absolute;left:6338;top:3154;width:803;height:425;mso-wrap-style:none" filled="f" stroked="f">
              <v:textbox style="mso-next-textbox:#_x0000_s1056;mso-fit-shape-to-text:t" inset="0,0,0,0">
                <w:txbxContent>
                  <w:p w:rsidR="003B7A31" w:rsidRPr="005D2D3F" w:rsidRDefault="003B7A31">
                    <w:r>
                      <w:rPr>
                        <w:rFonts w:ascii="Calibri" w:hAnsi="Calibri" w:cs="Calibri"/>
                        <w:color w:val="1F497D"/>
                        <w:sz w:val="16"/>
                        <w:szCs w:val="16"/>
                      </w:rPr>
                      <w:t xml:space="preserve">Odeljenje za </w:t>
                    </w:r>
                  </w:p>
                </w:txbxContent>
              </v:textbox>
            </v:rect>
            <v:rect id="_x0000_s1057" style="position:absolute;left:6214;top:3349;width:1171;height:425;mso-wrap-style:none" filled="f" stroked="f">
              <v:textbox style="mso-next-textbox:#_x0000_s1057;mso-fit-shape-to-text:t" inset="0,0,0,0">
                <w:txbxContent>
                  <w:p w:rsidR="003B7A31" w:rsidRPr="005D2D3F" w:rsidRDefault="003B7A31">
                    <w:r>
                      <w:rPr>
                        <w:rFonts w:ascii="Calibri" w:hAnsi="Calibri" w:cs="Calibri"/>
                        <w:color w:val="1F497D"/>
                        <w:sz w:val="16"/>
                        <w:szCs w:val="16"/>
                      </w:rPr>
                      <w:t>toplotnu  energiju</w:t>
                    </w:r>
                  </w:p>
                </w:txbxContent>
              </v:textbox>
            </v:rect>
            <v:rect id="_x0000_s1058" style="position:absolute;left:6590;top:3536;width:288;height:425;mso-wrap-style:none" filled="f" stroked="f">
              <v:textbox style="mso-next-textbox:#_x0000_s1058;mso-fit-shape-to-text:t" inset="0,0,0,0">
                <w:txbxContent>
                  <w:p w:rsidR="003B7A31" w:rsidRDefault="003B7A31">
                    <w:r>
                      <w:rPr>
                        <w:rFonts w:ascii="Calibri" w:hAnsi="Calibri" w:cs="Calibri"/>
                        <w:color w:val="1F497D"/>
                        <w:sz w:val="16"/>
                        <w:szCs w:val="16"/>
                      </w:rPr>
                      <w:t>i gas</w:t>
                    </w:r>
                  </w:p>
                </w:txbxContent>
              </v:textbox>
            </v:rect>
            <v:shape id="_x0000_s1059" style="position:absolute;left:7617;top:3052;width:1338;height:765" coordsize="1338,765" path="m,127l8,76,33,34,76,8,126,r,l126,,1212,r,l1254,8r42,26l1321,76r17,51l1338,127r,l1338,637r,l1321,680r-25,42l1254,748r-42,17l1212,765r,l126,765r,l76,748,33,722,8,680,,637r,l,127xe" fillcolor="#b9cde5" stroked="f">
              <v:path arrowok="t"/>
            </v:shape>
            <v:rect id="_x0000_s1060" style="position:absolute;left:7991;top:3265;width:517;height:425;mso-wrap-style:none" filled="f" stroked="f">
              <v:textbox style="mso-next-textbox:#_x0000_s1060;mso-fit-shape-to-text:t" inset="0,0,0,0">
                <w:txbxContent>
                  <w:p w:rsidR="003B7A31" w:rsidRPr="005D2D3F" w:rsidRDefault="003B7A31">
                    <w:r>
                      <w:rPr>
                        <w:rFonts w:ascii="Calibri" w:hAnsi="Calibri" w:cs="Calibri"/>
                        <w:color w:val="1F497D"/>
                        <w:sz w:val="16"/>
                        <w:szCs w:val="16"/>
                      </w:rPr>
                      <w:t>Jedinica</w:t>
                    </w:r>
                  </w:p>
                </w:txbxContent>
              </v:textbox>
            </v:rect>
            <v:rect id="_x0000_s1061" style="position:absolute;left:7805;top:3491;width:875;height:425;mso-wrap-style:none" filled="f" stroked="f">
              <v:textbox style="mso-next-textbox:#_x0000_s1061;mso-fit-shape-to-text:t" inset="0,0,0,0">
                <w:txbxContent>
                  <w:p w:rsidR="003B7A31" w:rsidRPr="005D2D3F" w:rsidRDefault="003B7A31">
                    <w:r>
                      <w:rPr>
                        <w:rFonts w:ascii="Calibri" w:hAnsi="Calibri" w:cs="Calibri"/>
                        <w:color w:val="1F497D"/>
                        <w:sz w:val="16"/>
                        <w:szCs w:val="16"/>
                      </w:rPr>
                      <w:t>Opšte uprave</w:t>
                    </w:r>
                  </w:p>
                </w:txbxContent>
              </v:textbox>
            </v:rect>
            <v:shape id="_x0000_s1063" style="position:absolute;left:1195;top:765;width:1372;height:774" coordsize="1372,774" path="m,128l9,77,34,34,76,9,126,r,l126,,1237,r,l1288,9r42,25l1355,77r17,51l1372,128r,l1372,638r,l1355,689r-25,42l1288,757r-51,17l1237,774r,l126,774r,l76,757,34,731,9,689,,638r,l,128xe" fillcolor="#b9cde5" stroked="f">
              <v:path arrowok="t"/>
            </v:shape>
            <v:rect id="_x0000_s1064" style="position:absolute;left:1523;top:859;width:823;height:425;mso-wrap-style:none" filled="f" stroked="f">
              <v:textbox style="mso-next-textbox:#_x0000_s1064;mso-fit-shape-to-text:t" inset="0,0,0,0">
                <w:txbxContent>
                  <w:p w:rsidR="003B7A31" w:rsidRPr="00B05278" w:rsidRDefault="003B7A31">
                    <w:r>
                      <w:rPr>
                        <w:rFonts w:ascii="Calibri" w:hAnsi="Calibri" w:cs="Calibri"/>
                        <w:color w:val="1F497D"/>
                        <w:sz w:val="16"/>
                        <w:szCs w:val="16"/>
                      </w:rPr>
                      <w:t xml:space="preserve">Službenici za </w:t>
                    </w:r>
                  </w:p>
                </w:txbxContent>
              </v:textbox>
            </v:rect>
            <v:rect id="_x0000_s1066" style="position:absolute;left:1586;top:1054;width:683;height:425;mso-wrap-style:none" filled="f" stroked="f">
              <v:textbox style="mso-next-textbox:#_x0000_s1066;mso-fit-shape-to-text:t" inset="0,0,0,0">
                <w:txbxContent>
                  <w:p w:rsidR="003B7A31" w:rsidRPr="00B05278" w:rsidRDefault="003B7A31">
                    <w:r>
                      <w:rPr>
                        <w:rFonts w:ascii="Calibri" w:hAnsi="Calibri" w:cs="Calibri"/>
                        <w:color w:val="1F497D"/>
                        <w:sz w:val="16"/>
                        <w:szCs w:val="16"/>
                      </w:rPr>
                      <w:t>asistenciju</w:t>
                    </w:r>
                  </w:p>
                </w:txbxContent>
              </v:textbox>
            </v:rect>
            <v:rect id="_x0000_s1067" style="position:absolute;left:1683;top:1241;width:499;height:425;mso-wrap-style:none" filled="f" stroked="f">
              <v:textbox style="mso-next-textbox:#_x0000_s1067;mso-fit-shape-to-text:t" inset="0,0,0,0">
                <w:txbxContent>
                  <w:p w:rsidR="003B7A31" w:rsidRPr="00B05278" w:rsidRDefault="003B7A31">
                    <w:r>
                      <w:rPr>
                        <w:rFonts w:ascii="Calibri" w:hAnsi="Calibri" w:cs="Calibri"/>
                        <w:color w:val="1F497D"/>
                        <w:sz w:val="16"/>
                        <w:szCs w:val="16"/>
                      </w:rPr>
                      <w:t>Odboru</w:t>
                    </w:r>
                  </w:p>
                </w:txbxContent>
              </v:textbox>
            </v:rect>
            <v:shape id="_x0000_s1068" style="position:absolute;left:6514;top:1479;width:1381;height:765" coordsize="1381,765" path="m,128l9,77,34,34,76,9,127,r,l127,,1254,r,l1296,9r42,25l1364,77r17,51l1381,128r,l1381,638r,l1364,680r-26,43l1296,748r-42,17l1254,765r,l127,765r,l76,748,34,723,9,680,,638r,l,128xe" fillcolor="#b9cde5" stroked="f">
              <v:path arrowok="t"/>
            </v:shape>
            <v:rect id="_x0000_s1069" style="position:absolute;left:6842;top:1573;width:823;height:425;mso-wrap-style:none" filled="f" stroked="f">
              <v:textbox style="mso-next-textbox:#_x0000_s1069;mso-fit-shape-to-text:t" inset="0,0,0,0">
                <w:txbxContent>
                  <w:p w:rsidR="003B7A31" w:rsidRPr="005D2D3F" w:rsidRDefault="003B7A31">
                    <w:r>
                      <w:rPr>
                        <w:rFonts w:ascii="Calibri" w:hAnsi="Calibri" w:cs="Calibri"/>
                        <w:color w:val="1F497D"/>
                        <w:sz w:val="16"/>
                        <w:szCs w:val="16"/>
                      </w:rPr>
                      <w:t>Službenici za</w:t>
                    </w:r>
                  </w:p>
                </w:txbxContent>
              </v:textbox>
            </v:rect>
            <v:rect id="_x0000_s1071" style="position:absolute;left:6891;top:1768;width:655;height:425;mso-wrap-style:none" filled="f" stroked="f">
              <v:textbox style="mso-next-textbox:#_x0000_s1071;mso-fit-shape-to-text:t" inset="0,0,0,0">
                <w:txbxContent>
                  <w:p w:rsidR="003B7A31" w:rsidRPr="005D2D3F" w:rsidRDefault="003B7A31">
                    <w:r>
                      <w:rPr>
                        <w:rFonts w:ascii="Calibri" w:hAnsi="Calibri" w:cs="Calibri"/>
                        <w:color w:val="1F497D"/>
                        <w:sz w:val="16"/>
                        <w:szCs w:val="16"/>
                      </w:rPr>
                      <w:t xml:space="preserve">odnose sa </w:t>
                    </w:r>
                  </w:p>
                </w:txbxContent>
              </v:textbox>
            </v:rect>
            <v:rect id="_x0000_s1072" style="position:absolute;left:6918;top:1955;width:570;height:425;mso-wrap-style:none" filled="f" stroked="f">
              <v:textbox style="mso-next-textbox:#_x0000_s1072;mso-fit-shape-to-text:t" inset="0,0,0,0">
                <w:txbxContent>
                  <w:p w:rsidR="003B7A31" w:rsidRPr="005D2D3F" w:rsidRDefault="003B7A31">
                    <w:r>
                      <w:rPr>
                        <w:rFonts w:ascii="Calibri" w:hAnsi="Calibri" w:cs="Calibri"/>
                        <w:color w:val="1F497D"/>
                        <w:sz w:val="16"/>
                        <w:szCs w:val="16"/>
                      </w:rPr>
                      <w:t>javnošću</w:t>
                    </w:r>
                  </w:p>
                </w:txbxContent>
              </v:textbox>
            </v:rect>
            <v:shape id="_x0000_s1073" style="position:absolute;left:7188;top:1173;width:16;height:289" coordsize="16,289" path="m16,r,68l,68,,,16,xm16,119r,68l,187,,119r16,xm16,238r,51l,289,,238r16,xe" fillcolor="#4a7ebb" strokecolor="#4a7ebb" strokeweight="0">
              <v:path arrowok="t"/>
              <o:lock v:ext="edit" verticies="t"/>
            </v:shape>
            <v:rect id="_x0000_s1074" style="position:absolute;left:673;top:2652;width:17;height:391" fillcolor="#4a7ebb" strokecolor="#4a7ebb" strokeweight="0"/>
            <v:rect id="_x0000_s1075" style="position:absolute;left:2230;top:2652;width:17;height:391" fillcolor="#4a7ebb" strokecolor="#4a7ebb" strokeweight="0"/>
            <v:rect id="_x0000_s1076" style="position:absolute;left:3762;top:2669;width:17;height:391" fillcolor="#4a7ebb" strokecolor="#4a7ebb" strokeweight="0"/>
            <v:rect id="_x0000_s1077" style="position:absolute;left:5302;top:2669;width:17;height:391" fillcolor="#4a7ebb" strokecolor="#4a7ebb" strokeweight="0"/>
            <v:rect id="_x0000_s1078" style="position:absolute;left:6800;top:2669;width:17;height:391" fillcolor="#4a7ebb" strokecolor="#4a7ebb" strokeweight="0"/>
            <v:rect id="_x0000_s1079" style="position:absolute;left:8282;top:2652;width:17;height:391" fillcolor="#4a7ebb" strokecolor="#4a7ebb" strokeweight="0"/>
            <v:rect id="_x0000_s1080" style="position:absolute;left:5429;top:1870;width:1102;height:17" fillcolor="#4a7ebb" strokecolor="#4a7ebb" strokeweight="0"/>
            <v:shape id="_x0000_s1081" style="position:absolute;left:673;top:2627;width:7609;height:34" coordsize="7609,34" path="m,l7609,17r,17l,17,,xe" fillcolor="#4a7ebb" strokecolor="#4a7ebb" strokeweight="0">
              <v:path arrowok="t"/>
            </v:shape>
            <v:rect id="_x0000_s1082" style="position:absolute;left:4536;top:2236;width:17;height:408" fillcolor="#4a7ebb" strokecolor="#4a7ebb" strokeweight="0"/>
            <v:rect id="_x0000_s1083" style="position:absolute;left:4486;top:765;width:17;height:723" fillcolor="#4a7ebb" strokecolor="#4a7ebb" strokeweight="0"/>
            <w10:wrap type="none"/>
            <w10:anchorlock/>
          </v:group>
        </w:pict>
      </w:r>
    </w:p>
    <w:p w:rsidR="00DF4183" w:rsidRPr="005524CC" w:rsidRDefault="00DF4183" w:rsidP="00F40A98">
      <w:pPr>
        <w:pStyle w:val="Default"/>
        <w:rPr>
          <w:rFonts w:asciiTheme="minorHAnsi" w:hAnsiTheme="minorHAnsi" w:cstheme="minorHAnsi"/>
          <w:b/>
          <w:i/>
          <w:lang w:val="sr-Latn-CS"/>
        </w:rPr>
      </w:pPr>
    </w:p>
    <w:p w:rsidR="00DF4183" w:rsidRPr="005524CC" w:rsidRDefault="00027D1E" w:rsidP="00F40A98">
      <w:pPr>
        <w:pStyle w:val="Default"/>
        <w:rPr>
          <w:rFonts w:asciiTheme="minorHAnsi" w:hAnsiTheme="minorHAnsi" w:cstheme="minorHAnsi"/>
          <w:b/>
          <w:i/>
          <w:lang w:val="sr-Latn-CS"/>
        </w:rPr>
      </w:pPr>
      <w:r w:rsidRPr="005524CC">
        <w:rPr>
          <w:rFonts w:asciiTheme="minorHAnsi" w:hAnsiTheme="minorHAnsi" w:cstheme="minorHAnsi"/>
          <w:b/>
          <w:i/>
          <w:lang w:val="sr-Latn-CS"/>
        </w:rPr>
        <w:t xml:space="preserve">Upravni direktor </w:t>
      </w:r>
      <w:r w:rsidR="00DF4183" w:rsidRPr="005524CC">
        <w:rPr>
          <w:rFonts w:asciiTheme="minorHAnsi" w:hAnsiTheme="minorHAnsi" w:cstheme="minorHAnsi"/>
          <w:b/>
          <w:i/>
          <w:lang w:val="sr-Latn-CS"/>
        </w:rPr>
        <w:t>(</w:t>
      </w:r>
      <w:r w:rsidRPr="005524CC">
        <w:rPr>
          <w:rFonts w:asciiTheme="minorHAnsi" w:hAnsiTheme="minorHAnsi" w:cstheme="minorHAnsi"/>
          <w:b/>
          <w:i/>
          <w:lang w:val="sr-Latn-CS"/>
        </w:rPr>
        <w:t>UD</w:t>
      </w:r>
      <w:r w:rsidR="00DF4183" w:rsidRPr="005524CC">
        <w:rPr>
          <w:rFonts w:asciiTheme="minorHAnsi" w:hAnsiTheme="minorHAnsi" w:cstheme="minorHAnsi"/>
          <w:b/>
          <w:i/>
          <w:lang w:val="sr-Latn-CS"/>
        </w:rPr>
        <w:t>)</w:t>
      </w:r>
    </w:p>
    <w:p w:rsidR="00DF4183" w:rsidRPr="005524CC" w:rsidRDefault="00DF4183" w:rsidP="00F40A98">
      <w:pPr>
        <w:pStyle w:val="Default"/>
        <w:rPr>
          <w:rFonts w:asciiTheme="minorHAnsi" w:hAnsiTheme="minorHAnsi" w:cstheme="minorHAnsi"/>
          <w:b/>
          <w:i/>
          <w:lang w:val="sr-Latn-CS"/>
        </w:rPr>
      </w:pPr>
    </w:p>
    <w:p w:rsidR="00DF4183" w:rsidRPr="005524CC" w:rsidRDefault="00471A8C" w:rsidP="00DF4183">
      <w:pPr>
        <w:spacing w:line="312" w:lineRule="auto"/>
        <w:rPr>
          <w:rFonts w:asciiTheme="minorHAnsi" w:hAnsiTheme="minorHAnsi" w:cstheme="minorHAnsi"/>
        </w:rPr>
      </w:pPr>
      <w:r w:rsidRPr="005524CC">
        <w:rPr>
          <w:rFonts w:asciiTheme="minorHAnsi" w:hAnsiTheme="minorHAnsi" w:cstheme="minorHAnsi"/>
        </w:rPr>
        <w:t>Upravni direktor upravlja svakodnevnim radom i aktivnostima RUE-a</w:t>
      </w:r>
      <w:r w:rsidR="00330D35" w:rsidRPr="005524CC">
        <w:rPr>
          <w:rFonts w:asciiTheme="minorHAnsi" w:hAnsiTheme="minorHAnsi" w:cstheme="minorHAnsi"/>
        </w:rPr>
        <w:t xml:space="preserve">, </w:t>
      </w:r>
      <w:r w:rsidRPr="005524CC">
        <w:rPr>
          <w:rFonts w:asciiTheme="minorHAnsi" w:hAnsiTheme="minorHAnsi" w:cstheme="minorHAnsi"/>
        </w:rPr>
        <w:t>kao i koordiniše aktivnostima između Odbora i profesionalnog i administrativnog osoblja</w:t>
      </w:r>
      <w:r w:rsidR="00DF4183" w:rsidRPr="005524CC">
        <w:rPr>
          <w:rFonts w:asciiTheme="minorHAnsi" w:hAnsiTheme="minorHAnsi" w:cstheme="minorHAnsi"/>
        </w:rPr>
        <w:t xml:space="preserve">; </w:t>
      </w:r>
      <w:r w:rsidRPr="005524CC">
        <w:rPr>
          <w:rFonts w:asciiTheme="minorHAnsi" w:hAnsiTheme="minorHAnsi" w:cstheme="minorHAnsi"/>
        </w:rPr>
        <w:t>odgovoran je za sprovođenje svih odluka Regulatornog odbora</w:t>
      </w:r>
      <w:r w:rsidR="00DF4183" w:rsidRPr="005524CC">
        <w:rPr>
          <w:rFonts w:asciiTheme="minorHAnsi" w:hAnsiTheme="minorHAnsi" w:cstheme="minorHAnsi"/>
        </w:rPr>
        <w:t xml:space="preserve">, </w:t>
      </w:r>
      <w:r w:rsidRPr="005524CC">
        <w:rPr>
          <w:rFonts w:asciiTheme="minorHAnsi" w:hAnsiTheme="minorHAnsi" w:cstheme="minorHAnsi"/>
        </w:rPr>
        <w:t xml:space="preserve">aktivno </w:t>
      </w:r>
      <w:r w:rsidR="00DF4183" w:rsidRPr="005524CC">
        <w:rPr>
          <w:rFonts w:asciiTheme="minorHAnsi" w:hAnsiTheme="minorHAnsi" w:cstheme="minorHAnsi"/>
        </w:rPr>
        <w:t>inform</w:t>
      </w:r>
      <w:r w:rsidRPr="005524CC">
        <w:rPr>
          <w:rFonts w:asciiTheme="minorHAnsi" w:hAnsiTheme="minorHAnsi" w:cstheme="minorHAnsi"/>
        </w:rPr>
        <w:t>iše i savetuje Odbor o razvojima u energetskom sektoru</w:t>
      </w:r>
      <w:r w:rsidR="00DF4183" w:rsidRPr="005524CC">
        <w:rPr>
          <w:rFonts w:asciiTheme="minorHAnsi" w:hAnsiTheme="minorHAnsi" w:cstheme="minorHAnsi"/>
        </w:rPr>
        <w:t xml:space="preserve">, </w:t>
      </w:r>
      <w:r w:rsidRPr="005524CC">
        <w:rPr>
          <w:rFonts w:asciiTheme="minorHAnsi" w:hAnsiTheme="minorHAnsi" w:cstheme="minorHAnsi"/>
        </w:rPr>
        <w:t xml:space="preserve">podržava Regulatorni odbor radi osiguranja da su sve aktivnosti </w:t>
      </w:r>
      <w:r w:rsidR="00DF4183" w:rsidRPr="005524CC">
        <w:rPr>
          <w:rFonts w:asciiTheme="minorHAnsi" w:hAnsiTheme="minorHAnsi" w:cstheme="minorHAnsi"/>
        </w:rPr>
        <w:t>Rregul</w:t>
      </w:r>
      <w:r w:rsidRPr="005524CC">
        <w:rPr>
          <w:rFonts w:asciiTheme="minorHAnsi" w:hAnsiTheme="minorHAnsi" w:cstheme="minorHAnsi"/>
        </w:rPr>
        <w:t>atora obavljane u skladu sa zakonima</w:t>
      </w:r>
      <w:r w:rsidR="00DF4183" w:rsidRPr="005524CC">
        <w:rPr>
          <w:rFonts w:asciiTheme="minorHAnsi" w:hAnsiTheme="minorHAnsi" w:cstheme="minorHAnsi"/>
        </w:rPr>
        <w:t xml:space="preserve">, </w:t>
      </w:r>
      <w:r w:rsidRPr="005524CC">
        <w:rPr>
          <w:rFonts w:asciiTheme="minorHAnsi" w:hAnsiTheme="minorHAnsi" w:cstheme="minorHAnsi"/>
        </w:rPr>
        <w:t>uredbama i politikama Rregul</w:t>
      </w:r>
      <w:r w:rsidR="00DF4183" w:rsidRPr="005524CC">
        <w:rPr>
          <w:rFonts w:asciiTheme="minorHAnsi" w:hAnsiTheme="minorHAnsi" w:cstheme="minorHAnsi"/>
        </w:rPr>
        <w:t>ator</w:t>
      </w:r>
      <w:r w:rsidRPr="005524CC">
        <w:rPr>
          <w:rFonts w:asciiTheme="minorHAnsi" w:hAnsiTheme="minorHAnsi" w:cstheme="minorHAnsi"/>
        </w:rPr>
        <w:t>a kao i nadgleda rad odeljenja Regulatora</w:t>
      </w:r>
      <w:r w:rsidR="00DF4183" w:rsidRPr="005524CC">
        <w:rPr>
          <w:rFonts w:asciiTheme="minorHAnsi" w:hAnsiTheme="minorHAnsi" w:cstheme="minorHAnsi"/>
        </w:rPr>
        <w:t xml:space="preserve">. </w:t>
      </w:r>
      <w:r w:rsidRPr="005524CC">
        <w:rPr>
          <w:rFonts w:asciiTheme="minorHAnsi" w:hAnsiTheme="minorHAnsi" w:cstheme="minorHAnsi"/>
        </w:rPr>
        <w:t>Upravni direktor izveštava i direktno odgovara Odboru i obavlja dužnost pod rukovodstvom i uputstvima Odbora</w:t>
      </w:r>
      <w:r w:rsidR="00DF4183" w:rsidRPr="005524CC">
        <w:rPr>
          <w:rFonts w:asciiTheme="minorHAnsi" w:hAnsiTheme="minorHAnsi" w:cstheme="minorHAnsi"/>
        </w:rPr>
        <w:t xml:space="preserve">, </w:t>
      </w:r>
      <w:r w:rsidRPr="005524CC">
        <w:rPr>
          <w:rFonts w:asciiTheme="minorHAnsi" w:hAnsiTheme="minorHAnsi" w:cstheme="minorHAnsi"/>
        </w:rPr>
        <w:t>u skladu sa Priručnikom o poslovanju Regulatora</w:t>
      </w:r>
      <w:r w:rsidR="00DF4183" w:rsidRPr="005524CC">
        <w:rPr>
          <w:rFonts w:asciiTheme="minorHAnsi" w:hAnsiTheme="minorHAnsi" w:cstheme="minorHAnsi"/>
        </w:rPr>
        <w:t>.</w:t>
      </w:r>
    </w:p>
    <w:p w:rsidR="00F40A98" w:rsidRPr="005524CC" w:rsidRDefault="00471A8C" w:rsidP="00F40A98">
      <w:pPr>
        <w:pStyle w:val="Default"/>
        <w:rPr>
          <w:rFonts w:asciiTheme="minorHAnsi" w:hAnsiTheme="minorHAnsi" w:cstheme="minorHAnsi"/>
          <w:lang w:val="sr-Latn-CS"/>
        </w:rPr>
      </w:pPr>
      <w:r w:rsidRPr="005524CC">
        <w:rPr>
          <w:rFonts w:asciiTheme="minorHAnsi" w:hAnsiTheme="minorHAnsi" w:cstheme="minorHAnsi"/>
          <w:b/>
          <w:i/>
          <w:lang w:val="sr-Latn-CS"/>
        </w:rPr>
        <w:lastRenderedPageBreak/>
        <w:t xml:space="preserve">Odeljenje za pravne poslove i licenciranje </w:t>
      </w:r>
      <w:r w:rsidR="00F40A98" w:rsidRPr="005524CC">
        <w:rPr>
          <w:rFonts w:asciiTheme="minorHAnsi" w:hAnsiTheme="minorHAnsi" w:cstheme="minorHAnsi"/>
          <w:b/>
          <w:i/>
          <w:lang w:val="sr-Latn-CS"/>
        </w:rPr>
        <w:t>(</w:t>
      </w:r>
      <w:r w:rsidRPr="005524CC">
        <w:rPr>
          <w:rFonts w:asciiTheme="minorHAnsi" w:hAnsiTheme="minorHAnsi" w:cstheme="minorHAnsi"/>
          <w:b/>
          <w:i/>
          <w:lang w:val="sr-Latn-CS"/>
        </w:rPr>
        <w:t>OPPL</w:t>
      </w:r>
      <w:r w:rsidR="00F40A98" w:rsidRPr="005524CC">
        <w:rPr>
          <w:rFonts w:asciiTheme="minorHAnsi" w:hAnsiTheme="minorHAnsi" w:cstheme="minorHAnsi"/>
          <w:b/>
          <w:i/>
          <w:lang w:val="sr-Latn-CS"/>
        </w:rPr>
        <w:t xml:space="preserve">) </w:t>
      </w:r>
    </w:p>
    <w:p w:rsidR="00F40A98" w:rsidRPr="005524CC" w:rsidRDefault="00F40A98" w:rsidP="00F40A98">
      <w:pPr>
        <w:spacing w:after="0" w:line="240" w:lineRule="auto"/>
        <w:rPr>
          <w:rFonts w:asciiTheme="minorHAnsi" w:hAnsiTheme="minorHAnsi" w:cstheme="minorHAnsi"/>
        </w:rPr>
      </w:pPr>
    </w:p>
    <w:p w:rsidR="00F40A98" w:rsidRPr="005524CC" w:rsidRDefault="00471A8C" w:rsidP="00F40A98">
      <w:pPr>
        <w:spacing w:line="312" w:lineRule="auto"/>
        <w:rPr>
          <w:rFonts w:asciiTheme="minorHAnsi" w:hAnsiTheme="minorHAnsi" w:cstheme="minorHAnsi"/>
        </w:rPr>
      </w:pPr>
      <w:r w:rsidRPr="005524CC">
        <w:rPr>
          <w:rFonts w:asciiTheme="minorHAnsi" w:hAnsiTheme="minorHAnsi" w:cstheme="minorHAnsi"/>
        </w:rPr>
        <w:t>Odeljenje za pravne poslove i licenciranje je odgovorno za razvoj sekundarnog zakonodavstva</w:t>
      </w:r>
      <w:r w:rsidR="00F40A98" w:rsidRPr="005524CC">
        <w:rPr>
          <w:rFonts w:asciiTheme="minorHAnsi" w:hAnsiTheme="minorHAnsi" w:cstheme="minorHAnsi"/>
        </w:rPr>
        <w:t xml:space="preserve">, </w:t>
      </w:r>
      <w:r w:rsidRPr="005524CC">
        <w:rPr>
          <w:rFonts w:asciiTheme="minorHAnsi" w:hAnsiTheme="minorHAnsi" w:cstheme="minorHAnsi"/>
        </w:rPr>
        <w:t>procenu aplikacija za licenciranje od strane energetskih preduzeća</w:t>
      </w:r>
      <w:r w:rsidR="00F40A98" w:rsidRPr="005524CC">
        <w:rPr>
          <w:rFonts w:asciiTheme="minorHAnsi" w:hAnsiTheme="minorHAnsi" w:cstheme="minorHAnsi"/>
        </w:rPr>
        <w:t xml:space="preserve">, </w:t>
      </w:r>
      <w:r w:rsidRPr="005524CC">
        <w:rPr>
          <w:rFonts w:asciiTheme="minorHAnsi" w:hAnsiTheme="minorHAnsi" w:cstheme="minorHAnsi"/>
        </w:rPr>
        <w:t>kao i procenu aplikacija za ovlašćivanje izgradnje novih kapaciteta</w:t>
      </w:r>
      <w:r w:rsidR="00F40A98" w:rsidRPr="005524CC">
        <w:rPr>
          <w:rFonts w:asciiTheme="minorHAnsi" w:hAnsiTheme="minorHAnsi" w:cstheme="minorHAnsi"/>
        </w:rPr>
        <w:t xml:space="preserve">. </w:t>
      </w:r>
      <w:r w:rsidRPr="005524CC">
        <w:rPr>
          <w:rFonts w:asciiTheme="minorHAnsi" w:hAnsiTheme="minorHAnsi" w:cstheme="minorHAnsi"/>
        </w:rPr>
        <w:t>Ovo odeljenje se takođe angažuje na nadgledanju i praćenju aktivnosti licenciranih</w:t>
      </w:r>
      <w:r w:rsidR="00F40A98" w:rsidRPr="005524CC">
        <w:rPr>
          <w:rFonts w:asciiTheme="minorHAnsi" w:hAnsiTheme="minorHAnsi" w:cstheme="minorHAnsi"/>
        </w:rPr>
        <w:t>.</w:t>
      </w:r>
    </w:p>
    <w:p w:rsidR="00F40A98" w:rsidRPr="005524CC" w:rsidRDefault="00471A8C" w:rsidP="00F40A98">
      <w:pPr>
        <w:pStyle w:val="Default"/>
        <w:rPr>
          <w:rFonts w:asciiTheme="minorHAnsi" w:hAnsiTheme="minorHAnsi" w:cstheme="minorHAnsi"/>
          <w:lang w:val="sr-Latn-CS"/>
        </w:rPr>
      </w:pPr>
      <w:r w:rsidRPr="005524CC">
        <w:rPr>
          <w:rFonts w:asciiTheme="minorHAnsi" w:hAnsiTheme="minorHAnsi" w:cstheme="minorHAnsi"/>
          <w:b/>
          <w:i/>
          <w:lang w:val="sr-Latn-CS"/>
        </w:rPr>
        <w:t>Odeljenje za snabdevanje energijom i strukturu tržišta (OS</w:t>
      </w:r>
      <w:r w:rsidR="00F40A98" w:rsidRPr="005524CC">
        <w:rPr>
          <w:rFonts w:asciiTheme="minorHAnsi" w:hAnsiTheme="minorHAnsi" w:cstheme="minorHAnsi"/>
          <w:b/>
          <w:i/>
          <w:lang w:val="sr-Latn-CS"/>
        </w:rPr>
        <w:t xml:space="preserve">EST) </w:t>
      </w:r>
    </w:p>
    <w:p w:rsidR="00F40A98" w:rsidRPr="005524CC" w:rsidRDefault="00F40A98" w:rsidP="00F40A98">
      <w:pPr>
        <w:spacing w:after="0" w:line="240" w:lineRule="auto"/>
        <w:rPr>
          <w:rFonts w:asciiTheme="minorHAnsi" w:hAnsiTheme="minorHAnsi" w:cstheme="minorHAnsi"/>
        </w:rPr>
      </w:pPr>
    </w:p>
    <w:p w:rsidR="00F40A98" w:rsidRPr="005524CC" w:rsidRDefault="00471A8C" w:rsidP="00F40A98">
      <w:pPr>
        <w:spacing w:line="312" w:lineRule="auto"/>
        <w:rPr>
          <w:rFonts w:asciiTheme="minorHAnsi" w:hAnsiTheme="minorHAnsi" w:cstheme="minorHAnsi"/>
        </w:rPr>
      </w:pPr>
      <w:r w:rsidRPr="005524CC">
        <w:rPr>
          <w:rFonts w:asciiTheme="minorHAnsi" w:hAnsiTheme="minorHAnsi" w:cstheme="minorHAnsi"/>
        </w:rPr>
        <w:t>Odeljenje za energetsko tržište je odgovorno za strukturu tržišta</w:t>
      </w:r>
      <w:r w:rsidR="00F40A98" w:rsidRPr="005524CC">
        <w:rPr>
          <w:rFonts w:asciiTheme="minorHAnsi" w:hAnsiTheme="minorHAnsi" w:cstheme="minorHAnsi"/>
        </w:rPr>
        <w:t xml:space="preserve">, </w:t>
      </w:r>
      <w:r w:rsidRPr="005524CC">
        <w:rPr>
          <w:rFonts w:asciiTheme="minorHAnsi" w:hAnsiTheme="minorHAnsi" w:cstheme="minorHAnsi"/>
        </w:rPr>
        <w:t>nadgledanje učinka učesnika na tržištu</w:t>
      </w:r>
      <w:r w:rsidR="00F40A98" w:rsidRPr="005524CC">
        <w:rPr>
          <w:rFonts w:asciiTheme="minorHAnsi" w:hAnsiTheme="minorHAnsi" w:cstheme="minorHAnsi"/>
        </w:rPr>
        <w:t xml:space="preserve">, </w:t>
      </w:r>
      <w:r w:rsidRPr="005524CC">
        <w:rPr>
          <w:rFonts w:asciiTheme="minorHAnsi" w:hAnsiTheme="minorHAnsi" w:cstheme="minorHAnsi"/>
        </w:rPr>
        <w:t>procenu i analiziranje podataka u energetskom sektoru</w:t>
      </w:r>
      <w:r w:rsidR="00F40A98" w:rsidRPr="005524CC">
        <w:rPr>
          <w:rFonts w:asciiTheme="minorHAnsi" w:hAnsiTheme="minorHAnsi" w:cstheme="minorHAnsi"/>
        </w:rPr>
        <w:t xml:space="preserve">. </w:t>
      </w:r>
      <w:r w:rsidRPr="005524CC">
        <w:rPr>
          <w:rFonts w:asciiTheme="minorHAnsi" w:hAnsiTheme="minorHAnsi" w:cstheme="minorHAnsi"/>
        </w:rPr>
        <w:t>Odeljenje takođe nadgleda konkurenciju i ponašanje učesnika na objektivan, transparentan i ne-diskriminatoran način</w:t>
      </w:r>
      <w:r w:rsidR="00F40A98" w:rsidRPr="005524CC">
        <w:rPr>
          <w:rFonts w:asciiTheme="minorHAnsi" w:hAnsiTheme="minorHAnsi" w:cstheme="minorHAnsi"/>
        </w:rPr>
        <w:t>.</w:t>
      </w:r>
    </w:p>
    <w:p w:rsidR="00F40A98" w:rsidRPr="005524CC" w:rsidRDefault="00471A8C" w:rsidP="00F40A98">
      <w:pPr>
        <w:pStyle w:val="Default"/>
        <w:rPr>
          <w:rFonts w:asciiTheme="minorHAnsi" w:hAnsiTheme="minorHAnsi" w:cstheme="minorHAnsi"/>
          <w:lang w:val="sr-Latn-CS"/>
        </w:rPr>
      </w:pPr>
      <w:r w:rsidRPr="005524CC">
        <w:rPr>
          <w:rFonts w:asciiTheme="minorHAnsi" w:hAnsiTheme="minorHAnsi" w:cstheme="minorHAnsi"/>
          <w:b/>
          <w:i/>
          <w:lang w:val="sr-Latn-CS"/>
        </w:rPr>
        <w:t>Odeljenje za tarife i cene (OTC</w:t>
      </w:r>
      <w:r w:rsidR="00F40A98" w:rsidRPr="005524CC">
        <w:rPr>
          <w:rFonts w:asciiTheme="minorHAnsi" w:hAnsiTheme="minorHAnsi" w:cstheme="minorHAnsi"/>
          <w:b/>
          <w:i/>
          <w:lang w:val="sr-Latn-CS"/>
        </w:rPr>
        <w:t xml:space="preserve">) </w:t>
      </w:r>
    </w:p>
    <w:p w:rsidR="00F40A98" w:rsidRPr="005524CC" w:rsidRDefault="00F40A98" w:rsidP="00F40A98">
      <w:pPr>
        <w:spacing w:after="0" w:line="240" w:lineRule="auto"/>
        <w:rPr>
          <w:rFonts w:asciiTheme="minorHAnsi" w:hAnsiTheme="minorHAnsi" w:cstheme="minorHAnsi"/>
        </w:rPr>
      </w:pPr>
    </w:p>
    <w:p w:rsidR="00F40A98" w:rsidRPr="005524CC" w:rsidRDefault="00471A8C" w:rsidP="00F40A98">
      <w:pPr>
        <w:spacing w:line="312" w:lineRule="auto"/>
        <w:rPr>
          <w:rFonts w:asciiTheme="minorHAnsi" w:hAnsiTheme="minorHAnsi" w:cstheme="minorHAnsi"/>
        </w:rPr>
      </w:pPr>
      <w:r w:rsidRPr="005524CC">
        <w:rPr>
          <w:rFonts w:asciiTheme="minorHAnsi" w:hAnsiTheme="minorHAnsi" w:cstheme="minorHAnsi"/>
        </w:rPr>
        <w:t xml:space="preserve">Odeljenje za tarife i cene je odgovorno za procenu </w:t>
      </w:r>
      <w:r w:rsidR="00E150C9" w:rsidRPr="005524CC">
        <w:rPr>
          <w:rFonts w:asciiTheme="minorHAnsi" w:hAnsiTheme="minorHAnsi" w:cstheme="minorHAnsi"/>
        </w:rPr>
        <w:t>tarifnih aplikacija licenciranih preduzeća</w:t>
      </w:r>
      <w:r w:rsidR="00F40A98" w:rsidRPr="005524CC">
        <w:rPr>
          <w:rFonts w:asciiTheme="minorHAnsi" w:hAnsiTheme="minorHAnsi" w:cstheme="minorHAnsi"/>
        </w:rPr>
        <w:t xml:space="preserve">, </w:t>
      </w:r>
      <w:r w:rsidR="00E150C9" w:rsidRPr="005524CC">
        <w:rPr>
          <w:rFonts w:asciiTheme="minorHAnsi" w:hAnsiTheme="minorHAnsi" w:cstheme="minorHAnsi"/>
        </w:rPr>
        <w:t>koje se podnose Odboru za usvajanje</w:t>
      </w:r>
      <w:r w:rsidR="00F40A98" w:rsidRPr="005524CC">
        <w:rPr>
          <w:rFonts w:asciiTheme="minorHAnsi" w:hAnsiTheme="minorHAnsi" w:cstheme="minorHAnsi"/>
        </w:rPr>
        <w:t xml:space="preserve">, </w:t>
      </w:r>
      <w:r w:rsidR="00E150C9" w:rsidRPr="005524CC">
        <w:rPr>
          <w:rFonts w:asciiTheme="minorHAnsi" w:hAnsiTheme="minorHAnsi" w:cstheme="minorHAnsi"/>
        </w:rPr>
        <w:t>nadgledanje sprovođenja operativnih i kapitalnih troškova kroz razmatranje tarifa</w:t>
      </w:r>
      <w:r w:rsidR="00F40A98" w:rsidRPr="005524CC">
        <w:rPr>
          <w:rFonts w:asciiTheme="minorHAnsi" w:hAnsiTheme="minorHAnsi" w:cstheme="minorHAnsi"/>
        </w:rPr>
        <w:t xml:space="preserve">; </w:t>
      </w:r>
      <w:r w:rsidR="00E150C9" w:rsidRPr="005524CC">
        <w:rPr>
          <w:rFonts w:asciiTheme="minorHAnsi" w:hAnsiTheme="minorHAnsi" w:cstheme="minorHAnsi"/>
        </w:rPr>
        <w:t xml:space="preserve">preduzimanje svih mera radi osiguranja da </w:t>
      </w:r>
      <w:r w:rsidR="00F40A98" w:rsidRPr="005524CC">
        <w:rPr>
          <w:rFonts w:asciiTheme="minorHAnsi" w:hAnsiTheme="minorHAnsi" w:cstheme="minorHAnsi"/>
        </w:rPr>
        <w:t>tarif</w:t>
      </w:r>
      <w:r w:rsidR="00E150C9" w:rsidRPr="005524CC">
        <w:rPr>
          <w:rFonts w:asciiTheme="minorHAnsi" w:hAnsiTheme="minorHAnsi" w:cstheme="minorHAnsi"/>
        </w:rPr>
        <w:t>e budu održavajući troškovi</w:t>
      </w:r>
      <w:r w:rsidR="00F40A98" w:rsidRPr="005524CC">
        <w:rPr>
          <w:rFonts w:asciiTheme="minorHAnsi" w:hAnsiTheme="minorHAnsi" w:cstheme="minorHAnsi"/>
        </w:rPr>
        <w:t xml:space="preserve">, </w:t>
      </w:r>
      <w:r w:rsidR="00E150C9" w:rsidRPr="005524CC">
        <w:rPr>
          <w:rFonts w:asciiTheme="minorHAnsi" w:hAnsiTheme="minorHAnsi" w:cstheme="minorHAnsi"/>
        </w:rPr>
        <w:t>razumni, ne</w:t>
      </w:r>
      <w:r w:rsidR="00F40A98" w:rsidRPr="005524CC">
        <w:rPr>
          <w:rFonts w:asciiTheme="minorHAnsi" w:hAnsiTheme="minorHAnsi" w:cstheme="minorHAnsi"/>
        </w:rPr>
        <w:t>-diskrimin</w:t>
      </w:r>
      <w:r w:rsidR="00E150C9" w:rsidRPr="005524CC">
        <w:rPr>
          <w:rFonts w:asciiTheme="minorHAnsi" w:hAnsiTheme="minorHAnsi" w:cstheme="minorHAnsi"/>
        </w:rPr>
        <w:t>atorni i zasnovani na objektivnim kriterijumima</w:t>
      </w:r>
      <w:r w:rsidR="00F40A98" w:rsidRPr="005524CC">
        <w:rPr>
          <w:rFonts w:asciiTheme="minorHAnsi" w:hAnsiTheme="minorHAnsi" w:cstheme="minorHAnsi"/>
        </w:rPr>
        <w:t xml:space="preserve">, </w:t>
      </w:r>
      <w:r w:rsidR="00E150C9" w:rsidRPr="005524CC">
        <w:rPr>
          <w:rFonts w:asciiTheme="minorHAnsi" w:hAnsiTheme="minorHAnsi" w:cstheme="minorHAnsi"/>
        </w:rPr>
        <w:t>kao i određene na transparentan način</w:t>
      </w:r>
      <w:r w:rsidR="00F40A98" w:rsidRPr="005524CC">
        <w:rPr>
          <w:rFonts w:asciiTheme="minorHAnsi" w:hAnsiTheme="minorHAnsi" w:cstheme="minorHAnsi"/>
        </w:rPr>
        <w:t xml:space="preserve">, </w:t>
      </w:r>
      <w:r w:rsidR="00E150C9" w:rsidRPr="005524CC">
        <w:rPr>
          <w:rFonts w:asciiTheme="minorHAnsi" w:hAnsiTheme="minorHAnsi" w:cstheme="minorHAnsi"/>
        </w:rPr>
        <w:t>uzimajući u obzir zaštitu potrošača</w:t>
      </w:r>
      <w:r w:rsidR="00F40A98" w:rsidRPr="005524CC">
        <w:rPr>
          <w:rFonts w:asciiTheme="minorHAnsi" w:hAnsiTheme="minorHAnsi" w:cstheme="minorHAnsi"/>
        </w:rPr>
        <w:t>.</w:t>
      </w:r>
    </w:p>
    <w:p w:rsidR="00F40A98" w:rsidRPr="005524CC" w:rsidRDefault="00E150C9" w:rsidP="00F40A98">
      <w:pPr>
        <w:pStyle w:val="Default"/>
        <w:rPr>
          <w:rFonts w:asciiTheme="minorHAnsi" w:hAnsiTheme="minorHAnsi" w:cstheme="minorHAnsi"/>
          <w:lang w:val="sr-Latn-CS"/>
        </w:rPr>
      </w:pPr>
      <w:r w:rsidRPr="005524CC">
        <w:rPr>
          <w:rFonts w:asciiTheme="minorHAnsi" w:hAnsiTheme="minorHAnsi" w:cstheme="minorHAnsi"/>
          <w:b/>
          <w:i/>
          <w:lang w:val="sr-Latn-CS"/>
        </w:rPr>
        <w:t xml:space="preserve">Odeljenje za zaštitu potrošača </w:t>
      </w:r>
      <w:r w:rsidR="00F40A98" w:rsidRPr="005524CC">
        <w:rPr>
          <w:rFonts w:asciiTheme="minorHAnsi" w:hAnsiTheme="minorHAnsi" w:cstheme="minorHAnsi"/>
          <w:b/>
          <w:i/>
          <w:lang w:val="sr-Latn-CS"/>
        </w:rPr>
        <w:t>(</w:t>
      </w:r>
      <w:r w:rsidRPr="005524CC">
        <w:rPr>
          <w:rFonts w:asciiTheme="minorHAnsi" w:hAnsiTheme="minorHAnsi" w:cstheme="minorHAnsi"/>
          <w:b/>
          <w:i/>
          <w:lang w:val="sr-Latn-CS"/>
        </w:rPr>
        <w:t>OZP</w:t>
      </w:r>
      <w:r w:rsidR="00F40A98" w:rsidRPr="005524CC">
        <w:rPr>
          <w:rFonts w:asciiTheme="minorHAnsi" w:hAnsiTheme="minorHAnsi" w:cstheme="minorHAnsi"/>
          <w:b/>
          <w:i/>
          <w:lang w:val="sr-Latn-CS"/>
        </w:rPr>
        <w:t xml:space="preserve">) </w:t>
      </w:r>
    </w:p>
    <w:p w:rsidR="00F40A98" w:rsidRPr="005524CC" w:rsidRDefault="00F40A98" w:rsidP="00F40A98">
      <w:pPr>
        <w:spacing w:after="0" w:line="240" w:lineRule="auto"/>
        <w:rPr>
          <w:rFonts w:asciiTheme="minorHAnsi" w:hAnsiTheme="minorHAnsi" w:cstheme="minorHAnsi"/>
          <w:sz w:val="24"/>
        </w:rPr>
      </w:pPr>
    </w:p>
    <w:p w:rsidR="00F40A98" w:rsidRPr="005524CC" w:rsidRDefault="00E150C9" w:rsidP="00F40A98">
      <w:pPr>
        <w:rPr>
          <w:rFonts w:asciiTheme="minorHAnsi" w:hAnsiTheme="minorHAnsi" w:cstheme="minorHAnsi"/>
        </w:rPr>
      </w:pPr>
      <w:r w:rsidRPr="005524CC">
        <w:rPr>
          <w:rFonts w:asciiTheme="minorHAnsi" w:hAnsiTheme="minorHAnsi" w:cstheme="minorHAnsi"/>
        </w:rPr>
        <w:t>Odeljenje za zaštitu potrošača je odgovorno za razmatranje i rešavanje žalbi i nesporazuma između potrošača i energetskih preduzeća, operatera sistema i energetskih preduzeća</w:t>
      </w:r>
      <w:r w:rsidR="00F40A98" w:rsidRPr="005524CC">
        <w:rPr>
          <w:rFonts w:asciiTheme="minorHAnsi" w:hAnsiTheme="minorHAnsi" w:cstheme="minorHAnsi"/>
        </w:rPr>
        <w:t xml:space="preserve">, </w:t>
      </w:r>
      <w:r w:rsidRPr="005524CC">
        <w:rPr>
          <w:rFonts w:asciiTheme="minorHAnsi" w:hAnsiTheme="minorHAnsi" w:cstheme="minorHAnsi"/>
        </w:rPr>
        <w:t>i kroz energetska preduzeća</w:t>
      </w:r>
      <w:r w:rsidR="00F40A98" w:rsidRPr="005524CC">
        <w:rPr>
          <w:rFonts w:asciiTheme="minorHAnsi" w:hAnsiTheme="minorHAnsi" w:cstheme="minorHAnsi"/>
        </w:rPr>
        <w:t xml:space="preserve">. </w:t>
      </w:r>
      <w:r w:rsidRPr="005524CC">
        <w:rPr>
          <w:rFonts w:asciiTheme="minorHAnsi" w:hAnsiTheme="minorHAnsi" w:cstheme="minorHAnsi"/>
        </w:rPr>
        <w:t>Pri obavljaju svojih obaveza i odgovornosti</w:t>
      </w:r>
      <w:r w:rsidR="00F40A98" w:rsidRPr="005524CC">
        <w:rPr>
          <w:rFonts w:asciiTheme="minorHAnsi" w:hAnsiTheme="minorHAnsi" w:cstheme="minorHAnsi"/>
        </w:rPr>
        <w:t xml:space="preserve">, </w:t>
      </w:r>
      <w:r w:rsidRPr="005524CC">
        <w:rPr>
          <w:rFonts w:asciiTheme="minorHAnsi" w:hAnsiTheme="minorHAnsi" w:cstheme="minorHAnsi"/>
        </w:rPr>
        <w:t>ovo odeljenje sarađuje sa svim institucijama i organizacijama koje zastupaju potrošače</w:t>
      </w:r>
      <w:r w:rsidR="00F40A98" w:rsidRPr="005524CC">
        <w:rPr>
          <w:rFonts w:asciiTheme="minorHAnsi" w:hAnsiTheme="minorHAnsi" w:cstheme="minorHAnsi"/>
        </w:rPr>
        <w:t>.</w:t>
      </w:r>
    </w:p>
    <w:p w:rsidR="00F40A98" w:rsidRPr="005524CC" w:rsidRDefault="00E150C9" w:rsidP="00F40A98">
      <w:pPr>
        <w:pStyle w:val="Default"/>
        <w:rPr>
          <w:rFonts w:asciiTheme="minorHAnsi" w:hAnsiTheme="minorHAnsi" w:cstheme="minorHAnsi"/>
          <w:lang w:val="sr-Latn-CS"/>
        </w:rPr>
      </w:pPr>
      <w:r w:rsidRPr="005524CC">
        <w:rPr>
          <w:rFonts w:asciiTheme="minorHAnsi" w:hAnsiTheme="minorHAnsi" w:cstheme="minorHAnsi"/>
          <w:b/>
          <w:i/>
          <w:lang w:val="sr-Latn-CS"/>
        </w:rPr>
        <w:t xml:space="preserve">Odeljenje za toplotnu energiju i prirodni gas </w:t>
      </w:r>
      <w:r w:rsidR="00F40A98" w:rsidRPr="005524CC">
        <w:rPr>
          <w:rFonts w:asciiTheme="minorHAnsi" w:hAnsiTheme="minorHAnsi" w:cstheme="minorHAnsi"/>
          <w:b/>
          <w:i/>
          <w:lang w:val="sr-Latn-CS"/>
        </w:rPr>
        <w:t>(</w:t>
      </w:r>
      <w:r w:rsidRPr="005524CC">
        <w:rPr>
          <w:rFonts w:asciiTheme="minorHAnsi" w:hAnsiTheme="minorHAnsi" w:cstheme="minorHAnsi"/>
          <w:b/>
          <w:i/>
          <w:lang w:val="sr-Latn-CS"/>
        </w:rPr>
        <w:t>OTEPG</w:t>
      </w:r>
      <w:r w:rsidR="00F40A98" w:rsidRPr="005524CC">
        <w:rPr>
          <w:rFonts w:asciiTheme="minorHAnsi" w:hAnsiTheme="minorHAnsi" w:cstheme="minorHAnsi"/>
          <w:b/>
          <w:i/>
          <w:lang w:val="sr-Latn-CS"/>
        </w:rPr>
        <w:t xml:space="preserve">) </w:t>
      </w:r>
    </w:p>
    <w:p w:rsidR="00F40A98" w:rsidRPr="005524CC" w:rsidRDefault="00F40A98" w:rsidP="00F40A98">
      <w:pPr>
        <w:spacing w:after="0" w:line="240" w:lineRule="auto"/>
        <w:rPr>
          <w:rFonts w:asciiTheme="minorHAnsi" w:hAnsiTheme="minorHAnsi" w:cstheme="minorHAnsi"/>
          <w:sz w:val="24"/>
        </w:rPr>
      </w:pPr>
    </w:p>
    <w:p w:rsidR="00F40A98" w:rsidRPr="005524CC" w:rsidRDefault="00E150C9" w:rsidP="00F40A98">
      <w:pPr>
        <w:rPr>
          <w:rFonts w:asciiTheme="minorHAnsi" w:hAnsiTheme="minorHAnsi" w:cstheme="minorHAnsi"/>
        </w:rPr>
      </w:pPr>
      <w:r w:rsidRPr="005524CC">
        <w:rPr>
          <w:rFonts w:asciiTheme="minorHAnsi" w:hAnsiTheme="minorHAnsi" w:cstheme="minorHAnsi"/>
        </w:rPr>
        <w:t>Odeljenje za toplotnu energiju i prirodni gas je odgovorno za razmatranje i sprovođenje strategija</w:t>
      </w:r>
      <w:r w:rsidR="00F40A98" w:rsidRPr="005524CC">
        <w:rPr>
          <w:rFonts w:asciiTheme="minorHAnsi" w:hAnsiTheme="minorHAnsi" w:cstheme="minorHAnsi"/>
        </w:rPr>
        <w:t>, standard</w:t>
      </w:r>
      <w:r w:rsidRPr="005524CC">
        <w:rPr>
          <w:rFonts w:asciiTheme="minorHAnsi" w:hAnsiTheme="minorHAnsi" w:cstheme="minorHAnsi"/>
        </w:rPr>
        <w:t>a učinka i ostalih operativnih praksi u slični sektorima</w:t>
      </w:r>
      <w:r w:rsidR="00F40A98" w:rsidRPr="005524CC">
        <w:rPr>
          <w:rFonts w:asciiTheme="minorHAnsi" w:hAnsiTheme="minorHAnsi" w:cstheme="minorHAnsi"/>
        </w:rPr>
        <w:t xml:space="preserve">. </w:t>
      </w:r>
      <w:r w:rsidRPr="005524CC">
        <w:rPr>
          <w:rFonts w:asciiTheme="minorHAnsi" w:hAnsiTheme="minorHAnsi" w:cstheme="minorHAnsi"/>
        </w:rPr>
        <w:t>Ovo odeljenje rukovodi procesom tarifnih razmatranja preduzeća toplotne energije i obavlja nadgledanje licenciranih preduzeća</w:t>
      </w:r>
      <w:r w:rsidR="009C59CD" w:rsidRPr="005524CC">
        <w:rPr>
          <w:rFonts w:asciiTheme="minorHAnsi" w:hAnsiTheme="minorHAnsi" w:cstheme="minorHAnsi"/>
        </w:rPr>
        <w:t>,</w:t>
      </w:r>
      <w:r w:rsidRPr="005524CC">
        <w:rPr>
          <w:rFonts w:asciiTheme="minorHAnsi" w:hAnsiTheme="minorHAnsi" w:cstheme="minorHAnsi"/>
        </w:rPr>
        <w:t xml:space="preserve"> kao i takođe doprinosi razvoju sistema izveštavanja preduzeća centralnog grejanja</w:t>
      </w:r>
      <w:r w:rsidR="00F40A98" w:rsidRPr="005524CC">
        <w:rPr>
          <w:rFonts w:asciiTheme="minorHAnsi" w:hAnsiTheme="minorHAnsi" w:cstheme="minorHAnsi"/>
        </w:rPr>
        <w:t xml:space="preserve">. </w:t>
      </w:r>
      <w:r w:rsidRPr="005524CC">
        <w:rPr>
          <w:rFonts w:asciiTheme="minorHAnsi" w:hAnsiTheme="minorHAnsi" w:cstheme="minorHAnsi"/>
        </w:rPr>
        <w:t>OTEPG takođe sarađuje sa ostalim odeljenjima RUE-a</w:t>
      </w:r>
      <w:r w:rsidR="00F40A98" w:rsidRPr="005524CC">
        <w:rPr>
          <w:rFonts w:asciiTheme="minorHAnsi" w:hAnsiTheme="minorHAnsi" w:cstheme="minorHAnsi"/>
        </w:rPr>
        <w:t xml:space="preserve">, </w:t>
      </w:r>
      <w:r w:rsidRPr="005524CC">
        <w:rPr>
          <w:rFonts w:asciiTheme="minorHAnsi" w:hAnsiTheme="minorHAnsi" w:cstheme="minorHAnsi"/>
        </w:rPr>
        <w:t>osigurajući tehničku podršku i ekspertizu po pitanjima koja se nadovezuju sa toplotnom energijom i prirodnim gasom</w:t>
      </w:r>
      <w:r w:rsidR="00F40A98" w:rsidRPr="005524CC">
        <w:rPr>
          <w:rFonts w:asciiTheme="minorHAnsi" w:hAnsiTheme="minorHAnsi" w:cstheme="minorHAnsi"/>
        </w:rPr>
        <w:t>.</w:t>
      </w:r>
    </w:p>
    <w:p w:rsidR="00F40A98" w:rsidRPr="005524CC" w:rsidRDefault="00E150C9" w:rsidP="00F40A98">
      <w:pPr>
        <w:pStyle w:val="Default"/>
        <w:rPr>
          <w:rFonts w:asciiTheme="minorHAnsi" w:hAnsiTheme="minorHAnsi" w:cstheme="minorHAnsi"/>
          <w:lang w:val="sr-Latn-CS"/>
        </w:rPr>
      </w:pPr>
      <w:r w:rsidRPr="005524CC">
        <w:rPr>
          <w:rFonts w:asciiTheme="minorHAnsi" w:hAnsiTheme="minorHAnsi" w:cstheme="minorHAnsi"/>
          <w:b/>
          <w:i/>
          <w:lang w:val="sr-Latn-CS"/>
        </w:rPr>
        <w:t>Jedinica administracije (J</w:t>
      </w:r>
      <w:r w:rsidR="00F40A98" w:rsidRPr="005524CC">
        <w:rPr>
          <w:rFonts w:asciiTheme="minorHAnsi" w:hAnsiTheme="minorHAnsi" w:cstheme="minorHAnsi"/>
          <w:b/>
          <w:i/>
          <w:lang w:val="sr-Latn-CS"/>
        </w:rPr>
        <w:t xml:space="preserve">A) </w:t>
      </w:r>
    </w:p>
    <w:p w:rsidR="00DF4183" w:rsidRPr="005524CC" w:rsidRDefault="00DF4183" w:rsidP="00DF4183">
      <w:pPr>
        <w:spacing w:after="0" w:line="240" w:lineRule="auto"/>
        <w:rPr>
          <w:rFonts w:asciiTheme="minorHAnsi" w:hAnsiTheme="minorHAnsi" w:cstheme="minorHAnsi"/>
        </w:rPr>
      </w:pPr>
    </w:p>
    <w:p w:rsidR="00F40A98" w:rsidRPr="005524CC" w:rsidRDefault="00E150C9" w:rsidP="00F40A98">
      <w:pPr>
        <w:rPr>
          <w:rFonts w:asciiTheme="minorHAnsi" w:hAnsiTheme="minorHAnsi" w:cstheme="minorHAnsi"/>
        </w:rPr>
      </w:pPr>
      <w:r w:rsidRPr="005524CC">
        <w:rPr>
          <w:rFonts w:asciiTheme="minorHAnsi" w:hAnsiTheme="minorHAnsi" w:cstheme="minorHAnsi"/>
        </w:rPr>
        <w:t>Jedinica administracije podržava funkcionisanje RUE-a</w:t>
      </w:r>
      <w:r w:rsidR="00F40A98" w:rsidRPr="005524CC">
        <w:rPr>
          <w:rFonts w:asciiTheme="minorHAnsi" w:hAnsiTheme="minorHAnsi" w:cstheme="minorHAnsi"/>
        </w:rPr>
        <w:t xml:space="preserve">, </w:t>
      </w:r>
      <w:r w:rsidRPr="005524CC">
        <w:rPr>
          <w:rFonts w:asciiTheme="minorHAnsi" w:hAnsiTheme="minorHAnsi" w:cstheme="minorHAnsi"/>
        </w:rPr>
        <w:t>pružajući administraciju finansijama</w:t>
      </w:r>
      <w:r w:rsidR="00F40A98" w:rsidRPr="005524CC">
        <w:rPr>
          <w:rFonts w:asciiTheme="minorHAnsi" w:hAnsiTheme="minorHAnsi" w:cstheme="minorHAnsi"/>
        </w:rPr>
        <w:t xml:space="preserve">, </w:t>
      </w:r>
      <w:r w:rsidRPr="005524CC">
        <w:rPr>
          <w:rFonts w:asciiTheme="minorHAnsi" w:hAnsiTheme="minorHAnsi" w:cstheme="minorHAnsi"/>
        </w:rPr>
        <w:t>organizovanje efektivnih procedura regrutovanja od strane RUE-a</w:t>
      </w:r>
      <w:r w:rsidR="00F40A98" w:rsidRPr="005524CC">
        <w:rPr>
          <w:rFonts w:asciiTheme="minorHAnsi" w:hAnsiTheme="minorHAnsi" w:cstheme="minorHAnsi"/>
        </w:rPr>
        <w:t>, koordin</w:t>
      </w:r>
      <w:r w:rsidRPr="005524CC">
        <w:rPr>
          <w:rFonts w:asciiTheme="minorHAnsi" w:hAnsiTheme="minorHAnsi" w:cstheme="minorHAnsi"/>
        </w:rPr>
        <w:t>aciju obučavanja osoblja RUE-a</w:t>
      </w:r>
      <w:r w:rsidR="00F40A98" w:rsidRPr="005524CC">
        <w:rPr>
          <w:rFonts w:asciiTheme="minorHAnsi" w:hAnsiTheme="minorHAnsi" w:cstheme="minorHAnsi"/>
        </w:rPr>
        <w:t xml:space="preserve">, </w:t>
      </w:r>
      <w:r w:rsidRPr="005524CC">
        <w:rPr>
          <w:rFonts w:asciiTheme="minorHAnsi" w:hAnsiTheme="minorHAnsi" w:cstheme="minorHAnsi"/>
        </w:rPr>
        <w:t>snabdevanje i održavanje snabdevanja za kancelarije</w:t>
      </w:r>
      <w:r w:rsidR="00F40A98" w:rsidRPr="005524CC">
        <w:rPr>
          <w:rFonts w:asciiTheme="minorHAnsi" w:hAnsiTheme="minorHAnsi" w:cstheme="minorHAnsi"/>
        </w:rPr>
        <w:t xml:space="preserve">, </w:t>
      </w:r>
      <w:r w:rsidRPr="005524CC">
        <w:rPr>
          <w:rFonts w:asciiTheme="minorHAnsi" w:hAnsiTheme="minorHAnsi" w:cstheme="minorHAnsi"/>
        </w:rPr>
        <w:t>i pomaže u regulisanju kancelarija</w:t>
      </w:r>
      <w:r w:rsidR="00F40A98" w:rsidRPr="005524CC">
        <w:rPr>
          <w:rFonts w:asciiTheme="minorHAnsi" w:hAnsiTheme="minorHAnsi" w:cstheme="minorHAnsi"/>
        </w:rPr>
        <w:t xml:space="preserve">, </w:t>
      </w:r>
      <w:r w:rsidRPr="005524CC">
        <w:rPr>
          <w:rFonts w:asciiTheme="minorHAnsi" w:hAnsiTheme="minorHAnsi" w:cstheme="minorHAnsi"/>
        </w:rPr>
        <w:t>davanju prostorija koje su pogodne za korišćenje od strane osoblja RUE-a</w:t>
      </w:r>
      <w:r w:rsidR="00F40A98" w:rsidRPr="005524CC">
        <w:rPr>
          <w:rFonts w:asciiTheme="minorHAnsi" w:hAnsiTheme="minorHAnsi" w:cstheme="minorHAnsi"/>
        </w:rPr>
        <w:t>.</w:t>
      </w:r>
    </w:p>
    <w:p w:rsidR="007C6A94" w:rsidRPr="005524CC" w:rsidRDefault="00E150C9" w:rsidP="002D1940">
      <w:pPr>
        <w:pStyle w:val="Heading2"/>
        <w:rPr>
          <w:rFonts w:asciiTheme="minorHAnsi" w:hAnsiTheme="minorHAnsi" w:cstheme="minorHAnsi"/>
        </w:rPr>
      </w:pPr>
      <w:bookmarkStart w:id="5" w:name="_Toc56589715"/>
      <w:r w:rsidRPr="005524CC">
        <w:rPr>
          <w:rFonts w:asciiTheme="minorHAnsi" w:hAnsiTheme="minorHAnsi" w:cstheme="minorHAnsi"/>
        </w:rPr>
        <w:lastRenderedPageBreak/>
        <w:t>Poslovanje RUE-a</w:t>
      </w:r>
      <w:bookmarkEnd w:id="5"/>
      <w:r w:rsidRPr="005524CC">
        <w:rPr>
          <w:rFonts w:asciiTheme="minorHAnsi" w:hAnsiTheme="minorHAnsi" w:cstheme="minorHAnsi"/>
        </w:rPr>
        <w:t xml:space="preserve"> </w:t>
      </w:r>
    </w:p>
    <w:p w:rsidR="003F6EEB" w:rsidRPr="005524CC" w:rsidRDefault="00615F12" w:rsidP="003F6EEB">
      <w:pPr>
        <w:spacing w:line="312" w:lineRule="auto"/>
        <w:rPr>
          <w:rFonts w:asciiTheme="minorHAnsi" w:hAnsiTheme="minorHAnsi" w:cstheme="minorHAnsi"/>
        </w:rPr>
      </w:pPr>
      <w:r w:rsidRPr="005524CC">
        <w:rPr>
          <w:rFonts w:asciiTheme="minorHAnsi" w:hAnsiTheme="minorHAnsi" w:cstheme="minorHAnsi"/>
        </w:rPr>
        <w:t>Što se tiče procedure</w:t>
      </w:r>
      <w:r w:rsidR="003F6EEB" w:rsidRPr="005524CC">
        <w:rPr>
          <w:rFonts w:asciiTheme="minorHAnsi" w:hAnsiTheme="minorHAnsi" w:cstheme="minorHAnsi"/>
        </w:rPr>
        <w:t xml:space="preserve">, </w:t>
      </w:r>
      <w:r w:rsidRPr="005524CC">
        <w:rPr>
          <w:rFonts w:asciiTheme="minorHAnsi" w:hAnsiTheme="minorHAnsi" w:cstheme="minorHAnsi"/>
        </w:rPr>
        <w:t>važno je naglasiti da je RUE sada usvojilo Priručnik o poslovanju</w:t>
      </w:r>
      <w:r w:rsidR="003F6EEB" w:rsidRPr="005524CC">
        <w:rPr>
          <w:rFonts w:asciiTheme="minorHAnsi" w:hAnsiTheme="minorHAnsi" w:cstheme="minorHAnsi"/>
        </w:rPr>
        <w:t xml:space="preserve">, </w:t>
      </w:r>
      <w:r w:rsidRPr="005524CC">
        <w:rPr>
          <w:rFonts w:asciiTheme="minorHAnsi" w:hAnsiTheme="minorHAnsi" w:cstheme="minorHAnsi"/>
        </w:rPr>
        <w:t>adresirajući sva poslovanja RUE-a u zvaničnim primenjivim procedurama</w:t>
      </w:r>
      <w:r w:rsidR="003F6EEB" w:rsidRPr="005524CC">
        <w:rPr>
          <w:rFonts w:asciiTheme="minorHAnsi" w:hAnsiTheme="minorHAnsi" w:cstheme="minorHAnsi"/>
        </w:rPr>
        <w:t xml:space="preserve">. </w:t>
      </w:r>
      <w:r w:rsidRPr="005524CC">
        <w:rPr>
          <w:rFonts w:asciiTheme="minorHAnsi" w:hAnsiTheme="minorHAnsi" w:cstheme="minorHAnsi"/>
        </w:rPr>
        <w:t>Ove procedure su olakšale poslovanje RUE-a</w:t>
      </w:r>
      <w:r w:rsidR="003F6EEB" w:rsidRPr="005524CC">
        <w:rPr>
          <w:rFonts w:asciiTheme="minorHAnsi" w:hAnsiTheme="minorHAnsi" w:cstheme="minorHAnsi"/>
        </w:rPr>
        <w:t xml:space="preserve">, </w:t>
      </w:r>
      <w:r w:rsidRPr="005524CC">
        <w:rPr>
          <w:rFonts w:asciiTheme="minorHAnsi" w:hAnsiTheme="minorHAnsi" w:cstheme="minorHAnsi"/>
        </w:rPr>
        <w:t>unapređujući tako efikasnost u obavljanju dnevnih zadataka i zakonskih zahteva</w:t>
      </w:r>
      <w:r w:rsidR="003F6EEB" w:rsidRPr="005524CC">
        <w:rPr>
          <w:rFonts w:asciiTheme="minorHAnsi" w:hAnsiTheme="minorHAnsi" w:cstheme="minorHAnsi"/>
        </w:rPr>
        <w:t>.</w:t>
      </w:r>
    </w:p>
    <w:p w:rsidR="003F6EEB" w:rsidRPr="005524CC" w:rsidRDefault="00615F12" w:rsidP="003F6EEB">
      <w:pPr>
        <w:spacing w:line="312" w:lineRule="auto"/>
        <w:rPr>
          <w:rFonts w:asciiTheme="minorHAnsi" w:hAnsiTheme="minorHAnsi" w:cstheme="minorHAnsi"/>
        </w:rPr>
      </w:pPr>
      <w:r w:rsidRPr="005524CC">
        <w:rPr>
          <w:rFonts w:asciiTheme="minorHAnsi" w:hAnsiTheme="minorHAnsi" w:cstheme="minorHAnsi"/>
        </w:rPr>
        <w:t>Što se tiče sistema informacionih tehnologija, RU</w:t>
      </w:r>
      <w:r w:rsidR="003F6EEB" w:rsidRPr="005524CC">
        <w:rPr>
          <w:rFonts w:asciiTheme="minorHAnsi" w:hAnsiTheme="minorHAnsi" w:cstheme="minorHAnsi"/>
        </w:rPr>
        <w:t xml:space="preserve">E </w:t>
      </w:r>
      <w:r w:rsidRPr="005524CC">
        <w:rPr>
          <w:rFonts w:asciiTheme="minorHAnsi" w:hAnsiTheme="minorHAnsi" w:cstheme="minorHAnsi"/>
        </w:rPr>
        <w:t xml:space="preserve">koristi Mrežu lokalne zone </w:t>
      </w:r>
      <w:r w:rsidR="003F6EEB" w:rsidRPr="005524CC">
        <w:rPr>
          <w:rFonts w:asciiTheme="minorHAnsi" w:hAnsiTheme="minorHAnsi" w:cstheme="minorHAnsi"/>
        </w:rPr>
        <w:t xml:space="preserve">(LAN) </w:t>
      </w:r>
      <w:r w:rsidRPr="005524CC">
        <w:rPr>
          <w:rFonts w:asciiTheme="minorHAnsi" w:hAnsiTheme="minorHAnsi" w:cstheme="minorHAnsi"/>
        </w:rPr>
        <w:t xml:space="preserve">i celokupno osoblje </w:t>
      </w:r>
      <w:r w:rsidR="003F6EEB" w:rsidRPr="005524CC">
        <w:rPr>
          <w:rFonts w:asciiTheme="minorHAnsi" w:hAnsiTheme="minorHAnsi" w:cstheme="minorHAnsi"/>
        </w:rPr>
        <w:t>(</w:t>
      </w:r>
      <w:r w:rsidRPr="005524CC">
        <w:rPr>
          <w:rFonts w:asciiTheme="minorHAnsi" w:hAnsiTheme="minorHAnsi" w:cstheme="minorHAnsi"/>
        </w:rPr>
        <w:t>uključujući članove Odbora</w:t>
      </w:r>
      <w:r w:rsidR="003F6EEB" w:rsidRPr="005524CC">
        <w:rPr>
          <w:rFonts w:asciiTheme="minorHAnsi" w:hAnsiTheme="minorHAnsi" w:cstheme="minorHAnsi"/>
        </w:rPr>
        <w:t xml:space="preserve">) </w:t>
      </w:r>
      <w:r w:rsidRPr="005524CC">
        <w:rPr>
          <w:rFonts w:asciiTheme="minorHAnsi" w:hAnsiTheme="minorHAnsi" w:cstheme="minorHAnsi"/>
        </w:rPr>
        <w:t xml:space="preserve">su nadovezani sa kompjuterskim sistemom </w:t>
      </w:r>
      <w:r w:rsidR="003F6EEB" w:rsidRPr="005524CC">
        <w:rPr>
          <w:rFonts w:asciiTheme="minorHAnsi" w:hAnsiTheme="minorHAnsi" w:cstheme="minorHAnsi"/>
        </w:rPr>
        <w:t xml:space="preserve">(mainframe). </w:t>
      </w:r>
      <w:r w:rsidRPr="005524CC">
        <w:rPr>
          <w:rFonts w:asciiTheme="minorHAnsi" w:hAnsiTheme="minorHAnsi" w:cstheme="minorHAnsi"/>
        </w:rPr>
        <w:t>Takođe postoji opšti i kontinuirani pristup u internet uslugama i elektronskoj pošti</w:t>
      </w:r>
      <w:r w:rsidR="003F6EEB" w:rsidRPr="005524CC">
        <w:rPr>
          <w:rFonts w:asciiTheme="minorHAnsi" w:hAnsiTheme="minorHAnsi" w:cstheme="minorHAnsi"/>
        </w:rPr>
        <w:t>.</w:t>
      </w:r>
    </w:p>
    <w:p w:rsidR="003F6EEB" w:rsidRPr="005524CC" w:rsidRDefault="00615F12" w:rsidP="003F6EEB">
      <w:pPr>
        <w:spacing w:line="312" w:lineRule="auto"/>
        <w:rPr>
          <w:rFonts w:asciiTheme="minorHAnsi" w:hAnsiTheme="minorHAnsi" w:cstheme="minorHAnsi"/>
        </w:rPr>
      </w:pPr>
      <w:r w:rsidRPr="005524CC">
        <w:rPr>
          <w:rFonts w:asciiTheme="minorHAnsi" w:hAnsiTheme="minorHAnsi" w:cstheme="minorHAnsi"/>
        </w:rPr>
        <w:t>Osnovne potrebe RUE-a</w:t>
      </w:r>
      <w:r w:rsidR="003F6EEB" w:rsidRPr="005524CC">
        <w:rPr>
          <w:rFonts w:asciiTheme="minorHAnsi" w:hAnsiTheme="minorHAnsi" w:cstheme="minorHAnsi"/>
        </w:rPr>
        <w:t xml:space="preserve">, </w:t>
      </w:r>
      <w:r w:rsidRPr="005524CC">
        <w:rPr>
          <w:rFonts w:asciiTheme="minorHAnsi" w:hAnsiTheme="minorHAnsi" w:cstheme="minorHAnsi"/>
        </w:rPr>
        <w:t>koje treba da se oslone na solidan sistem upravljanja informacijama i dokumentima</w:t>
      </w:r>
      <w:r w:rsidR="003F6EEB" w:rsidRPr="005524CC">
        <w:rPr>
          <w:rFonts w:asciiTheme="minorHAnsi" w:hAnsiTheme="minorHAnsi" w:cstheme="minorHAnsi"/>
        </w:rPr>
        <w:t xml:space="preserve">, </w:t>
      </w:r>
      <w:r w:rsidRPr="005524CC">
        <w:rPr>
          <w:rFonts w:asciiTheme="minorHAnsi" w:hAnsiTheme="minorHAnsi" w:cstheme="minorHAnsi"/>
        </w:rPr>
        <w:t>sada su poznate</w:t>
      </w:r>
      <w:r w:rsidR="003F6EEB" w:rsidRPr="005524CC">
        <w:rPr>
          <w:rFonts w:asciiTheme="minorHAnsi" w:hAnsiTheme="minorHAnsi" w:cstheme="minorHAnsi"/>
        </w:rPr>
        <w:t xml:space="preserve">, </w:t>
      </w:r>
      <w:r w:rsidRPr="005524CC">
        <w:rPr>
          <w:rFonts w:asciiTheme="minorHAnsi" w:hAnsiTheme="minorHAnsi" w:cstheme="minorHAnsi"/>
        </w:rPr>
        <w:t>i RUE ima sistem apliciranja koji se treba aktivirati radi osiguranja boljeg rada i toka zadataka</w:t>
      </w:r>
      <w:r w:rsidR="003F6EEB" w:rsidRPr="005524CC">
        <w:rPr>
          <w:rFonts w:asciiTheme="minorHAnsi" w:hAnsiTheme="minorHAnsi" w:cstheme="minorHAnsi"/>
        </w:rPr>
        <w:t xml:space="preserve">, </w:t>
      </w:r>
      <w:r w:rsidRPr="005524CC">
        <w:rPr>
          <w:rFonts w:asciiTheme="minorHAnsi" w:hAnsiTheme="minorHAnsi" w:cstheme="minorHAnsi"/>
        </w:rPr>
        <w:t>kao i radi poboljšanja efikasnosti u pogledu upravljanja osobljem</w:t>
      </w:r>
      <w:r w:rsidR="003F6EEB" w:rsidRPr="005524CC">
        <w:rPr>
          <w:rFonts w:asciiTheme="minorHAnsi" w:hAnsiTheme="minorHAnsi" w:cstheme="minorHAnsi"/>
        </w:rPr>
        <w:t>.</w:t>
      </w:r>
    </w:p>
    <w:p w:rsidR="003F6EEB" w:rsidRPr="005524CC" w:rsidRDefault="00615F12" w:rsidP="003F6EEB">
      <w:pPr>
        <w:spacing w:line="312" w:lineRule="auto"/>
        <w:rPr>
          <w:rFonts w:asciiTheme="minorHAnsi" w:hAnsiTheme="minorHAnsi" w:cstheme="minorHAnsi"/>
        </w:rPr>
      </w:pPr>
      <w:r w:rsidRPr="005524CC">
        <w:rPr>
          <w:rFonts w:asciiTheme="minorHAnsi" w:hAnsiTheme="minorHAnsi" w:cstheme="minorHAnsi"/>
        </w:rPr>
        <w:t>RUE uživa pozitivnu reputaciju obuhvatanja u efektivnim procesima javne konsultacije oko njenog regulativnog odlučivanja</w:t>
      </w:r>
      <w:r w:rsidR="003F6EEB" w:rsidRPr="005524CC">
        <w:rPr>
          <w:rFonts w:asciiTheme="minorHAnsi" w:hAnsiTheme="minorHAnsi" w:cstheme="minorHAnsi"/>
        </w:rPr>
        <w:t xml:space="preserve">. </w:t>
      </w:r>
      <w:r w:rsidRPr="005524CC">
        <w:rPr>
          <w:rFonts w:asciiTheme="minorHAnsi" w:hAnsiTheme="minorHAnsi" w:cstheme="minorHAnsi"/>
        </w:rPr>
        <w:t>Očuvanje ove reputacije podrazumeva angažovanje zainteresovanih strana u razvoju pravilnika i uredbi</w:t>
      </w:r>
      <w:r w:rsidR="003F6EEB" w:rsidRPr="005524CC">
        <w:rPr>
          <w:rFonts w:asciiTheme="minorHAnsi" w:hAnsiTheme="minorHAnsi" w:cstheme="minorHAnsi"/>
        </w:rPr>
        <w:t xml:space="preserve">, </w:t>
      </w:r>
      <w:r w:rsidRPr="005524CC">
        <w:rPr>
          <w:rFonts w:asciiTheme="minorHAnsi" w:hAnsiTheme="minorHAnsi" w:cstheme="minorHAnsi"/>
        </w:rPr>
        <w:t>kao i tokom njihovog sprovođenja</w:t>
      </w:r>
      <w:r w:rsidR="003F6EEB" w:rsidRPr="005524CC">
        <w:rPr>
          <w:rFonts w:asciiTheme="minorHAnsi" w:hAnsiTheme="minorHAnsi" w:cstheme="minorHAnsi"/>
        </w:rPr>
        <w:t xml:space="preserve">. </w:t>
      </w:r>
      <w:r w:rsidRPr="005524CC">
        <w:rPr>
          <w:rFonts w:asciiTheme="minorHAnsi" w:hAnsiTheme="minorHAnsi" w:cstheme="minorHAnsi"/>
        </w:rPr>
        <w:t>Povećanje transparentnosti i obuhvatanje zainteresovanih strana</w:t>
      </w:r>
      <w:r w:rsidR="003F6EEB" w:rsidRPr="005524CC">
        <w:rPr>
          <w:rFonts w:asciiTheme="minorHAnsi" w:hAnsiTheme="minorHAnsi" w:cstheme="minorHAnsi"/>
        </w:rPr>
        <w:t xml:space="preserve">, </w:t>
      </w:r>
      <w:r w:rsidRPr="005524CC">
        <w:rPr>
          <w:rFonts w:asciiTheme="minorHAnsi" w:hAnsiTheme="minorHAnsi" w:cstheme="minorHAnsi"/>
        </w:rPr>
        <w:t>civilnog društva i medijskih organizacija u procesu odlučivanja mogu povećati znatno održivost regulatornih odluka i prijem sličnih odluka od strane javnosti</w:t>
      </w:r>
      <w:r w:rsidR="003F6EEB" w:rsidRPr="005524CC">
        <w:rPr>
          <w:rFonts w:asciiTheme="minorHAnsi" w:hAnsiTheme="minorHAnsi" w:cstheme="minorHAnsi"/>
        </w:rPr>
        <w:t>.</w:t>
      </w:r>
    </w:p>
    <w:p w:rsidR="003F6EEB" w:rsidRPr="005524CC" w:rsidRDefault="00264077" w:rsidP="00711625">
      <w:pPr>
        <w:spacing w:line="312" w:lineRule="auto"/>
        <w:rPr>
          <w:rFonts w:asciiTheme="minorHAnsi" w:hAnsiTheme="minorHAnsi" w:cstheme="minorHAnsi"/>
        </w:rPr>
      </w:pPr>
      <w:r w:rsidRPr="005524CC">
        <w:rPr>
          <w:rFonts w:asciiTheme="minorHAnsi" w:hAnsiTheme="minorHAnsi" w:cstheme="minorHAnsi"/>
        </w:rPr>
        <w:t>R</w:t>
      </w:r>
      <w:r w:rsidR="00615F12" w:rsidRPr="005524CC">
        <w:rPr>
          <w:rFonts w:asciiTheme="minorHAnsi" w:hAnsiTheme="minorHAnsi" w:cstheme="minorHAnsi"/>
        </w:rPr>
        <w:t>U</w:t>
      </w:r>
      <w:r w:rsidRPr="005524CC">
        <w:rPr>
          <w:rFonts w:asciiTheme="minorHAnsi" w:hAnsiTheme="minorHAnsi" w:cstheme="minorHAnsi"/>
        </w:rPr>
        <w:t xml:space="preserve">E </w:t>
      </w:r>
      <w:r w:rsidR="00160337" w:rsidRPr="005524CC">
        <w:rPr>
          <w:rFonts w:asciiTheme="minorHAnsi" w:hAnsiTheme="minorHAnsi" w:cstheme="minorHAnsi"/>
        </w:rPr>
        <w:t>je relativno mala nezavisna regulatorna agencija</w:t>
      </w:r>
      <w:r w:rsidRPr="005524CC">
        <w:rPr>
          <w:rFonts w:asciiTheme="minorHAnsi" w:hAnsiTheme="minorHAnsi" w:cstheme="minorHAnsi"/>
        </w:rPr>
        <w:t xml:space="preserve">, </w:t>
      </w:r>
      <w:r w:rsidR="00160337" w:rsidRPr="005524CC">
        <w:rPr>
          <w:rFonts w:asciiTheme="minorHAnsi" w:hAnsiTheme="minorHAnsi" w:cstheme="minorHAnsi"/>
        </w:rPr>
        <w:t xml:space="preserve">sa ukupno </w:t>
      </w:r>
      <w:r w:rsidRPr="005524CC">
        <w:rPr>
          <w:rFonts w:asciiTheme="minorHAnsi" w:hAnsiTheme="minorHAnsi" w:cstheme="minorHAnsi"/>
        </w:rPr>
        <w:t>33</w:t>
      </w:r>
      <w:r w:rsidR="00160337" w:rsidRPr="005524CC">
        <w:rPr>
          <w:rFonts w:asciiTheme="minorHAnsi" w:hAnsiTheme="minorHAnsi" w:cstheme="minorHAnsi"/>
        </w:rPr>
        <w:t xml:space="preserve"> pozicija</w:t>
      </w:r>
      <w:r w:rsidR="003F6EEB" w:rsidRPr="005524CC">
        <w:rPr>
          <w:rFonts w:asciiTheme="minorHAnsi" w:hAnsiTheme="minorHAnsi" w:cstheme="minorHAnsi"/>
        </w:rPr>
        <w:t xml:space="preserve">, </w:t>
      </w:r>
      <w:r w:rsidR="00160337" w:rsidRPr="005524CC">
        <w:rPr>
          <w:rFonts w:asciiTheme="minorHAnsi" w:hAnsiTheme="minorHAnsi" w:cstheme="minorHAnsi"/>
        </w:rPr>
        <w:t>uključujući i članove Odbora</w:t>
      </w:r>
      <w:r w:rsidR="003F6EEB" w:rsidRPr="005524CC">
        <w:rPr>
          <w:rFonts w:asciiTheme="minorHAnsi" w:hAnsiTheme="minorHAnsi" w:cstheme="minorHAnsi"/>
        </w:rPr>
        <w:t xml:space="preserve">. </w:t>
      </w:r>
      <w:r w:rsidR="00160337" w:rsidRPr="005524CC">
        <w:rPr>
          <w:rFonts w:asciiTheme="minorHAnsi" w:hAnsiTheme="minorHAnsi" w:cstheme="minorHAnsi"/>
        </w:rPr>
        <w:t xml:space="preserve">Trenutno je zaposleno </w:t>
      </w:r>
      <w:r w:rsidRPr="005524CC">
        <w:rPr>
          <w:rFonts w:asciiTheme="minorHAnsi" w:hAnsiTheme="minorHAnsi" w:cstheme="minorHAnsi"/>
        </w:rPr>
        <w:t>29</w:t>
      </w:r>
      <w:r w:rsidR="003F6EEB" w:rsidRPr="005524CC">
        <w:rPr>
          <w:rFonts w:asciiTheme="minorHAnsi" w:hAnsiTheme="minorHAnsi" w:cstheme="minorHAnsi"/>
        </w:rPr>
        <w:t xml:space="preserve"> </w:t>
      </w:r>
      <w:r w:rsidR="00160337" w:rsidRPr="005524CC">
        <w:rPr>
          <w:rFonts w:asciiTheme="minorHAnsi" w:hAnsiTheme="minorHAnsi" w:cstheme="minorHAnsi"/>
        </w:rPr>
        <w:t>lica</w:t>
      </w:r>
      <w:r w:rsidR="003F6EEB" w:rsidRPr="005524CC">
        <w:rPr>
          <w:rFonts w:asciiTheme="minorHAnsi" w:hAnsiTheme="minorHAnsi" w:cstheme="minorHAnsi"/>
        </w:rPr>
        <w:t xml:space="preserve">. </w:t>
      </w:r>
      <w:r w:rsidR="00160337" w:rsidRPr="005524CC">
        <w:rPr>
          <w:rFonts w:asciiTheme="minorHAnsi" w:hAnsiTheme="minorHAnsi" w:cstheme="minorHAnsi"/>
        </w:rPr>
        <w:t>Veličina organizacije nadmeće neophodnost fleksibilnosti</w:t>
      </w:r>
      <w:r w:rsidR="003F6EEB" w:rsidRPr="005524CC">
        <w:rPr>
          <w:rFonts w:asciiTheme="minorHAnsi" w:hAnsiTheme="minorHAnsi" w:cstheme="minorHAnsi"/>
        </w:rPr>
        <w:t xml:space="preserve">, </w:t>
      </w:r>
      <w:r w:rsidR="00160337" w:rsidRPr="005524CC">
        <w:rPr>
          <w:rFonts w:asciiTheme="minorHAnsi" w:hAnsiTheme="minorHAnsi" w:cstheme="minorHAnsi"/>
        </w:rPr>
        <w:t>ali istovremeno</w:t>
      </w:r>
      <w:r w:rsidR="003F6EEB" w:rsidRPr="005524CC">
        <w:rPr>
          <w:rFonts w:asciiTheme="minorHAnsi" w:hAnsiTheme="minorHAnsi" w:cstheme="minorHAnsi"/>
        </w:rPr>
        <w:t xml:space="preserve">, </w:t>
      </w:r>
      <w:r w:rsidR="00160337" w:rsidRPr="005524CC">
        <w:rPr>
          <w:rFonts w:asciiTheme="minorHAnsi" w:hAnsiTheme="minorHAnsi" w:cstheme="minorHAnsi"/>
        </w:rPr>
        <w:t xml:space="preserve">veliko korišćenje svih izvora </w:t>
      </w:r>
      <w:r w:rsidR="003F6EEB" w:rsidRPr="005524CC">
        <w:rPr>
          <w:rFonts w:asciiTheme="minorHAnsi" w:hAnsiTheme="minorHAnsi" w:cstheme="minorHAnsi"/>
        </w:rPr>
        <w:t>(</w:t>
      </w:r>
      <w:r w:rsidR="00160337" w:rsidRPr="005524CC">
        <w:rPr>
          <w:rFonts w:asciiTheme="minorHAnsi" w:hAnsiTheme="minorHAnsi" w:cstheme="minorHAnsi"/>
        </w:rPr>
        <w:t>ljudskih</w:t>
      </w:r>
      <w:r w:rsidR="003F6EEB" w:rsidRPr="005524CC">
        <w:rPr>
          <w:rFonts w:asciiTheme="minorHAnsi" w:hAnsiTheme="minorHAnsi" w:cstheme="minorHAnsi"/>
        </w:rPr>
        <w:t xml:space="preserve">, </w:t>
      </w:r>
      <w:r w:rsidR="00160337" w:rsidRPr="005524CC">
        <w:rPr>
          <w:rFonts w:asciiTheme="minorHAnsi" w:hAnsiTheme="minorHAnsi" w:cstheme="minorHAnsi"/>
        </w:rPr>
        <w:t>finansijskih, tehničkih</w:t>
      </w:r>
      <w:r w:rsidR="003F6EEB" w:rsidRPr="005524CC">
        <w:rPr>
          <w:rFonts w:asciiTheme="minorHAnsi" w:hAnsiTheme="minorHAnsi" w:cstheme="minorHAnsi"/>
        </w:rPr>
        <w:t xml:space="preserve">) </w:t>
      </w:r>
      <w:r w:rsidR="00160337" w:rsidRPr="005524CC">
        <w:rPr>
          <w:rFonts w:asciiTheme="minorHAnsi" w:hAnsiTheme="minorHAnsi" w:cstheme="minorHAnsi"/>
        </w:rPr>
        <w:t>organizacije</w:t>
      </w:r>
      <w:r w:rsidR="003F6EEB" w:rsidRPr="005524CC">
        <w:rPr>
          <w:rFonts w:asciiTheme="minorHAnsi" w:hAnsiTheme="minorHAnsi" w:cstheme="minorHAnsi"/>
        </w:rPr>
        <w:t>.</w:t>
      </w:r>
    </w:p>
    <w:p w:rsidR="00B52349" w:rsidRPr="005524CC" w:rsidRDefault="00B52349" w:rsidP="002D1940">
      <w:pPr>
        <w:pStyle w:val="Heading1"/>
        <w:rPr>
          <w:rFonts w:asciiTheme="minorHAnsi" w:hAnsiTheme="minorHAnsi" w:cstheme="minorHAnsi"/>
          <w:caps/>
          <w:sz w:val="24"/>
        </w:rPr>
      </w:pPr>
      <w:bookmarkStart w:id="6" w:name="_Toc56589716"/>
      <w:r w:rsidRPr="005524CC">
        <w:rPr>
          <w:rFonts w:asciiTheme="minorHAnsi" w:hAnsiTheme="minorHAnsi" w:cstheme="minorHAnsi"/>
          <w:caps/>
          <w:sz w:val="24"/>
        </w:rPr>
        <w:t>S</w:t>
      </w:r>
      <w:r w:rsidR="00160337" w:rsidRPr="005524CC">
        <w:rPr>
          <w:rFonts w:asciiTheme="minorHAnsi" w:hAnsiTheme="minorHAnsi" w:cstheme="minorHAnsi"/>
          <w:caps/>
          <w:sz w:val="24"/>
        </w:rPr>
        <w:t>truktura plana učinka</w:t>
      </w:r>
      <w:bookmarkEnd w:id="6"/>
      <w:r w:rsidR="00160337" w:rsidRPr="005524CC">
        <w:rPr>
          <w:rFonts w:asciiTheme="minorHAnsi" w:hAnsiTheme="minorHAnsi" w:cstheme="minorHAnsi"/>
          <w:caps/>
          <w:sz w:val="24"/>
        </w:rPr>
        <w:t xml:space="preserve"> </w:t>
      </w:r>
    </w:p>
    <w:p w:rsidR="00711625" w:rsidRPr="005524CC" w:rsidRDefault="00160337" w:rsidP="00711625">
      <w:pPr>
        <w:spacing w:line="312" w:lineRule="auto"/>
        <w:rPr>
          <w:rFonts w:asciiTheme="minorHAnsi" w:hAnsiTheme="minorHAnsi" w:cstheme="minorHAnsi"/>
        </w:rPr>
      </w:pPr>
      <w:r w:rsidRPr="005524CC">
        <w:rPr>
          <w:rFonts w:asciiTheme="minorHAnsi" w:hAnsiTheme="minorHAnsi" w:cstheme="minorHAnsi"/>
        </w:rPr>
        <w:t>Očekuje se da će naredni period biti izazovan za RUE</w:t>
      </w:r>
      <w:r w:rsidR="008D05D9" w:rsidRPr="005524CC">
        <w:rPr>
          <w:rFonts w:asciiTheme="minorHAnsi" w:hAnsiTheme="minorHAnsi" w:cstheme="minorHAnsi"/>
        </w:rPr>
        <w:t xml:space="preserve">. </w:t>
      </w:r>
      <w:r w:rsidR="00711625" w:rsidRPr="005524CC">
        <w:rPr>
          <w:rFonts w:asciiTheme="minorHAnsi" w:hAnsiTheme="minorHAnsi" w:cstheme="minorHAnsi"/>
        </w:rPr>
        <w:t xml:space="preserve"> </w:t>
      </w:r>
      <w:r w:rsidRPr="005524CC">
        <w:rPr>
          <w:rFonts w:asciiTheme="minorHAnsi" w:hAnsiTheme="minorHAnsi" w:cstheme="minorHAnsi"/>
        </w:rPr>
        <w:t>Neka od dešavanja koja zahtevaju posebnu pažnju od strane regulatora su</w:t>
      </w:r>
      <w:r w:rsidR="00711625" w:rsidRPr="005524CC">
        <w:rPr>
          <w:rFonts w:asciiTheme="minorHAnsi" w:hAnsiTheme="minorHAnsi" w:cstheme="minorHAnsi"/>
        </w:rPr>
        <w:t>:</w:t>
      </w:r>
    </w:p>
    <w:p w:rsidR="00711625" w:rsidRPr="005524CC" w:rsidRDefault="00711625"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Integri</w:t>
      </w:r>
      <w:r w:rsidR="00160337" w:rsidRPr="005524CC">
        <w:rPr>
          <w:rFonts w:asciiTheme="minorHAnsi" w:hAnsiTheme="minorHAnsi" w:cstheme="minorHAnsi"/>
        </w:rPr>
        <w:t>sanje tržišta sa Albanijom i regionom</w:t>
      </w:r>
      <w:r w:rsidRPr="005524CC">
        <w:rPr>
          <w:rFonts w:asciiTheme="minorHAnsi" w:hAnsiTheme="minorHAnsi" w:cstheme="minorHAnsi"/>
        </w:rPr>
        <w:t>;</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Povećanje konkurentnosti u sektoru električne energije</w:t>
      </w:r>
      <w:r w:rsidR="00711625" w:rsidRPr="005524CC">
        <w:rPr>
          <w:rFonts w:asciiTheme="minorHAnsi" w:hAnsiTheme="minorHAnsi" w:cstheme="minorHAnsi"/>
        </w:rPr>
        <w:t>;</w:t>
      </w:r>
    </w:p>
    <w:p w:rsidR="00711625" w:rsidRPr="005524CC" w:rsidRDefault="00711625"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Proces</w:t>
      </w:r>
      <w:r w:rsidR="00160337" w:rsidRPr="005524CC">
        <w:rPr>
          <w:rFonts w:asciiTheme="minorHAnsi" w:hAnsiTheme="minorHAnsi" w:cstheme="minorHAnsi"/>
        </w:rPr>
        <w:t xml:space="preserve"> deregulacije cena </w:t>
      </w:r>
      <w:r w:rsidRPr="005524CC">
        <w:rPr>
          <w:rFonts w:asciiTheme="minorHAnsi" w:hAnsiTheme="minorHAnsi" w:cstheme="minorHAnsi"/>
        </w:rPr>
        <w:t>(tr</w:t>
      </w:r>
      <w:r w:rsidR="00160337" w:rsidRPr="005524CC">
        <w:rPr>
          <w:rFonts w:asciiTheme="minorHAnsi" w:hAnsiTheme="minorHAnsi" w:cstheme="minorHAnsi"/>
        </w:rPr>
        <w:t>žišta na veliko i malo</w:t>
      </w:r>
      <w:r w:rsidRPr="005524CC">
        <w:rPr>
          <w:rFonts w:asciiTheme="minorHAnsi" w:hAnsiTheme="minorHAnsi" w:cstheme="minorHAnsi"/>
        </w:rPr>
        <w:t>);</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Osiguranje snabdevanja električnom energijom</w:t>
      </w:r>
      <w:r w:rsidR="00711625" w:rsidRPr="005524CC">
        <w:rPr>
          <w:rFonts w:asciiTheme="minorHAnsi" w:hAnsiTheme="minorHAnsi" w:cstheme="minorHAnsi"/>
        </w:rPr>
        <w:t>;</w:t>
      </w:r>
    </w:p>
    <w:p w:rsidR="00711625" w:rsidRPr="005524CC" w:rsidRDefault="00711625"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Paket</w:t>
      </w:r>
      <w:r w:rsidR="00160337" w:rsidRPr="005524CC">
        <w:rPr>
          <w:rFonts w:asciiTheme="minorHAnsi" w:hAnsiTheme="minorHAnsi" w:cstheme="minorHAnsi"/>
        </w:rPr>
        <w:t xml:space="preserve"> Čiste energije i izazovi integrisanja na višem nivou </w:t>
      </w:r>
      <w:r w:rsidRPr="005524CC">
        <w:rPr>
          <w:rFonts w:asciiTheme="minorHAnsi" w:hAnsiTheme="minorHAnsi" w:cstheme="minorHAnsi"/>
        </w:rPr>
        <w:t>RE</w:t>
      </w:r>
      <w:r w:rsidR="00160337" w:rsidRPr="005524CC">
        <w:rPr>
          <w:rFonts w:asciiTheme="minorHAnsi" w:hAnsiTheme="minorHAnsi" w:cstheme="minorHAnsi"/>
        </w:rPr>
        <w:t>O-a</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 xml:space="preserve">Zaštita potrošača u potrebi zbog povećanja troškova snabdevanja </w:t>
      </w:r>
    </w:p>
    <w:p w:rsidR="00711625" w:rsidRPr="005524CC" w:rsidRDefault="00160337" w:rsidP="00160337">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Električne i toplotne mreže</w:t>
      </w:r>
      <w:r w:rsidR="00711625" w:rsidRPr="005524CC">
        <w:rPr>
          <w:rFonts w:asciiTheme="minorHAnsi" w:hAnsiTheme="minorHAnsi" w:cstheme="minorHAnsi"/>
        </w:rPr>
        <w:t>;</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 xml:space="preserve">Nadgledanje tržišta </w:t>
      </w:r>
      <w:r w:rsidR="00711625" w:rsidRPr="005524CC">
        <w:rPr>
          <w:rFonts w:asciiTheme="minorHAnsi" w:hAnsiTheme="minorHAnsi" w:cstheme="minorHAnsi"/>
        </w:rPr>
        <w:t>(REMIT)</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 xml:space="preserve">Dodeljivanje kapaciteta i upravljanje kongestijama </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 xml:space="preserve">Operativne ispravke unutar RUE-a </w:t>
      </w:r>
    </w:p>
    <w:p w:rsidR="00711625" w:rsidRPr="005524CC" w:rsidRDefault="00160337" w:rsidP="00711625">
      <w:pPr>
        <w:pStyle w:val="ListParagraph"/>
        <w:numPr>
          <w:ilvl w:val="0"/>
          <w:numId w:val="16"/>
        </w:numPr>
        <w:spacing w:line="312" w:lineRule="auto"/>
        <w:rPr>
          <w:rFonts w:asciiTheme="minorHAnsi" w:hAnsiTheme="minorHAnsi" w:cstheme="minorHAnsi"/>
        </w:rPr>
      </w:pPr>
      <w:r w:rsidRPr="005524CC">
        <w:rPr>
          <w:rFonts w:asciiTheme="minorHAnsi" w:hAnsiTheme="minorHAnsi" w:cstheme="minorHAnsi"/>
        </w:rPr>
        <w:t>Funkcionalna i finansijska nezavisnost RUE-a</w:t>
      </w:r>
    </w:p>
    <w:p w:rsidR="00711625" w:rsidRPr="005524CC" w:rsidRDefault="00711625" w:rsidP="002D1940">
      <w:pPr>
        <w:pStyle w:val="Heading2"/>
        <w:rPr>
          <w:rFonts w:asciiTheme="minorHAnsi" w:hAnsiTheme="minorHAnsi" w:cstheme="minorHAnsi"/>
        </w:rPr>
      </w:pPr>
      <w:bookmarkStart w:id="7" w:name="_Toc56589717"/>
      <w:r w:rsidRPr="005524CC">
        <w:rPr>
          <w:rFonts w:asciiTheme="minorHAnsi" w:hAnsiTheme="minorHAnsi" w:cstheme="minorHAnsi"/>
        </w:rPr>
        <w:lastRenderedPageBreak/>
        <w:t>Integri</w:t>
      </w:r>
      <w:r w:rsidR="00160337" w:rsidRPr="005524CC">
        <w:rPr>
          <w:rFonts w:asciiTheme="minorHAnsi" w:hAnsiTheme="minorHAnsi" w:cstheme="minorHAnsi"/>
        </w:rPr>
        <w:t>sanje tržišta</w:t>
      </w:r>
      <w:bookmarkEnd w:id="7"/>
      <w:r w:rsidR="00160337" w:rsidRPr="005524CC">
        <w:rPr>
          <w:rFonts w:asciiTheme="minorHAnsi" w:hAnsiTheme="minorHAnsi" w:cstheme="minorHAnsi"/>
        </w:rPr>
        <w:t xml:space="preserve"> </w:t>
      </w:r>
    </w:p>
    <w:p w:rsidR="00711625" w:rsidRPr="005524CC" w:rsidRDefault="00711625" w:rsidP="00711625">
      <w:pPr>
        <w:spacing w:line="312" w:lineRule="auto"/>
        <w:rPr>
          <w:rFonts w:asciiTheme="minorHAnsi" w:hAnsiTheme="minorHAnsi" w:cstheme="minorHAnsi"/>
        </w:rPr>
      </w:pPr>
      <w:r w:rsidRPr="005524CC">
        <w:rPr>
          <w:rFonts w:asciiTheme="minorHAnsi" w:hAnsiTheme="minorHAnsi" w:cstheme="minorHAnsi"/>
        </w:rPr>
        <w:t>Integri</w:t>
      </w:r>
      <w:r w:rsidR="00160337" w:rsidRPr="005524CC">
        <w:rPr>
          <w:rFonts w:asciiTheme="minorHAnsi" w:hAnsiTheme="minorHAnsi" w:cstheme="minorHAnsi"/>
        </w:rPr>
        <w:t xml:space="preserve">sanje energetskog tržišta u regionu Zapadnog Balkana je tema posvećenog tretmana od strane </w:t>
      </w:r>
      <w:r w:rsidRPr="005524CC">
        <w:rPr>
          <w:rFonts w:asciiTheme="minorHAnsi" w:hAnsiTheme="minorHAnsi" w:cstheme="minorHAnsi"/>
        </w:rPr>
        <w:t>Sekretari</w:t>
      </w:r>
      <w:r w:rsidR="00160337" w:rsidRPr="005524CC">
        <w:rPr>
          <w:rFonts w:asciiTheme="minorHAnsi" w:hAnsiTheme="minorHAnsi" w:cstheme="minorHAnsi"/>
        </w:rPr>
        <w:t>j</w:t>
      </w:r>
      <w:r w:rsidRPr="005524CC">
        <w:rPr>
          <w:rFonts w:asciiTheme="minorHAnsi" w:hAnsiTheme="minorHAnsi" w:cstheme="minorHAnsi"/>
        </w:rPr>
        <w:t>at</w:t>
      </w:r>
      <w:r w:rsidR="00160337" w:rsidRPr="005524CC">
        <w:rPr>
          <w:rFonts w:asciiTheme="minorHAnsi" w:hAnsiTheme="minorHAnsi" w:cstheme="minorHAnsi"/>
        </w:rPr>
        <w:t xml:space="preserve">a Energetske Zajednice i ostalih učesnika energetskog </w:t>
      </w:r>
      <w:r w:rsidRPr="005524CC">
        <w:rPr>
          <w:rFonts w:asciiTheme="minorHAnsi" w:hAnsiTheme="minorHAnsi" w:cstheme="minorHAnsi"/>
        </w:rPr>
        <w:t>sektor</w:t>
      </w:r>
      <w:r w:rsidR="00160337" w:rsidRPr="005524CC">
        <w:rPr>
          <w:rFonts w:asciiTheme="minorHAnsi" w:hAnsiTheme="minorHAnsi" w:cstheme="minorHAnsi"/>
        </w:rPr>
        <w:t>a u regionu i šire</w:t>
      </w:r>
      <w:r w:rsidRPr="005524CC">
        <w:rPr>
          <w:rFonts w:asciiTheme="minorHAnsi" w:hAnsiTheme="minorHAnsi" w:cstheme="minorHAnsi"/>
        </w:rPr>
        <w:t xml:space="preserve">. </w:t>
      </w:r>
      <w:r w:rsidR="00160337" w:rsidRPr="005524CC">
        <w:rPr>
          <w:rFonts w:asciiTheme="minorHAnsi" w:hAnsiTheme="minorHAnsi" w:cstheme="minorHAnsi"/>
        </w:rPr>
        <w:t>Pokrenute su mnoge studije radi osiguranja integrisanja tržišta</w:t>
      </w:r>
      <w:r w:rsidRPr="005524CC">
        <w:rPr>
          <w:rFonts w:asciiTheme="minorHAnsi" w:hAnsiTheme="minorHAnsi" w:cstheme="minorHAnsi"/>
        </w:rPr>
        <w:t xml:space="preserve">, </w:t>
      </w:r>
      <w:r w:rsidR="00160337" w:rsidRPr="005524CC">
        <w:rPr>
          <w:rFonts w:asciiTheme="minorHAnsi" w:hAnsiTheme="minorHAnsi" w:cstheme="minorHAnsi"/>
        </w:rPr>
        <w:t>ali do sada</w:t>
      </w:r>
      <w:r w:rsidRPr="005524CC">
        <w:rPr>
          <w:rFonts w:asciiTheme="minorHAnsi" w:hAnsiTheme="minorHAnsi" w:cstheme="minorHAnsi"/>
        </w:rPr>
        <w:t xml:space="preserve">, </w:t>
      </w:r>
      <w:r w:rsidR="00160337" w:rsidRPr="005524CC">
        <w:rPr>
          <w:rFonts w:asciiTheme="minorHAnsi" w:hAnsiTheme="minorHAnsi" w:cstheme="minorHAnsi"/>
        </w:rPr>
        <w:t>ne postoji konkretan plan za integrisanje svih tržišta Zapadnog Balkana na jednom jedinom zajedničkom energetskom tržištu</w:t>
      </w:r>
      <w:r w:rsidRPr="005524CC">
        <w:rPr>
          <w:rFonts w:asciiTheme="minorHAnsi" w:hAnsiTheme="minorHAnsi" w:cstheme="minorHAnsi"/>
        </w:rPr>
        <w:t xml:space="preserve">. </w:t>
      </w:r>
      <w:r w:rsidR="00160337" w:rsidRPr="005524CC">
        <w:rPr>
          <w:rFonts w:asciiTheme="minorHAnsi" w:hAnsiTheme="minorHAnsi" w:cstheme="minorHAnsi"/>
        </w:rPr>
        <w:t>Kako god</w:t>
      </w:r>
      <w:r w:rsidRPr="005524CC">
        <w:rPr>
          <w:rFonts w:asciiTheme="minorHAnsi" w:hAnsiTheme="minorHAnsi" w:cstheme="minorHAnsi"/>
        </w:rPr>
        <w:t xml:space="preserve">, </w:t>
      </w:r>
      <w:r w:rsidR="00160337" w:rsidRPr="005524CC">
        <w:rPr>
          <w:rFonts w:asciiTheme="minorHAnsi" w:hAnsiTheme="minorHAnsi" w:cstheme="minorHAnsi"/>
        </w:rPr>
        <w:t>većina zemalja regiona su sada izradil</w:t>
      </w:r>
      <w:r w:rsidR="00122782" w:rsidRPr="005524CC">
        <w:rPr>
          <w:rFonts w:asciiTheme="minorHAnsi" w:hAnsiTheme="minorHAnsi" w:cstheme="minorHAnsi"/>
        </w:rPr>
        <w:t>a svoje planove za delimično integrisanje tržišta</w:t>
      </w:r>
      <w:r w:rsidRPr="005524CC">
        <w:rPr>
          <w:rFonts w:asciiTheme="minorHAnsi" w:hAnsiTheme="minorHAnsi" w:cstheme="minorHAnsi"/>
        </w:rPr>
        <w:t xml:space="preserve">, </w:t>
      </w:r>
      <w:r w:rsidR="00122782" w:rsidRPr="005524CC">
        <w:rPr>
          <w:rFonts w:asciiTheme="minorHAnsi" w:hAnsiTheme="minorHAnsi" w:cstheme="minorHAnsi"/>
        </w:rPr>
        <w:t>imajući za cilj stvaranje zajedničkih tržišta između malog broja učesnika</w:t>
      </w:r>
      <w:r w:rsidRPr="005524CC">
        <w:rPr>
          <w:rFonts w:asciiTheme="minorHAnsi" w:hAnsiTheme="minorHAnsi" w:cstheme="minorHAnsi"/>
        </w:rPr>
        <w:t xml:space="preserve">, </w:t>
      </w:r>
      <w:r w:rsidR="00122782" w:rsidRPr="005524CC">
        <w:rPr>
          <w:rFonts w:asciiTheme="minorHAnsi" w:hAnsiTheme="minorHAnsi" w:cstheme="minorHAnsi"/>
        </w:rPr>
        <w:t>sa ciljem proširenja daljeg sličnog integrisanja sa novim tržištima članicama u regionu</w:t>
      </w:r>
      <w:r w:rsidRPr="005524CC">
        <w:rPr>
          <w:rFonts w:asciiTheme="minorHAnsi" w:hAnsiTheme="minorHAnsi" w:cstheme="minorHAnsi"/>
        </w:rPr>
        <w:t>.</w:t>
      </w:r>
    </w:p>
    <w:p w:rsidR="00711625" w:rsidRPr="005524CC" w:rsidDel="001655B1" w:rsidRDefault="00711625" w:rsidP="00711625">
      <w:pPr>
        <w:spacing w:line="312" w:lineRule="auto"/>
        <w:rPr>
          <w:rFonts w:asciiTheme="minorHAnsi" w:hAnsiTheme="minorHAnsi" w:cstheme="minorHAnsi"/>
        </w:rPr>
      </w:pPr>
      <w:r w:rsidRPr="005524CC">
        <w:rPr>
          <w:rFonts w:asciiTheme="minorHAnsi" w:hAnsiTheme="minorHAnsi" w:cstheme="minorHAnsi"/>
        </w:rPr>
        <w:t>Kosov</w:t>
      </w:r>
      <w:r w:rsidR="00122782" w:rsidRPr="005524CC">
        <w:rPr>
          <w:rFonts w:asciiTheme="minorHAnsi" w:hAnsiTheme="minorHAnsi" w:cstheme="minorHAnsi"/>
        </w:rPr>
        <w:t>o ima naprednu poziciju u pogledu ostvarivanja zajedničkog tržišta sa Albanijom</w:t>
      </w:r>
      <w:r w:rsidRPr="005524CC">
        <w:rPr>
          <w:rFonts w:asciiTheme="minorHAnsi" w:hAnsiTheme="minorHAnsi" w:cstheme="minorHAnsi"/>
        </w:rPr>
        <w:t xml:space="preserve">, </w:t>
      </w:r>
      <w:r w:rsidR="00122782" w:rsidRPr="005524CC">
        <w:rPr>
          <w:rFonts w:asciiTheme="minorHAnsi" w:hAnsiTheme="minorHAnsi" w:cstheme="minorHAnsi"/>
        </w:rPr>
        <w:t>koji bi u stvari predstavljao prvo konkretno spajanje dveju tržišta u regionu</w:t>
      </w:r>
      <w:r w:rsidRPr="005524CC">
        <w:rPr>
          <w:rFonts w:asciiTheme="minorHAnsi" w:hAnsiTheme="minorHAnsi" w:cstheme="minorHAnsi"/>
        </w:rPr>
        <w:t xml:space="preserve">. </w:t>
      </w:r>
      <w:r w:rsidR="00122782" w:rsidRPr="005524CC">
        <w:rPr>
          <w:rFonts w:asciiTheme="minorHAnsi" w:hAnsiTheme="minorHAnsi" w:cstheme="minorHAnsi"/>
        </w:rPr>
        <w:t>Kako god</w:t>
      </w:r>
      <w:r w:rsidRPr="005524CC">
        <w:rPr>
          <w:rFonts w:asciiTheme="minorHAnsi" w:hAnsiTheme="minorHAnsi" w:cstheme="minorHAnsi"/>
        </w:rPr>
        <w:t xml:space="preserve">, </w:t>
      </w:r>
      <w:r w:rsidR="00122782" w:rsidRPr="005524CC">
        <w:rPr>
          <w:rFonts w:asciiTheme="minorHAnsi" w:hAnsiTheme="minorHAnsi" w:cstheme="minorHAnsi"/>
        </w:rPr>
        <w:t>ostaje još mnogo da se uradi u funkcionisanju zajedničkog tržišta</w:t>
      </w:r>
      <w:r w:rsidRPr="005524CC">
        <w:rPr>
          <w:rFonts w:asciiTheme="minorHAnsi" w:hAnsiTheme="minorHAnsi" w:cstheme="minorHAnsi"/>
        </w:rPr>
        <w:t xml:space="preserve">, </w:t>
      </w:r>
      <w:r w:rsidR="00122782" w:rsidRPr="005524CC">
        <w:rPr>
          <w:rFonts w:asciiTheme="minorHAnsi" w:hAnsiTheme="minorHAnsi" w:cstheme="minorHAnsi"/>
        </w:rPr>
        <w:t xml:space="preserve">i stoga, </w:t>
      </w:r>
      <w:r w:rsidRPr="005524CC">
        <w:rPr>
          <w:rFonts w:asciiTheme="minorHAnsi" w:hAnsiTheme="minorHAnsi" w:cstheme="minorHAnsi"/>
        </w:rPr>
        <w:t>R</w:t>
      </w:r>
      <w:r w:rsidR="00122782" w:rsidRPr="005524CC">
        <w:rPr>
          <w:rFonts w:asciiTheme="minorHAnsi" w:hAnsiTheme="minorHAnsi" w:cstheme="minorHAnsi"/>
        </w:rPr>
        <w:t>U</w:t>
      </w:r>
      <w:r w:rsidRPr="005524CC">
        <w:rPr>
          <w:rFonts w:asciiTheme="minorHAnsi" w:hAnsiTheme="minorHAnsi" w:cstheme="minorHAnsi"/>
        </w:rPr>
        <w:t xml:space="preserve">E </w:t>
      </w:r>
      <w:r w:rsidR="00122782" w:rsidRPr="005524CC">
        <w:rPr>
          <w:rFonts w:asciiTheme="minorHAnsi" w:hAnsiTheme="minorHAnsi" w:cstheme="minorHAnsi"/>
        </w:rPr>
        <w:t>će obuhvatiti</w:t>
      </w:r>
      <w:r w:rsidRPr="005524CC">
        <w:rPr>
          <w:rFonts w:asciiTheme="minorHAnsi" w:hAnsiTheme="minorHAnsi" w:cstheme="minorHAnsi"/>
        </w:rPr>
        <w:t xml:space="preserve">, </w:t>
      </w:r>
      <w:r w:rsidR="00122782" w:rsidRPr="005524CC">
        <w:rPr>
          <w:rFonts w:asciiTheme="minorHAnsi" w:hAnsiTheme="minorHAnsi" w:cstheme="minorHAnsi"/>
        </w:rPr>
        <w:t>u okviru plana rada</w:t>
      </w:r>
      <w:r w:rsidRPr="005524CC">
        <w:rPr>
          <w:rFonts w:asciiTheme="minorHAnsi" w:hAnsiTheme="minorHAnsi" w:cstheme="minorHAnsi"/>
        </w:rPr>
        <w:t xml:space="preserve">, </w:t>
      </w:r>
      <w:r w:rsidR="00122782" w:rsidRPr="005524CC">
        <w:rPr>
          <w:rFonts w:asciiTheme="minorHAnsi" w:hAnsiTheme="minorHAnsi" w:cstheme="minorHAnsi"/>
        </w:rPr>
        <w:t>nadovezane aktivnosti direktno ili indirektno sa integrisanjem tržišta sa Albanijom</w:t>
      </w:r>
      <w:r w:rsidRPr="005524CC">
        <w:rPr>
          <w:rFonts w:asciiTheme="minorHAnsi" w:hAnsiTheme="minorHAnsi" w:cstheme="minorHAnsi"/>
        </w:rPr>
        <w:t xml:space="preserve">. </w:t>
      </w:r>
      <w:r w:rsidR="00122782" w:rsidRPr="005524CC">
        <w:rPr>
          <w:rFonts w:asciiTheme="minorHAnsi" w:hAnsiTheme="minorHAnsi" w:cstheme="minorHAnsi"/>
        </w:rPr>
        <w:t>Ubuduće, RU</w:t>
      </w:r>
      <w:r w:rsidRPr="005524CC">
        <w:rPr>
          <w:rFonts w:asciiTheme="minorHAnsi" w:hAnsiTheme="minorHAnsi" w:cstheme="minorHAnsi"/>
        </w:rPr>
        <w:t xml:space="preserve">E </w:t>
      </w:r>
      <w:r w:rsidR="00122782" w:rsidRPr="005524CC">
        <w:rPr>
          <w:rFonts w:asciiTheme="minorHAnsi" w:hAnsiTheme="minorHAnsi" w:cstheme="minorHAnsi"/>
        </w:rPr>
        <w:t>će se angažovati za razvoj jednog novog modela tržišta</w:t>
      </w:r>
      <w:r w:rsidRPr="005524CC">
        <w:rPr>
          <w:rFonts w:asciiTheme="minorHAnsi" w:hAnsiTheme="minorHAnsi" w:cstheme="minorHAnsi"/>
        </w:rPr>
        <w:t xml:space="preserve">, </w:t>
      </w:r>
      <w:r w:rsidR="00122782" w:rsidRPr="005524CC">
        <w:rPr>
          <w:rFonts w:asciiTheme="minorHAnsi" w:hAnsiTheme="minorHAnsi" w:cstheme="minorHAnsi"/>
        </w:rPr>
        <w:t>koji bi bio pogodan za integrisanje sa tržištem Albanije</w:t>
      </w:r>
      <w:r w:rsidRPr="005524CC">
        <w:rPr>
          <w:rFonts w:asciiTheme="minorHAnsi" w:hAnsiTheme="minorHAnsi" w:cstheme="minorHAnsi"/>
        </w:rPr>
        <w:t xml:space="preserve">, </w:t>
      </w:r>
      <w:r w:rsidR="00122782" w:rsidRPr="005524CC">
        <w:rPr>
          <w:rFonts w:asciiTheme="minorHAnsi" w:hAnsiTheme="minorHAnsi" w:cstheme="minorHAnsi"/>
        </w:rPr>
        <w:t>i biće u stanju da integriše nove kapacitete generisanja</w:t>
      </w:r>
      <w:r w:rsidRPr="005524CC">
        <w:rPr>
          <w:rFonts w:asciiTheme="minorHAnsi" w:hAnsiTheme="minorHAnsi" w:cstheme="minorHAnsi"/>
        </w:rPr>
        <w:t>.</w:t>
      </w:r>
      <w:r w:rsidR="00122782" w:rsidRPr="005524CC">
        <w:rPr>
          <w:rFonts w:asciiTheme="minorHAnsi" w:hAnsiTheme="minorHAnsi" w:cstheme="minorHAnsi"/>
        </w:rPr>
        <w:t xml:space="preserve"> Ovo je nesumnjivo jedan od glavnih izazova narednih godina</w:t>
      </w:r>
      <w:r w:rsidRPr="005524CC">
        <w:rPr>
          <w:rFonts w:asciiTheme="minorHAnsi" w:hAnsiTheme="minorHAnsi" w:cstheme="minorHAnsi"/>
        </w:rPr>
        <w:t>, me</w:t>
      </w:r>
      <w:r w:rsidR="00122782" w:rsidRPr="005524CC">
        <w:rPr>
          <w:rFonts w:asciiTheme="minorHAnsi" w:hAnsiTheme="minorHAnsi" w:cstheme="minorHAnsi"/>
        </w:rPr>
        <w:t>đutim očekuje se da će RUE imati podršku mnogih donatora i drugih zainteresovanih strana u sektoru energetike</w:t>
      </w:r>
      <w:r w:rsidRPr="005524CC">
        <w:rPr>
          <w:rFonts w:asciiTheme="minorHAnsi" w:hAnsiTheme="minorHAnsi" w:cstheme="minorHAnsi"/>
        </w:rPr>
        <w:t xml:space="preserve">, </w:t>
      </w:r>
      <w:r w:rsidR="00122782" w:rsidRPr="005524CC">
        <w:rPr>
          <w:rFonts w:asciiTheme="minorHAnsi" w:hAnsiTheme="minorHAnsi" w:cstheme="minorHAnsi"/>
        </w:rPr>
        <w:t>kako bi bila u stanju da razvoje funkcionalan model tržišta</w:t>
      </w:r>
      <w:r w:rsidRPr="005524CC">
        <w:rPr>
          <w:rFonts w:asciiTheme="minorHAnsi" w:hAnsiTheme="minorHAnsi" w:cstheme="minorHAnsi"/>
        </w:rPr>
        <w:t xml:space="preserve">. </w:t>
      </w:r>
      <w:r w:rsidR="00122782" w:rsidRPr="005524CC">
        <w:rPr>
          <w:rFonts w:asciiTheme="minorHAnsi" w:hAnsiTheme="minorHAnsi" w:cstheme="minorHAnsi"/>
        </w:rPr>
        <w:t xml:space="preserve">Značajan doprinos u pogledu integrisanja tržišta je pružan od strane </w:t>
      </w:r>
      <w:r w:rsidR="008D05D9" w:rsidRPr="005524CC">
        <w:rPr>
          <w:rFonts w:asciiTheme="minorHAnsi" w:hAnsiTheme="minorHAnsi" w:cstheme="minorHAnsi"/>
        </w:rPr>
        <w:t>USAID</w:t>
      </w:r>
      <w:r w:rsidR="00122782" w:rsidRPr="005524CC">
        <w:rPr>
          <w:rFonts w:asciiTheme="minorHAnsi" w:hAnsiTheme="minorHAnsi" w:cstheme="minorHAnsi"/>
        </w:rPr>
        <w:t>-a</w:t>
      </w:r>
      <w:r w:rsidRPr="005524CC">
        <w:rPr>
          <w:rFonts w:asciiTheme="minorHAnsi" w:hAnsiTheme="minorHAnsi" w:cstheme="minorHAnsi"/>
        </w:rPr>
        <w:t xml:space="preserve">, </w:t>
      </w:r>
      <w:r w:rsidR="00122782" w:rsidRPr="005524CC">
        <w:rPr>
          <w:rFonts w:asciiTheme="minorHAnsi" w:hAnsiTheme="minorHAnsi" w:cstheme="minorHAnsi"/>
        </w:rPr>
        <w:t>dok je u regionu Jugoistočne Evrope</w:t>
      </w:r>
      <w:r w:rsidRPr="005524CC">
        <w:rPr>
          <w:rFonts w:asciiTheme="minorHAnsi" w:hAnsiTheme="minorHAnsi" w:cstheme="minorHAnsi"/>
        </w:rPr>
        <w:t xml:space="preserve">, </w:t>
      </w:r>
      <w:r w:rsidR="00122782" w:rsidRPr="005524CC">
        <w:rPr>
          <w:rFonts w:asciiTheme="minorHAnsi" w:hAnsiTheme="minorHAnsi" w:cstheme="minorHAnsi"/>
        </w:rPr>
        <w:t xml:space="preserve">pod inicijativom Tržišta električne energije </w:t>
      </w:r>
      <w:r w:rsidRPr="005524CC">
        <w:rPr>
          <w:rFonts w:asciiTheme="minorHAnsi" w:hAnsiTheme="minorHAnsi" w:cstheme="minorHAnsi"/>
        </w:rPr>
        <w:t xml:space="preserve">(EMI), USEA  </w:t>
      </w:r>
      <w:r w:rsidR="00122782" w:rsidRPr="005524CC">
        <w:rPr>
          <w:rFonts w:asciiTheme="minorHAnsi" w:hAnsiTheme="minorHAnsi" w:cstheme="minorHAnsi"/>
        </w:rPr>
        <w:t>radi sa operaterima prenosa i tržišta i regulatorima u celom regionu radi unapređenja balansiranja sistema</w:t>
      </w:r>
      <w:r w:rsidRPr="005524CC">
        <w:rPr>
          <w:rFonts w:asciiTheme="minorHAnsi" w:hAnsiTheme="minorHAnsi" w:cstheme="minorHAnsi"/>
        </w:rPr>
        <w:t xml:space="preserve">, </w:t>
      </w:r>
      <w:r w:rsidR="00122782" w:rsidRPr="005524CC">
        <w:rPr>
          <w:rFonts w:asciiTheme="minorHAnsi" w:hAnsiTheme="minorHAnsi" w:cstheme="minorHAnsi"/>
        </w:rPr>
        <w:t>integrisanja iste energije i nabavku</w:t>
      </w:r>
      <w:r w:rsidRPr="005524CC">
        <w:rPr>
          <w:rFonts w:asciiTheme="minorHAnsi" w:hAnsiTheme="minorHAnsi" w:cstheme="minorHAnsi"/>
        </w:rPr>
        <w:t xml:space="preserve">, </w:t>
      </w:r>
      <w:r w:rsidR="00122782" w:rsidRPr="005524CC">
        <w:rPr>
          <w:rFonts w:asciiTheme="minorHAnsi" w:hAnsiTheme="minorHAnsi" w:cstheme="minorHAnsi"/>
        </w:rPr>
        <w:t>veze tržišta i razmenjivanje energije</w:t>
      </w:r>
      <w:r w:rsidRPr="005524CC">
        <w:rPr>
          <w:rFonts w:asciiTheme="minorHAnsi" w:hAnsiTheme="minorHAnsi" w:cstheme="minorHAnsi"/>
        </w:rPr>
        <w:t>.</w:t>
      </w:r>
    </w:p>
    <w:p w:rsidR="008D05D9" w:rsidRPr="005524CC" w:rsidRDefault="00122782" w:rsidP="00711625">
      <w:pPr>
        <w:spacing w:line="312" w:lineRule="auto"/>
        <w:rPr>
          <w:rFonts w:asciiTheme="minorHAnsi" w:hAnsiTheme="minorHAnsi" w:cstheme="minorHAnsi"/>
        </w:rPr>
      </w:pPr>
      <w:r w:rsidRPr="005524CC">
        <w:rPr>
          <w:rFonts w:asciiTheme="minorHAnsi" w:hAnsiTheme="minorHAnsi" w:cstheme="minorHAnsi"/>
        </w:rPr>
        <w:t>U okviru ove inicijative</w:t>
      </w:r>
      <w:r w:rsidR="00711625" w:rsidRPr="005524CC">
        <w:rPr>
          <w:rFonts w:asciiTheme="minorHAnsi" w:hAnsiTheme="minorHAnsi" w:cstheme="minorHAnsi"/>
        </w:rPr>
        <w:t xml:space="preserve">, </w:t>
      </w:r>
      <w:r w:rsidRPr="005524CC">
        <w:rPr>
          <w:rFonts w:asciiTheme="minorHAnsi" w:hAnsiTheme="minorHAnsi" w:cstheme="minorHAnsi"/>
        </w:rPr>
        <w:t xml:space="preserve">tokom perioda </w:t>
      </w:r>
      <w:r w:rsidR="00711625" w:rsidRPr="005524CC">
        <w:rPr>
          <w:rFonts w:asciiTheme="minorHAnsi" w:hAnsiTheme="minorHAnsi" w:cstheme="minorHAnsi"/>
        </w:rPr>
        <w:t>2020-2025</w:t>
      </w:r>
      <w:r w:rsidRPr="005524CC">
        <w:rPr>
          <w:rFonts w:asciiTheme="minorHAnsi" w:hAnsiTheme="minorHAnsi" w:cstheme="minorHAnsi"/>
        </w:rPr>
        <w:t>. godine</w:t>
      </w:r>
      <w:r w:rsidR="00711625" w:rsidRPr="005524CC">
        <w:rPr>
          <w:rFonts w:asciiTheme="minorHAnsi" w:hAnsiTheme="minorHAnsi" w:cstheme="minorHAnsi"/>
        </w:rPr>
        <w:t xml:space="preserve">, </w:t>
      </w:r>
      <w:r w:rsidRPr="005524CC">
        <w:rPr>
          <w:rFonts w:asciiTheme="minorHAnsi" w:hAnsiTheme="minorHAnsi" w:cstheme="minorHAnsi"/>
        </w:rPr>
        <w:t>adresiraće se delimično integrisanje tržišta energije</w:t>
      </w:r>
      <w:r w:rsidR="00711625" w:rsidRPr="005524CC">
        <w:rPr>
          <w:rFonts w:asciiTheme="minorHAnsi" w:hAnsiTheme="minorHAnsi" w:cstheme="minorHAnsi"/>
        </w:rPr>
        <w:t xml:space="preserve">, </w:t>
      </w:r>
      <w:r w:rsidRPr="005524CC">
        <w:rPr>
          <w:rFonts w:asciiTheme="minorHAnsi" w:hAnsiTheme="minorHAnsi" w:cstheme="minorHAnsi"/>
        </w:rPr>
        <w:t>gde Kosovo ima za cilj da integriše njeno tržište sa Albanijom</w:t>
      </w:r>
      <w:r w:rsidR="00711625" w:rsidRPr="005524CC">
        <w:rPr>
          <w:rFonts w:asciiTheme="minorHAnsi" w:hAnsiTheme="minorHAnsi" w:cstheme="minorHAnsi"/>
        </w:rPr>
        <w:t xml:space="preserve">, </w:t>
      </w:r>
      <w:r w:rsidRPr="005524CC">
        <w:rPr>
          <w:rFonts w:asciiTheme="minorHAnsi" w:hAnsiTheme="minorHAnsi" w:cstheme="minorHAnsi"/>
        </w:rPr>
        <w:t xml:space="preserve">dok </w:t>
      </w:r>
      <w:r w:rsidR="00711625" w:rsidRPr="005524CC">
        <w:rPr>
          <w:rFonts w:asciiTheme="minorHAnsi" w:hAnsiTheme="minorHAnsi" w:cstheme="minorHAnsi"/>
        </w:rPr>
        <w:t>2025</w:t>
      </w:r>
      <w:r w:rsidRPr="005524CC">
        <w:rPr>
          <w:rFonts w:asciiTheme="minorHAnsi" w:hAnsiTheme="minorHAnsi" w:cstheme="minorHAnsi"/>
        </w:rPr>
        <w:t>. godine</w:t>
      </w:r>
      <w:r w:rsidR="00711625" w:rsidRPr="005524CC">
        <w:rPr>
          <w:rFonts w:asciiTheme="minorHAnsi" w:hAnsiTheme="minorHAnsi" w:cstheme="minorHAnsi"/>
        </w:rPr>
        <w:t xml:space="preserve">, </w:t>
      </w:r>
      <w:r w:rsidRPr="005524CC">
        <w:rPr>
          <w:rFonts w:asciiTheme="minorHAnsi" w:hAnsiTheme="minorHAnsi" w:cstheme="minorHAnsi"/>
        </w:rPr>
        <w:t>cilj je da se uspostavi zajedničko tržište za celokupan region Jugoistočne Evrope</w:t>
      </w:r>
      <w:r w:rsidR="00711625" w:rsidRPr="005524CC">
        <w:rPr>
          <w:rFonts w:asciiTheme="minorHAnsi" w:hAnsiTheme="minorHAnsi" w:cstheme="minorHAnsi"/>
        </w:rPr>
        <w:t xml:space="preserve">. </w:t>
      </w:r>
      <w:r w:rsidRPr="005524CC">
        <w:rPr>
          <w:rFonts w:asciiTheme="minorHAnsi" w:hAnsiTheme="minorHAnsi" w:cstheme="minorHAnsi"/>
        </w:rPr>
        <w:t>Tokom ove godine</w:t>
      </w:r>
      <w:r w:rsidR="00711625" w:rsidRPr="005524CC">
        <w:rPr>
          <w:rFonts w:asciiTheme="minorHAnsi" w:hAnsiTheme="minorHAnsi" w:cstheme="minorHAnsi"/>
        </w:rPr>
        <w:t xml:space="preserve">, </w:t>
      </w:r>
      <w:r w:rsidRPr="005524CC">
        <w:rPr>
          <w:rFonts w:asciiTheme="minorHAnsi" w:hAnsiTheme="minorHAnsi" w:cstheme="minorHAnsi"/>
        </w:rPr>
        <w:t xml:space="preserve">region će izraditi detaljan plan za </w:t>
      </w:r>
      <w:r w:rsidR="006A2A80" w:rsidRPr="005524CC">
        <w:rPr>
          <w:rFonts w:asciiTheme="minorHAnsi" w:hAnsiTheme="minorHAnsi" w:cstheme="minorHAnsi"/>
        </w:rPr>
        <w:t>ispunjavanje sličnog cilja</w:t>
      </w:r>
      <w:r w:rsidR="00711625" w:rsidRPr="005524CC">
        <w:rPr>
          <w:rFonts w:asciiTheme="minorHAnsi" w:hAnsiTheme="minorHAnsi" w:cstheme="minorHAnsi"/>
        </w:rPr>
        <w:t xml:space="preserve">, </w:t>
      </w:r>
      <w:r w:rsidR="006A2A80" w:rsidRPr="005524CC">
        <w:rPr>
          <w:rFonts w:asciiTheme="minorHAnsi" w:hAnsiTheme="minorHAnsi" w:cstheme="minorHAnsi"/>
        </w:rPr>
        <w:t xml:space="preserve">i sve odgovornosti relevantnih regulatora </w:t>
      </w:r>
      <w:r w:rsidR="00711625" w:rsidRPr="005524CC">
        <w:rPr>
          <w:rFonts w:asciiTheme="minorHAnsi" w:hAnsiTheme="minorHAnsi" w:cstheme="minorHAnsi"/>
        </w:rPr>
        <w:t>(</w:t>
      </w:r>
      <w:r w:rsidR="006A2A80" w:rsidRPr="005524CC">
        <w:rPr>
          <w:rFonts w:asciiTheme="minorHAnsi" w:hAnsiTheme="minorHAnsi" w:cstheme="minorHAnsi"/>
        </w:rPr>
        <w:t>uključujući RUE</w:t>
      </w:r>
      <w:r w:rsidR="00711625" w:rsidRPr="005524CC">
        <w:rPr>
          <w:rFonts w:asciiTheme="minorHAnsi" w:hAnsiTheme="minorHAnsi" w:cstheme="minorHAnsi"/>
        </w:rPr>
        <w:t>)</w:t>
      </w:r>
      <w:r w:rsidR="006A2A80" w:rsidRPr="005524CC">
        <w:rPr>
          <w:rFonts w:asciiTheme="minorHAnsi" w:hAnsiTheme="minorHAnsi" w:cstheme="minorHAnsi"/>
        </w:rPr>
        <w:t xml:space="preserve"> se</w:t>
      </w:r>
      <w:r w:rsidR="00711625" w:rsidRPr="005524CC">
        <w:rPr>
          <w:rFonts w:asciiTheme="minorHAnsi" w:hAnsiTheme="minorHAnsi" w:cstheme="minorHAnsi"/>
        </w:rPr>
        <w:t xml:space="preserve"> </w:t>
      </w:r>
      <w:r w:rsidR="006A2A80" w:rsidRPr="005524CC">
        <w:rPr>
          <w:rFonts w:asciiTheme="minorHAnsi" w:hAnsiTheme="minorHAnsi" w:cstheme="minorHAnsi"/>
        </w:rPr>
        <w:t>prema integrisanju trebaju definisati</w:t>
      </w:r>
      <w:r w:rsidR="00711625" w:rsidRPr="005524CC">
        <w:rPr>
          <w:rFonts w:asciiTheme="minorHAnsi" w:hAnsiTheme="minorHAnsi" w:cstheme="minorHAnsi"/>
        </w:rPr>
        <w:t xml:space="preserve">. </w:t>
      </w:r>
    </w:p>
    <w:p w:rsidR="00711625" w:rsidRPr="005524CC" w:rsidRDefault="00801991" w:rsidP="002D1940">
      <w:pPr>
        <w:pStyle w:val="Heading2"/>
        <w:rPr>
          <w:rFonts w:asciiTheme="minorHAnsi" w:hAnsiTheme="minorHAnsi" w:cstheme="minorHAnsi"/>
        </w:rPr>
      </w:pPr>
      <w:bookmarkStart w:id="8" w:name="_Toc56589718"/>
      <w:r w:rsidRPr="005524CC">
        <w:rPr>
          <w:rFonts w:asciiTheme="minorHAnsi" w:hAnsiTheme="minorHAnsi" w:cstheme="minorHAnsi"/>
        </w:rPr>
        <w:t>Konkur</w:t>
      </w:r>
      <w:r w:rsidR="00711625" w:rsidRPr="005524CC">
        <w:rPr>
          <w:rFonts w:asciiTheme="minorHAnsi" w:hAnsiTheme="minorHAnsi" w:cstheme="minorHAnsi"/>
        </w:rPr>
        <w:t>en</w:t>
      </w:r>
      <w:r w:rsidRPr="005524CC">
        <w:rPr>
          <w:rFonts w:asciiTheme="minorHAnsi" w:hAnsiTheme="minorHAnsi" w:cstheme="minorHAnsi"/>
        </w:rPr>
        <w:t>tnost u sektoru električne energije</w:t>
      </w:r>
      <w:bookmarkEnd w:id="8"/>
      <w:r w:rsidRPr="005524CC">
        <w:rPr>
          <w:rFonts w:asciiTheme="minorHAnsi" w:hAnsiTheme="minorHAnsi" w:cstheme="minorHAnsi"/>
        </w:rPr>
        <w:t xml:space="preserve"> </w:t>
      </w:r>
    </w:p>
    <w:p w:rsidR="00711625" w:rsidRPr="005524CC" w:rsidRDefault="00716608" w:rsidP="00711625">
      <w:pPr>
        <w:spacing w:line="312" w:lineRule="auto"/>
        <w:rPr>
          <w:rFonts w:asciiTheme="minorHAnsi" w:hAnsiTheme="minorHAnsi" w:cstheme="minorHAnsi"/>
        </w:rPr>
      </w:pPr>
      <w:r w:rsidRPr="005524CC">
        <w:rPr>
          <w:rFonts w:asciiTheme="minorHAnsi" w:hAnsiTheme="minorHAnsi" w:cstheme="minorHAnsi"/>
        </w:rPr>
        <w:t xml:space="preserve">U konsultaciji sa </w:t>
      </w:r>
      <w:r w:rsidR="003B70F3" w:rsidRPr="005524CC">
        <w:rPr>
          <w:rFonts w:asciiTheme="minorHAnsi" w:hAnsiTheme="minorHAnsi" w:cstheme="minorHAnsi"/>
        </w:rPr>
        <w:t>Autoritetom Kosova za Konkurenciju i relevantnim autoritetima koji nadgledaju državnu pomoć</w:t>
      </w:r>
      <w:r w:rsidR="00711625" w:rsidRPr="005524CC">
        <w:rPr>
          <w:rFonts w:asciiTheme="minorHAnsi" w:hAnsiTheme="minorHAnsi" w:cstheme="minorHAnsi"/>
        </w:rPr>
        <w:t xml:space="preserve">, </w:t>
      </w:r>
      <w:r w:rsidR="003B70F3" w:rsidRPr="005524CC">
        <w:rPr>
          <w:rFonts w:asciiTheme="minorHAnsi" w:hAnsiTheme="minorHAnsi" w:cstheme="minorHAnsi"/>
        </w:rPr>
        <w:t>Regulatorni ured za energiju</w:t>
      </w:r>
      <w:r w:rsidR="00711625" w:rsidRPr="005524CC">
        <w:rPr>
          <w:rFonts w:asciiTheme="minorHAnsi" w:hAnsiTheme="minorHAnsi" w:cstheme="minorHAnsi"/>
        </w:rPr>
        <w:t xml:space="preserve">, </w:t>
      </w:r>
      <w:r w:rsidR="003B70F3" w:rsidRPr="005524CC">
        <w:rPr>
          <w:rFonts w:asciiTheme="minorHAnsi" w:hAnsiTheme="minorHAnsi" w:cstheme="minorHAnsi"/>
        </w:rPr>
        <w:t xml:space="preserve">najmanje svake druge </w:t>
      </w:r>
      <w:r w:rsidR="00711625" w:rsidRPr="005524CC">
        <w:rPr>
          <w:rFonts w:asciiTheme="minorHAnsi" w:hAnsiTheme="minorHAnsi" w:cstheme="minorHAnsi"/>
        </w:rPr>
        <w:t xml:space="preserve">(2) </w:t>
      </w:r>
      <w:r w:rsidR="003B70F3" w:rsidRPr="005524CC">
        <w:rPr>
          <w:rFonts w:asciiTheme="minorHAnsi" w:hAnsiTheme="minorHAnsi" w:cstheme="minorHAnsi"/>
        </w:rPr>
        <w:t>godine</w:t>
      </w:r>
      <w:r w:rsidR="00711625" w:rsidRPr="005524CC">
        <w:rPr>
          <w:rFonts w:asciiTheme="minorHAnsi" w:hAnsiTheme="minorHAnsi" w:cstheme="minorHAnsi"/>
        </w:rPr>
        <w:t xml:space="preserve">, </w:t>
      </w:r>
      <w:r w:rsidR="003B70F3" w:rsidRPr="005524CC">
        <w:rPr>
          <w:rFonts w:asciiTheme="minorHAnsi" w:hAnsiTheme="minorHAnsi" w:cstheme="minorHAnsi"/>
        </w:rPr>
        <w:t>će razmatrati funkcionisanje tržišta električne energije</w:t>
      </w:r>
      <w:r w:rsidR="00711625" w:rsidRPr="005524CC">
        <w:rPr>
          <w:rFonts w:asciiTheme="minorHAnsi" w:hAnsiTheme="minorHAnsi" w:cstheme="minorHAnsi"/>
        </w:rPr>
        <w:t xml:space="preserve">, </w:t>
      </w:r>
      <w:r w:rsidR="003B70F3" w:rsidRPr="005524CC">
        <w:rPr>
          <w:rFonts w:asciiTheme="minorHAnsi" w:hAnsiTheme="minorHAnsi" w:cstheme="minorHAnsi"/>
        </w:rPr>
        <w:t>i uspostaviće sve neophodne i proporcionalne mere radi povećanje konkurentnosti i osiguranja odgovarajućeg funkcionisanja tržišta</w:t>
      </w:r>
      <w:r w:rsidR="00711625" w:rsidRPr="005524CC">
        <w:rPr>
          <w:rFonts w:asciiTheme="minorHAnsi" w:hAnsiTheme="minorHAnsi" w:cstheme="minorHAnsi"/>
        </w:rPr>
        <w:t xml:space="preserve">. </w:t>
      </w:r>
      <w:r w:rsidR="003B70F3" w:rsidRPr="005524CC">
        <w:rPr>
          <w:rFonts w:asciiTheme="minorHAnsi" w:hAnsiTheme="minorHAnsi" w:cstheme="minorHAnsi"/>
        </w:rPr>
        <w:t>Treba istaći da ova dvogodišnja procena nije povezana sa mogućim istragama navodne zloupotrebe dominantne pozicije</w:t>
      </w:r>
      <w:r w:rsidR="00711625" w:rsidRPr="005524CC">
        <w:rPr>
          <w:rFonts w:asciiTheme="minorHAnsi" w:hAnsiTheme="minorHAnsi" w:cstheme="minorHAnsi"/>
        </w:rPr>
        <w:t xml:space="preserve">, </w:t>
      </w:r>
      <w:r w:rsidR="003B70F3" w:rsidRPr="005524CC">
        <w:rPr>
          <w:rFonts w:asciiTheme="minorHAnsi" w:hAnsiTheme="minorHAnsi" w:cstheme="minorHAnsi"/>
        </w:rPr>
        <w:t>u skladu sa Zakonom o konkurentnosti</w:t>
      </w:r>
      <w:r w:rsidR="00711625" w:rsidRPr="005524CC">
        <w:rPr>
          <w:rFonts w:asciiTheme="minorHAnsi" w:hAnsiTheme="minorHAnsi" w:cstheme="minorHAnsi"/>
        </w:rPr>
        <w:t>.</w:t>
      </w:r>
    </w:p>
    <w:p w:rsidR="00711625" w:rsidRPr="005524CC" w:rsidRDefault="00985E30" w:rsidP="005D0FA5">
      <w:pPr>
        <w:tabs>
          <w:tab w:val="left" w:pos="1102"/>
        </w:tabs>
        <w:rPr>
          <w:rFonts w:asciiTheme="minorHAnsi" w:hAnsiTheme="minorHAnsi" w:cstheme="minorHAnsi"/>
        </w:rPr>
      </w:pPr>
      <w:r w:rsidRPr="005524CC">
        <w:rPr>
          <w:rFonts w:asciiTheme="minorHAnsi" w:hAnsiTheme="minorHAnsi" w:cstheme="minorHAnsi"/>
        </w:rPr>
        <w:t xml:space="preserve">Poslednjih godina se značajno radilo na pripremama za razvoj zakonski obavezujućeg sporazuma koji je neophodan za povećanje konkurentnosti u snabdevanju električnom energijom. </w:t>
      </w:r>
      <w:r w:rsidR="00711625" w:rsidRPr="005524CC">
        <w:rPr>
          <w:rFonts w:asciiTheme="minorHAnsi" w:hAnsiTheme="minorHAnsi" w:cstheme="minorHAnsi"/>
        </w:rPr>
        <w:t>R</w:t>
      </w:r>
      <w:r w:rsidRPr="005524CC">
        <w:rPr>
          <w:rFonts w:asciiTheme="minorHAnsi" w:hAnsiTheme="minorHAnsi" w:cstheme="minorHAnsi"/>
        </w:rPr>
        <w:t>U</w:t>
      </w:r>
      <w:r w:rsidR="00711625" w:rsidRPr="005524CC">
        <w:rPr>
          <w:rFonts w:asciiTheme="minorHAnsi" w:hAnsiTheme="minorHAnsi" w:cstheme="minorHAnsi"/>
        </w:rPr>
        <w:t xml:space="preserve">E </w:t>
      </w:r>
      <w:r w:rsidR="00F21229" w:rsidRPr="005524CC">
        <w:rPr>
          <w:rFonts w:asciiTheme="minorHAnsi" w:hAnsiTheme="minorHAnsi" w:cstheme="minorHAnsi"/>
        </w:rPr>
        <w:t>je razvijao akcioni plan</w:t>
      </w:r>
      <w:r w:rsidR="00711625" w:rsidRPr="005524CC">
        <w:rPr>
          <w:rFonts w:asciiTheme="minorHAnsi" w:hAnsiTheme="minorHAnsi" w:cstheme="minorHAnsi"/>
        </w:rPr>
        <w:t xml:space="preserve">, </w:t>
      </w:r>
      <w:r w:rsidR="00F21229" w:rsidRPr="005524CC">
        <w:rPr>
          <w:rFonts w:asciiTheme="minorHAnsi" w:hAnsiTheme="minorHAnsi" w:cstheme="minorHAnsi"/>
        </w:rPr>
        <w:t>kroz Uputstva za liberalizaciju tržišta</w:t>
      </w:r>
      <w:r w:rsidR="00711625" w:rsidRPr="005524CC">
        <w:rPr>
          <w:rFonts w:asciiTheme="minorHAnsi" w:hAnsiTheme="minorHAnsi" w:cstheme="minorHAnsi"/>
        </w:rPr>
        <w:t xml:space="preserve">, </w:t>
      </w:r>
      <w:r w:rsidR="0035518C" w:rsidRPr="005524CC">
        <w:rPr>
          <w:rFonts w:asciiTheme="minorHAnsi" w:hAnsiTheme="minorHAnsi" w:cstheme="minorHAnsi"/>
        </w:rPr>
        <w:t>koji određuje ciljani put ka de</w:t>
      </w:r>
      <w:r w:rsidR="00F21229" w:rsidRPr="005524CC">
        <w:rPr>
          <w:rFonts w:asciiTheme="minorHAnsi" w:hAnsiTheme="minorHAnsi" w:cstheme="minorHAnsi"/>
        </w:rPr>
        <w:t>regulaciji cena</w:t>
      </w:r>
      <w:r w:rsidR="00711625" w:rsidRPr="005524CC">
        <w:rPr>
          <w:rFonts w:asciiTheme="minorHAnsi" w:hAnsiTheme="minorHAnsi" w:cstheme="minorHAnsi"/>
        </w:rPr>
        <w:t xml:space="preserve">. </w:t>
      </w:r>
      <w:r w:rsidR="00F21229" w:rsidRPr="005524CC">
        <w:rPr>
          <w:rFonts w:asciiTheme="minorHAnsi" w:hAnsiTheme="minorHAnsi" w:cstheme="minorHAnsi"/>
        </w:rPr>
        <w:t>Pored konačnih procedura za promenu snabdevača, RU</w:t>
      </w:r>
      <w:r w:rsidR="00711625" w:rsidRPr="005524CC">
        <w:rPr>
          <w:rFonts w:asciiTheme="minorHAnsi" w:hAnsiTheme="minorHAnsi" w:cstheme="minorHAnsi"/>
        </w:rPr>
        <w:t xml:space="preserve">E </w:t>
      </w:r>
      <w:r w:rsidR="00F21229" w:rsidRPr="005524CC">
        <w:rPr>
          <w:rFonts w:asciiTheme="minorHAnsi" w:hAnsiTheme="minorHAnsi" w:cstheme="minorHAnsi"/>
        </w:rPr>
        <w:t xml:space="preserve">je uspostavio bezbednosne mehanizme radi </w:t>
      </w:r>
      <w:r w:rsidR="00F21229" w:rsidRPr="005524CC">
        <w:rPr>
          <w:rFonts w:asciiTheme="minorHAnsi" w:hAnsiTheme="minorHAnsi" w:cstheme="minorHAnsi"/>
        </w:rPr>
        <w:lastRenderedPageBreak/>
        <w:t>zaštite potrošača</w:t>
      </w:r>
      <w:r w:rsidR="00711625" w:rsidRPr="005524CC">
        <w:rPr>
          <w:rFonts w:asciiTheme="minorHAnsi" w:hAnsiTheme="minorHAnsi" w:cstheme="minorHAnsi"/>
        </w:rPr>
        <w:t xml:space="preserve">, </w:t>
      </w:r>
      <w:r w:rsidR="00F21229" w:rsidRPr="005524CC">
        <w:rPr>
          <w:rFonts w:asciiTheme="minorHAnsi" w:hAnsiTheme="minorHAnsi" w:cstheme="minorHAnsi"/>
        </w:rPr>
        <w:t>posebno domaćih potrošača</w:t>
      </w:r>
      <w:r w:rsidR="00711625" w:rsidRPr="005524CC">
        <w:rPr>
          <w:rFonts w:asciiTheme="minorHAnsi" w:hAnsiTheme="minorHAnsi" w:cstheme="minorHAnsi"/>
        </w:rPr>
        <w:t xml:space="preserve">, </w:t>
      </w:r>
      <w:r w:rsidR="00F21229" w:rsidRPr="005524CC">
        <w:rPr>
          <w:rFonts w:asciiTheme="minorHAnsi" w:hAnsiTheme="minorHAnsi" w:cstheme="minorHAnsi"/>
        </w:rPr>
        <w:t>na jednom konkurentnom tržištu</w:t>
      </w:r>
      <w:r w:rsidR="00711625" w:rsidRPr="005524CC">
        <w:rPr>
          <w:rFonts w:asciiTheme="minorHAnsi" w:hAnsiTheme="minorHAnsi" w:cstheme="minorHAnsi"/>
        </w:rPr>
        <w:t xml:space="preserve">. </w:t>
      </w:r>
      <w:r w:rsidR="00F21229" w:rsidRPr="005524CC">
        <w:rPr>
          <w:rFonts w:asciiTheme="minorHAnsi" w:hAnsiTheme="minorHAnsi" w:cstheme="minorHAnsi"/>
        </w:rPr>
        <w:t>Ovo je obuhvatilo imenovanje jednog „garantovanog snabdevača“</w:t>
      </w:r>
      <w:r w:rsidR="00711625" w:rsidRPr="005524CC">
        <w:rPr>
          <w:rFonts w:asciiTheme="minorHAnsi" w:hAnsiTheme="minorHAnsi" w:cstheme="minorHAnsi"/>
        </w:rPr>
        <w:t xml:space="preserve">, </w:t>
      </w:r>
      <w:r w:rsidR="00F21229" w:rsidRPr="005524CC">
        <w:rPr>
          <w:rFonts w:asciiTheme="minorHAnsi" w:hAnsiTheme="minorHAnsi" w:cstheme="minorHAnsi"/>
        </w:rPr>
        <w:t>ko</w:t>
      </w:r>
      <w:r w:rsidR="0035518C" w:rsidRPr="005524CC">
        <w:rPr>
          <w:rFonts w:asciiTheme="minorHAnsi" w:hAnsiTheme="minorHAnsi" w:cstheme="minorHAnsi"/>
        </w:rPr>
        <w:t>ji bi igrao ulogu Snabdevača poslednje mogućnosti (SPM</w:t>
      </w:r>
      <w:r w:rsidR="00711625" w:rsidRPr="005524CC">
        <w:rPr>
          <w:rFonts w:asciiTheme="minorHAnsi" w:hAnsiTheme="minorHAnsi" w:cstheme="minorHAnsi"/>
        </w:rPr>
        <w:t xml:space="preserve">), </w:t>
      </w:r>
      <w:r w:rsidR="0035518C" w:rsidRPr="005524CC">
        <w:rPr>
          <w:rFonts w:asciiTheme="minorHAnsi" w:hAnsiTheme="minorHAnsi" w:cstheme="minorHAnsi"/>
        </w:rPr>
        <w:t>u slučaju da jedan postojeći ugovor potrošača sa jednim snabdevačem ističe ili se otkazuje pre nego da potrošač ustupi u novi ugovor o snabdevanju</w:t>
      </w:r>
      <w:r w:rsidR="00711625" w:rsidRPr="005524CC">
        <w:rPr>
          <w:rFonts w:asciiTheme="minorHAnsi" w:hAnsiTheme="minorHAnsi" w:cstheme="minorHAnsi"/>
        </w:rPr>
        <w:t>.</w:t>
      </w:r>
    </w:p>
    <w:p w:rsidR="00C76E2E" w:rsidRPr="005524CC" w:rsidRDefault="0035518C" w:rsidP="002D1940">
      <w:pPr>
        <w:pStyle w:val="Heading2"/>
        <w:rPr>
          <w:rFonts w:asciiTheme="minorHAnsi" w:hAnsiTheme="minorHAnsi" w:cstheme="minorHAnsi"/>
        </w:rPr>
      </w:pPr>
      <w:bookmarkStart w:id="9" w:name="_Toc56589719"/>
      <w:r w:rsidRPr="005524CC">
        <w:rPr>
          <w:rFonts w:asciiTheme="minorHAnsi" w:hAnsiTheme="minorHAnsi" w:cstheme="minorHAnsi"/>
        </w:rPr>
        <w:t>Deregulacija cena</w:t>
      </w:r>
      <w:bookmarkEnd w:id="9"/>
      <w:r w:rsidRPr="005524CC">
        <w:rPr>
          <w:rFonts w:asciiTheme="minorHAnsi" w:hAnsiTheme="minorHAnsi" w:cstheme="minorHAnsi"/>
        </w:rPr>
        <w:t xml:space="preserve"> </w:t>
      </w:r>
    </w:p>
    <w:p w:rsidR="00C76E2E" w:rsidRPr="005524CC" w:rsidRDefault="005524CC" w:rsidP="00C76E2E">
      <w:pPr>
        <w:rPr>
          <w:rFonts w:asciiTheme="minorHAnsi" w:hAnsiTheme="minorHAnsi" w:cstheme="minorHAnsi"/>
        </w:rPr>
      </w:pPr>
      <w:r>
        <w:rPr>
          <w:rFonts w:asciiTheme="minorHAnsi" w:hAnsiTheme="minorHAnsi" w:cstheme="minorHAnsi"/>
        </w:rPr>
        <w:t>RU</w:t>
      </w:r>
      <w:r w:rsidR="00C76E2E" w:rsidRPr="005524CC">
        <w:rPr>
          <w:rFonts w:asciiTheme="minorHAnsi" w:hAnsiTheme="minorHAnsi" w:cstheme="minorHAnsi"/>
        </w:rPr>
        <w:t xml:space="preserve">E </w:t>
      </w:r>
      <w:r>
        <w:rPr>
          <w:rFonts w:asciiTheme="minorHAnsi" w:hAnsiTheme="minorHAnsi" w:cstheme="minorHAnsi"/>
        </w:rPr>
        <w:t>je započeo deregulaciju na tržištu energije na veliko</w:t>
      </w:r>
      <w:r w:rsidR="00C76E2E" w:rsidRPr="005524CC">
        <w:rPr>
          <w:rFonts w:asciiTheme="minorHAnsi" w:hAnsiTheme="minorHAnsi" w:cstheme="minorHAnsi"/>
        </w:rPr>
        <w:t xml:space="preserve">, </w:t>
      </w:r>
      <w:r>
        <w:rPr>
          <w:rFonts w:asciiTheme="minorHAnsi" w:hAnsiTheme="minorHAnsi" w:cstheme="minorHAnsi"/>
        </w:rPr>
        <w:t>kako bi se zatim nastavilo sa konkretnim planom za deregulaciju cena na tržištu energije na malo</w:t>
      </w:r>
      <w:r w:rsidR="00C76E2E" w:rsidRPr="005524CC">
        <w:rPr>
          <w:rFonts w:asciiTheme="minorHAnsi" w:hAnsiTheme="minorHAnsi" w:cstheme="minorHAnsi"/>
        </w:rPr>
        <w:t xml:space="preserve">. </w:t>
      </w:r>
      <w:r>
        <w:rPr>
          <w:rFonts w:asciiTheme="minorHAnsi" w:hAnsiTheme="minorHAnsi" w:cstheme="minorHAnsi"/>
        </w:rPr>
        <w:t>Sa ove tačke gledišta</w:t>
      </w:r>
      <w:r w:rsidR="00C76E2E" w:rsidRPr="005524CC">
        <w:rPr>
          <w:rFonts w:asciiTheme="minorHAnsi" w:hAnsiTheme="minorHAnsi" w:cstheme="minorHAnsi"/>
        </w:rPr>
        <w:t xml:space="preserve">, </w:t>
      </w:r>
      <w:r>
        <w:rPr>
          <w:rFonts w:asciiTheme="minorHAnsi" w:hAnsiTheme="minorHAnsi" w:cstheme="minorHAnsi"/>
        </w:rPr>
        <w:t>Odbor RUE-a je usvojio „Vodič za liberalizaciju tržišta električne energije“</w:t>
      </w:r>
      <w:r w:rsidR="00C76E2E" w:rsidRPr="005524CC">
        <w:rPr>
          <w:rFonts w:asciiTheme="minorHAnsi" w:hAnsiTheme="minorHAnsi" w:cstheme="minorHAnsi"/>
        </w:rPr>
        <w:t xml:space="preserve">, </w:t>
      </w:r>
      <w:r>
        <w:rPr>
          <w:rFonts w:asciiTheme="minorHAnsi" w:hAnsiTheme="minorHAnsi" w:cstheme="minorHAnsi"/>
        </w:rPr>
        <w:t>koji</w:t>
      </w:r>
      <w:r w:rsidR="00C76E2E" w:rsidRPr="005524CC">
        <w:rPr>
          <w:rFonts w:asciiTheme="minorHAnsi" w:hAnsiTheme="minorHAnsi" w:cstheme="minorHAnsi"/>
        </w:rPr>
        <w:t xml:space="preserve">, </w:t>
      </w:r>
      <w:r>
        <w:rPr>
          <w:rFonts w:asciiTheme="minorHAnsi" w:hAnsiTheme="minorHAnsi" w:cstheme="minorHAnsi"/>
        </w:rPr>
        <w:t>između ostalog</w:t>
      </w:r>
      <w:r w:rsidR="00C76E2E" w:rsidRPr="005524CC">
        <w:rPr>
          <w:rFonts w:asciiTheme="minorHAnsi" w:hAnsiTheme="minorHAnsi" w:cstheme="minorHAnsi"/>
        </w:rPr>
        <w:t xml:space="preserve">, </w:t>
      </w:r>
      <w:r>
        <w:rPr>
          <w:rFonts w:asciiTheme="minorHAnsi" w:hAnsiTheme="minorHAnsi" w:cstheme="minorHAnsi"/>
        </w:rPr>
        <w:t>takođe određuje deregulaciju cena električne energije i vremenski rok sprovođenja</w:t>
      </w:r>
      <w:r w:rsidR="00C76E2E" w:rsidRPr="005524CC">
        <w:rPr>
          <w:rFonts w:asciiTheme="minorHAnsi" w:hAnsiTheme="minorHAnsi" w:cstheme="minorHAnsi"/>
        </w:rPr>
        <w:t>.</w:t>
      </w:r>
    </w:p>
    <w:p w:rsidR="00C76E2E" w:rsidRPr="005524CC" w:rsidRDefault="005524CC" w:rsidP="00C76E2E">
      <w:pPr>
        <w:rPr>
          <w:rFonts w:asciiTheme="minorHAnsi" w:hAnsiTheme="minorHAnsi" w:cstheme="minorHAnsi"/>
        </w:rPr>
      </w:pPr>
      <w:r>
        <w:rPr>
          <w:rFonts w:asciiTheme="minorHAnsi" w:hAnsiTheme="minorHAnsi" w:cstheme="minorHAnsi"/>
        </w:rPr>
        <w:t>U ovom pogledu</w:t>
      </w:r>
      <w:r w:rsidR="00C76E2E" w:rsidRPr="005524CC">
        <w:rPr>
          <w:rFonts w:asciiTheme="minorHAnsi" w:hAnsiTheme="minorHAnsi" w:cstheme="minorHAnsi"/>
        </w:rPr>
        <w:t xml:space="preserve">, </w:t>
      </w:r>
      <w:r>
        <w:rPr>
          <w:rFonts w:asciiTheme="minorHAnsi" w:hAnsiTheme="minorHAnsi" w:cstheme="minorHAnsi"/>
        </w:rPr>
        <w:t xml:space="preserve">tokom ove godine, </w:t>
      </w:r>
      <w:r w:rsidR="00C76E2E" w:rsidRPr="005524CC">
        <w:rPr>
          <w:rFonts w:asciiTheme="minorHAnsi" w:hAnsiTheme="minorHAnsi" w:cstheme="minorHAnsi"/>
        </w:rPr>
        <w:t>R</w:t>
      </w:r>
      <w:r>
        <w:rPr>
          <w:rFonts w:asciiTheme="minorHAnsi" w:hAnsiTheme="minorHAnsi" w:cstheme="minorHAnsi"/>
        </w:rPr>
        <w:t>U</w:t>
      </w:r>
      <w:r w:rsidR="00C76E2E" w:rsidRPr="005524CC">
        <w:rPr>
          <w:rFonts w:asciiTheme="minorHAnsi" w:hAnsiTheme="minorHAnsi" w:cstheme="minorHAnsi"/>
        </w:rPr>
        <w:t xml:space="preserve">E </w:t>
      </w:r>
      <w:r>
        <w:rPr>
          <w:rFonts w:asciiTheme="minorHAnsi" w:hAnsiTheme="minorHAnsi" w:cstheme="minorHAnsi"/>
        </w:rPr>
        <w:t>će takođe izraditi studiju procene tržišta električne energije i preuzeće dalje mere za dalju deregulaciju tržišta na osnovu nalaza studije</w:t>
      </w:r>
      <w:r w:rsidR="00C76E2E" w:rsidRPr="005524CC">
        <w:rPr>
          <w:rFonts w:asciiTheme="minorHAnsi" w:hAnsiTheme="minorHAnsi" w:cstheme="minorHAnsi"/>
        </w:rPr>
        <w:t xml:space="preserve">. </w:t>
      </w:r>
    </w:p>
    <w:p w:rsidR="00C76E2E" w:rsidRPr="005524CC" w:rsidRDefault="005524CC" w:rsidP="002D1940">
      <w:pPr>
        <w:pStyle w:val="Heading2"/>
        <w:rPr>
          <w:rFonts w:asciiTheme="minorHAnsi" w:hAnsiTheme="minorHAnsi" w:cstheme="minorHAnsi"/>
        </w:rPr>
      </w:pPr>
      <w:bookmarkStart w:id="10" w:name="_Toc56589720"/>
      <w:r>
        <w:rPr>
          <w:rFonts w:asciiTheme="minorHAnsi" w:hAnsiTheme="minorHAnsi" w:cstheme="minorHAnsi"/>
        </w:rPr>
        <w:t>Osiguranje snabdevanja električnom energijom</w:t>
      </w:r>
      <w:bookmarkEnd w:id="10"/>
      <w:r>
        <w:rPr>
          <w:rFonts w:asciiTheme="minorHAnsi" w:hAnsiTheme="minorHAnsi" w:cstheme="minorHAnsi"/>
        </w:rPr>
        <w:t xml:space="preserve"> </w:t>
      </w:r>
    </w:p>
    <w:p w:rsidR="00C76E2E" w:rsidRPr="005524CC" w:rsidRDefault="005524CC" w:rsidP="00C76E2E">
      <w:pPr>
        <w:rPr>
          <w:rFonts w:asciiTheme="minorHAnsi" w:hAnsiTheme="minorHAnsi" w:cstheme="minorHAnsi"/>
        </w:rPr>
      </w:pPr>
      <w:r>
        <w:rPr>
          <w:rFonts w:asciiTheme="minorHAnsi" w:hAnsiTheme="minorHAnsi" w:cstheme="minorHAnsi"/>
        </w:rPr>
        <w:t>Osiguranje snabdevanja električnom energijom bilo je i nastavlja da bude među ključnim izazovima za sektor energetike na Kosovu</w:t>
      </w:r>
      <w:r w:rsidR="00C76E2E" w:rsidRPr="005524CC">
        <w:rPr>
          <w:rFonts w:asciiTheme="minorHAnsi" w:hAnsiTheme="minorHAnsi" w:cstheme="minorHAnsi"/>
        </w:rPr>
        <w:t xml:space="preserve">. </w:t>
      </w:r>
      <w:r>
        <w:rPr>
          <w:rFonts w:asciiTheme="minorHAnsi" w:hAnsiTheme="minorHAnsi" w:cstheme="minorHAnsi"/>
        </w:rPr>
        <w:t>Uprkos velikim i kontinuiranim naporima</w:t>
      </w:r>
      <w:r w:rsidR="00C76E2E" w:rsidRPr="005524CC">
        <w:rPr>
          <w:rFonts w:asciiTheme="minorHAnsi" w:hAnsiTheme="minorHAnsi" w:cstheme="minorHAnsi"/>
        </w:rPr>
        <w:t xml:space="preserve">, </w:t>
      </w:r>
      <w:r>
        <w:rPr>
          <w:rFonts w:asciiTheme="minorHAnsi" w:hAnsiTheme="minorHAnsi" w:cstheme="minorHAnsi"/>
        </w:rPr>
        <w:t>Kosovu je potrebno da i dalje razvija održive kapacitete generisanja</w:t>
      </w:r>
      <w:r w:rsidR="00C76E2E" w:rsidRPr="005524CC">
        <w:rPr>
          <w:rFonts w:asciiTheme="minorHAnsi" w:hAnsiTheme="minorHAnsi" w:cstheme="minorHAnsi"/>
        </w:rPr>
        <w:t xml:space="preserve">. </w:t>
      </w:r>
      <w:r w:rsidR="004B2CFA">
        <w:rPr>
          <w:rFonts w:asciiTheme="minorHAnsi" w:hAnsiTheme="minorHAnsi" w:cstheme="minorHAnsi"/>
        </w:rPr>
        <w:t>Ovo je u velikoj meri ometalo opšti ekonomski razvoj</w:t>
      </w:r>
      <w:r w:rsidR="00C76E2E" w:rsidRPr="005524CC">
        <w:rPr>
          <w:rFonts w:asciiTheme="minorHAnsi" w:hAnsiTheme="minorHAnsi" w:cstheme="minorHAnsi"/>
        </w:rPr>
        <w:t xml:space="preserve">, </w:t>
      </w:r>
      <w:r w:rsidR="004B2CFA">
        <w:rPr>
          <w:rFonts w:asciiTheme="minorHAnsi" w:hAnsiTheme="minorHAnsi" w:cstheme="minorHAnsi"/>
        </w:rPr>
        <w:t>zbog nemogućnosti za garantovanje neprestanog snabdevanja električnom energijom</w:t>
      </w:r>
      <w:r w:rsidR="00C76E2E" w:rsidRPr="005524CC">
        <w:rPr>
          <w:rFonts w:asciiTheme="minorHAnsi" w:hAnsiTheme="minorHAnsi" w:cstheme="minorHAnsi"/>
        </w:rPr>
        <w:t>.</w:t>
      </w:r>
    </w:p>
    <w:p w:rsidR="00C76E2E" w:rsidRPr="005524CC" w:rsidRDefault="00313D14" w:rsidP="00C76E2E">
      <w:pPr>
        <w:rPr>
          <w:rFonts w:asciiTheme="minorHAnsi" w:hAnsiTheme="minorHAnsi" w:cstheme="minorHAnsi"/>
        </w:rPr>
      </w:pPr>
      <w:r w:rsidRPr="005524CC">
        <w:rPr>
          <w:rFonts w:asciiTheme="minorHAnsi" w:hAnsiTheme="minorHAnsi" w:cstheme="minorHAnsi"/>
        </w:rPr>
        <w:t>R</w:t>
      </w:r>
      <w:r w:rsidR="004B2CFA">
        <w:rPr>
          <w:rFonts w:asciiTheme="minorHAnsi" w:hAnsiTheme="minorHAnsi" w:cstheme="minorHAnsi"/>
        </w:rPr>
        <w:t>U</w:t>
      </w:r>
      <w:r w:rsidRPr="005524CC">
        <w:rPr>
          <w:rFonts w:asciiTheme="minorHAnsi" w:hAnsiTheme="minorHAnsi" w:cstheme="minorHAnsi"/>
        </w:rPr>
        <w:t>E</w:t>
      </w:r>
      <w:r w:rsidR="004B2CFA">
        <w:rPr>
          <w:rFonts w:asciiTheme="minorHAnsi" w:hAnsiTheme="minorHAnsi" w:cstheme="minorHAnsi"/>
        </w:rPr>
        <w:t xml:space="preserve"> je preduzelo </w:t>
      </w:r>
      <w:r w:rsidR="00A80367">
        <w:rPr>
          <w:rFonts w:asciiTheme="minorHAnsi" w:hAnsiTheme="minorHAnsi" w:cstheme="minorHAnsi"/>
        </w:rPr>
        <w:t xml:space="preserve">značajne korake u razvoju sektora </w:t>
      </w:r>
      <w:r w:rsidR="00C76E2E" w:rsidRPr="005524CC">
        <w:rPr>
          <w:rFonts w:asciiTheme="minorHAnsi" w:hAnsiTheme="minorHAnsi" w:cstheme="minorHAnsi"/>
        </w:rPr>
        <w:t>RE</w:t>
      </w:r>
      <w:r w:rsidR="00A80367">
        <w:rPr>
          <w:rFonts w:asciiTheme="minorHAnsi" w:hAnsiTheme="minorHAnsi" w:cstheme="minorHAnsi"/>
        </w:rPr>
        <w:t>O</w:t>
      </w:r>
      <w:r w:rsidR="00C76E2E" w:rsidRPr="005524CC">
        <w:rPr>
          <w:rFonts w:asciiTheme="minorHAnsi" w:hAnsiTheme="minorHAnsi" w:cstheme="minorHAnsi"/>
        </w:rPr>
        <w:t>-</w:t>
      </w:r>
      <w:r w:rsidR="00A80367">
        <w:rPr>
          <w:rFonts w:asciiTheme="minorHAnsi" w:hAnsiTheme="minorHAnsi" w:cstheme="minorHAnsi"/>
        </w:rPr>
        <w:t>a</w:t>
      </w:r>
      <w:r w:rsidR="00C76E2E" w:rsidRPr="005524CC">
        <w:rPr>
          <w:rFonts w:asciiTheme="minorHAnsi" w:hAnsiTheme="minorHAnsi" w:cstheme="minorHAnsi"/>
        </w:rPr>
        <w:t xml:space="preserve">, </w:t>
      </w:r>
      <w:r w:rsidR="00A80367">
        <w:rPr>
          <w:rFonts w:asciiTheme="minorHAnsi" w:hAnsiTheme="minorHAnsi" w:cstheme="minorHAnsi"/>
        </w:rPr>
        <w:t>gde su kao rezultat Šema podrške REO-a</w:t>
      </w:r>
      <w:r w:rsidR="00C76E2E" w:rsidRPr="005524CC">
        <w:rPr>
          <w:rFonts w:asciiTheme="minorHAnsi" w:hAnsiTheme="minorHAnsi" w:cstheme="minorHAnsi"/>
        </w:rPr>
        <w:t xml:space="preserve">, </w:t>
      </w:r>
      <w:r w:rsidR="00A80367">
        <w:rPr>
          <w:rFonts w:asciiTheme="minorHAnsi" w:hAnsiTheme="minorHAnsi" w:cstheme="minorHAnsi"/>
        </w:rPr>
        <w:t>sprovedeni mnogi projekti</w:t>
      </w:r>
      <w:r w:rsidR="00C76E2E" w:rsidRPr="005524CC">
        <w:rPr>
          <w:rFonts w:asciiTheme="minorHAnsi" w:hAnsiTheme="minorHAnsi" w:cstheme="minorHAnsi"/>
        </w:rPr>
        <w:t xml:space="preserve">, </w:t>
      </w:r>
      <w:r w:rsidR="00A80367">
        <w:rPr>
          <w:rFonts w:asciiTheme="minorHAnsi" w:hAnsiTheme="minorHAnsi" w:cstheme="minorHAnsi"/>
        </w:rPr>
        <w:t xml:space="preserve">i očekivanja su da će do </w:t>
      </w:r>
      <w:r w:rsidR="00C76E2E" w:rsidRPr="005524CC">
        <w:rPr>
          <w:rFonts w:asciiTheme="minorHAnsi" w:hAnsiTheme="minorHAnsi" w:cstheme="minorHAnsi"/>
        </w:rPr>
        <w:t>2020</w:t>
      </w:r>
      <w:r w:rsidR="00A80367">
        <w:rPr>
          <w:rFonts w:asciiTheme="minorHAnsi" w:hAnsiTheme="minorHAnsi" w:cstheme="minorHAnsi"/>
        </w:rPr>
        <w:t>. godine</w:t>
      </w:r>
      <w:r w:rsidR="00C76E2E" w:rsidRPr="005524CC">
        <w:rPr>
          <w:rFonts w:asciiTheme="minorHAnsi" w:hAnsiTheme="minorHAnsi" w:cstheme="minorHAnsi"/>
        </w:rPr>
        <w:t xml:space="preserve"> Kosov</w:t>
      </w:r>
      <w:r w:rsidR="00A80367">
        <w:rPr>
          <w:rFonts w:asciiTheme="minorHAnsi" w:hAnsiTheme="minorHAnsi" w:cstheme="minorHAnsi"/>
        </w:rPr>
        <w:t xml:space="preserve">o postignuti svoj obavezujući cilj od </w:t>
      </w:r>
      <w:r w:rsidR="00C76E2E" w:rsidRPr="005524CC">
        <w:rPr>
          <w:rFonts w:asciiTheme="minorHAnsi" w:hAnsiTheme="minorHAnsi" w:cstheme="minorHAnsi"/>
        </w:rPr>
        <w:t xml:space="preserve">25% </w:t>
      </w:r>
      <w:r w:rsidR="00A80367">
        <w:rPr>
          <w:rFonts w:asciiTheme="minorHAnsi" w:hAnsiTheme="minorHAnsi" w:cstheme="minorHAnsi"/>
        </w:rPr>
        <w:t>obnovljivih izvora energije</w:t>
      </w:r>
      <w:r w:rsidR="00C76E2E" w:rsidRPr="005524CC">
        <w:rPr>
          <w:rFonts w:asciiTheme="minorHAnsi" w:hAnsiTheme="minorHAnsi" w:cstheme="minorHAnsi"/>
        </w:rPr>
        <w:t xml:space="preserve">. </w:t>
      </w:r>
      <w:r w:rsidR="00A80367">
        <w:rPr>
          <w:rFonts w:asciiTheme="minorHAnsi" w:hAnsiTheme="minorHAnsi" w:cstheme="minorHAnsi"/>
        </w:rPr>
        <w:t>Kako god</w:t>
      </w:r>
      <w:r w:rsidR="00C76E2E" w:rsidRPr="005524CC">
        <w:rPr>
          <w:rFonts w:asciiTheme="minorHAnsi" w:hAnsiTheme="minorHAnsi" w:cstheme="minorHAnsi"/>
        </w:rPr>
        <w:t xml:space="preserve">, </w:t>
      </w:r>
      <w:r w:rsidR="00A80367">
        <w:rPr>
          <w:rFonts w:asciiTheme="minorHAnsi" w:hAnsiTheme="minorHAnsi" w:cstheme="minorHAnsi"/>
        </w:rPr>
        <w:t>REO na nijedan način ne može da postigne prevladajući deo u generisanju energije</w:t>
      </w:r>
      <w:r w:rsidR="00C76E2E" w:rsidRPr="005524CC">
        <w:rPr>
          <w:rFonts w:asciiTheme="minorHAnsi" w:hAnsiTheme="minorHAnsi" w:cstheme="minorHAnsi"/>
        </w:rPr>
        <w:t xml:space="preserve">, </w:t>
      </w:r>
      <w:r w:rsidR="00A80367">
        <w:rPr>
          <w:rFonts w:asciiTheme="minorHAnsi" w:hAnsiTheme="minorHAnsi" w:cstheme="minorHAnsi"/>
        </w:rPr>
        <w:t xml:space="preserve">zbog njihovog učešća od </w:t>
      </w:r>
      <w:r w:rsidR="00C76E2E" w:rsidRPr="005524CC">
        <w:rPr>
          <w:rFonts w:asciiTheme="minorHAnsi" w:hAnsiTheme="minorHAnsi" w:cstheme="minorHAnsi"/>
        </w:rPr>
        <w:t xml:space="preserve">5% </w:t>
      </w:r>
      <w:r w:rsidR="00A80367">
        <w:rPr>
          <w:rFonts w:asciiTheme="minorHAnsi" w:hAnsiTheme="minorHAnsi" w:cstheme="minorHAnsi"/>
        </w:rPr>
        <w:t>u unutrašnjem generisanju</w:t>
      </w:r>
      <w:r w:rsidR="00C76E2E" w:rsidRPr="005524CC">
        <w:rPr>
          <w:rFonts w:asciiTheme="minorHAnsi" w:hAnsiTheme="minorHAnsi" w:cstheme="minorHAnsi"/>
        </w:rPr>
        <w:t xml:space="preserve">, </w:t>
      </w:r>
      <w:r w:rsidR="00A80367">
        <w:rPr>
          <w:rFonts w:asciiTheme="minorHAnsi" w:hAnsiTheme="minorHAnsi" w:cstheme="minorHAnsi"/>
        </w:rPr>
        <w:t>i štaviše</w:t>
      </w:r>
      <w:r w:rsidR="00C76E2E" w:rsidRPr="005524CC">
        <w:rPr>
          <w:rFonts w:asciiTheme="minorHAnsi" w:hAnsiTheme="minorHAnsi" w:cstheme="minorHAnsi"/>
        </w:rPr>
        <w:t xml:space="preserve">, </w:t>
      </w:r>
      <w:r w:rsidR="00A80367">
        <w:rPr>
          <w:rFonts w:asciiTheme="minorHAnsi" w:hAnsiTheme="minorHAnsi" w:cstheme="minorHAnsi"/>
        </w:rPr>
        <w:t>nije dokazano da su REO u stanju da zamenjuju snagu osnovne potrošnje</w:t>
      </w:r>
      <w:r w:rsidR="00C76E2E" w:rsidRPr="005524CC">
        <w:rPr>
          <w:rFonts w:asciiTheme="minorHAnsi" w:hAnsiTheme="minorHAnsi" w:cstheme="minorHAnsi"/>
        </w:rPr>
        <w:t xml:space="preserve">, </w:t>
      </w:r>
      <w:r w:rsidR="00A80367">
        <w:rPr>
          <w:rFonts w:asciiTheme="minorHAnsi" w:hAnsiTheme="minorHAnsi" w:cstheme="minorHAnsi"/>
        </w:rPr>
        <w:t>barem ne za neko vreme</w:t>
      </w:r>
      <w:r w:rsidR="00C76E2E" w:rsidRPr="005524CC">
        <w:rPr>
          <w:rFonts w:asciiTheme="minorHAnsi" w:hAnsiTheme="minorHAnsi" w:cstheme="minorHAnsi"/>
        </w:rPr>
        <w:t xml:space="preserve">. </w:t>
      </w:r>
      <w:r w:rsidR="00A80367">
        <w:rPr>
          <w:rFonts w:asciiTheme="minorHAnsi" w:hAnsiTheme="minorHAnsi" w:cstheme="minorHAnsi"/>
        </w:rPr>
        <w:t>Na osnovu gore navedenog</w:t>
      </w:r>
      <w:r w:rsidR="00C76E2E" w:rsidRPr="005524CC">
        <w:rPr>
          <w:rFonts w:asciiTheme="minorHAnsi" w:hAnsiTheme="minorHAnsi" w:cstheme="minorHAnsi"/>
        </w:rPr>
        <w:t>, Kosov</w:t>
      </w:r>
      <w:r w:rsidR="00A80367">
        <w:rPr>
          <w:rFonts w:asciiTheme="minorHAnsi" w:hAnsiTheme="minorHAnsi" w:cstheme="minorHAnsi"/>
        </w:rPr>
        <w:t>o se obavezalo da planira razvoj novih kapaciteta generisanja</w:t>
      </w:r>
      <w:r w:rsidR="00C76E2E" w:rsidRPr="005524CC">
        <w:rPr>
          <w:rFonts w:asciiTheme="minorHAnsi" w:hAnsiTheme="minorHAnsi" w:cstheme="minorHAnsi"/>
        </w:rPr>
        <w:t xml:space="preserve">, </w:t>
      </w:r>
      <w:r w:rsidR="00A80367">
        <w:rPr>
          <w:rFonts w:asciiTheme="minorHAnsi" w:hAnsiTheme="minorHAnsi" w:cstheme="minorHAnsi"/>
        </w:rPr>
        <w:t xml:space="preserve">radi zamenjivanja </w:t>
      </w:r>
      <w:r w:rsidR="00C76E2E" w:rsidRPr="005524CC">
        <w:rPr>
          <w:rFonts w:asciiTheme="minorHAnsi" w:hAnsiTheme="minorHAnsi" w:cstheme="minorHAnsi"/>
        </w:rPr>
        <w:t>kapacitet</w:t>
      </w:r>
      <w:r w:rsidR="00A80367">
        <w:rPr>
          <w:rFonts w:asciiTheme="minorHAnsi" w:hAnsiTheme="minorHAnsi" w:cstheme="minorHAnsi"/>
        </w:rPr>
        <w:t xml:space="preserve">a TE </w:t>
      </w:r>
      <w:r w:rsidR="00C76E2E" w:rsidRPr="005524CC">
        <w:rPr>
          <w:rFonts w:asciiTheme="minorHAnsi" w:hAnsiTheme="minorHAnsi" w:cstheme="minorHAnsi"/>
        </w:rPr>
        <w:t xml:space="preserve">Kosova A, </w:t>
      </w:r>
      <w:r w:rsidR="00A80367">
        <w:rPr>
          <w:rFonts w:asciiTheme="minorHAnsi" w:hAnsiTheme="minorHAnsi" w:cstheme="minorHAnsi"/>
        </w:rPr>
        <w:t xml:space="preserve">šta je trebalo da se ukine </w:t>
      </w:r>
      <w:r w:rsidR="00C76E2E" w:rsidRPr="005524CC">
        <w:rPr>
          <w:rFonts w:asciiTheme="minorHAnsi" w:hAnsiTheme="minorHAnsi" w:cstheme="minorHAnsi"/>
        </w:rPr>
        <w:t>2017</w:t>
      </w:r>
      <w:r w:rsidR="00A80367">
        <w:rPr>
          <w:rFonts w:asciiTheme="minorHAnsi" w:hAnsiTheme="minorHAnsi" w:cstheme="minorHAnsi"/>
        </w:rPr>
        <w:t>. godine</w:t>
      </w:r>
      <w:r w:rsidR="00C76E2E" w:rsidRPr="005524CC">
        <w:rPr>
          <w:rFonts w:asciiTheme="minorHAnsi" w:hAnsiTheme="minorHAnsi" w:cstheme="minorHAnsi"/>
        </w:rPr>
        <w:t>.</w:t>
      </w:r>
      <w:r w:rsidR="00A80367">
        <w:rPr>
          <w:rFonts w:asciiTheme="minorHAnsi" w:hAnsiTheme="minorHAnsi" w:cstheme="minorHAnsi"/>
        </w:rPr>
        <w:t xml:space="preserve"> Još uvek ne postoji neka jasna strategija od strane vlade Republike Kosovo za izgradnju novih energetskih kapaciteta</w:t>
      </w:r>
      <w:r w:rsidR="001B13C7" w:rsidRPr="005524CC">
        <w:rPr>
          <w:rFonts w:asciiTheme="minorHAnsi" w:hAnsiTheme="minorHAnsi" w:cstheme="minorHAnsi"/>
        </w:rPr>
        <w:t>.</w:t>
      </w:r>
    </w:p>
    <w:p w:rsidR="005659C5" w:rsidRPr="005524CC" w:rsidRDefault="005659C5" w:rsidP="002D1940">
      <w:pPr>
        <w:pStyle w:val="Heading2"/>
        <w:rPr>
          <w:rFonts w:asciiTheme="minorHAnsi" w:hAnsiTheme="minorHAnsi" w:cstheme="minorHAnsi"/>
        </w:rPr>
      </w:pPr>
      <w:bookmarkStart w:id="11" w:name="_Toc56589721"/>
      <w:r w:rsidRPr="005524CC">
        <w:rPr>
          <w:rFonts w:asciiTheme="minorHAnsi" w:hAnsiTheme="minorHAnsi" w:cstheme="minorHAnsi"/>
        </w:rPr>
        <w:t>Pak</w:t>
      </w:r>
      <w:r w:rsidR="00A80367">
        <w:rPr>
          <w:rFonts w:asciiTheme="minorHAnsi" w:hAnsiTheme="minorHAnsi" w:cstheme="minorHAnsi"/>
        </w:rPr>
        <w:t>et čiste energije</w:t>
      </w:r>
      <w:bookmarkEnd w:id="11"/>
      <w:r w:rsidR="00A80367">
        <w:rPr>
          <w:rFonts w:asciiTheme="minorHAnsi" w:hAnsiTheme="minorHAnsi" w:cstheme="minorHAnsi"/>
        </w:rPr>
        <w:t xml:space="preserve"> </w:t>
      </w:r>
    </w:p>
    <w:p w:rsidR="005659C5" w:rsidRPr="005524CC" w:rsidRDefault="00A80367" w:rsidP="005659C5">
      <w:pPr>
        <w:rPr>
          <w:rFonts w:asciiTheme="minorHAnsi" w:hAnsiTheme="minorHAnsi" w:cstheme="minorHAnsi"/>
        </w:rPr>
      </w:pPr>
      <w:r>
        <w:rPr>
          <w:rFonts w:asciiTheme="minorHAnsi" w:hAnsiTheme="minorHAnsi" w:cstheme="minorHAnsi"/>
        </w:rPr>
        <w:t xml:space="preserve">Evropski parlament je nedavno usvojio </w:t>
      </w:r>
      <w:r w:rsidR="00313D14" w:rsidRPr="005524CC">
        <w:rPr>
          <w:rFonts w:asciiTheme="minorHAnsi" w:hAnsiTheme="minorHAnsi" w:cstheme="minorHAnsi"/>
        </w:rPr>
        <w:t>Pak</w:t>
      </w:r>
      <w:r>
        <w:rPr>
          <w:rFonts w:asciiTheme="minorHAnsi" w:hAnsiTheme="minorHAnsi" w:cstheme="minorHAnsi"/>
        </w:rPr>
        <w:t xml:space="preserve">et čiste energije za celu Evropu, koji određuje viziju EU-a za objektive politike obnovljive energije i efikasnosti energije za </w:t>
      </w:r>
      <w:r w:rsidR="00313D14" w:rsidRPr="005524CC">
        <w:rPr>
          <w:rFonts w:asciiTheme="minorHAnsi" w:hAnsiTheme="minorHAnsi" w:cstheme="minorHAnsi"/>
        </w:rPr>
        <w:t>2030</w:t>
      </w:r>
      <w:r>
        <w:rPr>
          <w:rFonts w:asciiTheme="minorHAnsi" w:hAnsiTheme="minorHAnsi" w:cstheme="minorHAnsi"/>
        </w:rPr>
        <w:t>. godinu</w:t>
      </w:r>
      <w:r w:rsidR="00313D14" w:rsidRPr="005524CC">
        <w:rPr>
          <w:rFonts w:asciiTheme="minorHAnsi" w:hAnsiTheme="minorHAnsi" w:cstheme="minorHAnsi"/>
        </w:rPr>
        <w:t>. Pak</w:t>
      </w:r>
      <w:r>
        <w:rPr>
          <w:rFonts w:asciiTheme="minorHAnsi" w:hAnsiTheme="minorHAnsi" w:cstheme="minorHAnsi"/>
        </w:rPr>
        <w:t xml:space="preserve">et čiste energije ga postavlja u epicentru sistema energije i predviđa renovirani model tržišta koji povećava podsticaje za fleksibilnost i upravljanje zahtevom kako bi se poboljšala sposobnost </w:t>
      </w:r>
      <w:r w:rsidR="002B312A">
        <w:rPr>
          <w:rFonts w:asciiTheme="minorHAnsi" w:hAnsiTheme="minorHAnsi" w:cstheme="minorHAnsi"/>
        </w:rPr>
        <w:t>energetskih mreža radi upijanja velikog nivoa protoka raznih vrsta izvora obnovljive energije</w:t>
      </w:r>
      <w:r w:rsidR="005659C5" w:rsidRPr="005524CC">
        <w:rPr>
          <w:rFonts w:asciiTheme="minorHAnsi" w:hAnsiTheme="minorHAnsi" w:cstheme="minorHAnsi"/>
        </w:rPr>
        <w:t xml:space="preserve">. </w:t>
      </w:r>
      <w:r w:rsidR="002B312A">
        <w:rPr>
          <w:rFonts w:asciiTheme="minorHAnsi" w:hAnsiTheme="minorHAnsi" w:cstheme="minorHAnsi"/>
        </w:rPr>
        <w:t>Ova Direktiva stavlja van snage i zamenjuje treći paket koji je sada obavezujući za Kosovo</w:t>
      </w:r>
      <w:r w:rsidR="005659C5" w:rsidRPr="005524CC">
        <w:rPr>
          <w:rFonts w:asciiTheme="minorHAnsi" w:hAnsiTheme="minorHAnsi" w:cstheme="minorHAnsi"/>
        </w:rPr>
        <w:t xml:space="preserve">. </w:t>
      </w:r>
      <w:r w:rsidR="002B312A">
        <w:rPr>
          <w:rFonts w:asciiTheme="minorHAnsi" w:hAnsiTheme="minorHAnsi" w:cstheme="minorHAnsi"/>
        </w:rPr>
        <w:t xml:space="preserve">Sprovođenje Direktive za ugovorene strane </w:t>
      </w:r>
      <w:r w:rsidR="005659C5" w:rsidRPr="005524CC">
        <w:rPr>
          <w:rFonts w:asciiTheme="minorHAnsi" w:hAnsiTheme="minorHAnsi" w:cstheme="minorHAnsi"/>
        </w:rPr>
        <w:t xml:space="preserve">EnCT </w:t>
      </w:r>
      <w:r w:rsidR="002B312A">
        <w:rPr>
          <w:rFonts w:asciiTheme="minorHAnsi" w:hAnsiTheme="minorHAnsi" w:cstheme="minorHAnsi"/>
        </w:rPr>
        <w:t>nema šanse da spadaju unutar roka trenutnog plana rada</w:t>
      </w:r>
      <w:r w:rsidR="005659C5" w:rsidRPr="005524CC">
        <w:rPr>
          <w:rFonts w:asciiTheme="minorHAnsi" w:hAnsiTheme="minorHAnsi" w:cstheme="minorHAnsi"/>
        </w:rPr>
        <w:t xml:space="preserve">, </w:t>
      </w:r>
      <w:r w:rsidR="002B312A">
        <w:rPr>
          <w:rFonts w:asciiTheme="minorHAnsi" w:hAnsiTheme="minorHAnsi" w:cstheme="minorHAnsi"/>
        </w:rPr>
        <w:t xml:space="preserve">iako RUE treba da pažljivo prostudira implikacije </w:t>
      </w:r>
      <w:r w:rsidR="00313D14" w:rsidRPr="005524CC">
        <w:rPr>
          <w:rFonts w:asciiTheme="minorHAnsi" w:hAnsiTheme="minorHAnsi" w:cstheme="minorHAnsi"/>
        </w:rPr>
        <w:t>Pak</w:t>
      </w:r>
      <w:r w:rsidR="002B312A">
        <w:rPr>
          <w:rFonts w:asciiTheme="minorHAnsi" w:hAnsiTheme="minorHAnsi" w:cstheme="minorHAnsi"/>
        </w:rPr>
        <w:t>eta u izradi tržišta i da reguliše svoju buduću politiku u skladu sa ovim implikacijama</w:t>
      </w:r>
      <w:r w:rsidR="005659C5" w:rsidRPr="005524CC">
        <w:rPr>
          <w:rFonts w:asciiTheme="minorHAnsi" w:hAnsiTheme="minorHAnsi" w:cstheme="minorHAnsi"/>
        </w:rPr>
        <w:t>.</w:t>
      </w:r>
    </w:p>
    <w:p w:rsidR="005659C5" w:rsidRPr="005524CC" w:rsidRDefault="002B312A" w:rsidP="005659C5">
      <w:pPr>
        <w:rPr>
          <w:rFonts w:asciiTheme="minorHAnsi" w:hAnsiTheme="minorHAnsi" w:cstheme="minorHAnsi"/>
        </w:rPr>
      </w:pPr>
      <w:r>
        <w:rPr>
          <w:rFonts w:asciiTheme="minorHAnsi" w:hAnsiTheme="minorHAnsi" w:cstheme="minorHAnsi"/>
        </w:rPr>
        <w:t>Konkretne mere ka poboljšanju usklađenosti Šeme podrške obnovljive energije i ka povećanju sprovođenja trenutne šeme obuhvataju</w:t>
      </w:r>
      <w:r w:rsidR="005659C5" w:rsidRPr="005524CC">
        <w:rPr>
          <w:rFonts w:asciiTheme="minorHAnsi" w:hAnsiTheme="minorHAnsi" w:cstheme="minorHAnsi"/>
        </w:rPr>
        <w:t>:</w:t>
      </w:r>
    </w:p>
    <w:p w:rsidR="005659C5" w:rsidRPr="005524CC" w:rsidRDefault="002B312A" w:rsidP="005659C5">
      <w:pPr>
        <w:pStyle w:val="ListParagraph"/>
        <w:numPr>
          <w:ilvl w:val="0"/>
          <w:numId w:val="18"/>
        </w:numPr>
        <w:rPr>
          <w:rFonts w:asciiTheme="minorHAnsi" w:hAnsiTheme="minorHAnsi" w:cstheme="minorHAnsi"/>
        </w:rPr>
      </w:pPr>
      <w:r>
        <w:rPr>
          <w:rFonts w:asciiTheme="minorHAnsi" w:hAnsiTheme="minorHAnsi" w:cstheme="minorHAnsi"/>
        </w:rPr>
        <w:lastRenderedPageBreak/>
        <w:t>Ponovno razmatranje Pravilnika o šemi podrške radi predstavljanja mera koja se uklapaju sa tržištem</w:t>
      </w:r>
      <w:r w:rsidR="005659C5" w:rsidRPr="005524CC">
        <w:rPr>
          <w:rFonts w:asciiTheme="minorHAnsi" w:hAnsiTheme="minorHAnsi" w:cstheme="minorHAnsi"/>
        </w:rPr>
        <w:t>;</w:t>
      </w:r>
    </w:p>
    <w:p w:rsidR="005659C5" w:rsidRPr="005524CC" w:rsidRDefault="005659C5" w:rsidP="005659C5">
      <w:pPr>
        <w:pStyle w:val="ListParagraph"/>
        <w:numPr>
          <w:ilvl w:val="0"/>
          <w:numId w:val="18"/>
        </w:numPr>
        <w:rPr>
          <w:rFonts w:asciiTheme="minorHAnsi" w:hAnsiTheme="minorHAnsi" w:cstheme="minorHAnsi"/>
        </w:rPr>
      </w:pPr>
      <w:r w:rsidRPr="005524CC">
        <w:rPr>
          <w:rFonts w:asciiTheme="minorHAnsi" w:hAnsiTheme="minorHAnsi" w:cstheme="minorHAnsi"/>
        </w:rPr>
        <w:t>Pre</w:t>
      </w:r>
      <w:r w:rsidR="002B312A">
        <w:rPr>
          <w:rFonts w:asciiTheme="minorHAnsi" w:hAnsiTheme="minorHAnsi" w:cstheme="minorHAnsi"/>
        </w:rPr>
        <w:t>dstavljanje jednog Sistema sertifikata porekla za RUE</w:t>
      </w:r>
      <w:r w:rsidRPr="005524CC">
        <w:rPr>
          <w:rFonts w:asciiTheme="minorHAnsi" w:hAnsiTheme="minorHAnsi" w:cstheme="minorHAnsi"/>
        </w:rPr>
        <w:t>;</w:t>
      </w:r>
    </w:p>
    <w:p w:rsidR="005659C5" w:rsidRPr="005524CC" w:rsidRDefault="005659C5" w:rsidP="005659C5">
      <w:pPr>
        <w:pStyle w:val="ListParagraph"/>
        <w:numPr>
          <w:ilvl w:val="0"/>
          <w:numId w:val="18"/>
        </w:numPr>
        <w:rPr>
          <w:rFonts w:asciiTheme="minorHAnsi" w:hAnsiTheme="minorHAnsi" w:cstheme="minorHAnsi"/>
        </w:rPr>
      </w:pPr>
      <w:r w:rsidRPr="005524CC">
        <w:rPr>
          <w:rFonts w:asciiTheme="minorHAnsi" w:hAnsiTheme="minorHAnsi" w:cstheme="minorHAnsi"/>
        </w:rPr>
        <w:t>Studi</w:t>
      </w:r>
      <w:r w:rsidR="002B312A">
        <w:rPr>
          <w:rFonts w:asciiTheme="minorHAnsi" w:hAnsiTheme="minorHAnsi" w:cstheme="minorHAnsi"/>
        </w:rPr>
        <w:t>ja o kapacitetima distribucije radi integrisanja RUE-e</w:t>
      </w:r>
      <w:r w:rsidRPr="005524CC">
        <w:rPr>
          <w:rFonts w:asciiTheme="minorHAnsi" w:hAnsiTheme="minorHAnsi" w:cstheme="minorHAnsi"/>
        </w:rPr>
        <w:t xml:space="preserve">; </w:t>
      </w:r>
      <w:r w:rsidR="002B312A">
        <w:rPr>
          <w:rFonts w:asciiTheme="minorHAnsi" w:hAnsiTheme="minorHAnsi" w:cstheme="minorHAnsi"/>
        </w:rPr>
        <w:t>i</w:t>
      </w:r>
    </w:p>
    <w:p w:rsidR="005659C5" w:rsidRPr="005524CC" w:rsidRDefault="002B312A" w:rsidP="005659C5">
      <w:pPr>
        <w:pStyle w:val="ListParagraph"/>
        <w:numPr>
          <w:ilvl w:val="0"/>
          <w:numId w:val="18"/>
        </w:numPr>
        <w:rPr>
          <w:rFonts w:asciiTheme="minorHAnsi" w:hAnsiTheme="minorHAnsi" w:cstheme="minorHAnsi"/>
        </w:rPr>
      </w:pPr>
      <w:r>
        <w:rPr>
          <w:rFonts w:asciiTheme="minorHAnsi" w:hAnsiTheme="minorHAnsi" w:cstheme="minorHAnsi"/>
        </w:rPr>
        <w:t>Pokretanje konkretnih oblasti podizanja svesti vezano sa efikasnošću energije</w:t>
      </w:r>
      <w:r w:rsidR="005659C5" w:rsidRPr="005524CC">
        <w:rPr>
          <w:rFonts w:asciiTheme="minorHAnsi" w:hAnsiTheme="minorHAnsi" w:cstheme="minorHAnsi"/>
        </w:rPr>
        <w:t xml:space="preserve">, </w:t>
      </w:r>
      <w:r>
        <w:rPr>
          <w:rFonts w:asciiTheme="minorHAnsi" w:hAnsiTheme="minorHAnsi" w:cstheme="minorHAnsi"/>
        </w:rPr>
        <w:t>itd</w:t>
      </w:r>
      <w:r w:rsidR="005659C5" w:rsidRPr="005524CC">
        <w:rPr>
          <w:rFonts w:asciiTheme="minorHAnsi" w:hAnsiTheme="minorHAnsi" w:cstheme="minorHAnsi"/>
        </w:rPr>
        <w:t>.</w:t>
      </w:r>
    </w:p>
    <w:p w:rsidR="005659C5" w:rsidRPr="005524CC" w:rsidRDefault="002B312A" w:rsidP="002D1940">
      <w:pPr>
        <w:pStyle w:val="Heading2"/>
        <w:rPr>
          <w:rFonts w:asciiTheme="minorHAnsi" w:hAnsiTheme="minorHAnsi" w:cstheme="minorHAnsi"/>
        </w:rPr>
      </w:pPr>
      <w:bookmarkStart w:id="12" w:name="_Toc56589722"/>
      <w:r>
        <w:rPr>
          <w:rFonts w:asciiTheme="minorHAnsi" w:hAnsiTheme="minorHAnsi" w:cstheme="minorHAnsi"/>
        </w:rPr>
        <w:t>Zaštita potrošača u potrebi</w:t>
      </w:r>
      <w:bookmarkEnd w:id="12"/>
      <w:r>
        <w:rPr>
          <w:rFonts w:asciiTheme="minorHAnsi" w:hAnsiTheme="minorHAnsi" w:cstheme="minorHAnsi"/>
        </w:rPr>
        <w:t xml:space="preserve"> </w:t>
      </w:r>
    </w:p>
    <w:p w:rsidR="005659C5" w:rsidRPr="005524CC" w:rsidRDefault="005659C5" w:rsidP="005659C5">
      <w:pPr>
        <w:rPr>
          <w:rFonts w:asciiTheme="minorHAnsi" w:hAnsiTheme="minorHAnsi" w:cstheme="minorHAnsi"/>
        </w:rPr>
      </w:pPr>
      <w:r w:rsidRPr="005524CC">
        <w:rPr>
          <w:rFonts w:asciiTheme="minorHAnsi" w:hAnsiTheme="minorHAnsi" w:cstheme="minorHAnsi"/>
        </w:rPr>
        <w:t>Kosov</w:t>
      </w:r>
      <w:r w:rsidR="002B312A">
        <w:rPr>
          <w:rFonts w:asciiTheme="minorHAnsi" w:hAnsiTheme="minorHAnsi" w:cstheme="minorHAnsi"/>
        </w:rPr>
        <w:t>o je preduzelo ugovorne odgovornosti naspram Evropske Unije</w:t>
      </w:r>
      <w:r w:rsidRPr="005524CC">
        <w:rPr>
          <w:rFonts w:asciiTheme="minorHAnsi" w:hAnsiTheme="minorHAnsi" w:cstheme="minorHAnsi"/>
        </w:rPr>
        <w:t xml:space="preserve">, </w:t>
      </w:r>
      <w:r w:rsidR="002B312A">
        <w:rPr>
          <w:rFonts w:asciiTheme="minorHAnsi" w:hAnsiTheme="minorHAnsi" w:cstheme="minorHAnsi"/>
        </w:rPr>
        <w:t>kroz Sekretarijat energetske zajednice</w:t>
      </w:r>
      <w:r w:rsidRPr="005524CC">
        <w:rPr>
          <w:rFonts w:asciiTheme="minorHAnsi" w:hAnsiTheme="minorHAnsi" w:cstheme="minorHAnsi"/>
        </w:rPr>
        <w:t xml:space="preserve">, </w:t>
      </w:r>
      <w:r w:rsidR="002B312A">
        <w:rPr>
          <w:rFonts w:asciiTheme="minorHAnsi" w:hAnsiTheme="minorHAnsi" w:cstheme="minorHAnsi"/>
        </w:rPr>
        <w:t>i svoju neposrednu potrebu za razvoj energetskog sistema koji je u skladu sa evropskim ciljem za jedno jedino tržište električne energije u Evropi</w:t>
      </w:r>
      <w:r w:rsidRPr="005524CC">
        <w:rPr>
          <w:rFonts w:asciiTheme="minorHAnsi" w:hAnsiTheme="minorHAnsi" w:cstheme="minorHAnsi"/>
        </w:rPr>
        <w:t xml:space="preserve">. </w:t>
      </w:r>
      <w:r w:rsidR="002B312A">
        <w:rPr>
          <w:rFonts w:asciiTheme="minorHAnsi" w:hAnsiTheme="minorHAnsi" w:cstheme="minorHAnsi"/>
        </w:rPr>
        <w:t>Stoga</w:t>
      </w:r>
      <w:r w:rsidRPr="005524CC">
        <w:rPr>
          <w:rFonts w:asciiTheme="minorHAnsi" w:hAnsiTheme="minorHAnsi" w:cstheme="minorHAnsi"/>
        </w:rPr>
        <w:t xml:space="preserve">, </w:t>
      </w:r>
      <w:r w:rsidR="002B312A">
        <w:rPr>
          <w:rFonts w:asciiTheme="minorHAnsi" w:hAnsiTheme="minorHAnsi" w:cstheme="minorHAnsi"/>
        </w:rPr>
        <w:t xml:space="preserve">treba izraditi jasne politike radi adresiranja svih izazova i prepreka </w:t>
      </w:r>
      <w:r w:rsidRPr="005524CC">
        <w:rPr>
          <w:rFonts w:asciiTheme="minorHAnsi" w:hAnsiTheme="minorHAnsi" w:cstheme="minorHAnsi"/>
        </w:rPr>
        <w:t>n</w:t>
      </w:r>
      <w:r w:rsidR="002B312A">
        <w:rPr>
          <w:rFonts w:asciiTheme="minorHAnsi" w:hAnsiTheme="minorHAnsi" w:cstheme="minorHAnsi"/>
        </w:rPr>
        <w:t xml:space="preserve">a putu </w:t>
      </w:r>
      <w:r w:rsidR="000A4AA2">
        <w:rPr>
          <w:rFonts w:asciiTheme="minorHAnsi" w:hAnsiTheme="minorHAnsi" w:cstheme="minorHAnsi"/>
        </w:rPr>
        <w:t>ka jednom integrisanom regionalnom tržištu</w:t>
      </w:r>
      <w:r w:rsidRPr="005524CC">
        <w:rPr>
          <w:rFonts w:asciiTheme="minorHAnsi" w:hAnsiTheme="minorHAnsi" w:cstheme="minorHAnsi"/>
        </w:rPr>
        <w:t xml:space="preserve">, </w:t>
      </w:r>
      <w:r w:rsidR="000A4AA2">
        <w:rPr>
          <w:rFonts w:asciiTheme="minorHAnsi" w:hAnsiTheme="minorHAnsi" w:cstheme="minorHAnsi"/>
        </w:rPr>
        <w:t>i zatim evropskom tržištu</w:t>
      </w:r>
      <w:r w:rsidRPr="005524CC">
        <w:rPr>
          <w:rFonts w:asciiTheme="minorHAnsi" w:hAnsiTheme="minorHAnsi" w:cstheme="minorHAnsi"/>
        </w:rPr>
        <w:t xml:space="preserve">, </w:t>
      </w:r>
      <w:r w:rsidR="000A4AA2">
        <w:rPr>
          <w:rFonts w:asciiTheme="minorHAnsi" w:hAnsiTheme="minorHAnsi" w:cstheme="minorHAnsi"/>
        </w:rPr>
        <w:t>energetike</w:t>
      </w:r>
      <w:r w:rsidRPr="005524CC">
        <w:rPr>
          <w:rFonts w:asciiTheme="minorHAnsi" w:hAnsiTheme="minorHAnsi" w:cstheme="minorHAnsi"/>
        </w:rPr>
        <w:t>.</w:t>
      </w:r>
    </w:p>
    <w:p w:rsidR="005659C5" w:rsidRPr="005524CC" w:rsidRDefault="000A4AA2" w:rsidP="005659C5">
      <w:pPr>
        <w:rPr>
          <w:rFonts w:asciiTheme="minorHAnsi" w:hAnsiTheme="minorHAnsi" w:cstheme="minorHAnsi"/>
        </w:rPr>
      </w:pPr>
      <w:r>
        <w:rPr>
          <w:rFonts w:asciiTheme="minorHAnsi" w:hAnsiTheme="minorHAnsi" w:cstheme="minorHAnsi"/>
        </w:rPr>
        <w:t xml:space="preserve">U </w:t>
      </w:r>
      <w:r w:rsidR="005659C5" w:rsidRPr="005524CC">
        <w:rPr>
          <w:rFonts w:asciiTheme="minorHAnsi" w:hAnsiTheme="minorHAnsi" w:cstheme="minorHAnsi"/>
        </w:rPr>
        <w:t>2016</w:t>
      </w:r>
      <w:r>
        <w:rPr>
          <w:rFonts w:asciiTheme="minorHAnsi" w:hAnsiTheme="minorHAnsi" w:cstheme="minorHAnsi"/>
        </w:rPr>
        <w:t>. godini,</w:t>
      </w:r>
      <w:r w:rsidR="005659C5" w:rsidRPr="005524CC">
        <w:rPr>
          <w:rFonts w:asciiTheme="minorHAnsi" w:hAnsiTheme="minorHAnsi" w:cstheme="minorHAnsi"/>
        </w:rPr>
        <w:t xml:space="preserve"> </w:t>
      </w:r>
      <w:r>
        <w:rPr>
          <w:rFonts w:asciiTheme="minorHAnsi" w:hAnsiTheme="minorHAnsi" w:cstheme="minorHAnsi"/>
        </w:rPr>
        <w:t>Skupština Republike Kosovo je usvojila zakone energetskog sektora</w:t>
      </w:r>
      <w:r w:rsidR="005659C5" w:rsidRPr="005524CC">
        <w:rPr>
          <w:rFonts w:asciiTheme="minorHAnsi" w:hAnsiTheme="minorHAnsi" w:cstheme="minorHAnsi"/>
        </w:rPr>
        <w:t xml:space="preserve">, </w:t>
      </w:r>
      <w:r w:rsidR="005838D5">
        <w:rPr>
          <w:rFonts w:asciiTheme="minorHAnsi" w:hAnsiTheme="minorHAnsi" w:cstheme="minorHAnsi"/>
        </w:rPr>
        <w:t>transponujući tako Treći paket direktiva energije Evropske Komisije</w:t>
      </w:r>
      <w:r w:rsidR="005659C5" w:rsidRPr="005524CC">
        <w:rPr>
          <w:rFonts w:asciiTheme="minorHAnsi" w:hAnsiTheme="minorHAnsi" w:cstheme="minorHAnsi"/>
        </w:rPr>
        <w:t xml:space="preserve">. </w:t>
      </w:r>
      <w:r w:rsidR="005838D5">
        <w:rPr>
          <w:rFonts w:asciiTheme="minorHAnsi" w:hAnsiTheme="minorHAnsi" w:cstheme="minorHAnsi"/>
        </w:rPr>
        <w:t>Ovo je dovelo do značajnih promena u energetskom sektoru</w:t>
      </w:r>
      <w:r w:rsidR="005659C5" w:rsidRPr="005524CC">
        <w:rPr>
          <w:rFonts w:asciiTheme="minorHAnsi" w:hAnsiTheme="minorHAnsi" w:cstheme="minorHAnsi"/>
        </w:rPr>
        <w:t xml:space="preserve">, </w:t>
      </w:r>
      <w:r w:rsidR="005838D5">
        <w:rPr>
          <w:rFonts w:asciiTheme="minorHAnsi" w:hAnsiTheme="minorHAnsi" w:cstheme="minorHAnsi"/>
        </w:rPr>
        <w:t>uključujući neophodnost neposredne deregulacije cena energije na veliko</w:t>
      </w:r>
      <w:r w:rsidR="005659C5" w:rsidRPr="005524CC">
        <w:rPr>
          <w:rFonts w:asciiTheme="minorHAnsi" w:hAnsiTheme="minorHAnsi" w:cstheme="minorHAnsi"/>
        </w:rPr>
        <w:t xml:space="preserve">, </w:t>
      </w:r>
      <w:r w:rsidR="005838D5">
        <w:rPr>
          <w:rFonts w:asciiTheme="minorHAnsi" w:hAnsiTheme="minorHAnsi" w:cstheme="minorHAnsi"/>
        </w:rPr>
        <w:t>šta bi se</w:t>
      </w:r>
      <w:r w:rsidR="005838D5" w:rsidRPr="005838D5">
        <w:rPr>
          <w:rFonts w:asciiTheme="minorHAnsi" w:hAnsiTheme="minorHAnsi" w:cstheme="minorHAnsi"/>
        </w:rPr>
        <w:t xml:space="preserve"> </w:t>
      </w:r>
      <w:r w:rsidR="005838D5">
        <w:rPr>
          <w:rFonts w:asciiTheme="minorHAnsi" w:hAnsiTheme="minorHAnsi" w:cstheme="minorHAnsi"/>
        </w:rPr>
        <w:t>takođe sledilo deregulacijom cena na malo</w:t>
      </w:r>
      <w:r w:rsidR="005659C5" w:rsidRPr="005524CC">
        <w:rPr>
          <w:rFonts w:asciiTheme="minorHAnsi" w:hAnsiTheme="minorHAnsi" w:cstheme="minorHAnsi"/>
        </w:rPr>
        <w:t xml:space="preserve">. </w:t>
      </w:r>
      <w:r w:rsidR="005838D5">
        <w:rPr>
          <w:rFonts w:asciiTheme="minorHAnsi" w:hAnsiTheme="minorHAnsi" w:cstheme="minorHAnsi"/>
        </w:rPr>
        <w:t>Zbog pristupa jedne subvencije visokog nivoa tarifa energije na malo, njihova der</w:t>
      </w:r>
      <w:r w:rsidR="005659C5" w:rsidRPr="005524CC">
        <w:rPr>
          <w:rFonts w:asciiTheme="minorHAnsi" w:hAnsiTheme="minorHAnsi" w:cstheme="minorHAnsi"/>
        </w:rPr>
        <w:t>egul</w:t>
      </w:r>
      <w:r w:rsidR="005838D5">
        <w:rPr>
          <w:rFonts w:asciiTheme="minorHAnsi" w:hAnsiTheme="minorHAnsi" w:cstheme="minorHAnsi"/>
        </w:rPr>
        <w:t>acija bi izazvala nepodnosive cene energije za potrošače u potrebi</w:t>
      </w:r>
      <w:r w:rsidR="005659C5" w:rsidRPr="005524CC">
        <w:rPr>
          <w:rFonts w:asciiTheme="minorHAnsi" w:hAnsiTheme="minorHAnsi" w:cstheme="minorHAnsi"/>
        </w:rPr>
        <w:t xml:space="preserve">, </w:t>
      </w:r>
      <w:r w:rsidR="005838D5">
        <w:rPr>
          <w:rFonts w:asciiTheme="minorHAnsi" w:hAnsiTheme="minorHAnsi" w:cstheme="minorHAnsi"/>
        </w:rPr>
        <w:t>i postavilo bi slične potrošače u neprihvatljivoj poziciji za naše socijalne i ekonomske perspektive</w:t>
      </w:r>
      <w:r w:rsidR="005659C5" w:rsidRPr="005524CC">
        <w:rPr>
          <w:rFonts w:asciiTheme="minorHAnsi" w:hAnsiTheme="minorHAnsi" w:cstheme="minorHAnsi"/>
        </w:rPr>
        <w:t>.</w:t>
      </w:r>
    </w:p>
    <w:p w:rsidR="005659C5" w:rsidRPr="005524CC" w:rsidRDefault="004A3B39" w:rsidP="005659C5">
      <w:pPr>
        <w:rPr>
          <w:rFonts w:asciiTheme="minorHAnsi" w:hAnsiTheme="minorHAnsi" w:cstheme="minorHAnsi"/>
        </w:rPr>
      </w:pPr>
      <w:r>
        <w:rPr>
          <w:rFonts w:asciiTheme="minorHAnsi" w:hAnsiTheme="minorHAnsi" w:cstheme="minorHAnsi"/>
        </w:rPr>
        <w:t xml:space="preserve">Imajući u vidu energetsku tranziciju i planirani razvoj za </w:t>
      </w:r>
      <w:r w:rsidR="003B7A31">
        <w:rPr>
          <w:rFonts w:asciiTheme="minorHAnsi" w:hAnsiTheme="minorHAnsi" w:cstheme="minorHAnsi"/>
        </w:rPr>
        <w:t>5. godišnji period</w:t>
      </w:r>
      <w:r w:rsidR="005659C5" w:rsidRPr="005524CC">
        <w:rPr>
          <w:rFonts w:asciiTheme="minorHAnsi" w:hAnsiTheme="minorHAnsi" w:cstheme="minorHAnsi"/>
        </w:rPr>
        <w:t xml:space="preserve">, </w:t>
      </w:r>
      <w:r w:rsidR="003B7A31">
        <w:rPr>
          <w:rFonts w:asciiTheme="minorHAnsi" w:hAnsiTheme="minorHAnsi" w:cstheme="minorHAnsi"/>
        </w:rPr>
        <w:t>kao i uticaj koji mogu ima ti svi ovi procesi u situaciji potrošača, „energetsko siromaštvo“ nije samo energetsko pitanje</w:t>
      </w:r>
      <w:r w:rsidR="005659C5" w:rsidRPr="005524CC">
        <w:rPr>
          <w:rFonts w:asciiTheme="minorHAnsi" w:hAnsiTheme="minorHAnsi" w:cstheme="minorHAnsi"/>
        </w:rPr>
        <w:t xml:space="preserve">, </w:t>
      </w:r>
      <w:r w:rsidR="003B7A31">
        <w:rPr>
          <w:rFonts w:asciiTheme="minorHAnsi" w:hAnsiTheme="minorHAnsi" w:cstheme="minorHAnsi"/>
        </w:rPr>
        <w:t>i ne može se adresirati samo od strane Regulatora</w:t>
      </w:r>
      <w:r w:rsidR="005659C5" w:rsidRPr="005524CC">
        <w:rPr>
          <w:rFonts w:asciiTheme="minorHAnsi" w:hAnsiTheme="minorHAnsi" w:cstheme="minorHAnsi"/>
        </w:rPr>
        <w:t xml:space="preserve">. </w:t>
      </w:r>
      <w:r w:rsidR="003B7A31">
        <w:rPr>
          <w:rFonts w:asciiTheme="minorHAnsi" w:hAnsiTheme="minorHAnsi" w:cstheme="minorHAnsi"/>
        </w:rPr>
        <w:t xml:space="preserve">Ovo je razlog zašto se ovo pitanje treba adresirati kao zajedničko pitanje između vlade, </w:t>
      </w:r>
      <w:r w:rsidR="005659C5" w:rsidRPr="005524CC">
        <w:rPr>
          <w:rFonts w:asciiTheme="minorHAnsi" w:hAnsiTheme="minorHAnsi" w:cstheme="minorHAnsi"/>
        </w:rPr>
        <w:t>regul</w:t>
      </w:r>
      <w:r w:rsidR="003B7A31">
        <w:rPr>
          <w:rFonts w:asciiTheme="minorHAnsi" w:hAnsiTheme="minorHAnsi" w:cstheme="minorHAnsi"/>
        </w:rPr>
        <w:t>atora i ostalih učesnika energetskog sektora</w:t>
      </w:r>
      <w:r w:rsidR="005659C5" w:rsidRPr="005524CC">
        <w:rPr>
          <w:rFonts w:asciiTheme="minorHAnsi" w:hAnsiTheme="minorHAnsi" w:cstheme="minorHAnsi"/>
        </w:rPr>
        <w:t>.</w:t>
      </w:r>
    </w:p>
    <w:p w:rsidR="005659C5" w:rsidRPr="005524CC" w:rsidRDefault="00A43502" w:rsidP="005659C5">
      <w:pPr>
        <w:rPr>
          <w:rFonts w:asciiTheme="minorHAnsi" w:hAnsiTheme="minorHAnsi" w:cstheme="minorHAnsi"/>
        </w:rPr>
      </w:pPr>
      <w:r>
        <w:rPr>
          <w:rFonts w:asciiTheme="minorHAnsi" w:hAnsiTheme="minorHAnsi" w:cstheme="minorHAnsi"/>
        </w:rPr>
        <w:t>Cilj Regulatora je energetsko tržište koje funkcioniše za sve potrošače</w:t>
      </w:r>
      <w:r w:rsidR="005659C5" w:rsidRPr="005524CC">
        <w:rPr>
          <w:rFonts w:asciiTheme="minorHAnsi" w:hAnsiTheme="minorHAnsi" w:cstheme="minorHAnsi"/>
        </w:rPr>
        <w:t xml:space="preserve">, </w:t>
      </w:r>
      <w:r>
        <w:rPr>
          <w:rFonts w:asciiTheme="minorHAnsi" w:hAnsiTheme="minorHAnsi" w:cstheme="minorHAnsi"/>
        </w:rPr>
        <w:t>uključujući i one sa osetljivim okolnostima</w:t>
      </w:r>
      <w:r w:rsidR="005659C5" w:rsidRPr="005524CC">
        <w:rPr>
          <w:rFonts w:asciiTheme="minorHAnsi" w:hAnsiTheme="minorHAnsi" w:cstheme="minorHAnsi"/>
        </w:rPr>
        <w:t xml:space="preserve">, </w:t>
      </w:r>
      <w:r>
        <w:rPr>
          <w:rFonts w:asciiTheme="minorHAnsi" w:hAnsiTheme="minorHAnsi" w:cstheme="minorHAnsi"/>
        </w:rPr>
        <w:t>dok snabdevači tržišta na veliko treba da sprovode mehanizme usvojene od strane Regulatora radi zaštite potrošača u potrebi u specifičnim okolnostima</w:t>
      </w:r>
      <w:r w:rsidR="005659C5" w:rsidRPr="005524CC">
        <w:rPr>
          <w:rFonts w:asciiTheme="minorHAnsi" w:hAnsiTheme="minorHAnsi" w:cstheme="minorHAnsi"/>
        </w:rPr>
        <w:t xml:space="preserve">. </w:t>
      </w:r>
      <w:r>
        <w:rPr>
          <w:rFonts w:asciiTheme="minorHAnsi" w:hAnsiTheme="minorHAnsi" w:cstheme="minorHAnsi"/>
        </w:rPr>
        <w:t>Glavnu ulogu u zaštiti potrošača u potrebi preduzela je Vlada</w:t>
      </w:r>
      <w:r w:rsidR="005659C5" w:rsidRPr="005524CC">
        <w:rPr>
          <w:rFonts w:asciiTheme="minorHAnsi" w:hAnsiTheme="minorHAnsi" w:cstheme="minorHAnsi"/>
        </w:rPr>
        <w:t xml:space="preserve">, </w:t>
      </w:r>
      <w:r>
        <w:rPr>
          <w:rFonts w:asciiTheme="minorHAnsi" w:hAnsiTheme="minorHAnsi" w:cstheme="minorHAnsi"/>
        </w:rPr>
        <w:t>u pogledu osiguranja direktnih subvencija za potrošače u nevolji</w:t>
      </w:r>
      <w:r w:rsidR="005659C5" w:rsidRPr="005524CC">
        <w:rPr>
          <w:rFonts w:asciiTheme="minorHAnsi" w:hAnsiTheme="minorHAnsi" w:cstheme="minorHAnsi"/>
        </w:rPr>
        <w:t>.</w:t>
      </w:r>
    </w:p>
    <w:p w:rsidR="005659C5" w:rsidRPr="005524CC" w:rsidRDefault="00A43502" w:rsidP="005659C5">
      <w:pPr>
        <w:rPr>
          <w:rFonts w:asciiTheme="minorHAnsi" w:hAnsiTheme="minorHAnsi" w:cstheme="minorHAnsi"/>
        </w:rPr>
      </w:pPr>
      <w:r>
        <w:rPr>
          <w:rFonts w:asciiTheme="minorHAnsi" w:hAnsiTheme="minorHAnsi" w:cstheme="minorHAnsi"/>
        </w:rPr>
        <w:t>U ispunjavanju obaveze za zaštitu potrošača u nevolji, RU</w:t>
      </w:r>
      <w:r w:rsidR="005659C5" w:rsidRPr="005524CC">
        <w:rPr>
          <w:rFonts w:asciiTheme="minorHAnsi" w:hAnsiTheme="minorHAnsi" w:cstheme="minorHAnsi"/>
        </w:rPr>
        <w:t xml:space="preserve">E </w:t>
      </w:r>
      <w:r>
        <w:rPr>
          <w:rFonts w:asciiTheme="minorHAnsi" w:hAnsiTheme="minorHAnsi" w:cstheme="minorHAnsi"/>
        </w:rPr>
        <w:t>je zajedno sa Ministarstvom rada i socijalne zaštite pokrenuo uspostavljanje jedne radne grupe za izradu politika za zaštitu potrošača u potrebi</w:t>
      </w:r>
      <w:r w:rsidR="005659C5" w:rsidRPr="005524CC">
        <w:rPr>
          <w:rFonts w:asciiTheme="minorHAnsi" w:hAnsiTheme="minorHAnsi" w:cstheme="minorHAnsi"/>
        </w:rPr>
        <w:t xml:space="preserve">. </w:t>
      </w:r>
      <w:r>
        <w:rPr>
          <w:rFonts w:asciiTheme="minorHAnsi" w:hAnsiTheme="minorHAnsi" w:cstheme="minorHAnsi"/>
        </w:rPr>
        <w:t>Ova grupa je uspostavljena</w:t>
      </w:r>
      <w:r w:rsidR="005659C5" w:rsidRPr="005524CC">
        <w:rPr>
          <w:rFonts w:asciiTheme="minorHAnsi" w:hAnsiTheme="minorHAnsi" w:cstheme="minorHAnsi"/>
        </w:rPr>
        <w:t xml:space="preserve">, </w:t>
      </w:r>
      <w:r>
        <w:rPr>
          <w:rFonts w:asciiTheme="minorHAnsi" w:hAnsiTheme="minorHAnsi" w:cstheme="minorHAnsi"/>
        </w:rPr>
        <w:t xml:space="preserve">i njegove aktivnosti su podržane od </w:t>
      </w:r>
      <w:r w:rsidR="005659C5" w:rsidRPr="005524CC">
        <w:rPr>
          <w:rFonts w:asciiTheme="minorHAnsi" w:hAnsiTheme="minorHAnsi" w:cstheme="minorHAnsi"/>
        </w:rPr>
        <w:t xml:space="preserve">NARUC </w:t>
      </w:r>
      <w:r>
        <w:rPr>
          <w:rFonts w:asciiTheme="minorHAnsi" w:hAnsiTheme="minorHAnsi" w:cstheme="minorHAnsi"/>
        </w:rPr>
        <w:t>i Svetske Banke</w:t>
      </w:r>
      <w:r w:rsidR="005659C5" w:rsidRPr="005524CC">
        <w:rPr>
          <w:rFonts w:asciiTheme="minorHAnsi" w:hAnsiTheme="minorHAnsi" w:cstheme="minorHAnsi"/>
        </w:rPr>
        <w:t>. Grup</w:t>
      </w:r>
      <w:r>
        <w:rPr>
          <w:rFonts w:asciiTheme="minorHAnsi" w:hAnsiTheme="minorHAnsi" w:cstheme="minorHAnsi"/>
        </w:rPr>
        <w:t>a je orijentisana ka sačinjavanju jednog dokumenta koji bi sadržao predloge oko politika za zaštitu potrošača u potrebi</w:t>
      </w:r>
      <w:r w:rsidR="005659C5" w:rsidRPr="005524CC">
        <w:rPr>
          <w:rFonts w:asciiTheme="minorHAnsi" w:hAnsiTheme="minorHAnsi" w:cstheme="minorHAnsi"/>
        </w:rPr>
        <w:t xml:space="preserve">, </w:t>
      </w:r>
      <w:r>
        <w:rPr>
          <w:rFonts w:asciiTheme="minorHAnsi" w:hAnsiTheme="minorHAnsi" w:cstheme="minorHAnsi"/>
        </w:rPr>
        <w:t xml:space="preserve">i njegovog dostavljanja na usvajanje od strane </w:t>
      </w:r>
      <w:r w:rsidRPr="00A43502">
        <w:rPr>
          <w:rFonts w:asciiTheme="minorHAnsi" w:hAnsiTheme="minorHAnsi" w:cstheme="minorHAnsi"/>
          <w:caps/>
        </w:rPr>
        <w:t>v</w:t>
      </w:r>
      <w:r>
        <w:rPr>
          <w:rFonts w:asciiTheme="minorHAnsi" w:hAnsiTheme="minorHAnsi" w:cstheme="minorHAnsi"/>
        </w:rPr>
        <w:t>lade Kosova</w:t>
      </w:r>
      <w:r w:rsidR="005659C5" w:rsidRPr="005524CC">
        <w:rPr>
          <w:rFonts w:asciiTheme="minorHAnsi" w:hAnsiTheme="minorHAnsi" w:cstheme="minorHAnsi"/>
        </w:rPr>
        <w:t>.</w:t>
      </w:r>
    </w:p>
    <w:p w:rsidR="005659C5" w:rsidRPr="005524CC" w:rsidRDefault="00A43502" w:rsidP="005659C5">
      <w:pPr>
        <w:rPr>
          <w:rFonts w:asciiTheme="minorHAnsi" w:hAnsiTheme="minorHAnsi" w:cstheme="minorHAnsi"/>
        </w:rPr>
      </w:pPr>
      <w:r>
        <w:rPr>
          <w:rFonts w:asciiTheme="minorHAnsi" w:hAnsiTheme="minorHAnsi" w:cstheme="minorHAnsi"/>
        </w:rPr>
        <w:t>Pristup ove grupe je zasnovan na predlogu dva glavna mehanizama za zaštitu potrošača u potrebi</w:t>
      </w:r>
      <w:r w:rsidR="005659C5" w:rsidRPr="005524CC">
        <w:rPr>
          <w:rFonts w:asciiTheme="minorHAnsi" w:hAnsiTheme="minorHAnsi" w:cstheme="minorHAnsi"/>
        </w:rPr>
        <w:t>:</w:t>
      </w:r>
    </w:p>
    <w:p w:rsidR="005659C5" w:rsidRPr="005524CC" w:rsidRDefault="00A43502" w:rsidP="00E03CDD">
      <w:pPr>
        <w:pStyle w:val="ListParagraph"/>
        <w:numPr>
          <w:ilvl w:val="0"/>
          <w:numId w:val="19"/>
        </w:numPr>
        <w:rPr>
          <w:rFonts w:asciiTheme="minorHAnsi" w:hAnsiTheme="minorHAnsi" w:cstheme="minorHAnsi"/>
        </w:rPr>
      </w:pPr>
      <w:r>
        <w:rPr>
          <w:rFonts w:asciiTheme="minorHAnsi" w:hAnsiTheme="minorHAnsi" w:cstheme="minorHAnsi"/>
        </w:rPr>
        <w:t>Direktno finansijsko podržavanje i podržavanje investicionim programima energetske efikasnosti za potrošače u potrebi</w:t>
      </w:r>
      <w:r w:rsidR="005659C5" w:rsidRPr="005524CC">
        <w:rPr>
          <w:rFonts w:asciiTheme="minorHAnsi" w:hAnsiTheme="minorHAnsi" w:cstheme="minorHAnsi"/>
        </w:rPr>
        <w:t xml:space="preserve">, </w:t>
      </w:r>
      <w:r>
        <w:rPr>
          <w:rFonts w:asciiTheme="minorHAnsi" w:hAnsiTheme="minorHAnsi" w:cstheme="minorHAnsi"/>
        </w:rPr>
        <w:t>i</w:t>
      </w:r>
    </w:p>
    <w:p w:rsidR="005659C5" w:rsidRPr="005524CC" w:rsidRDefault="00A43502" w:rsidP="00E03CDD">
      <w:pPr>
        <w:pStyle w:val="ListParagraph"/>
        <w:numPr>
          <w:ilvl w:val="0"/>
          <w:numId w:val="19"/>
        </w:numPr>
        <w:rPr>
          <w:rFonts w:asciiTheme="minorHAnsi" w:hAnsiTheme="minorHAnsi" w:cstheme="minorHAnsi"/>
        </w:rPr>
      </w:pPr>
      <w:r>
        <w:rPr>
          <w:rFonts w:asciiTheme="minorHAnsi" w:hAnsiTheme="minorHAnsi" w:cstheme="minorHAnsi"/>
        </w:rPr>
        <w:t>Ne-finansijska podrška</w:t>
      </w:r>
      <w:r w:rsidR="005659C5" w:rsidRPr="005524CC">
        <w:rPr>
          <w:rFonts w:asciiTheme="minorHAnsi" w:hAnsiTheme="minorHAnsi" w:cstheme="minorHAnsi"/>
        </w:rPr>
        <w:t xml:space="preserve">, </w:t>
      </w:r>
      <w:r>
        <w:rPr>
          <w:rFonts w:asciiTheme="minorHAnsi" w:hAnsiTheme="minorHAnsi" w:cstheme="minorHAnsi"/>
        </w:rPr>
        <w:t>koja obuhvata zaštitu protiv isključenja</w:t>
      </w:r>
      <w:r w:rsidR="005659C5" w:rsidRPr="005524CC">
        <w:rPr>
          <w:rFonts w:asciiTheme="minorHAnsi" w:hAnsiTheme="minorHAnsi" w:cstheme="minorHAnsi"/>
        </w:rPr>
        <w:t xml:space="preserve">, </w:t>
      </w:r>
      <w:r>
        <w:rPr>
          <w:rFonts w:asciiTheme="minorHAnsi" w:hAnsiTheme="minorHAnsi" w:cstheme="minorHAnsi"/>
        </w:rPr>
        <w:t>podizanje svesti o energetskoj efikasnosti</w:t>
      </w:r>
      <w:r w:rsidR="005659C5" w:rsidRPr="005524CC">
        <w:rPr>
          <w:rFonts w:asciiTheme="minorHAnsi" w:hAnsiTheme="minorHAnsi" w:cstheme="minorHAnsi"/>
        </w:rPr>
        <w:t xml:space="preserve">, </w:t>
      </w:r>
      <w:r>
        <w:rPr>
          <w:rFonts w:asciiTheme="minorHAnsi" w:hAnsiTheme="minorHAnsi" w:cstheme="minorHAnsi"/>
        </w:rPr>
        <w:t>razvoj procedura i politika radi identifikacije i merenja „osetljivosti“ itd</w:t>
      </w:r>
      <w:r w:rsidR="005659C5" w:rsidRPr="005524CC">
        <w:rPr>
          <w:rFonts w:asciiTheme="minorHAnsi" w:hAnsiTheme="minorHAnsi" w:cstheme="minorHAnsi"/>
        </w:rPr>
        <w:t>.</w:t>
      </w:r>
    </w:p>
    <w:p w:rsidR="006C08D5" w:rsidRPr="009B15D2" w:rsidRDefault="006C08D5" w:rsidP="006C08D5">
      <w:pPr>
        <w:pStyle w:val="Heading2"/>
        <w:rPr>
          <w:rFonts w:asciiTheme="minorHAnsi" w:hAnsiTheme="minorHAnsi" w:cstheme="minorHAnsi"/>
        </w:rPr>
      </w:pPr>
      <w:bookmarkStart w:id="13" w:name="_Toc26444272"/>
      <w:bookmarkStart w:id="14" w:name="_Toc56589723"/>
      <w:r w:rsidRPr="009B15D2">
        <w:rPr>
          <w:rFonts w:asciiTheme="minorHAnsi" w:hAnsiTheme="minorHAnsi" w:cstheme="minorHAnsi"/>
        </w:rPr>
        <w:lastRenderedPageBreak/>
        <w:t>Električne i toplotne mreže</w:t>
      </w:r>
      <w:bookmarkEnd w:id="14"/>
      <w:r w:rsidRPr="009B15D2">
        <w:rPr>
          <w:rFonts w:asciiTheme="minorHAnsi" w:hAnsiTheme="minorHAnsi" w:cstheme="minorHAnsi"/>
        </w:rPr>
        <w:t xml:space="preserve"> </w:t>
      </w:r>
      <w:bookmarkEnd w:id="13"/>
    </w:p>
    <w:p w:rsidR="006C08D5" w:rsidRPr="009B15D2" w:rsidRDefault="006C08D5" w:rsidP="006C08D5">
      <w:pPr>
        <w:rPr>
          <w:rFonts w:asciiTheme="minorHAnsi" w:hAnsiTheme="minorHAnsi" w:cstheme="minorHAnsi"/>
        </w:rPr>
      </w:pPr>
      <w:r w:rsidRPr="009B15D2">
        <w:rPr>
          <w:rFonts w:asciiTheme="minorHAnsi" w:hAnsiTheme="minorHAnsi" w:cstheme="minorHAnsi"/>
        </w:rPr>
        <w:t>Jedinstvene karakteristike energetskog sektora, naime neophodnost kontinuiteta sigurnosti snabdevanja i obaveze javnih usluga, nameću zahtev za određenim regulatornim okvirom, u kome konkurencija i privatna preduzeća komuniciraju. U ovom periodu sprovedeno je i biće sprovedeno niz specifičnih aktivnosti vezanih za mrežu, pored rutinskog rada RUE na poboljšanju prenosne i distributivne mreže električne energije.</w:t>
      </w:r>
    </w:p>
    <w:p w:rsidR="006C08D5" w:rsidRPr="009B15D2" w:rsidRDefault="006C08D5" w:rsidP="006C08D5">
      <w:pPr>
        <w:rPr>
          <w:rFonts w:asciiTheme="minorHAnsi" w:hAnsiTheme="minorHAnsi" w:cstheme="minorHAnsi"/>
        </w:rPr>
      </w:pPr>
      <w:r w:rsidRPr="009B15D2">
        <w:rPr>
          <w:rFonts w:asciiTheme="minorHAnsi" w:hAnsiTheme="minorHAnsi" w:cstheme="minorHAnsi"/>
        </w:rPr>
        <w:t>RUE je odobrio „Program usklađenosti“, koji je razvio Operator distributivnog sistema (KEDS) u skladu sa članom 18 Licence ovog operatora i članom 15 Zakona o električnoj energiji. Program usklađenosti uvodi aranžmane koji omogućavaju da se razdvojeni poslovi distribucije sprovode na nediskriminatornoj osnovi. RUE namerava da nadgleda takav program u narednim godinama.</w:t>
      </w:r>
    </w:p>
    <w:p w:rsidR="006C08D5" w:rsidRPr="009B15D2" w:rsidRDefault="006C08D5" w:rsidP="006C08D5">
      <w:pPr>
        <w:rPr>
          <w:rFonts w:asciiTheme="minorHAnsi" w:hAnsiTheme="minorHAnsi" w:cstheme="minorHAnsi"/>
        </w:rPr>
      </w:pPr>
      <w:r w:rsidRPr="009B15D2">
        <w:rPr>
          <w:rFonts w:asciiTheme="minorHAnsi" w:hAnsiTheme="minorHAnsi" w:cstheme="minorHAnsi"/>
        </w:rPr>
        <w:t>Sporazumi o razdvajanju utvrđeni u Trećem energetskom paketu Evropske komisije (EK) za prenosne operacije zahtevaju od RUE da sertifikuje KOSTT kao operatora prenosnog sistema, uprkos licenci izdatoj KOSTT-u za ovu aktivnost 2006. RUE je započeo proces sertifikacije u maju 2017. Dana 24. septembra 2018. godine, RUE je odobrio preliminarnu odluku o sertifikaciji KOSTT-a, u skladu sa članom 39 Zakona o energetskom regulatoru. RUE očekuje da će nakon što dobije mišljenje od Sekretarijata Energetske zajednice (ECS) o preliminarnoj odluci RUE, dovršiti postupak sertifikacije izdavanjem konačne odluke početkom 2019.</w:t>
      </w:r>
    </w:p>
    <w:p w:rsidR="006C08D5" w:rsidRPr="009B15D2" w:rsidRDefault="006C08D5" w:rsidP="006C08D5">
      <w:pPr>
        <w:rPr>
          <w:rFonts w:asciiTheme="minorHAnsi" w:hAnsiTheme="minorHAnsi" w:cstheme="minorHAnsi"/>
        </w:rPr>
      </w:pPr>
      <w:r w:rsidRPr="009B15D2">
        <w:rPr>
          <w:rFonts w:asciiTheme="minorHAnsi" w:hAnsiTheme="minorHAnsi" w:cstheme="minorHAnsi"/>
        </w:rPr>
        <w:t>U oktobru 2018. godine, RUE je završio pregled višegodišnje kontrole cena za operatore distribucije i prenosa. Godišnja ažuriranja u narednim godinama biće usredsređena na prikupljanje i praćenje razvijenih podataka.</w:t>
      </w:r>
    </w:p>
    <w:p w:rsidR="006C08D5" w:rsidRPr="007E1101" w:rsidRDefault="006C08D5" w:rsidP="006C08D5">
      <w:pPr>
        <w:rPr>
          <w:rFonts w:asciiTheme="minorHAnsi" w:hAnsiTheme="minorHAnsi" w:cstheme="minorHAnsi"/>
          <w:highlight w:val="yellow"/>
        </w:rPr>
      </w:pPr>
      <w:r w:rsidRPr="009B15D2">
        <w:rPr>
          <w:rFonts w:asciiTheme="minorHAnsi" w:hAnsiTheme="minorHAnsi" w:cstheme="minorHAnsi"/>
        </w:rPr>
        <w:t>Što se tiče toplotne energije, aktivnosti su usmerene na saradnju i pružanje smernica preduzećima za toplotnu energiju o planiranju mreža toplotne energije (distributivne mreže). Planirani projekti proširenja treba da omoguće rešavanje zahteva za priključenje na mrežu kako bi se osiguralo snabdevanje toplotnom energijom za grejanje; dok će projekti sanacije mreže smanjiti gubitke i poboljšati kvalitet snabdevanja. U ovom okviru želimo da povećamo i ojačamo aktivnosti u vezi sa praćenjem i kontrolom investicionih projekata i s tim povezanih kapitalnih troškova.</w:t>
      </w:r>
    </w:p>
    <w:p w:rsidR="006C08D5" w:rsidRPr="00AB0D19" w:rsidRDefault="006C08D5" w:rsidP="006C08D5">
      <w:pPr>
        <w:pStyle w:val="Heading2"/>
        <w:rPr>
          <w:rFonts w:asciiTheme="minorHAnsi" w:hAnsiTheme="minorHAnsi" w:cstheme="minorHAnsi"/>
        </w:rPr>
      </w:pPr>
      <w:bookmarkStart w:id="15" w:name="_Toc56589724"/>
      <w:r w:rsidRPr="00AB0D19">
        <w:rPr>
          <w:rFonts w:asciiTheme="minorHAnsi" w:hAnsiTheme="minorHAnsi" w:cstheme="minorHAnsi"/>
        </w:rPr>
        <w:t>REMIT - Transparentnost i integracija tržišta energije</w:t>
      </w:r>
      <w:bookmarkEnd w:id="15"/>
    </w:p>
    <w:p w:rsidR="006C08D5" w:rsidRPr="00C235EF" w:rsidRDefault="006C08D5" w:rsidP="006C08D5">
      <w:pPr>
        <w:rPr>
          <w:rFonts w:asciiTheme="minorHAnsi" w:hAnsiTheme="minorHAnsi" w:cstheme="minorHAnsi"/>
        </w:rPr>
      </w:pPr>
      <w:r w:rsidRPr="00C235EF">
        <w:rPr>
          <w:rFonts w:asciiTheme="minorHAnsi" w:hAnsiTheme="minorHAnsi" w:cstheme="minorHAnsi"/>
        </w:rPr>
        <w:t>Praćenje tržišta energije u zemljama Jugoistočne Evrope suočavalo se i nastavlja suočavati sa mnogim izazovima dugi niz godina. U međuvremenu, uticaj na tržište energije nije bio naročito značajan, jer je 2011. godine Agencija za saradnju energetskih regulatora (ACER) dobila dodatni zadatak, u skladu sa Uredbom (EU) br. 1227/2011 Evropskog saveta i Saveta za trgovinu na veliko energetskim integritetom i transparentnošću (REMIT) usvojeni 8. decembra 2011.</w:t>
      </w:r>
    </w:p>
    <w:p w:rsidR="006C08D5" w:rsidRPr="00C235EF" w:rsidRDefault="006C08D5" w:rsidP="006C08D5">
      <w:pPr>
        <w:rPr>
          <w:rFonts w:asciiTheme="minorHAnsi" w:hAnsiTheme="minorHAnsi" w:cstheme="minorHAnsi"/>
        </w:rPr>
      </w:pPr>
      <w:r w:rsidRPr="00C235EF">
        <w:rPr>
          <w:rFonts w:asciiTheme="minorHAnsi" w:hAnsiTheme="minorHAnsi" w:cstheme="minorHAnsi"/>
        </w:rPr>
        <w:t>REMIT pruža logički okvir za sektor u identifikovanju i sankcionisanju unutrašnje trgovine i zloupotrebe trgovine na veleprodajnim tržištima energije širom Evrope.</w:t>
      </w:r>
    </w:p>
    <w:p w:rsidR="006C08D5" w:rsidRPr="00C235EF" w:rsidRDefault="006C08D5" w:rsidP="006C08D5">
      <w:pPr>
        <w:rPr>
          <w:rFonts w:asciiTheme="minorHAnsi" w:hAnsiTheme="minorHAnsi" w:cstheme="minorHAnsi"/>
        </w:rPr>
      </w:pPr>
      <w:r w:rsidRPr="00C235EF">
        <w:rPr>
          <w:rFonts w:asciiTheme="minorHAnsi" w:hAnsiTheme="minorHAnsi" w:cstheme="minorHAnsi"/>
        </w:rPr>
        <w:t>Odgovornosti povezane sa pregledom REMIT-a mogu se klasifikovati u četiri glavna stuba:</w:t>
      </w:r>
    </w:p>
    <w:p w:rsidR="006C08D5" w:rsidRPr="00C235EF" w:rsidRDefault="006C08D5" w:rsidP="006C08D5">
      <w:pPr>
        <w:pStyle w:val="ListParagraph"/>
        <w:numPr>
          <w:ilvl w:val="0"/>
          <w:numId w:val="27"/>
        </w:numPr>
        <w:rPr>
          <w:rFonts w:asciiTheme="minorHAnsi" w:hAnsiTheme="minorHAnsi" w:cstheme="minorHAnsi"/>
        </w:rPr>
      </w:pPr>
      <w:r w:rsidRPr="00C235EF">
        <w:rPr>
          <w:rFonts w:asciiTheme="minorHAnsi" w:hAnsiTheme="minorHAnsi" w:cstheme="minorHAnsi"/>
        </w:rPr>
        <w:t xml:space="preserve">Koordinacija nacionalnih regulatornih tela (NRA-NationalRegulatoriAuthoritites) o opštim pitanjima politike REMIT-a, uključujući smernice za NRA-e i saradnju sa NRA-om, Evropskim </w:t>
      </w:r>
      <w:r w:rsidRPr="00C235EF">
        <w:rPr>
          <w:rFonts w:asciiTheme="minorHAnsi" w:hAnsiTheme="minorHAnsi" w:cstheme="minorHAnsi"/>
        </w:rPr>
        <w:lastRenderedPageBreak/>
        <w:t>organom berze (ESMV), nacionalnim finansijskim i tržišnim organima i drugim vlastima relevantne za REMIT politike, prikupljanje podataka kao i transparentnost;</w:t>
      </w:r>
    </w:p>
    <w:p w:rsidR="006C08D5" w:rsidRPr="00C235EF" w:rsidRDefault="006C08D5" w:rsidP="006C08D5">
      <w:pPr>
        <w:pStyle w:val="ListParagraph"/>
        <w:numPr>
          <w:ilvl w:val="0"/>
          <w:numId w:val="27"/>
        </w:numPr>
        <w:rPr>
          <w:rFonts w:asciiTheme="minorHAnsi" w:hAnsiTheme="minorHAnsi" w:cstheme="minorHAnsi"/>
        </w:rPr>
      </w:pPr>
      <w:r w:rsidRPr="00C235EF">
        <w:rPr>
          <w:rFonts w:asciiTheme="minorHAnsi" w:hAnsiTheme="minorHAnsi" w:cstheme="minorHAnsi"/>
        </w:rPr>
        <w:t>Obezbediti smernice o transparentnosti u REMIT-u i izveštavanju obaveza prema spoljnim stranama, kao i prikupljanje podataka za procenu i praćenje veletrgovačkih tržišta energije, uključujući registraciju izveštajnih strana, pružanje smernica za prikupljanje podataka kroz REMIT paket izveštavanja u skladu sa REMIT uredbom, i u saradnji sa MSC, kako bi se osiguralo da podaci budu dovoljno kvalitetni da se koriste u svrhu nadzora;</w:t>
      </w:r>
    </w:p>
    <w:p w:rsidR="006C08D5" w:rsidRPr="00C235EF" w:rsidRDefault="006C08D5" w:rsidP="006C08D5">
      <w:pPr>
        <w:pStyle w:val="ListParagraph"/>
        <w:numPr>
          <w:ilvl w:val="0"/>
          <w:numId w:val="27"/>
        </w:numPr>
        <w:rPr>
          <w:rFonts w:asciiTheme="minorHAnsi" w:hAnsiTheme="minorHAnsi" w:cstheme="minorHAnsi"/>
        </w:rPr>
      </w:pPr>
      <w:r w:rsidRPr="00C235EF">
        <w:rPr>
          <w:rFonts w:asciiTheme="minorHAnsi" w:hAnsiTheme="minorHAnsi" w:cstheme="minorHAnsi"/>
        </w:rPr>
        <w:t>Uvesti mehanizme za širenje podataka koje prikupljaju NRA, nadležni finansijski organi u državama članicama, nacionalni organi za zaštitu konkurencije, ESMA i drugi relevantni organi (tj. Akademija i javnost);</w:t>
      </w:r>
    </w:p>
    <w:p w:rsidR="006C08D5" w:rsidRPr="00C235EF" w:rsidRDefault="006C08D5" w:rsidP="006C08D5">
      <w:pPr>
        <w:pStyle w:val="ListParagraph"/>
        <w:numPr>
          <w:ilvl w:val="0"/>
          <w:numId w:val="27"/>
        </w:numPr>
        <w:rPr>
          <w:rFonts w:asciiTheme="minorHAnsi" w:hAnsiTheme="minorHAnsi" w:cstheme="minorHAnsi"/>
        </w:rPr>
      </w:pPr>
      <w:r w:rsidRPr="00C235EF">
        <w:rPr>
          <w:rFonts w:asciiTheme="minorHAnsi" w:hAnsiTheme="minorHAnsi" w:cstheme="minorHAnsi"/>
        </w:rPr>
        <w:t>Razvoj, unapređenje i održavanje informacionih sistema agencije REMIT, uključujući Evropski registar tržišnih aktera, za prikupljanje i analizu podataka i drugih informacija.</w:t>
      </w:r>
    </w:p>
    <w:p w:rsidR="006C08D5" w:rsidRDefault="006C08D5" w:rsidP="006C08D5">
      <w:pPr>
        <w:rPr>
          <w:rFonts w:asciiTheme="minorHAnsi" w:hAnsiTheme="minorHAnsi" w:cstheme="minorHAnsi"/>
        </w:rPr>
      </w:pPr>
      <w:r w:rsidRPr="00C235EF">
        <w:rPr>
          <w:rFonts w:asciiTheme="minorHAnsi" w:hAnsiTheme="minorHAnsi" w:cstheme="minorHAnsi"/>
        </w:rPr>
        <w:t>Uprkos činjenici da zemlje JIE još uvek nisu članice ACER-a, ove zemlje će uskoro biti obavezne da uspostave zakonske okvire i mehanizme za primenu REMIT-a. Sekretarijat Energetske zajednice osnovao je radnu grupu za implementaciju REMIT-a koja će razviti odgovarajući okvir za primenu. Prema planu, razviće zajednički pravni okvir za sve zemlje JIE, uključujući Kosovo. Nakon stvaranja uslova za primenu, REMIT prolazi „test“, za koji se planira da traje 3 godine. Smatra se da je ovo dovoljno vremena da sve države postanu svesne takve obaveze, a nakon ovog perioda primena REMIT-a za zemlje članice Sekretarijata biće obavezna. Da bi se RUE pripremio za ispunjenje ove obaveze, predstavnik RUE je deo radne grupe REMIT u Sekretarijatu, a očekuje se da će pripremni period za REMIT biti uključen u plan rada za naredne tri godine</w:t>
      </w:r>
      <w:r>
        <w:rPr>
          <w:rFonts w:asciiTheme="minorHAnsi" w:hAnsiTheme="minorHAnsi" w:cstheme="minorHAnsi"/>
        </w:rPr>
        <w:t>.</w:t>
      </w:r>
    </w:p>
    <w:p w:rsidR="006C08D5" w:rsidRPr="00A860C6" w:rsidRDefault="006C08D5" w:rsidP="006C08D5">
      <w:pPr>
        <w:rPr>
          <w:rFonts w:asciiTheme="minorHAnsi" w:hAnsiTheme="minorHAnsi" w:cstheme="minorHAnsi"/>
        </w:rPr>
      </w:pPr>
    </w:p>
    <w:p w:rsidR="006C08D5" w:rsidRPr="00AB0D19" w:rsidRDefault="006C08D5" w:rsidP="006C08D5">
      <w:pPr>
        <w:pStyle w:val="Heading2"/>
        <w:rPr>
          <w:rFonts w:asciiTheme="minorHAnsi" w:hAnsiTheme="minorHAnsi" w:cstheme="minorHAnsi"/>
        </w:rPr>
      </w:pPr>
      <w:bookmarkStart w:id="16" w:name="_Toc56589725"/>
      <w:r w:rsidRPr="00AB0D19">
        <w:rPr>
          <w:rFonts w:asciiTheme="minorHAnsi" w:hAnsiTheme="minorHAnsi" w:cstheme="minorHAnsi"/>
        </w:rPr>
        <w:t>Raspodela kapaciteta i upravljanje zagušenjima</w:t>
      </w:r>
      <w:bookmarkEnd w:id="16"/>
    </w:p>
    <w:p w:rsidR="006C08D5" w:rsidRPr="00C235EF" w:rsidRDefault="006C08D5" w:rsidP="006C08D5">
      <w:pPr>
        <w:rPr>
          <w:rFonts w:asciiTheme="minorHAnsi" w:hAnsiTheme="minorHAnsi" w:cstheme="minorHAnsi"/>
        </w:rPr>
      </w:pPr>
      <w:r w:rsidRPr="00C235EF">
        <w:rPr>
          <w:rFonts w:asciiTheme="minorHAnsi" w:hAnsiTheme="minorHAnsi" w:cstheme="minorHAnsi"/>
        </w:rPr>
        <w:t>ACER je 29. jula 2011. godine usvojio Smernice za dodelu kapaciteta i upravljanje zagušenjima električne energije (CACM uredba).</w:t>
      </w:r>
    </w:p>
    <w:p w:rsidR="006C08D5" w:rsidRPr="00C235EF" w:rsidRDefault="006C08D5" w:rsidP="006C08D5">
      <w:pPr>
        <w:rPr>
          <w:rFonts w:asciiTheme="minorHAnsi" w:hAnsiTheme="minorHAnsi" w:cstheme="minorHAnsi"/>
        </w:rPr>
      </w:pPr>
      <w:r w:rsidRPr="00C235EF">
        <w:rPr>
          <w:rFonts w:asciiTheme="minorHAnsi" w:hAnsiTheme="minorHAnsi" w:cstheme="minorHAnsi"/>
        </w:rPr>
        <w:t>Ove smernice i mrežni kodeksi koji će se razviti nakon njih obezbediće pravni okvir i zahteve za operatore prenosnih sistema, kao i energetske razmene za dugoročno funkcionisanje integrisanog tržišta električne energije, u jednodnevnim rokovima jedan-dan-pre i u toku dana.</w:t>
      </w:r>
    </w:p>
    <w:p w:rsidR="006C08D5" w:rsidRPr="00C235EF" w:rsidRDefault="006C08D5" w:rsidP="006C08D5">
      <w:pPr>
        <w:rPr>
          <w:rFonts w:asciiTheme="minorHAnsi" w:hAnsiTheme="minorHAnsi" w:cstheme="minorHAnsi"/>
        </w:rPr>
      </w:pPr>
      <w:r w:rsidRPr="00C235EF">
        <w:rPr>
          <w:rFonts w:asciiTheme="minorHAnsi" w:hAnsiTheme="minorHAnsi" w:cstheme="minorHAnsi"/>
        </w:rPr>
        <w:t>Prema ažuriranom planu električne energije EC/ACER/ENTSO-E, dva mrežna koda koja će se razviti u skladu sa CACM su:</w:t>
      </w:r>
    </w:p>
    <w:p w:rsidR="006C08D5" w:rsidRPr="00C235EF" w:rsidRDefault="006C08D5" w:rsidP="006C08D5">
      <w:pPr>
        <w:pStyle w:val="ListParagraph"/>
        <w:numPr>
          <w:ilvl w:val="0"/>
          <w:numId w:val="28"/>
        </w:numPr>
        <w:rPr>
          <w:rFonts w:asciiTheme="minorHAnsi" w:hAnsiTheme="minorHAnsi" w:cstheme="minorHAnsi"/>
        </w:rPr>
      </w:pPr>
      <w:r w:rsidRPr="00C235EF">
        <w:rPr>
          <w:rFonts w:asciiTheme="minorHAnsi" w:hAnsiTheme="minorHAnsi" w:cstheme="minorHAnsi"/>
        </w:rPr>
        <w:t>Dodela kapaciteta i upravljanje zagušenjima za prekonoćne i jednodnevne rokove;</w:t>
      </w:r>
    </w:p>
    <w:p w:rsidR="006C08D5" w:rsidRPr="00C235EF" w:rsidRDefault="006C08D5" w:rsidP="006C08D5">
      <w:pPr>
        <w:pStyle w:val="ListParagraph"/>
        <w:numPr>
          <w:ilvl w:val="0"/>
          <w:numId w:val="28"/>
        </w:numPr>
        <w:rPr>
          <w:rFonts w:asciiTheme="minorHAnsi" w:hAnsiTheme="minorHAnsi" w:cstheme="minorHAnsi"/>
        </w:rPr>
      </w:pPr>
      <w:r w:rsidRPr="00C235EF">
        <w:rPr>
          <w:rFonts w:asciiTheme="minorHAnsi" w:hAnsiTheme="minorHAnsi" w:cstheme="minorHAnsi"/>
        </w:rPr>
        <w:t>Dodela kapaciteta na dugoročne periode;</w:t>
      </w:r>
    </w:p>
    <w:p w:rsidR="006C08D5" w:rsidRPr="007E1101" w:rsidRDefault="006C08D5" w:rsidP="006C08D5">
      <w:pPr>
        <w:rPr>
          <w:rFonts w:asciiTheme="minorHAnsi" w:hAnsiTheme="minorHAnsi" w:cstheme="minorHAnsi"/>
          <w:highlight w:val="yellow"/>
        </w:rPr>
      </w:pPr>
      <w:r w:rsidRPr="00C235EF">
        <w:rPr>
          <w:rFonts w:asciiTheme="minorHAnsi" w:hAnsiTheme="minorHAnsi" w:cstheme="minorHAnsi"/>
        </w:rPr>
        <w:t>Kao rezultat toga, CACM radna grupa u Sekretarijatu za energetiku, koja takođe uključuje RUE, razviće 2019. godine zajedničku metodologiju za određivanje raspoloživog obima kapaciteta između tenderskih područja, kriterijume za procenu efikasnosti i postupak preispitivanja radi utvrđivanja područja tendera.</w:t>
      </w:r>
    </w:p>
    <w:p w:rsidR="006C08D5" w:rsidRPr="00AB0D19" w:rsidRDefault="006C08D5" w:rsidP="006C08D5">
      <w:pPr>
        <w:pStyle w:val="Heading1"/>
        <w:rPr>
          <w:rFonts w:asciiTheme="minorHAnsi" w:hAnsiTheme="minorHAnsi" w:cstheme="minorHAnsi"/>
          <w:sz w:val="24"/>
        </w:rPr>
      </w:pPr>
      <w:bookmarkStart w:id="17" w:name="_Toc56589726"/>
      <w:r w:rsidRPr="00AB0D19">
        <w:rPr>
          <w:rFonts w:asciiTheme="minorHAnsi" w:hAnsiTheme="minorHAnsi" w:cstheme="minorHAnsi"/>
          <w:sz w:val="24"/>
        </w:rPr>
        <w:lastRenderedPageBreak/>
        <w:t>FINANSIRANJE UREDA ZA ENERGETIKU</w:t>
      </w:r>
      <w:bookmarkEnd w:id="17"/>
    </w:p>
    <w:p w:rsidR="006C08D5" w:rsidRPr="00581E8C" w:rsidRDefault="006C08D5" w:rsidP="006C08D5">
      <w:pPr>
        <w:rPr>
          <w:rFonts w:asciiTheme="minorHAnsi" w:hAnsiTheme="minorHAnsi" w:cstheme="minorHAnsi"/>
        </w:rPr>
      </w:pPr>
      <w:r w:rsidRPr="00581E8C">
        <w:rPr>
          <w:rFonts w:asciiTheme="minorHAnsi" w:hAnsiTheme="minorHAnsi" w:cstheme="minorHAnsi"/>
        </w:rPr>
        <w:t>Prema Ustavu Republike Kosovo, Regulatorni ured za energiju (RUE) uživa status „nezavisne agencije“. Ustav Republike Kosovo predviđa da su nezavisne agencije institucije koje je osnovala Skupština na osnovu relevantnih zakona koji uređuju njihovo osnivanje, funkcionisanje i nadležnosti. Nezavisne agencije izvršavaju svoje funkcije nezavisno od bilo kog drugog tela ili organa u Republici Kosovo. To znači da bi RUE trebalo da ima potpunu nezavisnost u planiranju i trošenju budžeta, odnosno namenskih prihoda, zagarantovanih Ustavom i važećim zakonodavstvom.</w:t>
      </w:r>
    </w:p>
    <w:p w:rsidR="006C08D5" w:rsidRPr="00581E8C" w:rsidRDefault="006C08D5" w:rsidP="006C08D5">
      <w:pPr>
        <w:rPr>
          <w:rFonts w:asciiTheme="minorHAnsi" w:hAnsiTheme="minorHAnsi" w:cstheme="minorHAnsi"/>
        </w:rPr>
      </w:pPr>
      <w:r w:rsidRPr="00581E8C">
        <w:rPr>
          <w:rFonts w:asciiTheme="minorHAnsi" w:hAnsiTheme="minorHAnsi" w:cstheme="minorHAnsi"/>
        </w:rPr>
        <w:t>Pitanje finansijske nezavisnosti uglavnom je regulisano direktivama EU koje predviđaju da države članice moraju osigurati da regulatorna tela ili nezavisne agencije mogu samostalno donositi odluke nezavisno od bilo kog političkog tela, uključujući načine na koje preko kojih oni izvršavaju svoje mandate, ljude koje moraju da regrutuju itd. To znači da bi Regulatorni ured za energiju trebalo da uživa finansijsku nezavisnost, koja je omogućena prikupljanjem vlastitih prihoda i primenom važećih zakona.</w:t>
      </w:r>
    </w:p>
    <w:p w:rsidR="006C08D5" w:rsidRPr="007E1101" w:rsidRDefault="006C08D5" w:rsidP="006C08D5">
      <w:pPr>
        <w:rPr>
          <w:rFonts w:asciiTheme="minorHAnsi" w:hAnsiTheme="minorHAnsi" w:cstheme="minorHAnsi"/>
          <w:highlight w:val="yellow"/>
        </w:rPr>
      </w:pPr>
      <w:r w:rsidRPr="00581E8C">
        <w:rPr>
          <w:rFonts w:asciiTheme="minorHAnsi" w:hAnsiTheme="minorHAnsi" w:cstheme="minorHAnsi"/>
        </w:rPr>
        <w:t>Pored toga što je zagarantovana Ustavom Republike Kosovo i direktivama EU, finansijska nezavisnost RUE je jasno definisana i zakonodavstvom koje je usvojila Skupština Republike Kosovo, paketom u skladu sa „a</w:t>
      </w:r>
      <w:r>
        <w:rPr>
          <w:rFonts w:asciiTheme="minorHAnsi" w:hAnsiTheme="minorHAnsi" w:cstheme="minorHAnsi"/>
        </w:rPr>
        <w:t>q</w:t>
      </w:r>
      <w:r w:rsidRPr="00581E8C">
        <w:rPr>
          <w:rFonts w:asciiTheme="minorHAnsi" w:hAnsiTheme="minorHAnsi" w:cstheme="minorHAnsi"/>
        </w:rPr>
        <w:t>uis“ Trećeg energetskog paketa. Postojeće zakonodavstvo jasno predviđa da su prihodi RUE „namenski prihodi“ i, s tim u vezi, RUE ima pravo da prikuplja „namenske prihode“ iz određenih izvora, što u slučaju RUE uključuju naknade za licenciranje. To je predviđeno i Zakonom o upravljanju javnim finansijama i odgovornošću, koji predviđa da je „namenski prihod“ onaj prihod koji potiče iz određenog izvora prihoda i ove agencije, samo u slučajevima kada je taj prihod nedovoljna, može zatražiti dodatna budžetska izdvajanja iz budžeta Republike Kosovo, u skladu sa odredbama Zakona o upravljanju javnim finansijama i odgovornosti</w:t>
      </w:r>
      <w:r>
        <w:rPr>
          <w:rFonts w:asciiTheme="minorHAnsi" w:hAnsiTheme="minorHAnsi" w:cstheme="minorHAnsi"/>
        </w:rPr>
        <w:t>.</w:t>
      </w:r>
      <w:r w:rsidRPr="007E1101">
        <w:rPr>
          <w:rFonts w:asciiTheme="minorHAnsi" w:hAnsiTheme="minorHAnsi" w:cstheme="minorHAnsi"/>
          <w:highlight w:val="yellow"/>
        </w:rPr>
        <w:t xml:space="preserve"> </w:t>
      </w:r>
    </w:p>
    <w:p w:rsidR="006C08D5" w:rsidRPr="007E1101" w:rsidRDefault="006C08D5" w:rsidP="006C08D5">
      <w:pPr>
        <w:rPr>
          <w:rFonts w:asciiTheme="minorHAnsi" w:hAnsiTheme="minorHAnsi" w:cstheme="minorHAnsi"/>
          <w:highlight w:val="yellow"/>
        </w:rPr>
      </w:pPr>
    </w:p>
    <w:p w:rsidR="006C08D5" w:rsidRPr="00581E8C" w:rsidRDefault="006C08D5" w:rsidP="006C08D5">
      <w:pPr>
        <w:pStyle w:val="Heading2"/>
        <w:rPr>
          <w:rFonts w:asciiTheme="minorHAnsi" w:hAnsiTheme="minorHAnsi" w:cstheme="minorHAnsi"/>
        </w:rPr>
      </w:pPr>
      <w:bookmarkStart w:id="18" w:name="_Toc56589727"/>
      <w:r w:rsidRPr="00581E8C">
        <w:rPr>
          <w:rFonts w:asciiTheme="minorHAnsi" w:hAnsiTheme="minorHAnsi" w:cstheme="minorHAnsi"/>
        </w:rPr>
        <w:t>Planiranje prihoda RUE</w:t>
      </w:r>
      <w:bookmarkEnd w:id="18"/>
    </w:p>
    <w:p w:rsidR="006C08D5" w:rsidRPr="007E1101" w:rsidRDefault="006C08D5" w:rsidP="006C08D5">
      <w:pPr>
        <w:rPr>
          <w:rFonts w:asciiTheme="minorHAnsi" w:hAnsiTheme="minorHAnsi" w:cstheme="minorHAnsi"/>
          <w:highlight w:val="yellow"/>
        </w:rPr>
      </w:pPr>
      <w:r w:rsidRPr="00581E8C">
        <w:rPr>
          <w:rFonts w:asciiTheme="minorHAnsi" w:hAnsiTheme="minorHAnsi" w:cstheme="minorHAnsi"/>
        </w:rPr>
        <w:t>U skladu sa važećim zakonodavstvom, RUE je neprofitna agencija i s obzirom na ovaj status, prihodi i rashodi predstavljeni u ovom planu rada namenjeni su proširenju finansijskih podataka o prihodima i rashodima RUE, ali ne i za finansijske rezultate, jer je jasno da RUE nije profitna organizacija. Od svog osnivanja, RUE je prikupljao namenske prihode od svih licenciranih na Kosovu. Prihodi predstavljeni u donjoj tabeli planirani su za prikupljanje u narednom trogodišnjem periodu (2021-2023).</w:t>
      </w:r>
    </w:p>
    <w:tbl>
      <w:tblPr>
        <w:tblStyle w:val="TableClassic3"/>
        <w:tblW w:w="0" w:type="auto"/>
        <w:tblLook w:val="04A0"/>
      </w:tblPr>
      <w:tblGrid>
        <w:gridCol w:w="3096"/>
        <w:gridCol w:w="3096"/>
        <w:gridCol w:w="3097"/>
      </w:tblGrid>
      <w:tr w:rsidR="006C08D5" w:rsidRPr="007E1101" w:rsidTr="009F4DFE">
        <w:trPr>
          <w:cnfStyle w:val="100000000000"/>
        </w:trPr>
        <w:tc>
          <w:tcPr>
            <w:cnfStyle w:val="001000000000"/>
            <w:tcW w:w="3096" w:type="dxa"/>
          </w:tcPr>
          <w:p w:rsidR="006C08D5" w:rsidRPr="007E1101" w:rsidRDefault="006C08D5" w:rsidP="009F4DFE">
            <w:pPr>
              <w:jc w:val="center"/>
              <w:rPr>
                <w:rFonts w:asciiTheme="minorHAnsi" w:hAnsiTheme="minorHAnsi" w:cstheme="minorHAnsi"/>
                <w:highlight w:val="yellow"/>
              </w:rPr>
            </w:pPr>
            <w:r w:rsidRPr="00581E8C">
              <w:rPr>
                <w:rFonts w:asciiTheme="minorHAnsi" w:hAnsiTheme="minorHAnsi" w:cstheme="minorHAnsi"/>
              </w:rPr>
              <w:t>Planiranje prihoda za godinu</w:t>
            </w:r>
            <w:r w:rsidRPr="00581E8C">
              <w:rPr>
                <w:rFonts w:asciiTheme="minorHAnsi" w:hAnsiTheme="minorHAnsi" w:cstheme="minorHAnsi"/>
                <w:highlight w:val="yellow"/>
              </w:rPr>
              <w:t xml:space="preserve"> </w:t>
            </w:r>
            <w:r w:rsidRPr="00581E8C">
              <w:rPr>
                <w:rFonts w:asciiTheme="minorHAnsi" w:hAnsiTheme="minorHAnsi" w:cstheme="minorHAnsi"/>
              </w:rPr>
              <w:t>2021</w:t>
            </w:r>
          </w:p>
        </w:tc>
        <w:tc>
          <w:tcPr>
            <w:tcW w:w="3096" w:type="dxa"/>
          </w:tcPr>
          <w:p w:rsidR="006C08D5" w:rsidRPr="007E1101" w:rsidRDefault="006C08D5" w:rsidP="009F4DFE">
            <w:pPr>
              <w:jc w:val="center"/>
              <w:cnfStyle w:val="100000000000"/>
              <w:rPr>
                <w:rFonts w:asciiTheme="minorHAnsi" w:hAnsiTheme="minorHAnsi" w:cstheme="minorHAnsi"/>
                <w:highlight w:val="yellow"/>
              </w:rPr>
            </w:pPr>
            <w:r w:rsidRPr="00581E8C">
              <w:rPr>
                <w:rFonts w:asciiTheme="minorHAnsi" w:hAnsiTheme="minorHAnsi" w:cstheme="minorHAnsi"/>
              </w:rPr>
              <w:t>Planiranje prihoda za godinu</w:t>
            </w:r>
            <w:r w:rsidRPr="00581E8C">
              <w:rPr>
                <w:rFonts w:asciiTheme="minorHAnsi" w:hAnsiTheme="minorHAnsi" w:cstheme="minorHAnsi"/>
                <w:highlight w:val="yellow"/>
              </w:rPr>
              <w:t xml:space="preserve"> </w:t>
            </w:r>
            <w:r w:rsidRPr="00581E8C">
              <w:rPr>
                <w:rFonts w:asciiTheme="minorHAnsi" w:hAnsiTheme="minorHAnsi" w:cstheme="minorHAnsi"/>
              </w:rPr>
              <w:t>2022</w:t>
            </w:r>
          </w:p>
        </w:tc>
        <w:tc>
          <w:tcPr>
            <w:tcW w:w="3097" w:type="dxa"/>
          </w:tcPr>
          <w:p w:rsidR="006C08D5" w:rsidRPr="007E1101" w:rsidRDefault="006C08D5" w:rsidP="009F4DFE">
            <w:pPr>
              <w:jc w:val="center"/>
              <w:cnfStyle w:val="100000000000"/>
              <w:rPr>
                <w:rFonts w:asciiTheme="minorHAnsi" w:hAnsiTheme="minorHAnsi" w:cstheme="minorHAnsi"/>
                <w:highlight w:val="yellow"/>
              </w:rPr>
            </w:pPr>
            <w:r w:rsidRPr="00581E8C">
              <w:rPr>
                <w:rFonts w:asciiTheme="minorHAnsi" w:hAnsiTheme="minorHAnsi" w:cstheme="minorHAnsi"/>
              </w:rPr>
              <w:t>Planiranje prihoda za godinu</w:t>
            </w:r>
            <w:r w:rsidRPr="00581E8C">
              <w:rPr>
                <w:rFonts w:asciiTheme="minorHAnsi" w:hAnsiTheme="minorHAnsi" w:cstheme="minorHAnsi"/>
                <w:highlight w:val="yellow"/>
              </w:rPr>
              <w:t xml:space="preserve"> </w:t>
            </w:r>
            <w:r w:rsidRPr="00581E8C">
              <w:rPr>
                <w:rFonts w:asciiTheme="minorHAnsi" w:hAnsiTheme="minorHAnsi" w:cstheme="minorHAnsi"/>
              </w:rPr>
              <w:t>2023</w:t>
            </w:r>
          </w:p>
        </w:tc>
      </w:tr>
      <w:tr w:rsidR="006C08D5" w:rsidRPr="007E1101" w:rsidTr="009F4DFE">
        <w:tc>
          <w:tcPr>
            <w:cnfStyle w:val="001000000000"/>
            <w:tcW w:w="3096" w:type="dxa"/>
          </w:tcPr>
          <w:p w:rsidR="006C08D5" w:rsidRPr="00AB0D19" w:rsidRDefault="006C08D5" w:rsidP="009F4DFE">
            <w:pPr>
              <w:jc w:val="center"/>
              <w:rPr>
                <w:rFonts w:ascii="Verdana" w:hAnsi="Verdana"/>
                <w:b w:val="0"/>
                <w:sz w:val="24"/>
              </w:rPr>
            </w:pPr>
            <w:r w:rsidRPr="00AB0D19">
              <w:rPr>
                <w:rFonts w:ascii="Verdana" w:hAnsi="Verdana"/>
                <w:b w:val="0"/>
                <w:bCs w:val="0"/>
                <w:color w:val="000080"/>
                <w:sz w:val="24"/>
              </w:rPr>
              <w:t>1,300,000€</w:t>
            </w:r>
          </w:p>
        </w:tc>
        <w:tc>
          <w:tcPr>
            <w:tcW w:w="3096" w:type="dxa"/>
          </w:tcPr>
          <w:p w:rsidR="006C08D5" w:rsidRPr="00AB0D19" w:rsidRDefault="006C08D5" w:rsidP="009F4DFE">
            <w:pPr>
              <w:jc w:val="center"/>
              <w:cnfStyle w:val="000000000000"/>
              <w:rPr>
                <w:rFonts w:ascii="Verdana" w:hAnsi="Verdana"/>
                <w:sz w:val="24"/>
              </w:rPr>
            </w:pPr>
            <w:r w:rsidRPr="00AB0D19">
              <w:rPr>
                <w:rFonts w:ascii="Verdana" w:hAnsi="Verdana"/>
                <w:sz w:val="24"/>
              </w:rPr>
              <w:t>1,300,000€</w:t>
            </w:r>
          </w:p>
        </w:tc>
        <w:tc>
          <w:tcPr>
            <w:tcW w:w="3097" w:type="dxa"/>
          </w:tcPr>
          <w:p w:rsidR="006C08D5" w:rsidRPr="00AB0D19" w:rsidRDefault="006C08D5" w:rsidP="009F4DFE">
            <w:pPr>
              <w:jc w:val="center"/>
              <w:cnfStyle w:val="000000000000"/>
              <w:rPr>
                <w:rFonts w:ascii="Verdana" w:hAnsi="Verdana"/>
                <w:sz w:val="24"/>
              </w:rPr>
            </w:pPr>
            <w:r w:rsidRPr="00AB0D19">
              <w:rPr>
                <w:rFonts w:ascii="Verdana" w:hAnsi="Verdana"/>
                <w:sz w:val="24"/>
              </w:rPr>
              <w:t>1,300,000€</w:t>
            </w:r>
          </w:p>
        </w:tc>
      </w:tr>
    </w:tbl>
    <w:p w:rsidR="006C08D5" w:rsidRPr="007E1101" w:rsidRDefault="006C08D5" w:rsidP="006C08D5">
      <w:pPr>
        <w:rPr>
          <w:rFonts w:asciiTheme="minorHAnsi" w:hAnsiTheme="minorHAnsi" w:cstheme="minorHAnsi"/>
          <w:highlight w:val="yellow"/>
        </w:rPr>
      </w:pPr>
    </w:p>
    <w:p w:rsidR="006C08D5" w:rsidRPr="007E1101" w:rsidRDefault="006C08D5" w:rsidP="006C08D5">
      <w:pPr>
        <w:rPr>
          <w:rFonts w:asciiTheme="minorHAnsi" w:hAnsiTheme="minorHAnsi" w:cstheme="minorHAnsi"/>
          <w:highlight w:val="yellow"/>
        </w:rPr>
      </w:pPr>
    </w:p>
    <w:p w:rsidR="006C08D5" w:rsidRPr="00AB0D19" w:rsidRDefault="006C08D5" w:rsidP="006C08D5">
      <w:pPr>
        <w:pStyle w:val="Heading2"/>
        <w:rPr>
          <w:rFonts w:asciiTheme="minorHAnsi" w:hAnsiTheme="minorHAnsi" w:cstheme="minorHAnsi"/>
        </w:rPr>
      </w:pPr>
      <w:bookmarkStart w:id="19" w:name="_Toc56589728"/>
      <w:r w:rsidRPr="00AB0D19">
        <w:rPr>
          <w:rFonts w:asciiTheme="minorHAnsi" w:hAnsiTheme="minorHAnsi" w:cstheme="minorHAnsi"/>
        </w:rPr>
        <w:lastRenderedPageBreak/>
        <w:t>Prihodi i rashodi</w:t>
      </w:r>
      <w:bookmarkEnd w:id="19"/>
      <w:r w:rsidRPr="00AB0D19">
        <w:rPr>
          <w:rFonts w:asciiTheme="minorHAnsi" w:hAnsiTheme="minorHAnsi" w:cstheme="minorHAnsi"/>
        </w:rPr>
        <w:t xml:space="preserve"> </w:t>
      </w:r>
    </w:p>
    <w:p w:rsidR="006C08D5" w:rsidRDefault="006C08D5" w:rsidP="006C08D5">
      <w:pPr>
        <w:rPr>
          <w:rFonts w:asciiTheme="minorHAnsi" w:hAnsiTheme="minorHAnsi" w:cstheme="minorHAnsi"/>
        </w:rPr>
      </w:pPr>
      <w:r w:rsidRPr="00581E8C">
        <w:rPr>
          <w:rFonts w:asciiTheme="minorHAnsi" w:hAnsiTheme="minorHAnsi" w:cstheme="minorHAnsi"/>
        </w:rPr>
        <w:t>Kao i prethodnih godina, RUE je dobio obrazac budžeta za popunjavanje Srednjoročnog okvira rashoda, dokument koji je izradila Vlada Republike Kosovo. Ova vrsta srednjoročnog budžetskog planiranja uvek je bila i nastavlja da bude neprikladna za RUE zbog specifičnih zahteva RUE. Kao što smo mnogo puta kazali u prošlosti, ovaj format može biti prikladan za vladu Republike Kosovo, ali ne i za RUE. Planirani budžet RUE, prema Srednjoročnom okviru rashoda, teško je sastaviti, i u tom smislu, prema budžetskim ograničenjima koja je pripremilo MF, pripremili smo podatke prema zahtevima Vlade.</w:t>
      </w:r>
    </w:p>
    <w:p w:rsidR="006C08D5" w:rsidRPr="007E1101" w:rsidRDefault="006C08D5" w:rsidP="006C08D5">
      <w:pPr>
        <w:rPr>
          <w:rFonts w:asciiTheme="minorHAnsi" w:hAnsiTheme="minorHAnsi" w:cstheme="minorHAnsi"/>
          <w:highlight w:val="yellow"/>
        </w:rPr>
      </w:pPr>
      <w:r w:rsidRPr="00581E8C">
        <w:rPr>
          <w:rFonts w:asciiTheme="minorHAnsi" w:hAnsiTheme="minorHAnsi" w:cstheme="minorHAnsi"/>
        </w:rPr>
        <w:t>Tabela u nastavku predstavlja trendove procene prema Srednjoročnom okviru rashoda za godine 2020-2022.</w:t>
      </w:r>
    </w:p>
    <w:tbl>
      <w:tblPr>
        <w:tblStyle w:val="TableClassic3"/>
        <w:tblW w:w="0" w:type="auto"/>
        <w:tblLook w:val="04A0"/>
      </w:tblPr>
      <w:tblGrid>
        <w:gridCol w:w="2278"/>
        <w:gridCol w:w="2255"/>
        <w:gridCol w:w="2255"/>
        <w:gridCol w:w="2255"/>
      </w:tblGrid>
      <w:tr w:rsidR="006C08D5" w:rsidRPr="007E1101" w:rsidTr="009F4DFE">
        <w:trPr>
          <w:cnfStyle w:val="100000000000"/>
        </w:trPr>
        <w:tc>
          <w:tcPr>
            <w:cnfStyle w:val="001000000000"/>
            <w:tcW w:w="2278" w:type="dxa"/>
          </w:tcPr>
          <w:p w:rsidR="006C08D5" w:rsidRPr="007E1101" w:rsidRDefault="006C08D5" w:rsidP="009F4DFE">
            <w:pPr>
              <w:rPr>
                <w:rFonts w:asciiTheme="minorHAnsi" w:hAnsiTheme="minorHAnsi" w:cstheme="minorHAnsi"/>
                <w:highlight w:val="yellow"/>
              </w:rPr>
            </w:pPr>
          </w:p>
        </w:tc>
        <w:tc>
          <w:tcPr>
            <w:tcW w:w="2255" w:type="dxa"/>
          </w:tcPr>
          <w:p w:rsidR="006C08D5" w:rsidRPr="00AB0D19" w:rsidRDefault="006C08D5" w:rsidP="009F4DFE">
            <w:pPr>
              <w:jc w:val="center"/>
              <w:cnfStyle w:val="100000000000"/>
              <w:rPr>
                <w:rFonts w:asciiTheme="minorHAnsi" w:hAnsiTheme="minorHAnsi" w:cstheme="minorHAnsi"/>
              </w:rPr>
            </w:pPr>
            <w:r>
              <w:rPr>
                <w:rFonts w:asciiTheme="minorHAnsi" w:hAnsiTheme="minorHAnsi" w:cstheme="minorHAnsi"/>
              </w:rPr>
              <w:t>Godina</w:t>
            </w:r>
            <w:r w:rsidRPr="00AB0D19">
              <w:rPr>
                <w:rFonts w:asciiTheme="minorHAnsi" w:hAnsiTheme="minorHAnsi" w:cstheme="minorHAnsi"/>
              </w:rPr>
              <w:t xml:space="preserve"> 2020</w:t>
            </w:r>
          </w:p>
        </w:tc>
        <w:tc>
          <w:tcPr>
            <w:tcW w:w="2255" w:type="dxa"/>
          </w:tcPr>
          <w:p w:rsidR="006C08D5" w:rsidRPr="00AB0D19" w:rsidRDefault="006C08D5" w:rsidP="009F4DFE">
            <w:pPr>
              <w:jc w:val="center"/>
              <w:cnfStyle w:val="100000000000"/>
              <w:rPr>
                <w:rFonts w:asciiTheme="minorHAnsi" w:hAnsiTheme="minorHAnsi" w:cstheme="minorHAnsi"/>
              </w:rPr>
            </w:pPr>
            <w:r>
              <w:rPr>
                <w:rFonts w:asciiTheme="minorHAnsi" w:hAnsiTheme="minorHAnsi" w:cstheme="minorHAnsi"/>
              </w:rPr>
              <w:t>Godina</w:t>
            </w:r>
            <w:r w:rsidRPr="00AB0D19">
              <w:rPr>
                <w:rFonts w:asciiTheme="minorHAnsi" w:hAnsiTheme="minorHAnsi" w:cstheme="minorHAnsi"/>
              </w:rPr>
              <w:t xml:space="preserve"> 2021</w:t>
            </w:r>
          </w:p>
        </w:tc>
        <w:tc>
          <w:tcPr>
            <w:tcW w:w="2255" w:type="dxa"/>
          </w:tcPr>
          <w:p w:rsidR="006C08D5" w:rsidRPr="00AB0D19" w:rsidRDefault="006C08D5" w:rsidP="009F4DFE">
            <w:pPr>
              <w:jc w:val="center"/>
              <w:cnfStyle w:val="100000000000"/>
              <w:rPr>
                <w:rFonts w:asciiTheme="minorHAnsi" w:hAnsiTheme="minorHAnsi" w:cstheme="minorHAnsi"/>
              </w:rPr>
            </w:pPr>
            <w:r>
              <w:rPr>
                <w:rFonts w:asciiTheme="minorHAnsi" w:hAnsiTheme="minorHAnsi" w:cstheme="minorHAnsi"/>
              </w:rPr>
              <w:t>Godina</w:t>
            </w:r>
            <w:r w:rsidRPr="00AB0D19">
              <w:rPr>
                <w:rFonts w:asciiTheme="minorHAnsi" w:hAnsiTheme="minorHAnsi" w:cstheme="minorHAnsi"/>
              </w:rPr>
              <w:t xml:space="preserve"> 2022</w:t>
            </w:r>
          </w:p>
        </w:tc>
      </w:tr>
      <w:tr w:rsidR="006C08D5" w:rsidRPr="007E1101" w:rsidTr="009F4DFE">
        <w:tc>
          <w:tcPr>
            <w:cnfStyle w:val="001000000000"/>
            <w:tcW w:w="2278" w:type="dxa"/>
          </w:tcPr>
          <w:p w:rsidR="006C08D5" w:rsidRPr="00AB0D19" w:rsidRDefault="006C08D5" w:rsidP="009F4DFE">
            <w:pPr>
              <w:rPr>
                <w:rFonts w:asciiTheme="minorHAnsi" w:hAnsiTheme="minorHAnsi" w:cstheme="minorHAnsi"/>
              </w:rPr>
            </w:pPr>
            <w:r w:rsidRPr="00AB0D19">
              <w:rPr>
                <w:rFonts w:asciiTheme="minorHAnsi" w:hAnsiTheme="minorHAnsi" w:cstheme="minorHAnsi"/>
              </w:rPr>
              <w:t>Ukupno</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883,206</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895,802</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898,411</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Br. Radnika</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33</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33</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33</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Plate i naknade</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519,206</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521,802</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524,411</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Robe i usluge</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270,000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270,000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270,000</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Komunalni izdaci</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22,000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22,000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22,000</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Subvencije i transferi</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Kapitalni izdaci</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72,000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82,000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82,000</w:t>
            </w:r>
          </w:p>
        </w:tc>
      </w:tr>
      <w:tr w:rsidR="006C08D5" w:rsidRPr="007E1101" w:rsidTr="009F4DFE">
        <w:tc>
          <w:tcPr>
            <w:cnfStyle w:val="001000000000"/>
            <w:tcW w:w="2278" w:type="dxa"/>
            <w:vAlign w:val="center"/>
          </w:tcPr>
          <w:p w:rsidR="006C08D5" w:rsidRPr="00AB0D19" w:rsidRDefault="006C08D5" w:rsidP="009F4DFE">
            <w:pPr>
              <w:rPr>
                <w:rFonts w:asciiTheme="minorHAnsi" w:eastAsia="Times New Roman" w:hAnsiTheme="minorHAnsi" w:cstheme="minorHAnsi"/>
                <w:bCs w:val="0"/>
              </w:rPr>
            </w:pPr>
            <w:r w:rsidRPr="00AB0D19">
              <w:rPr>
                <w:rFonts w:asciiTheme="minorHAnsi" w:eastAsia="Times New Roman" w:hAnsiTheme="minorHAnsi" w:cstheme="minorHAnsi"/>
              </w:rPr>
              <w:t>Izvori finansiranja</w:t>
            </w:r>
          </w:p>
        </w:tc>
        <w:tc>
          <w:tcPr>
            <w:tcW w:w="2255" w:type="dxa"/>
          </w:tcPr>
          <w:p w:rsidR="006C08D5" w:rsidRPr="00AB0D19" w:rsidRDefault="006C08D5" w:rsidP="009F4DFE">
            <w:pPr>
              <w:cnfStyle w:val="000000000000"/>
              <w:rPr>
                <w:rFonts w:asciiTheme="minorHAnsi" w:hAnsiTheme="minorHAnsi" w:cstheme="minorHAnsi"/>
              </w:rPr>
            </w:pPr>
          </w:p>
        </w:tc>
        <w:tc>
          <w:tcPr>
            <w:tcW w:w="2255" w:type="dxa"/>
          </w:tcPr>
          <w:p w:rsidR="006C08D5" w:rsidRPr="00AB0D19" w:rsidRDefault="006C08D5" w:rsidP="009F4DFE">
            <w:pPr>
              <w:cnfStyle w:val="000000000000"/>
              <w:rPr>
                <w:rFonts w:asciiTheme="minorHAnsi" w:hAnsiTheme="minorHAnsi" w:cstheme="minorHAnsi"/>
              </w:rPr>
            </w:pPr>
          </w:p>
        </w:tc>
        <w:tc>
          <w:tcPr>
            <w:tcW w:w="2255" w:type="dxa"/>
          </w:tcPr>
          <w:p w:rsidR="006C08D5" w:rsidRPr="00AB0D19" w:rsidRDefault="006C08D5" w:rsidP="009F4DFE">
            <w:pPr>
              <w:cnfStyle w:val="000000000000"/>
              <w:rPr>
                <w:rFonts w:asciiTheme="minorHAnsi" w:hAnsiTheme="minorHAnsi" w:cstheme="minorHAnsi"/>
              </w:rPr>
            </w:pP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Državne dotacije</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rPr>
            </w:pPr>
            <w:r w:rsidRPr="00AB0D19">
              <w:rPr>
                <w:rFonts w:asciiTheme="minorHAnsi" w:eastAsia="Times New Roman" w:hAnsiTheme="minorHAnsi" w:cstheme="minorHAnsi"/>
              </w:rPr>
              <w:t>Sopstveni prihodi</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883,206</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895,802</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b/>
                <w:color w:val="000000"/>
              </w:rPr>
            </w:pPr>
            <w:r w:rsidRPr="00AB0D19">
              <w:rPr>
                <w:rFonts w:asciiTheme="minorHAnsi" w:eastAsia="Times New Roman" w:hAnsiTheme="minorHAnsi" w:cstheme="minorHAnsi"/>
                <w:b/>
                <w:color w:val="000000"/>
              </w:rPr>
              <w:t>898,411</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Zaduživanje finansiranja</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r>
      <w:tr w:rsidR="006C08D5" w:rsidRPr="007E1101" w:rsidTr="009F4DFE">
        <w:tc>
          <w:tcPr>
            <w:cnfStyle w:val="001000000000"/>
            <w:tcW w:w="2278" w:type="dxa"/>
            <w:vAlign w:val="bottom"/>
          </w:tcPr>
          <w:p w:rsidR="006C08D5" w:rsidRPr="00AB0D19" w:rsidRDefault="006C08D5" w:rsidP="009F4DFE">
            <w:pPr>
              <w:rPr>
                <w:rFonts w:asciiTheme="minorHAnsi" w:eastAsia="Times New Roman" w:hAnsiTheme="minorHAnsi" w:cstheme="minorHAnsi"/>
                <w:b w:val="0"/>
              </w:rPr>
            </w:pPr>
            <w:r w:rsidRPr="00AB0D19">
              <w:rPr>
                <w:rFonts w:asciiTheme="minorHAnsi" w:eastAsia="Times New Roman" w:hAnsiTheme="minorHAnsi" w:cstheme="minorHAnsi"/>
                <w:b w:val="0"/>
              </w:rPr>
              <w:t>Grantovi donatora</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c>
          <w:tcPr>
            <w:tcW w:w="2255" w:type="dxa"/>
            <w:vAlign w:val="bottom"/>
          </w:tcPr>
          <w:p w:rsidR="006C08D5" w:rsidRPr="00AB0D19" w:rsidRDefault="006C08D5" w:rsidP="009F4DFE">
            <w:pPr>
              <w:jc w:val="center"/>
              <w:cnfStyle w:val="000000000000"/>
              <w:rPr>
                <w:rFonts w:asciiTheme="minorHAnsi" w:eastAsia="Times New Roman" w:hAnsiTheme="minorHAnsi" w:cstheme="minorHAnsi"/>
                <w:color w:val="000000"/>
              </w:rPr>
            </w:pPr>
            <w:r w:rsidRPr="00AB0D19">
              <w:rPr>
                <w:rFonts w:asciiTheme="minorHAnsi" w:eastAsia="Times New Roman" w:hAnsiTheme="minorHAnsi" w:cstheme="minorHAnsi"/>
                <w:color w:val="000000"/>
              </w:rPr>
              <w:t>0.00</w:t>
            </w:r>
          </w:p>
        </w:tc>
      </w:tr>
    </w:tbl>
    <w:p w:rsidR="006C08D5" w:rsidRPr="007E1101" w:rsidRDefault="006C08D5" w:rsidP="006C08D5">
      <w:pPr>
        <w:rPr>
          <w:rFonts w:asciiTheme="minorHAnsi" w:hAnsiTheme="minorHAnsi" w:cstheme="minorHAnsi"/>
          <w:highlight w:val="yellow"/>
        </w:rPr>
      </w:pPr>
    </w:p>
    <w:p w:rsidR="006C08D5" w:rsidRPr="007E1101" w:rsidRDefault="006C08D5" w:rsidP="006C08D5">
      <w:pPr>
        <w:rPr>
          <w:rFonts w:asciiTheme="minorHAnsi" w:hAnsiTheme="minorHAnsi" w:cstheme="minorHAnsi"/>
          <w:highlight w:val="yellow"/>
        </w:rPr>
      </w:pPr>
      <w:r w:rsidRPr="00AB0D19">
        <w:rPr>
          <w:rFonts w:asciiTheme="minorHAnsi" w:hAnsiTheme="minorHAnsi" w:cstheme="minorHAnsi"/>
        </w:rPr>
        <w:t>Prema važećem zakonodavstvu, RUE ima pravo da prikuplja prihode samo za svoje potrebe, bez naplate kupaca dodatnim porezima, ako to nije neophodno za potrebe njegovog nesmetanog rada. Ako RUE tokom fiskalne godine ne uspe da potroši prihode koje je prikupio korisnik licence, RUE mora da prenese i odobri za potrošnju čitav nepotrošeni bilans svojih namenskih prihoda u narednoj fiskalnoj godini, a nikako ove prihode treba uplatiti u budžet Republike Kosovo</w:t>
      </w:r>
      <w:r>
        <w:rPr>
          <w:rFonts w:asciiTheme="minorHAnsi" w:hAnsiTheme="minorHAnsi" w:cstheme="minorHAnsi"/>
        </w:rPr>
        <w:t>.</w:t>
      </w:r>
      <w:r w:rsidRPr="007E1101">
        <w:rPr>
          <w:rFonts w:asciiTheme="minorHAnsi" w:hAnsiTheme="minorHAnsi" w:cstheme="minorHAnsi"/>
          <w:highlight w:val="yellow"/>
        </w:rPr>
        <w:t xml:space="preserve"> </w:t>
      </w:r>
    </w:p>
    <w:p w:rsidR="006C08D5" w:rsidRPr="007E1101" w:rsidRDefault="006C08D5" w:rsidP="006C08D5">
      <w:pPr>
        <w:rPr>
          <w:rFonts w:asciiTheme="minorHAnsi" w:hAnsiTheme="minorHAnsi" w:cstheme="minorHAnsi"/>
          <w:highlight w:val="yellow"/>
        </w:rPr>
      </w:pPr>
    </w:p>
    <w:p w:rsidR="006C08D5" w:rsidRPr="00AB0D19" w:rsidRDefault="006C08D5" w:rsidP="006C08D5">
      <w:pPr>
        <w:pStyle w:val="Heading2"/>
        <w:rPr>
          <w:rFonts w:asciiTheme="minorHAnsi" w:hAnsiTheme="minorHAnsi" w:cstheme="minorHAnsi"/>
        </w:rPr>
      </w:pPr>
      <w:bookmarkStart w:id="20" w:name="_Toc56589729"/>
      <w:r w:rsidRPr="00AB0D19">
        <w:rPr>
          <w:rFonts w:asciiTheme="minorHAnsi" w:hAnsiTheme="minorHAnsi" w:cstheme="minorHAnsi"/>
        </w:rPr>
        <w:lastRenderedPageBreak/>
        <w:t>Donacije</w:t>
      </w:r>
      <w:bookmarkEnd w:id="20"/>
    </w:p>
    <w:p w:rsidR="006C08D5" w:rsidRPr="00AB0D19" w:rsidRDefault="006C08D5" w:rsidP="006C08D5">
      <w:pPr>
        <w:rPr>
          <w:rFonts w:asciiTheme="minorHAnsi" w:hAnsiTheme="minorHAnsi" w:cstheme="minorHAnsi"/>
        </w:rPr>
      </w:pPr>
      <w:r w:rsidRPr="00AB0D19">
        <w:rPr>
          <w:rFonts w:asciiTheme="minorHAnsi" w:hAnsiTheme="minorHAnsi" w:cstheme="minorHAnsi"/>
        </w:rPr>
        <w:t>RUE je uživao snažnu donatorsku podršku, uglavnom u pružanju pomoći i konsultantskih usluga i izgradnji profesionalnih kapaciteta RUE, ispunjavanju svojih dužnosti i izvršavanju regulatornih odgovornosti. Ova podrška treba da se nastavi uzimajući u obzir finansijske poteškoće koje će RUE možda imati kako bi dobio tehničku podršku u određenim aktivnostima vezanim za transformaciju energetskog tržišta, kao što je integracija regionalnog tržišta, a posebno integracija kosovskog tržišta sa albanskim tržištem, kao jednim od glavnih prioriteta RUE.</w:t>
      </w:r>
    </w:p>
    <w:p w:rsidR="001217F0" w:rsidRPr="005524CC" w:rsidRDefault="006C08D5" w:rsidP="006C08D5">
      <w:pPr>
        <w:rPr>
          <w:rFonts w:asciiTheme="minorHAnsi" w:hAnsiTheme="minorHAnsi" w:cstheme="minorHAnsi"/>
        </w:rPr>
      </w:pPr>
      <w:r w:rsidRPr="00AB0D19">
        <w:rPr>
          <w:rFonts w:asciiTheme="minorHAnsi" w:hAnsiTheme="minorHAnsi" w:cstheme="minorHAnsi"/>
        </w:rPr>
        <w:t>Ovaj plan može se izmeniti i ažurirati u skladu sa postupcima na snazi za njegovo odobravanje</w:t>
      </w:r>
      <w:r w:rsidR="001217F0" w:rsidRPr="005524CC">
        <w:rPr>
          <w:rFonts w:asciiTheme="minorHAnsi" w:hAnsiTheme="minorHAnsi" w:cstheme="minorHAnsi"/>
        </w:rPr>
        <w:t>.</w:t>
      </w:r>
    </w:p>
    <w:p w:rsidR="001217F0" w:rsidRPr="005524CC" w:rsidRDefault="001217F0" w:rsidP="001217F0">
      <w:pPr>
        <w:rPr>
          <w:rFonts w:asciiTheme="minorHAnsi" w:hAnsiTheme="minorHAnsi" w:cstheme="minorHAnsi"/>
        </w:rPr>
      </w:pPr>
    </w:p>
    <w:p w:rsidR="00B52D85" w:rsidRPr="005524CC" w:rsidRDefault="00B52D85" w:rsidP="001217F0">
      <w:pPr>
        <w:rPr>
          <w:rFonts w:asciiTheme="minorHAnsi" w:hAnsiTheme="minorHAnsi" w:cstheme="minorHAnsi"/>
        </w:rPr>
      </w:pPr>
    </w:p>
    <w:p w:rsidR="007D5BF5" w:rsidRPr="005524CC" w:rsidRDefault="007D5BF5" w:rsidP="001217F0">
      <w:pPr>
        <w:rPr>
          <w:rFonts w:asciiTheme="minorHAnsi" w:hAnsiTheme="minorHAnsi" w:cstheme="minorHAnsi"/>
        </w:rPr>
      </w:pPr>
    </w:p>
    <w:p w:rsidR="007D5BF5" w:rsidRPr="005524CC" w:rsidRDefault="007D5BF5" w:rsidP="001217F0">
      <w:pPr>
        <w:rPr>
          <w:rFonts w:asciiTheme="minorHAnsi" w:hAnsiTheme="minorHAnsi" w:cstheme="minorHAnsi"/>
        </w:rPr>
      </w:pPr>
    </w:p>
    <w:p w:rsidR="007D5BF5" w:rsidRPr="005524CC" w:rsidRDefault="007D5BF5" w:rsidP="001217F0">
      <w:pPr>
        <w:rPr>
          <w:rFonts w:asciiTheme="minorHAnsi" w:hAnsiTheme="minorHAnsi" w:cstheme="minorHAnsi"/>
        </w:rPr>
      </w:pPr>
    </w:p>
    <w:p w:rsidR="001B13C7" w:rsidRPr="005524CC" w:rsidRDefault="001B13C7" w:rsidP="001217F0">
      <w:pPr>
        <w:rPr>
          <w:rFonts w:asciiTheme="minorHAnsi" w:hAnsiTheme="minorHAnsi" w:cstheme="minorHAnsi"/>
        </w:rPr>
      </w:pPr>
    </w:p>
    <w:p w:rsidR="001B13C7" w:rsidRPr="005524CC" w:rsidRDefault="001B13C7" w:rsidP="001217F0">
      <w:pPr>
        <w:rPr>
          <w:rFonts w:asciiTheme="minorHAnsi" w:hAnsiTheme="minorHAnsi" w:cstheme="minorHAnsi"/>
        </w:rPr>
      </w:pPr>
    </w:p>
    <w:p w:rsidR="001B13C7" w:rsidRPr="005524CC" w:rsidRDefault="001B13C7" w:rsidP="001217F0">
      <w:pPr>
        <w:rPr>
          <w:rFonts w:asciiTheme="minorHAnsi" w:hAnsiTheme="minorHAnsi" w:cstheme="minorHAnsi"/>
        </w:rPr>
      </w:pPr>
    </w:p>
    <w:p w:rsidR="001B13C7" w:rsidRPr="005524CC" w:rsidRDefault="001B13C7" w:rsidP="001217F0">
      <w:pPr>
        <w:rPr>
          <w:rFonts w:asciiTheme="minorHAnsi" w:hAnsiTheme="minorHAnsi" w:cstheme="minorHAnsi"/>
        </w:rPr>
      </w:pPr>
    </w:p>
    <w:p w:rsidR="001B13C7" w:rsidRDefault="001B13C7"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Default="00610F63" w:rsidP="001217F0">
      <w:pPr>
        <w:rPr>
          <w:rFonts w:asciiTheme="minorHAnsi" w:hAnsiTheme="minorHAnsi" w:cstheme="minorHAnsi"/>
        </w:rPr>
      </w:pPr>
    </w:p>
    <w:p w:rsidR="00610F63" w:rsidRPr="005524CC" w:rsidRDefault="00610F63" w:rsidP="001217F0">
      <w:pPr>
        <w:rPr>
          <w:rFonts w:asciiTheme="minorHAnsi" w:hAnsiTheme="minorHAnsi" w:cstheme="minorHAnsi"/>
        </w:rPr>
      </w:pPr>
    </w:p>
    <w:p w:rsidR="001B13C7" w:rsidRPr="005524CC" w:rsidRDefault="001B13C7" w:rsidP="001217F0">
      <w:pPr>
        <w:rPr>
          <w:rFonts w:asciiTheme="minorHAnsi" w:hAnsiTheme="minorHAnsi" w:cstheme="minorHAnsi"/>
        </w:rPr>
      </w:pPr>
    </w:p>
    <w:p w:rsidR="00CE4AE3" w:rsidRPr="00A12516" w:rsidRDefault="00CE4AE3" w:rsidP="00CE4AE3">
      <w:pPr>
        <w:pStyle w:val="Heading1"/>
        <w:rPr>
          <w:rFonts w:asciiTheme="minorHAnsi" w:hAnsiTheme="minorHAnsi" w:cstheme="minorHAnsi"/>
        </w:rPr>
      </w:pPr>
      <w:bookmarkStart w:id="21" w:name="_Toc56589730"/>
      <w:r>
        <w:rPr>
          <w:rFonts w:asciiTheme="minorHAnsi" w:hAnsiTheme="minorHAnsi" w:cstheme="minorHAnsi"/>
        </w:rPr>
        <w:lastRenderedPageBreak/>
        <w:t>Do</w:t>
      </w:r>
      <w:r>
        <w:rPr>
          <w:rFonts w:asciiTheme="minorHAnsi" w:hAnsiTheme="minorHAnsi" w:cstheme="minorHAnsi"/>
          <w:lang w:val="sr-Latn-BA"/>
        </w:rPr>
        <w:t xml:space="preserve">datak </w:t>
      </w:r>
      <w:r w:rsidRPr="00A12516">
        <w:rPr>
          <w:rFonts w:asciiTheme="minorHAnsi" w:hAnsiTheme="minorHAnsi" w:cstheme="minorHAnsi"/>
        </w:rPr>
        <w:t xml:space="preserve">I </w:t>
      </w:r>
      <w:r>
        <w:rPr>
          <w:rFonts w:asciiTheme="minorHAnsi" w:hAnsiTheme="minorHAnsi" w:cstheme="minorHAnsi"/>
        </w:rPr>
        <w:t xml:space="preserve">- </w:t>
      </w:r>
      <w:r w:rsidRPr="00A12516">
        <w:rPr>
          <w:rFonts w:asciiTheme="minorHAnsi" w:hAnsiTheme="minorHAnsi" w:cstheme="minorHAnsi"/>
        </w:rPr>
        <w:t xml:space="preserve">Plan </w:t>
      </w:r>
      <w:r>
        <w:rPr>
          <w:rFonts w:asciiTheme="minorHAnsi" w:hAnsiTheme="minorHAnsi" w:cstheme="minorHAnsi"/>
        </w:rPr>
        <w:t>performase</w:t>
      </w:r>
      <w:bookmarkEnd w:id="21"/>
      <w:r w:rsidRPr="00A12516">
        <w:rPr>
          <w:rFonts w:asciiTheme="minorHAnsi" w:hAnsiTheme="minorHAnsi" w:cstheme="minorHAnsi"/>
        </w:rPr>
        <w:t xml:space="preserve"> </w:t>
      </w:r>
    </w:p>
    <w:tbl>
      <w:tblPr>
        <w:tblStyle w:val="LightGrid-Accent11"/>
        <w:tblW w:w="0" w:type="auto"/>
        <w:tblLook w:val="04A0"/>
      </w:tblPr>
      <w:tblGrid>
        <w:gridCol w:w="805"/>
        <w:gridCol w:w="2292"/>
        <w:gridCol w:w="3235"/>
        <w:gridCol w:w="2721"/>
      </w:tblGrid>
      <w:tr w:rsidR="00CE4AE3" w:rsidRPr="00A12516" w:rsidTr="00BD1F00">
        <w:trPr>
          <w:cnfStyle w:val="100000000000"/>
          <w:trHeight w:val="645"/>
        </w:trPr>
        <w:tc>
          <w:tcPr>
            <w:cnfStyle w:val="001000000000"/>
            <w:tcW w:w="805" w:type="dxa"/>
          </w:tcPr>
          <w:p w:rsidR="00CE4AE3" w:rsidRPr="00A12516" w:rsidRDefault="00CE4AE3" w:rsidP="00BD1F00">
            <w:pPr>
              <w:rPr>
                <w:rFonts w:asciiTheme="minorHAnsi" w:hAnsiTheme="minorHAnsi" w:cstheme="minorHAnsi"/>
                <w:bCs w:val="0"/>
                <w:sz w:val="24"/>
              </w:rPr>
            </w:pPr>
            <w:r w:rsidRPr="00A12516">
              <w:rPr>
                <w:rFonts w:asciiTheme="minorHAnsi" w:hAnsiTheme="minorHAnsi" w:cstheme="minorHAnsi"/>
                <w:bCs w:val="0"/>
                <w:sz w:val="24"/>
              </w:rPr>
              <w:t>Ref</w:t>
            </w:r>
          </w:p>
        </w:tc>
        <w:tc>
          <w:tcPr>
            <w:tcW w:w="2292" w:type="dxa"/>
          </w:tcPr>
          <w:p w:rsidR="00CE4AE3" w:rsidRPr="00A12516" w:rsidRDefault="00CE4AE3" w:rsidP="00BD1F00">
            <w:pPr>
              <w:cnfStyle w:val="100000000000"/>
              <w:rPr>
                <w:rFonts w:asciiTheme="minorHAnsi" w:hAnsiTheme="minorHAnsi" w:cstheme="minorHAnsi"/>
                <w:bCs w:val="0"/>
                <w:sz w:val="24"/>
              </w:rPr>
            </w:pPr>
            <w:r>
              <w:rPr>
                <w:rFonts w:asciiTheme="minorHAnsi" w:hAnsiTheme="minorHAnsi" w:cstheme="minorHAnsi"/>
                <w:bCs w:val="0"/>
                <w:sz w:val="24"/>
              </w:rPr>
              <w:t>Zadatak</w:t>
            </w:r>
          </w:p>
          <w:p w:rsidR="00CE4AE3" w:rsidRPr="00A12516" w:rsidRDefault="00CE4AE3" w:rsidP="00BD1F00">
            <w:pPr>
              <w:cnfStyle w:val="100000000000"/>
              <w:rPr>
                <w:rFonts w:asciiTheme="minorHAnsi" w:hAnsiTheme="minorHAnsi" w:cstheme="minorHAnsi"/>
                <w:bCs w:val="0"/>
                <w:sz w:val="24"/>
              </w:rPr>
            </w:pPr>
          </w:p>
        </w:tc>
        <w:tc>
          <w:tcPr>
            <w:tcW w:w="3235" w:type="dxa"/>
          </w:tcPr>
          <w:p w:rsidR="00CE4AE3" w:rsidRPr="00A12516" w:rsidRDefault="00CE4AE3" w:rsidP="00BD1F00">
            <w:pPr>
              <w:cnfStyle w:val="100000000000"/>
              <w:rPr>
                <w:rFonts w:asciiTheme="minorHAnsi" w:hAnsiTheme="minorHAnsi" w:cstheme="minorHAnsi"/>
                <w:bCs w:val="0"/>
                <w:sz w:val="24"/>
              </w:rPr>
            </w:pPr>
            <w:r>
              <w:rPr>
                <w:rFonts w:asciiTheme="minorHAnsi" w:hAnsiTheme="minorHAnsi" w:cstheme="minorHAnsi"/>
                <w:bCs w:val="0"/>
                <w:sz w:val="24"/>
              </w:rPr>
              <w:t>Cilj</w:t>
            </w:r>
          </w:p>
        </w:tc>
        <w:tc>
          <w:tcPr>
            <w:tcW w:w="2721" w:type="dxa"/>
          </w:tcPr>
          <w:p w:rsidR="00CE4AE3" w:rsidRPr="00A12516" w:rsidRDefault="00CE4AE3" w:rsidP="00BD1F00">
            <w:pPr>
              <w:cnfStyle w:val="100000000000"/>
              <w:rPr>
                <w:rFonts w:asciiTheme="minorHAnsi" w:hAnsiTheme="minorHAnsi" w:cstheme="minorHAnsi"/>
                <w:bCs w:val="0"/>
                <w:sz w:val="24"/>
              </w:rPr>
            </w:pPr>
            <w:r w:rsidRPr="00485DE0">
              <w:rPr>
                <w:rFonts w:asciiTheme="minorHAnsi" w:hAnsiTheme="minorHAnsi" w:cstheme="minorHAnsi"/>
                <w:bCs w:val="0"/>
                <w:sz w:val="24"/>
              </w:rPr>
              <w:t>Datum ispunjenja</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sidRPr="00A12516">
              <w:rPr>
                <w:rFonts w:asciiTheme="minorHAnsi" w:hAnsiTheme="minorHAnsi" w:cstheme="minorHAnsi"/>
                <w:b w:val="0"/>
                <w:sz w:val="24"/>
              </w:rPr>
              <w:t>1</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485DE0">
              <w:rPr>
                <w:rFonts w:asciiTheme="minorHAnsi" w:hAnsiTheme="minorHAnsi" w:cstheme="minorHAnsi"/>
                <w:sz w:val="24"/>
              </w:rPr>
              <w:t>Procena konkurencije</w:t>
            </w:r>
          </w:p>
        </w:tc>
        <w:tc>
          <w:tcPr>
            <w:tcW w:w="3235" w:type="dxa"/>
          </w:tcPr>
          <w:p w:rsidR="00CE4AE3" w:rsidRPr="00A12516" w:rsidRDefault="00CE4AE3" w:rsidP="00BD1F00">
            <w:pPr>
              <w:spacing w:line="312" w:lineRule="auto"/>
              <w:jc w:val="left"/>
              <w:cnfStyle w:val="000000100000"/>
              <w:rPr>
                <w:rFonts w:asciiTheme="minorHAnsi" w:hAnsiTheme="minorHAnsi" w:cstheme="minorHAnsi"/>
                <w:b/>
                <w:color w:val="365F91" w:themeColor="accent1" w:themeShade="BF"/>
              </w:rPr>
            </w:pPr>
            <w:r w:rsidRPr="00485DE0">
              <w:rPr>
                <w:rFonts w:asciiTheme="minorHAnsi" w:hAnsiTheme="minorHAnsi" w:cstheme="minorHAnsi"/>
                <w:sz w:val="24"/>
              </w:rPr>
              <w:t xml:space="preserve">To je procena za razvijanje mera koje se trebaju preduzeti </w:t>
            </w:r>
            <w:r>
              <w:rPr>
                <w:rFonts w:asciiTheme="minorHAnsi" w:hAnsiTheme="minorHAnsi" w:cstheme="minorHAnsi"/>
                <w:sz w:val="24"/>
              </w:rPr>
              <w:t>kako</w:t>
            </w:r>
            <w:r w:rsidRPr="00485DE0">
              <w:rPr>
                <w:rFonts w:asciiTheme="minorHAnsi" w:hAnsiTheme="minorHAnsi" w:cstheme="minorHAnsi"/>
                <w:sz w:val="24"/>
              </w:rPr>
              <w:t xml:space="preserve"> bi se podstakla efikasna konkurencija, a naročito utvrditi da li treba omogućiti kapacitete za proizvodnju električne energije drugih dobavljača kako bi mogli da obezbede efikasnu konkurenciju. Ovaj izveštaj će predstaviti nalaze RUE o tome da li postoji efikasna konkurencija u snabdevanju ili ne. </w:t>
            </w:r>
            <w:r>
              <w:rPr>
                <w:rFonts w:asciiTheme="minorHAnsi" w:hAnsiTheme="minorHAnsi" w:cstheme="minorHAnsi"/>
                <w:sz w:val="24"/>
              </w:rPr>
              <w:t>Biće ovo</w:t>
            </w:r>
            <w:r w:rsidRPr="00485DE0">
              <w:rPr>
                <w:rFonts w:asciiTheme="minorHAnsi" w:hAnsiTheme="minorHAnsi" w:cstheme="minorHAnsi"/>
                <w:sz w:val="24"/>
              </w:rPr>
              <w:t xml:space="preserve"> treća procena RUE za efikasnu konkurenciju na tržištu električne energije</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485DE0">
              <w:rPr>
                <w:rFonts w:asciiTheme="minorHAnsi" w:hAnsiTheme="minorHAnsi" w:cstheme="minorHAnsi"/>
                <w:sz w:val="24"/>
              </w:rPr>
              <w:t>Konačni izveštaj biće objavljen u</w:t>
            </w:r>
            <w:r>
              <w:rPr>
                <w:rFonts w:asciiTheme="minorHAnsi" w:hAnsiTheme="minorHAnsi" w:cstheme="minorHAnsi"/>
                <w:sz w:val="24"/>
              </w:rPr>
              <w:t xml:space="preserve"> TM1</w:t>
            </w:r>
            <w:r w:rsidRPr="00A12516">
              <w:rPr>
                <w:rFonts w:asciiTheme="minorHAnsi" w:hAnsiTheme="minorHAnsi" w:cstheme="minorHAnsi"/>
                <w:sz w:val="24"/>
              </w:rPr>
              <w:t>.</w:t>
            </w:r>
          </w:p>
          <w:p w:rsidR="00CE4AE3" w:rsidRPr="00A12516" w:rsidRDefault="00CE4AE3" w:rsidP="00BD1F00">
            <w:pPr>
              <w:spacing w:line="312" w:lineRule="auto"/>
              <w:jc w:val="left"/>
              <w:cnfStyle w:val="000000100000"/>
              <w:rPr>
                <w:rFonts w:asciiTheme="minorHAnsi" w:hAnsiTheme="minorHAnsi" w:cstheme="minorHAnsi"/>
                <w:b/>
                <w:sz w:val="24"/>
              </w:rPr>
            </w:pP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Pr>
                <w:rFonts w:asciiTheme="minorHAnsi" w:hAnsiTheme="minorHAnsi" w:cstheme="minorHAnsi"/>
                <w:b w:val="0"/>
                <w:sz w:val="24"/>
              </w:rPr>
              <w:t>2</w:t>
            </w:r>
          </w:p>
        </w:tc>
        <w:tc>
          <w:tcPr>
            <w:tcW w:w="2292" w:type="dxa"/>
          </w:tcPr>
          <w:p w:rsidR="00CE4AE3" w:rsidRPr="00A12516" w:rsidRDefault="00CE4AE3" w:rsidP="00BD1F00">
            <w:pPr>
              <w:spacing w:line="312" w:lineRule="auto"/>
              <w:cnfStyle w:val="000000010000"/>
              <w:rPr>
                <w:rFonts w:asciiTheme="minorHAnsi" w:hAnsiTheme="minorHAnsi" w:cstheme="minorHAnsi"/>
                <w:sz w:val="24"/>
              </w:rPr>
            </w:pPr>
            <w:r w:rsidRPr="00485DE0">
              <w:rPr>
                <w:rFonts w:asciiTheme="minorHAnsi" w:hAnsiTheme="minorHAnsi" w:cstheme="minorHAnsi"/>
                <w:sz w:val="24"/>
              </w:rPr>
              <w:t>Uspostavljanje obaveze javne službe</w:t>
            </w:r>
          </w:p>
        </w:tc>
        <w:tc>
          <w:tcPr>
            <w:tcW w:w="3235" w:type="dxa"/>
          </w:tcPr>
          <w:p w:rsidR="00CE4AE3" w:rsidRPr="00485DE0" w:rsidRDefault="00CE4AE3" w:rsidP="00BD1F00">
            <w:pPr>
              <w:spacing w:after="120" w:line="240" w:lineRule="auto"/>
              <w:jc w:val="left"/>
              <w:outlineLvl w:val="0"/>
              <w:cnfStyle w:val="000000010000"/>
              <w:rPr>
                <w:rFonts w:asciiTheme="minorHAnsi" w:hAnsiTheme="minorHAnsi" w:cstheme="minorHAnsi"/>
                <w:sz w:val="24"/>
              </w:rPr>
            </w:pPr>
            <w:bookmarkStart w:id="22" w:name="_Toc56584491"/>
            <w:bookmarkStart w:id="23" w:name="_Toc56589731"/>
            <w:r w:rsidRPr="00485DE0">
              <w:rPr>
                <w:rFonts w:asciiTheme="minorHAnsi" w:hAnsiTheme="minorHAnsi" w:cstheme="minorHAnsi"/>
                <w:sz w:val="24"/>
              </w:rPr>
              <w:t>Odbor Regulatornog ureda za energiju odlukom V_916_2017, uspostavio je obavezu javne službe za KESCO na period od 3 (tri) godine, počev od 01. aprila 2019. do 31. marta 2020. godine.</w:t>
            </w:r>
            <w:bookmarkEnd w:id="22"/>
            <w:bookmarkEnd w:id="23"/>
          </w:p>
          <w:p w:rsidR="00CE4AE3" w:rsidRPr="00A12516" w:rsidRDefault="00CE4AE3" w:rsidP="00BD1F00">
            <w:pPr>
              <w:spacing w:line="312" w:lineRule="auto"/>
              <w:jc w:val="left"/>
              <w:cnfStyle w:val="000000010000"/>
              <w:rPr>
                <w:rFonts w:asciiTheme="minorHAnsi" w:hAnsiTheme="minorHAnsi" w:cstheme="minorHAnsi"/>
                <w:sz w:val="24"/>
              </w:rPr>
            </w:pPr>
            <w:r w:rsidRPr="00485DE0">
              <w:rPr>
                <w:rFonts w:asciiTheme="minorHAnsi" w:hAnsiTheme="minorHAnsi" w:cstheme="minorHAnsi"/>
                <w:sz w:val="24"/>
              </w:rPr>
              <w:t xml:space="preserve">Uslovi za utvrđivanje obaveze javne službe definisani su članom 5. Zakona o električnoj energiji. Na osnovu izveštaja o proceni konkurencije, Odbor RUE mora da odluči o nametanju obaveze javnog </w:t>
            </w:r>
            <w:r w:rsidRPr="00485DE0">
              <w:rPr>
                <w:rFonts w:asciiTheme="minorHAnsi" w:hAnsiTheme="minorHAnsi" w:cstheme="minorHAnsi"/>
                <w:sz w:val="24"/>
              </w:rPr>
              <w:lastRenderedPageBreak/>
              <w:t>servisa u naredne tri godine.</w:t>
            </w:r>
          </w:p>
        </w:tc>
        <w:tc>
          <w:tcPr>
            <w:tcW w:w="2721" w:type="dxa"/>
          </w:tcPr>
          <w:p w:rsidR="00CE4AE3" w:rsidRPr="00A12516" w:rsidRDefault="00CE4AE3" w:rsidP="00BD1F00">
            <w:pPr>
              <w:spacing w:line="312" w:lineRule="auto"/>
              <w:jc w:val="left"/>
              <w:cnfStyle w:val="000000010000"/>
              <w:rPr>
                <w:rFonts w:asciiTheme="minorHAnsi" w:hAnsiTheme="minorHAnsi" w:cstheme="minorHAnsi"/>
                <w:sz w:val="24"/>
              </w:rPr>
            </w:pPr>
            <w:r w:rsidRPr="00485DE0">
              <w:rPr>
                <w:rFonts w:asciiTheme="minorHAnsi" w:hAnsiTheme="minorHAnsi" w:cstheme="minorHAnsi"/>
                <w:sz w:val="24"/>
              </w:rPr>
              <w:lastRenderedPageBreak/>
              <w:t>Odluka odbora RUE da nametne obavezu javne službe mora se doneti u</w:t>
            </w:r>
            <w:r>
              <w:rPr>
                <w:rFonts w:asciiTheme="minorHAnsi" w:hAnsiTheme="minorHAnsi" w:cstheme="minorHAnsi"/>
                <w:sz w:val="24"/>
              </w:rPr>
              <w:t xml:space="preserve"> TM1.</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Pr>
                <w:rFonts w:asciiTheme="minorHAnsi" w:hAnsiTheme="minorHAnsi" w:cstheme="minorHAnsi"/>
                <w:b w:val="0"/>
                <w:sz w:val="24"/>
              </w:rPr>
              <w:lastRenderedPageBreak/>
              <w:t>3</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485DE0">
              <w:rPr>
                <w:rFonts w:asciiTheme="minorHAnsi" w:hAnsiTheme="minorHAnsi" w:cstheme="minorHAnsi"/>
                <w:sz w:val="24"/>
              </w:rPr>
              <w:t>Metodologija sigurnosti snabdevanja</w:t>
            </w:r>
          </w:p>
        </w:tc>
        <w:tc>
          <w:tcPr>
            <w:tcW w:w="3235" w:type="dxa"/>
          </w:tcPr>
          <w:p w:rsidR="00CE4AE3" w:rsidRPr="00A12516" w:rsidRDefault="00CE4AE3" w:rsidP="00BD1F00">
            <w:pPr>
              <w:spacing w:line="312" w:lineRule="auto"/>
              <w:jc w:val="left"/>
              <w:cnfStyle w:val="000000100000"/>
              <w:rPr>
                <w:rFonts w:asciiTheme="minorHAnsi" w:hAnsiTheme="minorHAnsi" w:cstheme="minorHAnsi"/>
                <w:sz w:val="24"/>
              </w:rPr>
            </w:pPr>
            <w:r w:rsidRPr="00485DE0">
              <w:rPr>
                <w:rFonts w:asciiTheme="minorHAnsi" w:hAnsiTheme="minorHAnsi" w:cstheme="minorHAnsi"/>
              </w:rPr>
              <w:t>Cilj Regulatora je da primeni najbolje prakse koje se koriste u Evropi u donošenju svojih procena i da povremeno pregleda ovu metodologiju u skladu sa najboljom praksom. Metodologija procene sigurnosti snabdevanja (SS) ima za cilj da uspostavi (i) principe koji će se primenjivati u određivanju i merenju SS; (II) Odgovornosti strana za primenu ovih principa; i (iii) predviđanje podataka za obračunavanje nivoa SS koji se očekuje na Kosovu u periodu od pet do petnaest godina predviđenih zakonom.</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485DE0">
              <w:rPr>
                <w:rFonts w:asciiTheme="minorHAnsi" w:hAnsiTheme="minorHAnsi" w:cstheme="minorHAnsi"/>
                <w:sz w:val="24"/>
              </w:rPr>
              <w:t>Metodologiju sigurnosti snabdevanja mora odobriti odbor RUE na</w:t>
            </w:r>
            <w:r>
              <w:rPr>
                <w:rFonts w:asciiTheme="minorHAnsi" w:hAnsiTheme="minorHAnsi" w:cstheme="minorHAnsi"/>
                <w:sz w:val="24"/>
              </w:rPr>
              <w:t xml:space="preserve"> TM1</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Pr>
                <w:rFonts w:asciiTheme="minorHAnsi" w:hAnsiTheme="minorHAnsi" w:cstheme="minorHAnsi"/>
                <w:b w:val="0"/>
                <w:sz w:val="24"/>
              </w:rPr>
              <w:t>4</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485DE0">
              <w:rPr>
                <w:rFonts w:asciiTheme="minorHAnsi" w:hAnsiTheme="minorHAnsi" w:cstheme="minorHAnsi"/>
              </w:rPr>
              <w:t>Nadgledanje sigurnosti snabdevanja i priprema izveštaja, (Izjava) o bezbednosti snabdevanja na Kosovu</w:t>
            </w:r>
          </w:p>
        </w:tc>
        <w:tc>
          <w:tcPr>
            <w:tcW w:w="3235" w:type="dxa"/>
          </w:tcPr>
          <w:p w:rsidR="00CE4AE3" w:rsidRDefault="00CE4AE3" w:rsidP="00BD1F00">
            <w:pPr>
              <w:spacing w:line="312" w:lineRule="auto"/>
              <w:jc w:val="left"/>
              <w:cnfStyle w:val="000000010000"/>
              <w:rPr>
                <w:rFonts w:asciiTheme="minorHAnsi" w:hAnsiTheme="minorHAnsi" w:cstheme="minorHAnsi"/>
                <w:sz w:val="24"/>
              </w:rPr>
            </w:pPr>
            <w:r w:rsidRPr="00485DE0">
              <w:rPr>
                <w:rFonts w:asciiTheme="minorHAnsi" w:hAnsiTheme="minorHAnsi" w:cstheme="minorHAnsi"/>
                <w:sz w:val="24"/>
              </w:rPr>
              <w:t>U skladu sa članom 42. stav 3. Zakona o energetskom regulatoru, regulator objavljuje detaljan izveštaj o praćenju sigurnosti snabdevanja svake dve godine, najkasnije do 31. jula.</w:t>
            </w:r>
          </w:p>
          <w:p w:rsidR="00CE4AE3" w:rsidRPr="00A12516" w:rsidRDefault="00CE4AE3" w:rsidP="00BD1F00">
            <w:pPr>
              <w:spacing w:line="312" w:lineRule="auto"/>
              <w:jc w:val="left"/>
              <w:cnfStyle w:val="000000010000"/>
              <w:rPr>
                <w:rFonts w:asciiTheme="minorHAnsi" w:hAnsiTheme="minorHAnsi" w:cstheme="minorHAnsi"/>
              </w:rPr>
            </w:pPr>
            <w:r w:rsidRPr="00485DE0">
              <w:rPr>
                <w:rFonts w:asciiTheme="minorHAnsi" w:hAnsiTheme="minorHAnsi" w:cstheme="minorHAnsi"/>
                <w:sz w:val="24"/>
              </w:rPr>
              <w:t xml:space="preserve">Efikasno funkcionisanje sektora električne energije i potreba za investicijama, posebno u proizvodnji, zahtevaju restrukturiranje sektora i liberalizaciju tržišta, ali i jačanje konkurencije. Da bi se postigli takvi ciljevi, preduzet je niz mera, uključujući promene u energetskom zakonodavstvu, i </w:t>
            </w:r>
            <w:r w:rsidRPr="00485DE0">
              <w:rPr>
                <w:rFonts w:asciiTheme="minorHAnsi" w:hAnsiTheme="minorHAnsi" w:cstheme="minorHAnsi"/>
                <w:sz w:val="24"/>
              </w:rPr>
              <w:lastRenderedPageBreak/>
              <w:t>dalju harmonizaciju sekundarnog zakonodavstva, usvajanje različitih dokumenata, uključujući „Vodič za liberalizaciju tržišta Kosova“. Ovi dokumenti, kao i aktivnosti dodate njihovoj primeni, utvrdiće neophodne mere za trgovinske aranžmane, kako bi se osiguralo privlačenje domaćih i stranih investicija, koje će služiti razvoju elektroenergetskog sektora na Kosovu.</w:t>
            </w:r>
          </w:p>
        </w:tc>
        <w:tc>
          <w:tcPr>
            <w:tcW w:w="2721" w:type="dxa"/>
          </w:tcPr>
          <w:p w:rsidR="00CE4AE3" w:rsidRPr="00A12516" w:rsidRDefault="00CE4AE3" w:rsidP="00BD1F00">
            <w:pPr>
              <w:spacing w:line="312" w:lineRule="auto"/>
              <w:jc w:val="left"/>
              <w:cnfStyle w:val="000000010000"/>
              <w:rPr>
                <w:rFonts w:asciiTheme="minorHAnsi" w:hAnsiTheme="minorHAnsi" w:cstheme="minorHAnsi"/>
              </w:rPr>
            </w:pPr>
            <w:r w:rsidRPr="00485DE0">
              <w:rPr>
                <w:rFonts w:asciiTheme="minorHAnsi" w:hAnsiTheme="minorHAnsi" w:cstheme="minorHAnsi"/>
              </w:rPr>
              <w:lastRenderedPageBreak/>
              <w:t xml:space="preserve">Izjava o sigurnosti snabdevanja na Kosovu (električna energija, prirodni gas i nafta) biće objavljena </w:t>
            </w:r>
            <w:r>
              <w:rPr>
                <w:rFonts w:asciiTheme="minorHAnsi" w:hAnsiTheme="minorHAnsi" w:cstheme="minorHAnsi"/>
              </w:rPr>
              <w:t>TM2/TM3</w:t>
            </w:r>
          </w:p>
          <w:p w:rsidR="00CE4AE3" w:rsidRPr="00A12516" w:rsidRDefault="00CE4AE3" w:rsidP="00BD1F00">
            <w:pPr>
              <w:spacing w:line="312" w:lineRule="auto"/>
              <w:jc w:val="left"/>
              <w:cnfStyle w:val="000000010000"/>
              <w:rPr>
                <w:rFonts w:asciiTheme="minorHAnsi" w:hAnsiTheme="minorHAnsi" w:cstheme="minorHAnsi"/>
                <w:b/>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lastRenderedPageBreak/>
              <w:t>5</w:t>
            </w:r>
          </w:p>
        </w:tc>
        <w:tc>
          <w:tcPr>
            <w:tcW w:w="2292" w:type="dxa"/>
          </w:tcPr>
          <w:p w:rsidR="00CE4AE3" w:rsidRPr="00A12516" w:rsidRDefault="00CE4AE3" w:rsidP="00BD1F00">
            <w:pPr>
              <w:spacing w:line="312" w:lineRule="auto"/>
              <w:jc w:val="left"/>
              <w:cnfStyle w:val="000000100000"/>
              <w:rPr>
                <w:rFonts w:asciiTheme="minorHAnsi" w:hAnsiTheme="minorHAnsi" w:cstheme="minorHAnsi"/>
                <w:sz w:val="24"/>
              </w:rPr>
            </w:pPr>
            <w:r w:rsidRPr="00C377BA">
              <w:rPr>
                <w:rFonts w:asciiTheme="minorHAnsi" w:hAnsiTheme="minorHAnsi" w:cstheme="minorHAnsi"/>
                <w:sz w:val="24"/>
              </w:rPr>
              <w:t>Odabrani zagarantovani dobavljač</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C377BA">
              <w:rPr>
                <w:rFonts w:asciiTheme="minorHAnsi" w:hAnsiTheme="minorHAnsi" w:cstheme="minorHAnsi"/>
              </w:rPr>
              <w:t>RUE je odobrio detaljna pravila o zaštiti potrošača. Izbor garantovanog dobavljača mora se izvršiti putem tenderske procedure.</w:t>
            </w:r>
          </w:p>
        </w:tc>
        <w:tc>
          <w:tcPr>
            <w:tcW w:w="2721" w:type="dxa"/>
          </w:tcPr>
          <w:p w:rsidR="00CE4AE3" w:rsidRPr="00A12516" w:rsidRDefault="00CE4AE3" w:rsidP="00BD1F00">
            <w:pPr>
              <w:spacing w:line="312" w:lineRule="auto"/>
              <w:jc w:val="left"/>
              <w:cnfStyle w:val="000000100000"/>
              <w:rPr>
                <w:rFonts w:asciiTheme="minorHAnsi" w:hAnsiTheme="minorHAnsi" w:cstheme="minorHAnsi"/>
                <w:b/>
                <w:sz w:val="24"/>
              </w:rPr>
            </w:pPr>
            <w:r w:rsidRPr="00C377BA">
              <w:rPr>
                <w:rFonts w:asciiTheme="minorHAnsi" w:hAnsiTheme="minorHAnsi" w:cstheme="minorHAnsi"/>
              </w:rPr>
              <w:t xml:space="preserve">Tenderske procedure i konačna odluka Odbora RUE za izbor garantovanog dobavljača moraju biti dovršeni u </w:t>
            </w:r>
            <w:r w:rsidRPr="008F6F5D">
              <w:rPr>
                <w:rFonts w:asciiTheme="minorHAnsi" w:hAnsiTheme="minorHAnsi" w:cstheme="minorHAnsi"/>
              </w:rPr>
              <w:t>TM4</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t>6</w:t>
            </w:r>
          </w:p>
        </w:tc>
        <w:tc>
          <w:tcPr>
            <w:tcW w:w="2292" w:type="dxa"/>
          </w:tcPr>
          <w:p w:rsidR="00CE4AE3" w:rsidRPr="00A12516" w:rsidRDefault="00CE4AE3" w:rsidP="00BD1F00">
            <w:pPr>
              <w:spacing w:line="312" w:lineRule="auto"/>
              <w:cnfStyle w:val="000000010000"/>
              <w:rPr>
                <w:rFonts w:asciiTheme="minorHAnsi" w:hAnsiTheme="minorHAnsi" w:cstheme="minorHAnsi"/>
                <w:sz w:val="24"/>
              </w:rPr>
            </w:pPr>
            <w:r w:rsidRPr="00C377BA">
              <w:rPr>
                <w:rFonts w:asciiTheme="minorHAnsi" w:hAnsiTheme="minorHAnsi" w:cstheme="minorHAnsi"/>
              </w:rPr>
              <w:t>Monitoring energetskih preduzeća</w:t>
            </w:r>
          </w:p>
        </w:tc>
        <w:tc>
          <w:tcPr>
            <w:tcW w:w="3235" w:type="dxa"/>
          </w:tcPr>
          <w:p w:rsidR="00CE4AE3" w:rsidRPr="00C377BA"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RUE će nadgledati energetske kompanije u zemlji u skladu sa Programom praćenja. Monitoring će uključivati, ali nije ograničen na, sledeće:</w:t>
            </w:r>
          </w:p>
          <w:p w:rsidR="00CE4AE3" w:rsidRPr="00C377BA"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 prikupljanje relevantnih podataka i informacija;</w:t>
            </w:r>
          </w:p>
          <w:p w:rsidR="00CE4AE3" w:rsidRPr="00C377BA"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 Analizu i verifikaciju podataka za ostvarenje operativnih troškova, kapitalnih troškova (investicija) i prihoda;</w:t>
            </w:r>
          </w:p>
          <w:p w:rsidR="00CE4AE3" w:rsidRPr="00C377BA"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 xml:space="preserve">- Procenu i verifikaciju </w:t>
            </w:r>
            <w:r w:rsidRPr="00C377BA">
              <w:rPr>
                <w:rFonts w:asciiTheme="minorHAnsi" w:hAnsiTheme="minorHAnsi" w:cstheme="minorHAnsi"/>
                <w:sz w:val="24"/>
              </w:rPr>
              <w:lastRenderedPageBreak/>
              <w:t>realizacije proizvodnih parametara i snabdevanja energijom, kao i gubitaka u odgovarajućim mrežama;</w:t>
            </w:r>
          </w:p>
          <w:p w:rsidR="00CE4AE3" w:rsidRPr="00C377BA"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 Praćenje ispunjenosti uslova licence i poštovanja relevantnih odredbi o licenciranju;</w:t>
            </w:r>
          </w:p>
          <w:p w:rsidR="00CE4AE3" w:rsidRPr="00A12516" w:rsidRDefault="00CE4AE3" w:rsidP="00BD1F00">
            <w:pPr>
              <w:spacing w:line="312" w:lineRule="auto"/>
              <w:jc w:val="left"/>
              <w:cnfStyle w:val="000000010000"/>
              <w:rPr>
                <w:rFonts w:asciiTheme="minorHAnsi" w:hAnsiTheme="minorHAnsi" w:cstheme="minorHAnsi"/>
                <w:sz w:val="24"/>
              </w:rPr>
            </w:pPr>
            <w:r w:rsidRPr="00C377BA">
              <w:rPr>
                <w:rFonts w:asciiTheme="minorHAnsi" w:hAnsiTheme="minorHAnsi" w:cstheme="minorHAnsi"/>
                <w:sz w:val="24"/>
              </w:rPr>
              <w:t>- Nadgledanje primene pravila, uputstava i odluka izdatih od strane RUE</w:t>
            </w:r>
            <w:r w:rsidRPr="00A12516">
              <w:rPr>
                <w:rFonts w:asciiTheme="minorHAnsi" w:hAnsiTheme="minorHAnsi" w:cstheme="minorHAnsi"/>
              </w:rPr>
              <w:t>.</w:t>
            </w:r>
          </w:p>
        </w:tc>
        <w:tc>
          <w:tcPr>
            <w:tcW w:w="2721" w:type="dxa"/>
          </w:tcPr>
          <w:p w:rsidR="00CE4AE3" w:rsidRPr="00A12516" w:rsidRDefault="00CE4AE3" w:rsidP="00BD1F00">
            <w:pPr>
              <w:spacing w:line="312" w:lineRule="auto"/>
              <w:jc w:val="left"/>
              <w:cnfStyle w:val="000000010000"/>
              <w:rPr>
                <w:rFonts w:asciiTheme="minorHAnsi" w:hAnsiTheme="minorHAnsi" w:cstheme="minorHAnsi"/>
              </w:rPr>
            </w:pPr>
            <w:r w:rsidRPr="00C377BA">
              <w:rPr>
                <w:rFonts w:asciiTheme="minorHAnsi" w:hAnsiTheme="minorHAnsi" w:cstheme="minorHAnsi"/>
              </w:rPr>
              <w:lastRenderedPageBreak/>
              <w:t>Priprema odgovarajućih izveštaja o monitoringu na godišnjem nivou predstavljaju se odboru RUE na odobrenje u</w:t>
            </w:r>
            <w:r>
              <w:rPr>
                <w:rFonts w:asciiTheme="minorHAnsi" w:hAnsiTheme="minorHAnsi" w:cstheme="minorHAnsi"/>
              </w:rPr>
              <w:t xml:space="preserve"> TM3 i TM4</w:t>
            </w:r>
            <w:r w:rsidRPr="00A12516">
              <w:rPr>
                <w:rFonts w:asciiTheme="minorHAnsi" w:hAnsiTheme="minorHAnsi" w:cstheme="minorHAnsi"/>
              </w:rPr>
              <w:t xml:space="preserve">  </w:t>
            </w:r>
          </w:p>
          <w:p w:rsidR="00CE4AE3" w:rsidRPr="00A12516" w:rsidRDefault="00CE4AE3" w:rsidP="00BD1F00">
            <w:pPr>
              <w:spacing w:line="312" w:lineRule="auto"/>
              <w:jc w:val="left"/>
              <w:cnfStyle w:val="000000010000"/>
              <w:rPr>
                <w:rFonts w:asciiTheme="minorHAnsi" w:hAnsiTheme="minorHAnsi" w:cstheme="minorHAnsi"/>
                <w:b/>
                <w:sz w:val="24"/>
              </w:rPr>
            </w:pPr>
            <w:r w:rsidRPr="00A12516">
              <w:rPr>
                <w:rFonts w:asciiTheme="minorHAnsi" w:hAnsiTheme="minorHAnsi" w:cstheme="minorHAnsi"/>
                <w:sz w:val="24"/>
              </w:rPr>
              <w:t xml:space="preserve"> </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lastRenderedPageBreak/>
              <w:t>7</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C377BA">
              <w:rPr>
                <w:rFonts w:asciiTheme="minorHAnsi" w:hAnsiTheme="minorHAnsi" w:cstheme="minorHAnsi"/>
                <w:sz w:val="24"/>
              </w:rPr>
              <w:t>Šema podrške OIE</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C377BA">
              <w:rPr>
                <w:rFonts w:asciiTheme="minorHAnsi" w:hAnsiTheme="minorHAnsi" w:cstheme="minorHAnsi"/>
              </w:rPr>
              <w:t>Pregled šeme podrške OIE za prelazak na konkurentne načine podrške</w:t>
            </w:r>
          </w:p>
        </w:tc>
        <w:tc>
          <w:tcPr>
            <w:tcW w:w="2721" w:type="dxa"/>
          </w:tcPr>
          <w:p w:rsidR="00CE4AE3" w:rsidRPr="00C61EF7" w:rsidRDefault="00CE4AE3" w:rsidP="00BD1F00">
            <w:pPr>
              <w:spacing w:line="312" w:lineRule="auto"/>
              <w:jc w:val="left"/>
              <w:cnfStyle w:val="000000100000"/>
              <w:rPr>
                <w:rFonts w:asciiTheme="minorHAnsi" w:hAnsiTheme="minorHAnsi" w:cstheme="minorHAnsi"/>
                <w:sz w:val="24"/>
              </w:rPr>
            </w:pPr>
            <w:r w:rsidRPr="00C61EF7">
              <w:rPr>
                <w:rFonts w:asciiTheme="minorHAnsi" w:hAnsiTheme="minorHAnsi" w:cstheme="minorHAnsi"/>
                <w:sz w:val="24"/>
              </w:rPr>
              <w:t xml:space="preserve"> </w:t>
            </w:r>
            <w:r w:rsidRPr="00C377BA">
              <w:rPr>
                <w:rFonts w:asciiTheme="minorHAnsi" w:hAnsiTheme="minorHAnsi" w:cstheme="minorHAnsi"/>
                <w:sz w:val="24"/>
              </w:rPr>
              <w:t>Šema će biti pregledana nakon izdavanja administrativnih uputstava od strane</w:t>
            </w:r>
            <w:r>
              <w:rPr>
                <w:rFonts w:asciiTheme="minorHAnsi" w:hAnsiTheme="minorHAnsi" w:cstheme="minorHAnsi"/>
                <w:sz w:val="24"/>
              </w:rPr>
              <w:t xml:space="preserve"> </w:t>
            </w:r>
            <w:r w:rsidRPr="00C61EF7">
              <w:rPr>
                <w:rFonts w:asciiTheme="minorHAnsi" w:hAnsiTheme="minorHAnsi" w:cstheme="minorHAnsi"/>
                <w:sz w:val="24"/>
              </w:rPr>
              <w:t>MEA</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t>8</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3350CC">
              <w:rPr>
                <w:rFonts w:asciiTheme="minorHAnsi" w:hAnsiTheme="minorHAnsi" w:cstheme="minorHAnsi"/>
                <w:sz w:val="24"/>
              </w:rPr>
              <w:t>Pravila za generator sopstvene potrošnje</w:t>
            </w:r>
            <w:r w:rsidRPr="00A12516">
              <w:rPr>
                <w:rFonts w:asciiTheme="minorHAnsi" w:hAnsiTheme="minorHAnsi" w:cstheme="minorHAnsi"/>
                <w:sz w:val="24"/>
              </w:rPr>
              <w:t>.</w:t>
            </w:r>
          </w:p>
        </w:tc>
        <w:tc>
          <w:tcPr>
            <w:tcW w:w="3235" w:type="dxa"/>
          </w:tcPr>
          <w:p w:rsidR="00CE4AE3" w:rsidRPr="003350CC" w:rsidRDefault="00CE4AE3" w:rsidP="00BD1F00">
            <w:pPr>
              <w:spacing w:line="312" w:lineRule="auto"/>
              <w:jc w:val="left"/>
              <w:cnfStyle w:val="000000010000"/>
              <w:rPr>
                <w:rFonts w:asciiTheme="minorHAnsi" w:hAnsiTheme="minorHAnsi" w:cstheme="minorHAnsi"/>
              </w:rPr>
            </w:pPr>
            <w:r w:rsidRPr="003350CC">
              <w:rPr>
                <w:rFonts w:asciiTheme="minorHAnsi" w:hAnsiTheme="minorHAnsi" w:cstheme="minorHAnsi"/>
              </w:rPr>
              <w:t>Pregled trenutne šeme podrške u odnosu na generatore vlastite potrošnje, što će biti pravilo odvojeno od trenutne šeme podrške.</w:t>
            </w:r>
          </w:p>
          <w:p w:rsidR="00CE4AE3" w:rsidRPr="00A12516" w:rsidRDefault="00CE4AE3" w:rsidP="00BD1F00">
            <w:pPr>
              <w:spacing w:line="312" w:lineRule="auto"/>
              <w:jc w:val="left"/>
              <w:cnfStyle w:val="000000010000"/>
              <w:rPr>
                <w:rFonts w:asciiTheme="minorHAnsi" w:hAnsiTheme="minorHAnsi" w:cstheme="minorHAnsi"/>
              </w:rPr>
            </w:pPr>
            <w:r w:rsidRPr="003350CC">
              <w:rPr>
                <w:rFonts w:asciiTheme="minorHAnsi" w:hAnsiTheme="minorHAnsi" w:cstheme="minorHAnsi"/>
              </w:rPr>
              <w:t>Svrha ovog pravila je da RUE odredi kako će se prema svim potrošačima koji se samopotrošavaju odnositi prema smernicama na snazi od strane ECS</w:t>
            </w:r>
            <w:r>
              <w:rPr>
                <w:rFonts w:asciiTheme="minorHAnsi" w:hAnsiTheme="minorHAnsi" w:cstheme="minorHAnsi"/>
              </w:rPr>
              <w:t>.</w:t>
            </w:r>
          </w:p>
        </w:tc>
        <w:tc>
          <w:tcPr>
            <w:tcW w:w="2721" w:type="dxa"/>
          </w:tcPr>
          <w:p w:rsidR="00CE4AE3" w:rsidRPr="00A86378" w:rsidRDefault="00CE4AE3" w:rsidP="00BD1F00">
            <w:pPr>
              <w:spacing w:line="312" w:lineRule="auto"/>
              <w:jc w:val="left"/>
              <w:cnfStyle w:val="000000010000"/>
              <w:rPr>
                <w:rFonts w:asciiTheme="minorHAnsi" w:hAnsiTheme="minorHAnsi" w:cstheme="minorHAnsi"/>
              </w:rPr>
            </w:pPr>
            <w:r w:rsidRPr="003350CC">
              <w:rPr>
                <w:rFonts w:asciiTheme="minorHAnsi" w:hAnsiTheme="minorHAnsi" w:cstheme="minorHAnsi"/>
              </w:rPr>
              <w:t xml:space="preserve">Pravilo će biti predstavljeno odboru RUE na odobrenje u </w:t>
            </w:r>
            <w:r w:rsidRPr="00A86378">
              <w:rPr>
                <w:rFonts w:asciiTheme="minorHAnsi" w:hAnsiTheme="minorHAnsi" w:cstheme="minorHAnsi"/>
              </w:rPr>
              <w:t>TM2</w:t>
            </w:r>
          </w:p>
          <w:p w:rsidR="00CE4AE3" w:rsidRPr="00A12516" w:rsidRDefault="00CE4AE3" w:rsidP="00BD1F00">
            <w:pPr>
              <w:spacing w:line="312" w:lineRule="auto"/>
              <w:jc w:val="left"/>
              <w:cnfStyle w:val="000000010000"/>
              <w:rPr>
                <w:rFonts w:asciiTheme="minorHAnsi" w:hAnsiTheme="minorHAnsi" w:cstheme="minorHAnsi"/>
                <w:b/>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9</w:t>
            </w:r>
          </w:p>
        </w:tc>
        <w:tc>
          <w:tcPr>
            <w:tcW w:w="2292" w:type="dxa"/>
          </w:tcPr>
          <w:p w:rsidR="00CE4AE3" w:rsidRPr="00A12516" w:rsidRDefault="00CE4AE3" w:rsidP="00BD1F00">
            <w:pPr>
              <w:spacing w:line="312" w:lineRule="auto"/>
              <w:jc w:val="left"/>
              <w:cnfStyle w:val="000000100000"/>
              <w:rPr>
                <w:rFonts w:asciiTheme="minorHAnsi" w:hAnsiTheme="minorHAnsi" w:cstheme="minorHAnsi"/>
                <w:sz w:val="24"/>
              </w:rPr>
            </w:pPr>
            <w:r w:rsidRPr="003350CC">
              <w:rPr>
                <w:rFonts w:asciiTheme="minorHAnsi" w:hAnsiTheme="minorHAnsi" w:cstheme="minorHAnsi"/>
                <w:sz w:val="24"/>
              </w:rPr>
              <w:t>Metodologija naknade za priključak</w:t>
            </w:r>
          </w:p>
        </w:tc>
        <w:tc>
          <w:tcPr>
            <w:tcW w:w="3235" w:type="dxa"/>
          </w:tcPr>
          <w:p w:rsidR="00CE4AE3" w:rsidRPr="00A12516" w:rsidRDefault="00CE4AE3" w:rsidP="00BD1F00">
            <w:pPr>
              <w:spacing w:line="312" w:lineRule="auto"/>
              <w:jc w:val="left"/>
              <w:cnfStyle w:val="000000100000"/>
              <w:rPr>
                <w:rFonts w:asciiTheme="minorHAnsi" w:hAnsiTheme="minorHAnsi" w:cstheme="minorHAnsi"/>
                <w:sz w:val="24"/>
                <w:lang w:eastAsia="ja-JP"/>
              </w:rPr>
            </w:pPr>
            <w:r w:rsidRPr="003350CC">
              <w:rPr>
                <w:rFonts w:asciiTheme="minorHAnsi" w:hAnsiTheme="minorHAnsi" w:cstheme="minorHAnsi"/>
              </w:rPr>
              <w:t xml:space="preserve">Svrha ove metodologije je da pruži sveobuhvatne procedure za korisnike i potencijalne korisnike distributivnog sistema koji zahtevaju nove veze ili modifikacije postojećih priključaka i pruži dovoljno informacija o naknadama za </w:t>
            </w:r>
            <w:r w:rsidRPr="003350CC">
              <w:rPr>
                <w:rFonts w:asciiTheme="minorHAnsi" w:hAnsiTheme="minorHAnsi" w:cstheme="minorHAnsi"/>
              </w:rPr>
              <w:lastRenderedPageBreak/>
              <w:t>priključenje koje se primenjuju na distributivni sistem</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3350CC">
              <w:rPr>
                <w:rFonts w:asciiTheme="minorHAnsi" w:hAnsiTheme="minorHAnsi" w:cstheme="minorHAnsi"/>
                <w:sz w:val="24"/>
              </w:rPr>
              <w:lastRenderedPageBreak/>
              <w:t>Očekuje se da će Odbor odobriti ovu metodologiju godine</w:t>
            </w:r>
            <w:r>
              <w:rPr>
                <w:rFonts w:asciiTheme="minorHAnsi" w:hAnsiTheme="minorHAnsi" w:cstheme="minorHAnsi"/>
                <w:sz w:val="24"/>
              </w:rPr>
              <w:t xml:space="preserve"> TM1</w:t>
            </w:r>
            <w:r w:rsidRPr="00A12516">
              <w:rPr>
                <w:rFonts w:asciiTheme="minorHAnsi" w:hAnsiTheme="minorHAnsi" w:cstheme="minorHAnsi"/>
                <w:sz w:val="24"/>
              </w:rPr>
              <w:t>.</w:t>
            </w:r>
          </w:p>
          <w:p w:rsidR="00CE4AE3" w:rsidRPr="00A12516" w:rsidRDefault="00CE4AE3" w:rsidP="00BD1F00">
            <w:pPr>
              <w:spacing w:line="312" w:lineRule="auto"/>
              <w:jc w:val="left"/>
              <w:cnfStyle w:val="000000100000"/>
              <w:rPr>
                <w:rFonts w:asciiTheme="minorHAnsi" w:hAnsiTheme="minorHAnsi" w:cstheme="minorHAnsi"/>
                <w:sz w:val="24"/>
              </w:rPr>
            </w:pP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10</w:t>
            </w:r>
          </w:p>
        </w:tc>
        <w:tc>
          <w:tcPr>
            <w:tcW w:w="2292" w:type="dxa"/>
          </w:tcPr>
          <w:p w:rsidR="00CE4AE3" w:rsidRPr="00A12516" w:rsidRDefault="00CE4AE3" w:rsidP="00BD1F00">
            <w:pPr>
              <w:spacing w:line="312" w:lineRule="auto"/>
              <w:jc w:val="left"/>
              <w:cnfStyle w:val="000000010000"/>
              <w:rPr>
                <w:rFonts w:asciiTheme="minorHAnsi" w:hAnsiTheme="minorHAnsi" w:cstheme="minorHAnsi"/>
                <w:bCs/>
                <w:sz w:val="24"/>
              </w:rPr>
            </w:pPr>
            <w:r w:rsidRPr="003350CC">
              <w:rPr>
                <w:rFonts w:asciiTheme="minorHAnsi" w:hAnsiTheme="minorHAnsi" w:cstheme="minorHAnsi"/>
                <w:bCs/>
                <w:sz w:val="24"/>
              </w:rPr>
              <w:t>Odobrenje električne i toplotne ravnoteže</w:t>
            </w:r>
          </w:p>
        </w:tc>
        <w:tc>
          <w:tcPr>
            <w:tcW w:w="3235" w:type="dxa"/>
          </w:tcPr>
          <w:p w:rsidR="00CE4AE3" w:rsidRPr="003350CC" w:rsidRDefault="00CE4AE3" w:rsidP="00BD1F00">
            <w:pPr>
              <w:spacing w:line="312" w:lineRule="auto"/>
              <w:jc w:val="left"/>
              <w:cnfStyle w:val="000000010000"/>
              <w:rPr>
                <w:rFonts w:asciiTheme="minorHAnsi" w:hAnsiTheme="minorHAnsi" w:cstheme="minorHAnsi"/>
                <w:bCs/>
                <w:sz w:val="24"/>
              </w:rPr>
            </w:pPr>
            <w:r w:rsidRPr="003350CC">
              <w:rPr>
                <w:rFonts w:asciiTheme="minorHAnsi" w:hAnsiTheme="minorHAnsi" w:cstheme="minorHAnsi"/>
                <w:bCs/>
                <w:sz w:val="24"/>
              </w:rPr>
              <w:t>U skladu sa zakonskim odgovornostima RUE za odobravanje dugoročnih i godišnjih bilansa električne i toplotne energije, aktivnosti će obuhvatiti:</w:t>
            </w:r>
          </w:p>
          <w:p w:rsidR="00CE4AE3" w:rsidRPr="00A12516" w:rsidRDefault="00CE4AE3" w:rsidP="00BD1F00">
            <w:pPr>
              <w:spacing w:line="312" w:lineRule="auto"/>
              <w:jc w:val="left"/>
              <w:cnfStyle w:val="000000010000"/>
              <w:rPr>
                <w:rFonts w:asciiTheme="minorHAnsi" w:hAnsiTheme="minorHAnsi" w:cstheme="minorHAnsi"/>
                <w:bCs/>
                <w:sz w:val="24"/>
              </w:rPr>
            </w:pPr>
            <w:r w:rsidRPr="003350CC">
              <w:rPr>
                <w:rFonts w:asciiTheme="minorHAnsi" w:hAnsiTheme="minorHAnsi" w:cstheme="minorHAnsi"/>
                <w:bCs/>
                <w:sz w:val="24"/>
              </w:rPr>
              <w:t>Pregled, komentare i finalizaciju bilansa električne i toplotne energije, kao i finalizaciju integrisanog (zajedničkog) bilansa električne i toplotne energije, za objavljivanje od strane RUE</w:t>
            </w:r>
            <w:r>
              <w:rPr>
                <w:rFonts w:asciiTheme="minorHAnsi" w:hAnsiTheme="minorHAnsi" w:cstheme="minorHAnsi"/>
                <w:bCs/>
                <w:sz w:val="24"/>
              </w:rPr>
              <w:t>.</w:t>
            </w:r>
          </w:p>
        </w:tc>
        <w:tc>
          <w:tcPr>
            <w:tcW w:w="2721" w:type="dxa"/>
          </w:tcPr>
          <w:p w:rsidR="00CE4AE3" w:rsidRPr="00A12516" w:rsidRDefault="00CE4AE3" w:rsidP="00BD1F00">
            <w:pPr>
              <w:spacing w:line="312" w:lineRule="auto"/>
              <w:jc w:val="left"/>
              <w:cnfStyle w:val="000000010000"/>
              <w:rPr>
                <w:rFonts w:asciiTheme="minorHAnsi" w:hAnsiTheme="minorHAnsi" w:cstheme="minorHAnsi"/>
                <w:bCs/>
                <w:sz w:val="24"/>
              </w:rPr>
            </w:pPr>
            <w:r w:rsidRPr="003350CC">
              <w:rPr>
                <w:rFonts w:asciiTheme="minorHAnsi" w:hAnsiTheme="minorHAnsi" w:cstheme="minorHAnsi"/>
                <w:bCs/>
                <w:sz w:val="24"/>
              </w:rPr>
              <w:t xml:space="preserve">Odobrenje od strane RUE-ovog odbora za električnu i toplotnu ravnotežu biće dato u </w:t>
            </w:r>
            <w:r>
              <w:rPr>
                <w:rFonts w:asciiTheme="minorHAnsi" w:hAnsiTheme="minorHAnsi" w:cstheme="minorHAnsi"/>
                <w:bCs/>
                <w:sz w:val="24"/>
              </w:rPr>
              <w:t>TM4</w:t>
            </w:r>
            <w:r w:rsidRPr="00A12516">
              <w:rPr>
                <w:rFonts w:asciiTheme="minorHAnsi" w:hAnsiTheme="minorHAnsi" w:cstheme="minorHAnsi"/>
                <w:bCs/>
                <w:sz w:val="24"/>
              </w:rPr>
              <w:t>.</w:t>
            </w:r>
          </w:p>
          <w:p w:rsidR="00CE4AE3" w:rsidRPr="00A12516" w:rsidRDefault="00CE4AE3" w:rsidP="00BD1F00">
            <w:pPr>
              <w:spacing w:line="312" w:lineRule="auto"/>
              <w:jc w:val="left"/>
              <w:cnfStyle w:val="000000010000"/>
              <w:rPr>
                <w:rFonts w:asciiTheme="minorHAnsi" w:hAnsiTheme="minorHAnsi" w:cstheme="minorHAnsi"/>
                <w:b/>
                <w:bCs/>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11</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Pr>
                <w:rFonts w:asciiTheme="minorHAnsi" w:hAnsiTheme="minorHAnsi" w:cstheme="minorHAnsi"/>
                <w:sz w:val="24"/>
              </w:rPr>
              <w:t>S</w:t>
            </w:r>
            <w:r w:rsidRPr="003350CC">
              <w:rPr>
                <w:rFonts w:asciiTheme="minorHAnsi" w:hAnsiTheme="minorHAnsi" w:cstheme="minorHAnsi"/>
                <w:sz w:val="24"/>
              </w:rPr>
              <w:t>ajber bezbednost</w:t>
            </w:r>
          </w:p>
        </w:tc>
        <w:tc>
          <w:tcPr>
            <w:tcW w:w="3235" w:type="dxa"/>
          </w:tcPr>
          <w:p w:rsidR="00CE4AE3" w:rsidRPr="00A12516" w:rsidRDefault="00CE4AE3" w:rsidP="00BD1F00">
            <w:pPr>
              <w:spacing w:line="312" w:lineRule="auto"/>
              <w:cnfStyle w:val="000000100000"/>
              <w:rPr>
                <w:rFonts w:asciiTheme="minorHAnsi" w:hAnsiTheme="minorHAnsi" w:cstheme="minorHAnsi"/>
              </w:rPr>
            </w:pPr>
            <w:r w:rsidRPr="003350CC">
              <w:rPr>
                <w:rFonts w:asciiTheme="minorHAnsi" w:hAnsiTheme="minorHAnsi" w:cstheme="minorHAnsi"/>
              </w:rPr>
              <w:t>Ažuriranje koncepta o sajber bezbednosti</w:t>
            </w:r>
          </w:p>
        </w:tc>
        <w:tc>
          <w:tcPr>
            <w:tcW w:w="2721" w:type="dxa"/>
          </w:tcPr>
          <w:p w:rsidR="00CE4AE3" w:rsidRPr="00A12516" w:rsidRDefault="00CE4AE3" w:rsidP="00BD1F00">
            <w:pPr>
              <w:spacing w:line="312" w:lineRule="auto"/>
              <w:jc w:val="left"/>
              <w:cnfStyle w:val="000000100000"/>
              <w:rPr>
                <w:rFonts w:asciiTheme="minorHAnsi" w:hAnsiTheme="minorHAnsi" w:cstheme="minorHAnsi"/>
                <w:b/>
                <w:sz w:val="24"/>
              </w:rPr>
            </w:pPr>
            <w:r w:rsidRPr="003350CC">
              <w:rPr>
                <w:rFonts w:asciiTheme="minorHAnsi" w:hAnsiTheme="minorHAnsi" w:cstheme="minorHAnsi"/>
                <w:sz w:val="24"/>
              </w:rPr>
              <w:t xml:space="preserve">Očekuje se da će ažuriranje biti završeno dana </w:t>
            </w:r>
            <w:r w:rsidRPr="002A5273">
              <w:rPr>
                <w:rFonts w:asciiTheme="minorHAnsi" w:hAnsiTheme="minorHAnsi" w:cstheme="minorHAnsi"/>
                <w:sz w:val="24"/>
              </w:rPr>
              <w:t>TM</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12</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3350CC">
              <w:rPr>
                <w:rFonts w:asciiTheme="minorHAnsi" w:hAnsiTheme="minorHAnsi" w:cstheme="minorHAnsi"/>
              </w:rPr>
              <w:t>Planovi razvoja energetskih preduzeća</w:t>
            </w:r>
          </w:p>
        </w:tc>
        <w:tc>
          <w:tcPr>
            <w:tcW w:w="3235" w:type="dxa"/>
          </w:tcPr>
          <w:p w:rsidR="00CE4AE3" w:rsidRPr="00E213F7" w:rsidRDefault="00CE4AE3" w:rsidP="00BD1F00">
            <w:pPr>
              <w:spacing w:line="312" w:lineRule="auto"/>
              <w:jc w:val="left"/>
              <w:cnfStyle w:val="000000010000"/>
              <w:rPr>
                <w:rFonts w:asciiTheme="minorHAnsi" w:hAnsiTheme="minorHAnsi" w:cstheme="minorHAnsi"/>
              </w:rPr>
            </w:pPr>
            <w:r w:rsidRPr="003350CC">
              <w:rPr>
                <w:rFonts w:asciiTheme="minorHAnsi" w:hAnsiTheme="minorHAnsi" w:cstheme="minorHAnsi"/>
              </w:rPr>
              <w:t xml:space="preserve">Operator prenosnog sistema električne energije, operator distributivnog sistema električne energije i operateri distribucije toplotne energije podnose RUE desetogodišnji plan za razvoj mreže zasnovan na trenutnoj potražnji i snabdevanju i predviđenog nakon konsultacija sa svim relevantnim akterima. RUE će pratiti proces konsultacija tokom procesa odobravanja dugoročnih planova razvoja mreže, uzimajući u obzir dokumente - strategije i planove - na nacionalnom i regionalnom </w:t>
            </w:r>
            <w:r w:rsidRPr="003350CC">
              <w:rPr>
                <w:rFonts w:asciiTheme="minorHAnsi" w:hAnsiTheme="minorHAnsi" w:cstheme="minorHAnsi"/>
              </w:rPr>
              <w:lastRenderedPageBreak/>
              <w:t>nivou</w:t>
            </w:r>
            <w:r w:rsidRPr="00A12516">
              <w:rPr>
                <w:rFonts w:asciiTheme="minorHAnsi" w:hAnsiTheme="minorHAnsi" w:cstheme="minorHAnsi"/>
                <w:sz w:val="24"/>
              </w:rPr>
              <w:t>.</w:t>
            </w:r>
          </w:p>
        </w:tc>
        <w:tc>
          <w:tcPr>
            <w:tcW w:w="2721" w:type="dxa"/>
          </w:tcPr>
          <w:p w:rsidR="00CE4AE3" w:rsidRPr="003350CC" w:rsidRDefault="00CE4AE3" w:rsidP="00BD1F00">
            <w:pPr>
              <w:spacing w:line="312" w:lineRule="auto"/>
              <w:jc w:val="left"/>
              <w:cnfStyle w:val="000000010000"/>
              <w:rPr>
                <w:rFonts w:asciiTheme="minorHAnsi" w:hAnsiTheme="minorHAnsi" w:cstheme="minorHAnsi"/>
              </w:rPr>
            </w:pPr>
            <w:r w:rsidRPr="003350CC">
              <w:rPr>
                <w:rFonts w:asciiTheme="minorHAnsi" w:hAnsiTheme="minorHAnsi" w:cstheme="minorHAnsi"/>
              </w:rPr>
              <w:lastRenderedPageBreak/>
              <w:t xml:space="preserve">Priprema za odobravanje razvojnih planova </w:t>
            </w:r>
            <w:r>
              <w:rPr>
                <w:rFonts w:asciiTheme="minorHAnsi" w:hAnsiTheme="minorHAnsi" w:cstheme="minorHAnsi"/>
              </w:rPr>
              <w:t>TM</w:t>
            </w:r>
            <w:r w:rsidRPr="003350CC">
              <w:rPr>
                <w:rFonts w:asciiTheme="minorHAnsi" w:hAnsiTheme="minorHAnsi" w:cstheme="minorHAnsi"/>
              </w:rPr>
              <w:t>4</w:t>
            </w:r>
          </w:p>
          <w:p w:rsidR="00CE4AE3" w:rsidRPr="00A12516" w:rsidRDefault="00CE4AE3" w:rsidP="00BD1F00">
            <w:pPr>
              <w:spacing w:line="312" w:lineRule="auto"/>
              <w:jc w:val="left"/>
              <w:cnfStyle w:val="000000010000"/>
              <w:rPr>
                <w:rFonts w:asciiTheme="minorHAnsi" w:hAnsiTheme="minorHAnsi" w:cstheme="minorHAnsi"/>
                <w:b/>
                <w:sz w:val="24"/>
              </w:rPr>
            </w:pPr>
            <w:r w:rsidRPr="003350CC">
              <w:rPr>
                <w:rFonts w:asciiTheme="minorHAnsi" w:hAnsiTheme="minorHAnsi" w:cstheme="minorHAnsi"/>
              </w:rPr>
              <w:t>Ažuriranje deset (10) godina, pet (5) godina razvojnih planova i odobravanje jednogodišnjeg (1) godišnjeg plana investicija na godišnjem nivou</w:t>
            </w:r>
            <w:r>
              <w:rPr>
                <w:rFonts w:asciiTheme="minorHAnsi" w:hAnsiTheme="minorHAnsi" w:cstheme="minorHAnsi"/>
              </w:rPr>
              <w:t xml:space="preserve"> TM4</w:t>
            </w:r>
            <w:r w:rsidRPr="00A12516">
              <w:rPr>
                <w:rFonts w:asciiTheme="minorHAnsi" w:hAnsiTheme="minorHAnsi" w:cstheme="minorHAnsi"/>
                <w:b/>
                <w:sz w:val="24"/>
              </w:rPr>
              <w:t xml:space="preserve"> </w:t>
            </w:r>
          </w:p>
          <w:p w:rsidR="00CE4AE3" w:rsidRPr="00A12516" w:rsidRDefault="00CE4AE3" w:rsidP="00BD1F00">
            <w:pPr>
              <w:spacing w:line="312" w:lineRule="auto"/>
              <w:jc w:val="left"/>
              <w:cnfStyle w:val="000000010000"/>
              <w:rPr>
                <w:rFonts w:asciiTheme="minorHAnsi" w:hAnsiTheme="minorHAnsi" w:cstheme="minorHAnsi"/>
                <w:b/>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13</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3350CC">
              <w:rPr>
                <w:rFonts w:asciiTheme="minorHAnsi" w:hAnsiTheme="minorHAnsi" w:cstheme="minorHAnsi"/>
              </w:rPr>
              <w:t>Priprema godišnjeg izveštaja 2020</w:t>
            </w:r>
          </w:p>
        </w:tc>
        <w:tc>
          <w:tcPr>
            <w:tcW w:w="3235" w:type="dxa"/>
          </w:tcPr>
          <w:p w:rsidR="00CE4AE3" w:rsidRPr="00A12516" w:rsidRDefault="00CE4AE3" w:rsidP="00BD1F00">
            <w:pPr>
              <w:spacing w:line="312" w:lineRule="auto"/>
              <w:cnfStyle w:val="000000100000"/>
              <w:rPr>
                <w:rFonts w:asciiTheme="minorHAnsi" w:hAnsiTheme="minorHAnsi" w:cstheme="minorHAnsi"/>
                <w:sz w:val="24"/>
              </w:rPr>
            </w:pPr>
            <w:r w:rsidRPr="003350CC">
              <w:rPr>
                <w:rFonts w:asciiTheme="minorHAnsi" w:hAnsiTheme="minorHAnsi" w:cstheme="minorHAnsi"/>
                <w:sz w:val="24"/>
              </w:rPr>
              <w:t>Prema članu 10. Zakona o energetskom regulatoru, RUE priprema godišnji izveštaj za prethodnu godinu i šalje ga Skupštini najkasnije do 31. marta tekuće godine</w:t>
            </w:r>
          </w:p>
        </w:tc>
        <w:tc>
          <w:tcPr>
            <w:tcW w:w="2721" w:type="dxa"/>
          </w:tcPr>
          <w:p w:rsidR="00CE4AE3" w:rsidRPr="00A12516" w:rsidRDefault="00CE4AE3" w:rsidP="00BD1F00">
            <w:pPr>
              <w:spacing w:line="312" w:lineRule="auto"/>
              <w:cnfStyle w:val="000000100000"/>
              <w:rPr>
                <w:rFonts w:asciiTheme="minorHAnsi" w:hAnsiTheme="minorHAnsi" w:cstheme="minorHAnsi"/>
                <w:b/>
                <w:sz w:val="24"/>
              </w:rPr>
            </w:pPr>
            <w:r w:rsidRPr="003350CC">
              <w:rPr>
                <w:rFonts w:asciiTheme="minorHAnsi" w:hAnsiTheme="minorHAnsi" w:cstheme="minorHAnsi"/>
                <w:sz w:val="24"/>
              </w:rPr>
              <w:t xml:space="preserve">Izveštaj se šalje Skupštini Kosova </w:t>
            </w:r>
            <w:r>
              <w:rPr>
                <w:rFonts w:asciiTheme="minorHAnsi" w:hAnsiTheme="minorHAnsi" w:cstheme="minorHAnsi"/>
                <w:sz w:val="24"/>
              </w:rPr>
              <w:t xml:space="preserve">u </w:t>
            </w:r>
            <w:r w:rsidRPr="00636B51">
              <w:rPr>
                <w:rFonts w:asciiTheme="minorHAnsi" w:hAnsiTheme="minorHAnsi" w:cstheme="minorHAnsi"/>
                <w:sz w:val="24"/>
              </w:rPr>
              <w:t>TM1</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sidRPr="00A12516">
              <w:rPr>
                <w:rFonts w:asciiTheme="minorHAnsi" w:hAnsiTheme="minorHAnsi" w:cstheme="minorHAnsi"/>
                <w:b w:val="0"/>
                <w:sz w:val="24"/>
              </w:rPr>
              <w:t>14</w:t>
            </w:r>
          </w:p>
        </w:tc>
        <w:tc>
          <w:tcPr>
            <w:tcW w:w="2292" w:type="dxa"/>
          </w:tcPr>
          <w:p w:rsidR="00CE4AE3" w:rsidRPr="00A12516" w:rsidRDefault="00CE4AE3" w:rsidP="00BD1F00">
            <w:pPr>
              <w:spacing w:line="312" w:lineRule="auto"/>
              <w:cnfStyle w:val="000000010000"/>
              <w:rPr>
                <w:rFonts w:asciiTheme="minorHAnsi" w:hAnsiTheme="minorHAnsi" w:cstheme="minorHAnsi"/>
                <w:bCs/>
                <w:sz w:val="24"/>
              </w:rPr>
            </w:pPr>
            <w:r w:rsidRPr="001928DB">
              <w:rPr>
                <w:rFonts w:asciiTheme="minorHAnsi" w:hAnsiTheme="minorHAnsi" w:cstheme="minorHAnsi"/>
                <w:bCs/>
                <w:sz w:val="24"/>
              </w:rPr>
              <w:t>Zajedničko tržište Kosova i Albanije</w:t>
            </w:r>
          </w:p>
        </w:tc>
        <w:tc>
          <w:tcPr>
            <w:tcW w:w="3235" w:type="dxa"/>
          </w:tcPr>
          <w:p w:rsidR="00CE4AE3" w:rsidRPr="00A12516" w:rsidRDefault="00CE4AE3" w:rsidP="00BD1F00">
            <w:pPr>
              <w:spacing w:line="312" w:lineRule="auto"/>
              <w:jc w:val="left"/>
              <w:cnfStyle w:val="000000010000"/>
              <w:rPr>
                <w:rFonts w:asciiTheme="minorHAnsi" w:hAnsiTheme="minorHAnsi" w:cstheme="minorHAnsi"/>
                <w:bCs/>
                <w:sz w:val="24"/>
              </w:rPr>
            </w:pPr>
            <w:r w:rsidRPr="001928DB">
              <w:rPr>
                <w:rFonts w:asciiTheme="minorHAnsi" w:hAnsiTheme="minorHAnsi" w:cstheme="minorHAnsi"/>
                <w:bCs/>
                <w:sz w:val="24"/>
              </w:rPr>
              <w:t>Vlade Kosova i Albanije načelno su se dogovorile o daljoj saradnji u cilju uspostavljanja zajedničkog tržišta električne energije između dve zemlje. Prva faza ove aktivnosti može zahtevati pregled obaveza korisnika dozvola i dizajna postojećeg tržišta</w:t>
            </w:r>
          </w:p>
        </w:tc>
        <w:tc>
          <w:tcPr>
            <w:tcW w:w="2721" w:type="dxa"/>
          </w:tcPr>
          <w:p w:rsidR="00CE4AE3" w:rsidRPr="00A12516" w:rsidRDefault="00CE4AE3" w:rsidP="00BD1F00">
            <w:pPr>
              <w:spacing w:line="312" w:lineRule="auto"/>
              <w:jc w:val="left"/>
              <w:cnfStyle w:val="000000010000"/>
              <w:rPr>
                <w:rFonts w:asciiTheme="minorHAnsi" w:hAnsiTheme="minorHAnsi" w:cstheme="minorHAnsi"/>
                <w:b/>
                <w:bCs/>
                <w:sz w:val="24"/>
              </w:rPr>
            </w:pPr>
            <w:r w:rsidRPr="001928DB">
              <w:rPr>
                <w:rFonts w:asciiTheme="minorHAnsi" w:hAnsiTheme="minorHAnsi" w:cstheme="minorHAnsi"/>
                <w:bCs/>
                <w:sz w:val="24"/>
              </w:rPr>
              <w:t>Neprekidna aktivnost tokom čitavog perioda</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b w:val="0"/>
                <w:sz w:val="24"/>
              </w:rPr>
              <w:t>15</w:t>
            </w:r>
          </w:p>
        </w:tc>
        <w:tc>
          <w:tcPr>
            <w:tcW w:w="2292" w:type="dxa"/>
          </w:tcPr>
          <w:p w:rsidR="00CE4AE3" w:rsidRPr="00A12516" w:rsidRDefault="00CE4AE3" w:rsidP="00BD1F00">
            <w:pPr>
              <w:spacing w:line="312" w:lineRule="auto"/>
              <w:jc w:val="left"/>
              <w:cnfStyle w:val="000000100000"/>
              <w:rPr>
                <w:rFonts w:asciiTheme="minorHAnsi" w:hAnsiTheme="minorHAnsi" w:cstheme="minorHAnsi"/>
                <w:bCs/>
                <w:sz w:val="24"/>
              </w:rPr>
            </w:pPr>
            <w:r w:rsidRPr="001928DB">
              <w:rPr>
                <w:rFonts w:asciiTheme="minorHAnsi" w:hAnsiTheme="minorHAnsi" w:cstheme="minorHAnsi"/>
              </w:rPr>
              <w:t>Godišnja ažuriranja maksimalno dozvoljenih prihoda i tarifa za regulisana preduzeća (TSO / MO; ODS i FSHU)</w:t>
            </w:r>
          </w:p>
        </w:tc>
        <w:tc>
          <w:tcPr>
            <w:tcW w:w="3235" w:type="dxa"/>
          </w:tcPr>
          <w:p w:rsidR="00CE4AE3" w:rsidRPr="00A12516" w:rsidRDefault="00CE4AE3" w:rsidP="00BD1F00">
            <w:pPr>
              <w:spacing w:line="312" w:lineRule="auto"/>
              <w:cnfStyle w:val="000000100000"/>
              <w:rPr>
                <w:rFonts w:asciiTheme="minorHAnsi" w:hAnsiTheme="minorHAnsi" w:cstheme="minorHAnsi"/>
                <w:bCs/>
                <w:sz w:val="24"/>
              </w:rPr>
            </w:pPr>
            <w:r w:rsidRPr="001928DB">
              <w:rPr>
                <w:rFonts w:asciiTheme="minorHAnsi" w:hAnsiTheme="minorHAnsi" w:cstheme="minorHAnsi"/>
              </w:rPr>
              <w:t>Određivanje maksimalno dozvoljenih prihoda i tarifa, kroz postupak javnih konsultacija.</w:t>
            </w:r>
          </w:p>
        </w:tc>
        <w:tc>
          <w:tcPr>
            <w:tcW w:w="2721" w:type="dxa"/>
          </w:tcPr>
          <w:p w:rsidR="00CE4AE3" w:rsidRPr="00A12516" w:rsidRDefault="00CE4AE3" w:rsidP="00BD1F00">
            <w:pPr>
              <w:spacing w:line="312" w:lineRule="auto"/>
              <w:jc w:val="left"/>
              <w:cnfStyle w:val="000000100000"/>
              <w:rPr>
                <w:rFonts w:asciiTheme="minorHAnsi" w:hAnsiTheme="minorHAnsi" w:cstheme="minorHAnsi"/>
              </w:rPr>
            </w:pPr>
            <w:r w:rsidRPr="001928DB">
              <w:rPr>
                <w:rFonts w:asciiTheme="minorHAnsi" w:hAnsiTheme="minorHAnsi" w:cstheme="minorHAnsi"/>
              </w:rPr>
              <w:t>Finalizacija izveštaja o odlučivanju od strane Odbora RUE u svakoj relevantnoj tarifnoj godini</w:t>
            </w:r>
            <w:r>
              <w:rPr>
                <w:rFonts w:asciiTheme="minorHAnsi" w:hAnsiTheme="minorHAnsi" w:cstheme="minorHAnsi"/>
              </w:rPr>
              <w:t>, TM1</w:t>
            </w:r>
          </w:p>
          <w:p w:rsidR="00CE4AE3" w:rsidRPr="00A12516" w:rsidDel="00903764" w:rsidRDefault="00CE4AE3" w:rsidP="00BD1F00">
            <w:pPr>
              <w:spacing w:line="312" w:lineRule="auto"/>
              <w:jc w:val="left"/>
              <w:cnfStyle w:val="000000100000"/>
              <w:rPr>
                <w:rFonts w:asciiTheme="minorHAnsi" w:hAnsiTheme="minorHAnsi" w:cstheme="minorHAnsi"/>
              </w:rPr>
            </w:pP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sidRPr="00A12516">
              <w:rPr>
                <w:rFonts w:asciiTheme="minorHAnsi" w:hAnsiTheme="minorHAnsi" w:cstheme="minorHAnsi"/>
                <w:b w:val="0"/>
                <w:sz w:val="24"/>
              </w:rPr>
              <w:t>16</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1928DB">
              <w:rPr>
                <w:rFonts w:asciiTheme="minorHAnsi" w:hAnsiTheme="minorHAnsi" w:cstheme="minorHAnsi"/>
                <w:sz w:val="24"/>
              </w:rPr>
              <w:t>Pregledi tarifa za preduzeća koja se bave toplotnom energijom</w:t>
            </w:r>
          </w:p>
        </w:tc>
        <w:tc>
          <w:tcPr>
            <w:tcW w:w="3235" w:type="dxa"/>
          </w:tcPr>
          <w:p w:rsidR="00CE4AE3" w:rsidRPr="001928DB" w:rsidRDefault="00CE4AE3" w:rsidP="00BD1F00">
            <w:pPr>
              <w:cnfStyle w:val="000000010000"/>
              <w:rPr>
                <w:rFonts w:asciiTheme="minorHAnsi" w:hAnsiTheme="minorHAnsi" w:cstheme="minorHAnsi"/>
              </w:rPr>
            </w:pPr>
            <w:r w:rsidRPr="001928DB">
              <w:rPr>
                <w:rFonts w:asciiTheme="minorHAnsi" w:hAnsiTheme="minorHAnsi" w:cstheme="minorHAnsi"/>
              </w:rPr>
              <w:t>Izrada/revizija/modifikacija tabela uzoraka regulatornih izveštaja, koji su osnova za prezentaciju tehničkih i finansijskih podataka u okviru tarifnih aplikacija Izmena i finalizacija Modela za obračun dozvoljenih prihoda i tarifa.</w:t>
            </w:r>
          </w:p>
          <w:p w:rsidR="00CE4AE3" w:rsidRPr="001928DB" w:rsidRDefault="00CE4AE3" w:rsidP="00BD1F00">
            <w:pPr>
              <w:cnfStyle w:val="000000010000"/>
              <w:rPr>
                <w:rFonts w:asciiTheme="minorHAnsi" w:hAnsiTheme="minorHAnsi" w:cstheme="minorHAnsi"/>
              </w:rPr>
            </w:pPr>
            <w:r w:rsidRPr="001928DB">
              <w:rPr>
                <w:rFonts w:asciiTheme="minorHAnsi" w:hAnsiTheme="minorHAnsi" w:cstheme="minorHAnsi"/>
              </w:rPr>
              <w:t xml:space="preserve">Pokretanje preispitivanja tarifa, zahteva za podacima i informacijama u okviru tarifnih </w:t>
            </w:r>
            <w:r w:rsidRPr="001928DB">
              <w:rPr>
                <w:rFonts w:asciiTheme="minorHAnsi" w:hAnsiTheme="minorHAnsi" w:cstheme="minorHAnsi"/>
              </w:rPr>
              <w:lastRenderedPageBreak/>
              <w:t>prijava</w:t>
            </w:r>
          </w:p>
          <w:p w:rsidR="00CE4AE3" w:rsidRPr="001928DB" w:rsidRDefault="00CE4AE3" w:rsidP="00BD1F00">
            <w:pPr>
              <w:cnfStyle w:val="000000010000"/>
              <w:rPr>
                <w:rFonts w:asciiTheme="minorHAnsi" w:hAnsiTheme="minorHAnsi" w:cstheme="minorHAnsi"/>
              </w:rPr>
            </w:pPr>
            <w:r w:rsidRPr="001928DB">
              <w:rPr>
                <w:rFonts w:asciiTheme="minorHAnsi" w:hAnsiTheme="minorHAnsi" w:cstheme="minorHAnsi"/>
              </w:rPr>
              <w:t>Pregledi i ocene tarifnih prijava, uključujući izradu komentara</w:t>
            </w:r>
          </w:p>
          <w:p w:rsidR="00CE4AE3" w:rsidRPr="001928DB" w:rsidRDefault="00CE4AE3" w:rsidP="00BD1F00">
            <w:pPr>
              <w:cnfStyle w:val="000000010000"/>
              <w:rPr>
                <w:rFonts w:asciiTheme="minorHAnsi" w:hAnsiTheme="minorHAnsi" w:cstheme="minorHAnsi"/>
              </w:rPr>
            </w:pPr>
            <w:r w:rsidRPr="001928DB">
              <w:rPr>
                <w:rFonts w:asciiTheme="minorHAnsi" w:hAnsiTheme="minorHAnsi" w:cstheme="minorHAnsi"/>
              </w:rPr>
              <w:t>Izrada relevantnih izveštaja za utvrđivanje dozvoljenih prihoda i tarifa za centralno grejanje</w:t>
            </w:r>
          </w:p>
          <w:p w:rsidR="00CE4AE3" w:rsidRPr="00A12516" w:rsidRDefault="00CE4AE3" w:rsidP="00BD1F00">
            <w:pPr>
              <w:spacing w:line="312" w:lineRule="auto"/>
              <w:cnfStyle w:val="000000010000"/>
              <w:rPr>
                <w:rFonts w:asciiTheme="minorHAnsi" w:hAnsiTheme="minorHAnsi" w:cstheme="minorHAnsi"/>
                <w:sz w:val="24"/>
              </w:rPr>
            </w:pPr>
            <w:r w:rsidRPr="001928DB">
              <w:rPr>
                <w:rFonts w:asciiTheme="minorHAnsi" w:hAnsiTheme="minorHAnsi" w:cstheme="minorHAnsi"/>
              </w:rPr>
              <w:t>Završeno finaliziranje pregleda tarifa, odluka i izveštaja</w:t>
            </w:r>
            <w:r>
              <w:rPr>
                <w:rFonts w:asciiTheme="minorHAnsi" w:hAnsiTheme="minorHAnsi" w:cstheme="minorHAnsi"/>
              </w:rPr>
              <w:t>.</w:t>
            </w:r>
          </w:p>
        </w:tc>
        <w:tc>
          <w:tcPr>
            <w:tcW w:w="2721" w:type="dxa"/>
          </w:tcPr>
          <w:p w:rsidR="00CE4AE3" w:rsidRPr="00A12516" w:rsidRDefault="00CE4AE3" w:rsidP="00BD1F00">
            <w:pPr>
              <w:jc w:val="left"/>
              <w:cnfStyle w:val="000000010000"/>
              <w:rPr>
                <w:rFonts w:asciiTheme="minorHAnsi" w:hAnsiTheme="minorHAnsi" w:cstheme="minorHAnsi"/>
                <w:sz w:val="24"/>
              </w:rPr>
            </w:pPr>
            <w:r w:rsidRPr="001928DB">
              <w:rPr>
                <w:rFonts w:asciiTheme="minorHAnsi" w:hAnsiTheme="minorHAnsi" w:cstheme="minorHAnsi"/>
              </w:rPr>
              <w:lastRenderedPageBreak/>
              <w:t>Finalizacija revizije tarifa, odgovarajuće odluke i izveštaji finalizirani na godišnjem nivou</w:t>
            </w:r>
            <w:r>
              <w:rPr>
                <w:rFonts w:asciiTheme="minorHAnsi" w:hAnsiTheme="minorHAnsi" w:cstheme="minorHAnsi"/>
              </w:rPr>
              <w:t xml:space="preserve"> </w:t>
            </w:r>
            <w:r>
              <w:rPr>
                <w:rFonts w:asciiTheme="minorHAnsi" w:hAnsiTheme="minorHAnsi" w:cstheme="minorHAnsi"/>
                <w:sz w:val="24"/>
              </w:rPr>
              <w:t>TM3</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b w:val="0"/>
                <w:sz w:val="24"/>
              </w:rPr>
            </w:pPr>
            <w:r w:rsidRPr="00A12516">
              <w:rPr>
                <w:rFonts w:asciiTheme="minorHAnsi" w:hAnsiTheme="minorHAnsi" w:cstheme="minorHAnsi"/>
                <w:b w:val="0"/>
                <w:sz w:val="24"/>
              </w:rPr>
              <w:lastRenderedPageBreak/>
              <w:t>17</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Pr>
                <w:rFonts w:asciiTheme="minorHAnsi" w:hAnsiTheme="minorHAnsi" w:cstheme="minorHAnsi"/>
                <w:sz w:val="24"/>
              </w:rPr>
              <w:t xml:space="preserve">Usvajanje </w:t>
            </w:r>
            <w:r w:rsidRPr="001928DB">
              <w:rPr>
                <w:rFonts w:asciiTheme="minorHAnsi" w:hAnsiTheme="minorHAnsi" w:cstheme="minorHAnsi"/>
                <w:sz w:val="24"/>
              </w:rPr>
              <w:t>energetskih kod</w:t>
            </w:r>
            <w:r>
              <w:rPr>
                <w:rFonts w:asciiTheme="minorHAnsi" w:hAnsiTheme="minorHAnsi" w:cstheme="minorHAnsi"/>
                <w:sz w:val="24"/>
              </w:rPr>
              <w:t>ova</w:t>
            </w:r>
            <w:r w:rsidRPr="001928DB">
              <w:rPr>
                <w:rFonts w:asciiTheme="minorHAnsi" w:hAnsiTheme="minorHAnsi" w:cstheme="minorHAnsi"/>
                <w:sz w:val="24"/>
              </w:rPr>
              <w:t xml:space="preserve"> i procedura</w:t>
            </w:r>
          </w:p>
        </w:tc>
        <w:tc>
          <w:tcPr>
            <w:tcW w:w="3235" w:type="dxa"/>
          </w:tcPr>
          <w:p w:rsidR="00CE4AE3" w:rsidRPr="00A12770" w:rsidRDefault="00CE4AE3" w:rsidP="00BD1F00">
            <w:pPr>
              <w:jc w:val="left"/>
              <w:cnfStyle w:val="000000100000"/>
              <w:rPr>
                <w:rFonts w:asciiTheme="minorHAnsi" w:hAnsiTheme="minorHAnsi" w:cstheme="minorHAnsi"/>
              </w:rPr>
            </w:pPr>
            <w:r w:rsidRPr="00A12770">
              <w:rPr>
                <w:rFonts w:asciiTheme="minorHAnsi" w:hAnsiTheme="minorHAnsi" w:cstheme="minorHAnsi"/>
              </w:rPr>
              <w:t>RUE je odobrio niz novih procedura i pravila, a očekuje se da će neke odobriti i RUE.</w:t>
            </w:r>
          </w:p>
          <w:p w:rsidR="00CE4AE3" w:rsidRPr="00A12516" w:rsidRDefault="00CE4AE3" w:rsidP="00BD1F00">
            <w:pPr>
              <w:jc w:val="left"/>
              <w:cnfStyle w:val="000000100000"/>
              <w:rPr>
                <w:rFonts w:asciiTheme="minorHAnsi" w:hAnsiTheme="minorHAnsi" w:cstheme="minorHAnsi"/>
                <w:b/>
                <w:sz w:val="24"/>
              </w:rPr>
            </w:pPr>
            <w:r w:rsidRPr="00A12770">
              <w:rPr>
                <w:rFonts w:asciiTheme="minorHAnsi" w:hAnsiTheme="minorHAnsi" w:cstheme="minorHAnsi"/>
              </w:rPr>
              <w:t xml:space="preserve">RUE će blisko sarađivati sa relevantnim imaocima licenci kako bi identifikovao i razvio potrebne pravne instrumente </w:t>
            </w:r>
            <w:r>
              <w:rPr>
                <w:rFonts w:asciiTheme="minorHAnsi" w:hAnsiTheme="minorHAnsi" w:cstheme="minorHAnsi"/>
              </w:rPr>
              <w:t>i time</w:t>
            </w:r>
            <w:r w:rsidRPr="00A12770">
              <w:rPr>
                <w:rFonts w:asciiTheme="minorHAnsi" w:hAnsiTheme="minorHAnsi" w:cstheme="minorHAnsi"/>
              </w:rPr>
              <w:t xml:space="preserve"> omogućio punu primenu važećeg zakonodavstva</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A12770">
              <w:rPr>
                <w:rFonts w:asciiTheme="minorHAnsi" w:hAnsiTheme="minorHAnsi" w:cstheme="minorHAnsi"/>
                <w:sz w:val="24"/>
              </w:rPr>
              <w:t>Kontinuirano u skladu sa zahtevima korisnika licence</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18</w:t>
            </w:r>
          </w:p>
        </w:tc>
        <w:tc>
          <w:tcPr>
            <w:tcW w:w="2292" w:type="dxa"/>
          </w:tcPr>
          <w:p w:rsidR="00CE4AE3" w:rsidRPr="00A12516" w:rsidRDefault="00CE4AE3" w:rsidP="00BD1F00">
            <w:pPr>
              <w:spacing w:line="312" w:lineRule="auto"/>
              <w:jc w:val="left"/>
              <w:cnfStyle w:val="000000010000"/>
              <w:rPr>
                <w:rFonts w:asciiTheme="minorHAnsi" w:hAnsiTheme="minorHAnsi" w:cstheme="minorHAnsi"/>
                <w:b/>
                <w:color w:val="FF0000"/>
                <w:sz w:val="24"/>
              </w:rPr>
            </w:pPr>
            <w:r w:rsidRPr="00A12770">
              <w:rPr>
                <w:rFonts w:asciiTheme="minorHAnsi" w:hAnsiTheme="minorHAnsi" w:cstheme="minorHAnsi"/>
                <w:sz w:val="24"/>
              </w:rPr>
              <w:t>Priprema procedura za organizaciju i funkcionisanje RUE</w:t>
            </w:r>
          </w:p>
        </w:tc>
        <w:tc>
          <w:tcPr>
            <w:tcW w:w="3235" w:type="dxa"/>
          </w:tcPr>
          <w:p w:rsidR="00CE4AE3" w:rsidRPr="00A12516" w:rsidRDefault="00CE4AE3" w:rsidP="00BD1F00">
            <w:pPr>
              <w:spacing w:line="312" w:lineRule="auto"/>
              <w:cnfStyle w:val="000000010000"/>
              <w:rPr>
                <w:rFonts w:asciiTheme="minorHAnsi" w:hAnsiTheme="minorHAnsi" w:cstheme="minorHAnsi"/>
                <w:color w:val="FF0000"/>
              </w:rPr>
            </w:pPr>
            <w:r w:rsidRPr="00A12770">
              <w:rPr>
                <w:rFonts w:asciiTheme="minorHAnsi" w:hAnsiTheme="minorHAnsi" w:cstheme="minorHAnsi"/>
                <w:sz w:val="24"/>
              </w:rPr>
              <w:t>RUE treba da izmeni interne propise koji treba da opišu jasne procedure za unutrašnje funkcionisanje RUE, kao i da pregleda unutrašnju organizaciju RUE.</w:t>
            </w:r>
          </w:p>
        </w:tc>
        <w:tc>
          <w:tcPr>
            <w:tcW w:w="2721" w:type="dxa"/>
          </w:tcPr>
          <w:p w:rsidR="00CE4AE3" w:rsidRPr="00A12516" w:rsidRDefault="00CE4AE3" w:rsidP="00BD1F00">
            <w:pPr>
              <w:spacing w:line="312" w:lineRule="auto"/>
              <w:jc w:val="left"/>
              <w:cnfStyle w:val="000000010000"/>
              <w:rPr>
                <w:rFonts w:asciiTheme="minorHAnsi" w:hAnsiTheme="minorHAnsi" w:cstheme="minorHAnsi"/>
                <w:sz w:val="24"/>
              </w:rPr>
            </w:pPr>
            <w:r w:rsidRPr="00A12770">
              <w:rPr>
                <w:rFonts w:asciiTheme="minorHAnsi" w:hAnsiTheme="minorHAnsi" w:cstheme="minorHAnsi"/>
                <w:sz w:val="24"/>
              </w:rPr>
              <w:t xml:space="preserve">Odobrenje od strane odbora konačno </w:t>
            </w:r>
            <w:r>
              <w:rPr>
                <w:rFonts w:asciiTheme="minorHAnsi" w:hAnsiTheme="minorHAnsi" w:cstheme="minorHAnsi"/>
                <w:sz w:val="24"/>
              </w:rPr>
              <w:t>TM1</w:t>
            </w:r>
          </w:p>
          <w:p w:rsidR="00CE4AE3" w:rsidRPr="00A12516" w:rsidRDefault="00CE4AE3" w:rsidP="00BD1F00">
            <w:pPr>
              <w:spacing w:line="312" w:lineRule="auto"/>
              <w:jc w:val="left"/>
              <w:cnfStyle w:val="000000010000"/>
              <w:rPr>
                <w:rFonts w:asciiTheme="minorHAnsi" w:hAnsiTheme="minorHAnsi" w:cstheme="minorHAnsi"/>
                <w:color w:val="FF0000"/>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19</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A12770">
              <w:rPr>
                <w:rFonts w:asciiTheme="minorHAnsi" w:hAnsiTheme="minorHAnsi" w:cstheme="minorHAnsi"/>
                <w:sz w:val="24"/>
              </w:rPr>
              <w:t>Budžet RUE</w:t>
            </w:r>
          </w:p>
        </w:tc>
        <w:tc>
          <w:tcPr>
            <w:tcW w:w="3235" w:type="dxa"/>
          </w:tcPr>
          <w:p w:rsidR="00CE4AE3" w:rsidRPr="00A12770" w:rsidRDefault="00CE4AE3" w:rsidP="00BD1F00">
            <w:pPr>
              <w:spacing w:line="312" w:lineRule="auto"/>
              <w:jc w:val="left"/>
              <w:cnfStyle w:val="000000100000"/>
              <w:rPr>
                <w:rFonts w:asciiTheme="minorHAnsi" w:hAnsiTheme="minorHAnsi" w:cstheme="minorHAnsi"/>
                <w:sz w:val="24"/>
              </w:rPr>
            </w:pPr>
            <w:r w:rsidRPr="00A12770">
              <w:rPr>
                <w:rFonts w:asciiTheme="minorHAnsi" w:hAnsiTheme="minorHAnsi" w:cstheme="minorHAnsi"/>
                <w:sz w:val="24"/>
              </w:rPr>
              <w:t xml:space="preserve">Svi podaci i informacije koji se odnose na finansije RUE orijentisani su ka predstavljanju aspekta novčanog toka umesto finansijskih rezultata. Od 2006. godine RUE je počeo da generiše prihode od naknada za licencu u skladu sa Zakonom o energetskom regulatoru, kao naknade koje </w:t>
            </w:r>
            <w:r w:rsidRPr="00A12770">
              <w:rPr>
                <w:rFonts w:asciiTheme="minorHAnsi" w:hAnsiTheme="minorHAnsi" w:cstheme="minorHAnsi"/>
                <w:sz w:val="24"/>
              </w:rPr>
              <w:lastRenderedPageBreak/>
              <w:t>prikupljaju korisnici dozvola, omogućavajući tako RUE da deluje kao finansijski nezavisan regulator.</w:t>
            </w:r>
          </w:p>
          <w:p w:rsidR="00CE4AE3" w:rsidRPr="00A12516" w:rsidRDefault="00CE4AE3" w:rsidP="00BD1F00">
            <w:pPr>
              <w:spacing w:line="312" w:lineRule="auto"/>
              <w:jc w:val="left"/>
              <w:cnfStyle w:val="000000100000"/>
              <w:rPr>
                <w:rFonts w:asciiTheme="minorHAnsi" w:hAnsiTheme="minorHAnsi" w:cstheme="minorHAnsi"/>
                <w:sz w:val="24"/>
              </w:rPr>
            </w:pPr>
            <w:r w:rsidRPr="00A12770">
              <w:rPr>
                <w:rFonts w:asciiTheme="minorHAnsi" w:hAnsiTheme="minorHAnsi" w:cstheme="minorHAnsi"/>
                <w:sz w:val="24"/>
              </w:rPr>
              <w:t>Pregled planiranja budžeta radi ispunjavanja zakonskih obaveza</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A12770">
              <w:rPr>
                <w:rFonts w:asciiTheme="minorHAnsi" w:hAnsiTheme="minorHAnsi" w:cstheme="minorHAnsi"/>
                <w:sz w:val="24"/>
              </w:rPr>
              <w:lastRenderedPageBreak/>
              <w:t>Kraj</w:t>
            </w:r>
            <w:r>
              <w:rPr>
                <w:rFonts w:asciiTheme="minorHAnsi" w:hAnsiTheme="minorHAnsi" w:cstheme="minorHAnsi"/>
                <w:sz w:val="24"/>
              </w:rPr>
              <w:t>em TM2</w:t>
            </w:r>
          </w:p>
          <w:p w:rsidR="00CE4AE3" w:rsidRPr="00A12516" w:rsidRDefault="00CE4AE3" w:rsidP="00BD1F00">
            <w:pPr>
              <w:spacing w:line="312" w:lineRule="auto"/>
              <w:jc w:val="left"/>
              <w:cnfStyle w:val="000000100000"/>
              <w:rPr>
                <w:rFonts w:asciiTheme="minorHAnsi" w:hAnsiTheme="minorHAnsi" w:cstheme="minorHAnsi"/>
                <w:sz w:val="24"/>
              </w:rPr>
            </w:pP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20</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lang w:eastAsia="ja-JP"/>
              </w:rPr>
            </w:pPr>
            <w:r w:rsidRPr="00A12770">
              <w:rPr>
                <w:rFonts w:asciiTheme="minorHAnsi" w:hAnsiTheme="minorHAnsi" w:cstheme="minorHAnsi"/>
                <w:sz w:val="24"/>
              </w:rPr>
              <w:t>Praćenje aktivnosti vezanih za vele</w:t>
            </w:r>
            <w:r>
              <w:rPr>
                <w:rFonts w:asciiTheme="minorHAnsi" w:hAnsiTheme="minorHAnsi" w:cstheme="minorHAnsi"/>
                <w:sz w:val="24"/>
              </w:rPr>
              <w:t>prodaju</w:t>
            </w:r>
            <w:r w:rsidRPr="00A12770">
              <w:rPr>
                <w:rFonts w:asciiTheme="minorHAnsi" w:hAnsiTheme="minorHAnsi" w:cstheme="minorHAnsi"/>
                <w:sz w:val="24"/>
              </w:rPr>
              <w:t xml:space="preserve"> u okviru REMIT-a</w:t>
            </w:r>
          </w:p>
        </w:tc>
        <w:tc>
          <w:tcPr>
            <w:tcW w:w="3235" w:type="dxa"/>
          </w:tcPr>
          <w:p w:rsidR="00CE4AE3" w:rsidRPr="00A12516" w:rsidRDefault="00CE4AE3" w:rsidP="00BD1F00">
            <w:pPr>
              <w:spacing w:line="312" w:lineRule="auto"/>
              <w:jc w:val="left"/>
              <w:cnfStyle w:val="000000010000"/>
              <w:rPr>
                <w:rFonts w:asciiTheme="minorHAnsi" w:hAnsiTheme="minorHAnsi" w:cstheme="minorHAnsi"/>
                <w:sz w:val="24"/>
                <w:lang w:eastAsia="ja-JP"/>
              </w:rPr>
            </w:pPr>
            <w:r w:rsidRPr="00A12770">
              <w:rPr>
                <w:rFonts w:asciiTheme="minorHAnsi" w:eastAsia="Arial" w:hAnsiTheme="minorHAnsi" w:cstheme="minorHAnsi"/>
              </w:rPr>
              <w:t>RUE će nadgledati trgovinske aktivnosti veleprodajnim energetskim proizvodima kako bi otkrio i sprečio trgovinu zasnovanu na unutrašnjim informacijama i tržišnim manipulacijama na njihovom nacionalnom tržištu.</w:t>
            </w:r>
          </w:p>
        </w:tc>
        <w:tc>
          <w:tcPr>
            <w:tcW w:w="2721" w:type="dxa"/>
          </w:tcPr>
          <w:p w:rsidR="00CE4AE3" w:rsidRPr="00A12516" w:rsidRDefault="00CE4AE3" w:rsidP="00BD1F00">
            <w:pPr>
              <w:spacing w:line="312" w:lineRule="auto"/>
              <w:jc w:val="left"/>
              <w:cnfStyle w:val="000000010000"/>
              <w:rPr>
                <w:rFonts w:asciiTheme="minorHAnsi" w:hAnsiTheme="minorHAnsi" w:cstheme="minorHAnsi"/>
                <w:sz w:val="24"/>
              </w:rPr>
            </w:pPr>
            <w:r w:rsidRPr="00A12770">
              <w:rPr>
                <w:rFonts w:asciiTheme="minorHAnsi" w:hAnsiTheme="minorHAnsi" w:cstheme="minorHAnsi"/>
                <w:sz w:val="24"/>
              </w:rPr>
              <w:t>U toku</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21</w:t>
            </w:r>
          </w:p>
        </w:tc>
        <w:tc>
          <w:tcPr>
            <w:tcW w:w="2292" w:type="dxa"/>
          </w:tcPr>
          <w:p w:rsidR="00CE4AE3" w:rsidRPr="001B13C7" w:rsidRDefault="00CE4AE3" w:rsidP="00BD1F00">
            <w:pPr>
              <w:spacing w:line="312" w:lineRule="auto"/>
              <w:jc w:val="left"/>
              <w:cnfStyle w:val="000000100000"/>
              <w:rPr>
                <w:rFonts w:asciiTheme="minorHAnsi" w:hAnsiTheme="minorHAnsi" w:cstheme="minorHAnsi"/>
                <w:color w:val="FF0000"/>
                <w:sz w:val="24"/>
              </w:rPr>
            </w:pPr>
            <w:r w:rsidRPr="00A12770">
              <w:rPr>
                <w:rFonts w:asciiTheme="minorHAnsi" w:hAnsiTheme="minorHAnsi" w:cstheme="minorHAnsi"/>
                <w:sz w:val="24"/>
              </w:rPr>
              <w:t>Pravilo u vezi sa obavezama koje proizlaze iz člana 4. Pravila</w:t>
            </w:r>
            <w:r>
              <w:rPr>
                <w:rFonts w:asciiTheme="minorHAnsi" w:hAnsiTheme="minorHAnsi" w:cstheme="minorHAnsi"/>
                <w:sz w:val="24"/>
              </w:rPr>
              <w:t xml:space="preserve"> REMIT-a.</w:t>
            </w:r>
          </w:p>
        </w:tc>
        <w:tc>
          <w:tcPr>
            <w:tcW w:w="3235" w:type="dxa"/>
          </w:tcPr>
          <w:p w:rsidR="00CE4AE3" w:rsidRPr="00A12770" w:rsidRDefault="00CE4AE3" w:rsidP="00BD1F00">
            <w:pPr>
              <w:spacing w:line="312" w:lineRule="auto"/>
              <w:jc w:val="left"/>
              <w:cnfStyle w:val="000000100000"/>
              <w:rPr>
                <w:rFonts w:asciiTheme="minorHAnsi" w:eastAsia="Arial" w:hAnsiTheme="minorHAnsi" w:cstheme="minorHAnsi"/>
              </w:rPr>
            </w:pPr>
            <w:r w:rsidRPr="00A12770">
              <w:rPr>
                <w:rFonts w:asciiTheme="minorHAnsi" w:eastAsia="Arial" w:hAnsiTheme="minorHAnsi" w:cstheme="minorHAnsi"/>
              </w:rPr>
              <w:t>Učesnici na tržištu moraju efikasno i blagovremeno objaviti informacije koje poseduju u vezi sa preduzećem ili objektima koje dotični učesnik na tržištu, njegovo matično ili povezano preduzeće poseduje ili kontroliše, ili operativna pitanja za koja učesnik na tržištu ili preduzeće odgovorno, bilo u celini ili delimično.</w:t>
            </w:r>
          </w:p>
          <w:p w:rsidR="00CE4AE3" w:rsidRPr="00A12770" w:rsidRDefault="00CE4AE3" w:rsidP="00BD1F00">
            <w:pPr>
              <w:spacing w:line="312" w:lineRule="auto"/>
              <w:jc w:val="left"/>
              <w:cnfStyle w:val="000000100000"/>
              <w:rPr>
                <w:rFonts w:asciiTheme="minorHAnsi" w:eastAsia="Arial" w:hAnsiTheme="minorHAnsi" w:cstheme="minorHAnsi"/>
              </w:rPr>
            </w:pPr>
            <w:r w:rsidRPr="00A12770">
              <w:rPr>
                <w:rFonts w:asciiTheme="minorHAnsi" w:eastAsia="Arial" w:hAnsiTheme="minorHAnsi" w:cstheme="minorHAnsi"/>
              </w:rPr>
              <w:t>S tim u vezi, RUE će odobriti i objaviti na svojoj veb stranici pravila koja definišu:</w:t>
            </w:r>
          </w:p>
          <w:p w:rsidR="00CE4AE3" w:rsidRPr="00A12770" w:rsidRDefault="00CE4AE3" w:rsidP="00BD1F00">
            <w:pPr>
              <w:spacing w:line="312" w:lineRule="auto"/>
              <w:jc w:val="left"/>
              <w:cnfStyle w:val="000000100000"/>
              <w:rPr>
                <w:rFonts w:asciiTheme="minorHAnsi" w:eastAsia="Arial" w:hAnsiTheme="minorHAnsi" w:cstheme="minorHAnsi"/>
              </w:rPr>
            </w:pPr>
            <w:r w:rsidRPr="00A12770">
              <w:rPr>
                <w:rFonts w:asciiTheme="minorHAnsi" w:eastAsia="Arial" w:hAnsiTheme="minorHAnsi" w:cstheme="minorHAnsi"/>
              </w:rPr>
              <w:t>1.1. modus, efikasnost i vremenski rok za objavljivanje informacija u okviru predmeta stava (1) ovog člana;</w:t>
            </w:r>
          </w:p>
          <w:p w:rsidR="00CE4AE3" w:rsidRPr="00A12770" w:rsidRDefault="00CE4AE3" w:rsidP="00BD1F00">
            <w:pPr>
              <w:spacing w:line="312" w:lineRule="auto"/>
              <w:jc w:val="left"/>
              <w:cnfStyle w:val="000000100000"/>
              <w:rPr>
                <w:rFonts w:asciiTheme="minorHAnsi" w:eastAsia="Arial" w:hAnsiTheme="minorHAnsi" w:cstheme="minorHAnsi"/>
              </w:rPr>
            </w:pPr>
            <w:r w:rsidRPr="00A12770">
              <w:rPr>
                <w:rFonts w:asciiTheme="minorHAnsi" w:eastAsia="Arial" w:hAnsiTheme="minorHAnsi" w:cstheme="minorHAnsi"/>
              </w:rPr>
              <w:t xml:space="preserve">1.2. slučajeve koji opravdavaju </w:t>
            </w:r>
            <w:r w:rsidRPr="00A12770">
              <w:rPr>
                <w:rFonts w:asciiTheme="minorHAnsi" w:eastAsia="Arial" w:hAnsiTheme="minorHAnsi" w:cstheme="minorHAnsi"/>
              </w:rPr>
              <w:lastRenderedPageBreak/>
              <w:t>odloženo objavljivanje u skladu sa stavom (2) ovog člana, kao i rok za, u ovom slučaju, primenjiva pravila objavljivanja;</w:t>
            </w:r>
          </w:p>
          <w:p w:rsidR="00CE4AE3" w:rsidRPr="001B13C7" w:rsidRDefault="00CE4AE3" w:rsidP="00BD1F00">
            <w:pPr>
              <w:spacing w:line="312" w:lineRule="auto"/>
              <w:jc w:val="left"/>
              <w:cnfStyle w:val="000000100000"/>
              <w:rPr>
                <w:rFonts w:asciiTheme="minorHAnsi" w:hAnsiTheme="minorHAnsi" w:cstheme="minorHAnsi"/>
                <w:color w:val="FF0000"/>
              </w:rPr>
            </w:pPr>
            <w:r w:rsidRPr="00A12770">
              <w:rPr>
                <w:rFonts w:asciiTheme="minorHAnsi" w:eastAsia="Arial" w:hAnsiTheme="minorHAnsi" w:cstheme="minorHAnsi"/>
              </w:rPr>
              <w:t>1.3. zahteve i vremenski rok koji se primenjuje za istovremeno, potpuno i efikasno objavljivanje, kako je definisano u stavu (3) ovog člana;</w:t>
            </w:r>
          </w:p>
        </w:tc>
        <w:tc>
          <w:tcPr>
            <w:tcW w:w="2721" w:type="dxa"/>
          </w:tcPr>
          <w:p w:rsidR="00CE4AE3" w:rsidRPr="001B13C7" w:rsidRDefault="00CE4AE3" w:rsidP="00BD1F00">
            <w:pPr>
              <w:spacing w:line="312" w:lineRule="auto"/>
              <w:jc w:val="left"/>
              <w:cnfStyle w:val="000000100000"/>
              <w:rPr>
                <w:rFonts w:asciiTheme="minorHAnsi" w:hAnsiTheme="minorHAnsi" w:cstheme="minorHAnsi"/>
                <w:color w:val="FF0000"/>
                <w:sz w:val="24"/>
              </w:rPr>
            </w:pPr>
            <w:r w:rsidRPr="00C61EF7">
              <w:rPr>
                <w:rFonts w:asciiTheme="minorHAnsi" w:hAnsiTheme="minorHAnsi" w:cstheme="minorHAnsi"/>
                <w:color w:val="000000" w:themeColor="text1"/>
                <w:sz w:val="24"/>
              </w:rPr>
              <w:lastRenderedPageBreak/>
              <w:t>TM1/TM2</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22</w:t>
            </w:r>
          </w:p>
        </w:tc>
        <w:tc>
          <w:tcPr>
            <w:tcW w:w="2292" w:type="dxa"/>
          </w:tcPr>
          <w:p w:rsidR="00CE4AE3" w:rsidRPr="00A12516" w:rsidRDefault="00CE4AE3" w:rsidP="00BD1F00">
            <w:pPr>
              <w:spacing w:line="312" w:lineRule="auto"/>
              <w:cnfStyle w:val="000000010000"/>
              <w:rPr>
                <w:rFonts w:asciiTheme="minorHAnsi" w:hAnsiTheme="minorHAnsi" w:cstheme="minorHAnsi"/>
                <w:sz w:val="24"/>
              </w:rPr>
            </w:pPr>
            <w:r w:rsidRPr="008874AE">
              <w:rPr>
                <w:rFonts w:asciiTheme="minorHAnsi" w:hAnsiTheme="minorHAnsi" w:cstheme="minorHAnsi"/>
                <w:sz w:val="24"/>
              </w:rPr>
              <w:t>Državna pomoć</w:t>
            </w:r>
          </w:p>
        </w:tc>
        <w:tc>
          <w:tcPr>
            <w:tcW w:w="3235" w:type="dxa"/>
          </w:tcPr>
          <w:p w:rsidR="00CE4AE3" w:rsidRPr="00A12516" w:rsidRDefault="00CE4AE3" w:rsidP="00BD1F00">
            <w:pPr>
              <w:spacing w:line="312" w:lineRule="auto"/>
              <w:jc w:val="left"/>
              <w:cnfStyle w:val="000000010000"/>
              <w:rPr>
                <w:rFonts w:asciiTheme="minorHAnsi" w:hAnsiTheme="minorHAnsi" w:cstheme="minorHAnsi"/>
                <w:sz w:val="24"/>
              </w:rPr>
            </w:pPr>
            <w:r w:rsidRPr="008874AE">
              <w:rPr>
                <w:rFonts w:asciiTheme="minorHAnsi" w:hAnsiTheme="minorHAnsi" w:cstheme="minorHAnsi"/>
                <w:sz w:val="24"/>
              </w:rPr>
              <w:t>Prema smernicama za državnu pomoć i lokalnom zakonodavstvu vezanom za državnu pomoć, dužni smo da izveštavamo o aspektima koji se odnose na šeme podrške za obnovljive izvore energije i druge moguće oblike podrške.</w:t>
            </w:r>
          </w:p>
        </w:tc>
        <w:tc>
          <w:tcPr>
            <w:tcW w:w="2721" w:type="dxa"/>
          </w:tcPr>
          <w:p w:rsidR="00CE4AE3" w:rsidRPr="00C61EF7" w:rsidRDefault="00CE4AE3" w:rsidP="00BD1F00">
            <w:pPr>
              <w:spacing w:line="312" w:lineRule="auto"/>
              <w:jc w:val="left"/>
              <w:cnfStyle w:val="000000010000"/>
              <w:rPr>
                <w:rFonts w:asciiTheme="minorHAnsi" w:hAnsiTheme="minorHAnsi" w:cstheme="minorHAnsi"/>
                <w:sz w:val="24"/>
              </w:rPr>
            </w:pPr>
            <w:r w:rsidRPr="008874AE">
              <w:rPr>
                <w:rFonts w:asciiTheme="minorHAnsi" w:hAnsiTheme="minorHAnsi" w:cstheme="minorHAnsi"/>
                <w:sz w:val="24"/>
              </w:rPr>
              <w:t xml:space="preserve">Izveštavanje će se obaviti u </w:t>
            </w:r>
            <w:r w:rsidRPr="00C61EF7">
              <w:rPr>
                <w:rFonts w:asciiTheme="minorHAnsi" w:hAnsiTheme="minorHAnsi" w:cstheme="minorHAnsi"/>
                <w:sz w:val="24"/>
              </w:rPr>
              <w:t>TM4</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23</w:t>
            </w:r>
          </w:p>
        </w:tc>
        <w:tc>
          <w:tcPr>
            <w:tcW w:w="2292" w:type="dxa"/>
          </w:tcPr>
          <w:p w:rsidR="00CE4AE3" w:rsidRPr="00A12516" w:rsidRDefault="00CE4AE3" w:rsidP="00BD1F00">
            <w:pPr>
              <w:spacing w:line="312" w:lineRule="auto"/>
              <w:jc w:val="left"/>
              <w:cnfStyle w:val="000000100000"/>
              <w:rPr>
                <w:rFonts w:asciiTheme="minorHAnsi" w:hAnsiTheme="minorHAnsi" w:cstheme="minorHAnsi"/>
                <w:sz w:val="24"/>
              </w:rPr>
            </w:pPr>
            <w:r w:rsidRPr="00B146C3">
              <w:rPr>
                <w:rFonts w:asciiTheme="minorHAnsi" w:hAnsiTheme="minorHAnsi" w:cstheme="minorHAnsi"/>
                <w:sz w:val="24"/>
              </w:rPr>
              <w:t>Zaštita potrošač</w:t>
            </w:r>
            <w:r>
              <w:rPr>
                <w:rFonts w:asciiTheme="minorHAnsi" w:hAnsiTheme="minorHAnsi" w:cstheme="minorHAnsi"/>
                <w:sz w:val="24"/>
              </w:rPr>
              <w:t>a sa potrebama</w:t>
            </w:r>
          </w:p>
        </w:tc>
        <w:tc>
          <w:tcPr>
            <w:tcW w:w="3235" w:type="dxa"/>
          </w:tcPr>
          <w:p w:rsidR="00CE4AE3" w:rsidRPr="00B146C3" w:rsidRDefault="00CE4AE3" w:rsidP="00BD1F00">
            <w:pPr>
              <w:spacing w:line="312" w:lineRule="auto"/>
              <w:jc w:val="left"/>
              <w:cnfStyle w:val="000000100000"/>
              <w:rPr>
                <w:rFonts w:asciiTheme="minorHAnsi" w:hAnsiTheme="minorHAnsi" w:cstheme="minorHAnsi"/>
                <w:sz w:val="24"/>
              </w:rPr>
            </w:pPr>
            <w:r w:rsidRPr="00B146C3">
              <w:rPr>
                <w:rFonts w:asciiTheme="minorHAnsi" w:hAnsiTheme="minorHAnsi" w:cstheme="minorHAnsi"/>
                <w:sz w:val="24"/>
              </w:rPr>
              <w:t>RUE mora da osigura da postoje minimalni uslovi neophodni za zaštitu potrošača sa potrebama, bez ometanja efikasne konkurencije na tržištu. U tom kontekstu, zadatak regulatora biće da utvrdi da li su cene razumne, lako i jasno uporedive, transparentne i nediskriminatorne.</w:t>
            </w:r>
          </w:p>
          <w:p w:rsidR="00CE4AE3" w:rsidRPr="00B146C3" w:rsidRDefault="00CE4AE3" w:rsidP="00BD1F00">
            <w:pPr>
              <w:spacing w:line="312" w:lineRule="auto"/>
              <w:jc w:val="left"/>
              <w:cnfStyle w:val="000000100000"/>
              <w:rPr>
                <w:rFonts w:asciiTheme="minorHAnsi" w:hAnsiTheme="minorHAnsi" w:cstheme="minorHAnsi"/>
                <w:sz w:val="24"/>
              </w:rPr>
            </w:pPr>
            <w:r w:rsidRPr="00B146C3">
              <w:rPr>
                <w:rFonts w:asciiTheme="minorHAnsi" w:hAnsiTheme="minorHAnsi" w:cstheme="minorHAnsi"/>
                <w:sz w:val="24"/>
              </w:rPr>
              <w:t xml:space="preserve">Zaštita potrošača sa potrebama može se takođe odnositi na zabranu isključenja u kritičnim vremenima. Na primer, stariji potrošači sa izuzetno niskim primanjima </w:t>
            </w:r>
            <w:r w:rsidRPr="00B146C3">
              <w:rPr>
                <w:rFonts w:asciiTheme="minorHAnsi" w:hAnsiTheme="minorHAnsi" w:cstheme="minorHAnsi"/>
                <w:sz w:val="24"/>
              </w:rPr>
              <w:lastRenderedPageBreak/>
              <w:t>mogu se smatrati rizičnim tokom oštre zime ako koriste električnu energiju za grejanje kuće. Zabrana može imati oblik uslova ili obaveze licence.</w:t>
            </w:r>
          </w:p>
          <w:p w:rsidR="00CE4AE3" w:rsidRPr="00A12516" w:rsidRDefault="00CE4AE3" w:rsidP="00BD1F00">
            <w:pPr>
              <w:spacing w:line="312" w:lineRule="auto"/>
              <w:jc w:val="left"/>
              <w:cnfStyle w:val="000000100000"/>
              <w:rPr>
                <w:rFonts w:asciiTheme="minorHAnsi" w:hAnsiTheme="minorHAnsi" w:cstheme="minorHAnsi"/>
                <w:sz w:val="24"/>
              </w:rPr>
            </w:pPr>
            <w:r w:rsidRPr="00B146C3">
              <w:rPr>
                <w:rFonts w:asciiTheme="minorHAnsi" w:hAnsiTheme="minorHAnsi" w:cstheme="minorHAnsi"/>
                <w:sz w:val="24"/>
              </w:rPr>
              <w:t>RUE bi trebalo da pregleda najbolje prakse za zaštitu potrošača sa potrebama.</w:t>
            </w:r>
          </w:p>
        </w:tc>
        <w:tc>
          <w:tcPr>
            <w:tcW w:w="2721" w:type="dxa"/>
          </w:tcPr>
          <w:p w:rsidR="00CE4AE3" w:rsidRPr="00A12516" w:rsidRDefault="00CE4AE3" w:rsidP="00BD1F00">
            <w:pPr>
              <w:spacing w:line="312" w:lineRule="auto"/>
              <w:jc w:val="left"/>
              <w:cnfStyle w:val="000000100000"/>
              <w:rPr>
                <w:rFonts w:asciiTheme="minorHAnsi" w:hAnsiTheme="minorHAnsi" w:cstheme="minorHAnsi"/>
                <w:b/>
                <w:sz w:val="24"/>
              </w:rPr>
            </w:pP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24</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B146C3">
              <w:rPr>
                <w:rFonts w:asciiTheme="minorHAnsi" w:hAnsiTheme="minorHAnsi" w:cstheme="minorHAnsi"/>
              </w:rPr>
              <w:t>Organizovanje ankete/</w:t>
            </w:r>
            <w:r>
              <w:rPr>
                <w:rFonts w:asciiTheme="minorHAnsi" w:hAnsiTheme="minorHAnsi" w:cstheme="minorHAnsi"/>
              </w:rPr>
              <w:t>istraživanja</w:t>
            </w:r>
            <w:r w:rsidRPr="00B146C3">
              <w:rPr>
                <w:rFonts w:asciiTheme="minorHAnsi" w:hAnsiTheme="minorHAnsi" w:cstheme="minorHAnsi"/>
              </w:rPr>
              <w:t xml:space="preserve"> za potrošače</w:t>
            </w:r>
          </w:p>
        </w:tc>
        <w:tc>
          <w:tcPr>
            <w:tcW w:w="3235" w:type="dxa"/>
          </w:tcPr>
          <w:p w:rsidR="00CE4AE3" w:rsidRPr="00A12516" w:rsidRDefault="00CE4AE3" w:rsidP="00BD1F00">
            <w:pPr>
              <w:spacing w:line="312" w:lineRule="auto"/>
              <w:cnfStyle w:val="000000010000"/>
              <w:rPr>
                <w:rFonts w:asciiTheme="minorHAnsi" w:hAnsiTheme="minorHAnsi" w:cstheme="minorHAnsi"/>
                <w:sz w:val="24"/>
              </w:rPr>
            </w:pPr>
            <w:r w:rsidRPr="00B146C3">
              <w:rPr>
                <w:rFonts w:asciiTheme="minorHAnsi" w:hAnsiTheme="minorHAnsi" w:cstheme="minorHAnsi"/>
              </w:rPr>
              <w:t>Zadovoljstvo kupaca pružanjem usluga energetskih kompanija.</w:t>
            </w:r>
          </w:p>
        </w:tc>
        <w:tc>
          <w:tcPr>
            <w:tcW w:w="2721" w:type="dxa"/>
          </w:tcPr>
          <w:p w:rsidR="00CE4AE3" w:rsidRPr="00A12516" w:rsidRDefault="00CE4AE3" w:rsidP="00BD1F00">
            <w:pPr>
              <w:spacing w:line="312" w:lineRule="auto"/>
              <w:jc w:val="left"/>
              <w:cnfStyle w:val="000000010000"/>
              <w:rPr>
                <w:rFonts w:asciiTheme="minorHAnsi" w:hAnsiTheme="minorHAnsi" w:cstheme="minorHAnsi"/>
                <w:sz w:val="24"/>
              </w:rPr>
            </w:pP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25</w:t>
            </w:r>
          </w:p>
        </w:tc>
        <w:tc>
          <w:tcPr>
            <w:tcW w:w="2292" w:type="dxa"/>
          </w:tcPr>
          <w:p w:rsidR="00CE4AE3" w:rsidRPr="00A12516" w:rsidRDefault="00CE4AE3" w:rsidP="00BD1F00">
            <w:pPr>
              <w:spacing w:line="312" w:lineRule="auto"/>
              <w:cnfStyle w:val="000000100000"/>
              <w:rPr>
                <w:rFonts w:asciiTheme="minorHAnsi" w:hAnsiTheme="minorHAnsi" w:cstheme="minorHAnsi"/>
              </w:rPr>
            </w:pPr>
            <w:r w:rsidRPr="00B146C3">
              <w:rPr>
                <w:rFonts w:asciiTheme="minorHAnsi" w:hAnsiTheme="minorHAnsi" w:cstheme="minorHAnsi"/>
              </w:rPr>
              <w:t>Međunarodne aktivnosti</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B146C3">
              <w:rPr>
                <w:rFonts w:asciiTheme="minorHAnsi" w:hAnsiTheme="minorHAnsi" w:cstheme="minorHAnsi"/>
              </w:rPr>
              <w:t>Kako je RUE član nekoliko međunarodnih organizacija/mehanizama kao što su: ECRB-TKE, CEER, ERRA, učešće odgovornog osoblja u radu ovih organizacija RUE-a jedan je od zadataka i aktivnosti koji se kontinuirano odvijaju. U okviru odgovarajućih obaveza, RUE je imenovao svoje članove u relevantne odbore/radne grupe koje aktivno učestvuju u njihovom radu pružanjem direktnih inputa - podataka i informacija relevantnih za energetski sektor na Kosovu.</w:t>
            </w:r>
          </w:p>
        </w:tc>
        <w:tc>
          <w:tcPr>
            <w:tcW w:w="2721" w:type="dxa"/>
          </w:tcPr>
          <w:p w:rsidR="00CE4AE3" w:rsidRPr="00A12516" w:rsidRDefault="00CE4AE3" w:rsidP="00BD1F00">
            <w:pPr>
              <w:spacing w:line="312" w:lineRule="auto"/>
              <w:jc w:val="left"/>
              <w:cnfStyle w:val="000000100000"/>
              <w:rPr>
                <w:rFonts w:asciiTheme="minorHAnsi" w:hAnsiTheme="minorHAnsi" w:cstheme="minorHAnsi"/>
                <w:sz w:val="24"/>
              </w:rPr>
            </w:pPr>
            <w:r w:rsidRPr="00B146C3">
              <w:rPr>
                <w:rFonts w:asciiTheme="minorHAnsi" w:hAnsiTheme="minorHAnsi" w:cstheme="minorHAnsi"/>
                <w:b/>
                <w:sz w:val="24"/>
              </w:rPr>
              <w:t>U toku</w:t>
            </w:r>
            <w:r w:rsidRPr="00A12516">
              <w:rPr>
                <w:rFonts w:asciiTheme="minorHAnsi" w:hAnsiTheme="minorHAnsi" w:cstheme="minorHAnsi"/>
                <w:b/>
                <w:sz w:val="24"/>
              </w:rPr>
              <w:t>.</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26</w:t>
            </w:r>
          </w:p>
        </w:tc>
        <w:tc>
          <w:tcPr>
            <w:tcW w:w="2292" w:type="dxa"/>
          </w:tcPr>
          <w:p w:rsidR="00CE4AE3" w:rsidRPr="00A12516" w:rsidRDefault="00CE4AE3" w:rsidP="00BD1F00">
            <w:pPr>
              <w:spacing w:line="312" w:lineRule="auto"/>
              <w:jc w:val="left"/>
              <w:cnfStyle w:val="000000010000"/>
              <w:rPr>
                <w:rFonts w:asciiTheme="minorHAnsi" w:hAnsiTheme="minorHAnsi" w:cstheme="minorHAnsi"/>
                <w:lang w:val="en-US" w:eastAsia="ja-JP"/>
              </w:rPr>
            </w:pPr>
            <w:r w:rsidRPr="00B146C3">
              <w:rPr>
                <w:rFonts w:asciiTheme="minorHAnsi" w:hAnsiTheme="minorHAnsi" w:cstheme="minorHAnsi"/>
              </w:rPr>
              <w:t>Iniciranje aktivnosti za regionalnu saradnju</w:t>
            </w:r>
          </w:p>
        </w:tc>
        <w:tc>
          <w:tcPr>
            <w:tcW w:w="3235" w:type="dxa"/>
          </w:tcPr>
          <w:p w:rsidR="00CE4AE3" w:rsidRPr="00A12516" w:rsidRDefault="00CE4AE3" w:rsidP="00BD1F00">
            <w:pPr>
              <w:spacing w:line="312" w:lineRule="auto"/>
              <w:cnfStyle w:val="000000010000"/>
              <w:rPr>
                <w:rFonts w:asciiTheme="minorHAnsi" w:hAnsiTheme="minorHAnsi" w:cstheme="minorHAnsi"/>
              </w:rPr>
            </w:pPr>
            <w:r w:rsidRPr="00B146C3">
              <w:rPr>
                <w:rFonts w:asciiTheme="minorHAnsi" w:hAnsiTheme="minorHAnsi" w:cstheme="minorHAnsi"/>
              </w:rPr>
              <w:t>Odbor RUE će preduzeti aktivnosti za saradnju sa regulatorima u regionu putem memoranduma o razumevanju</w:t>
            </w:r>
          </w:p>
        </w:tc>
        <w:tc>
          <w:tcPr>
            <w:tcW w:w="2721" w:type="dxa"/>
          </w:tcPr>
          <w:p w:rsidR="00CE4AE3" w:rsidRPr="00A12516" w:rsidRDefault="00CE4AE3" w:rsidP="00BD1F00">
            <w:pPr>
              <w:spacing w:line="312" w:lineRule="auto"/>
              <w:cnfStyle w:val="000000010000"/>
              <w:rPr>
                <w:rFonts w:asciiTheme="minorHAnsi" w:hAnsiTheme="minorHAnsi" w:cstheme="minorHAnsi"/>
                <w:b/>
                <w:sz w:val="24"/>
              </w:rPr>
            </w:pPr>
            <w:r w:rsidRPr="00636B51">
              <w:rPr>
                <w:rFonts w:asciiTheme="minorHAnsi" w:hAnsiTheme="minorHAnsi" w:cstheme="minorHAnsi"/>
              </w:rPr>
              <w:t>Në vazhdimësi</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27</w:t>
            </w:r>
          </w:p>
        </w:tc>
        <w:tc>
          <w:tcPr>
            <w:tcW w:w="2292" w:type="dxa"/>
          </w:tcPr>
          <w:p w:rsidR="00CE4AE3" w:rsidRPr="00A12516" w:rsidRDefault="00CE4AE3" w:rsidP="00BD1F00">
            <w:pPr>
              <w:spacing w:line="312" w:lineRule="auto"/>
              <w:cnfStyle w:val="000000100000"/>
              <w:rPr>
                <w:rFonts w:asciiTheme="minorHAnsi" w:hAnsiTheme="minorHAnsi" w:cstheme="minorHAnsi"/>
              </w:rPr>
            </w:pPr>
            <w:r w:rsidRPr="00C55C38">
              <w:rPr>
                <w:rFonts w:asciiTheme="minorHAnsi" w:hAnsiTheme="minorHAnsi" w:cstheme="minorHAnsi"/>
              </w:rPr>
              <w:t>Planiranje programa obuke osoblja RUE</w:t>
            </w:r>
          </w:p>
        </w:tc>
        <w:tc>
          <w:tcPr>
            <w:tcW w:w="3235" w:type="dxa"/>
          </w:tcPr>
          <w:p w:rsidR="00CE4AE3" w:rsidRPr="00A12516" w:rsidRDefault="00CE4AE3" w:rsidP="00BD1F00">
            <w:pPr>
              <w:spacing w:line="312" w:lineRule="auto"/>
              <w:cnfStyle w:val="000000100000"/>
              <w:rPr>
                <w:rFonts w:asciiTheme="minorHAnsi" w:hAnsiTheme="minorHAnsi" w:cstheme="minorHAnsi"/>
              </w:rPr>
            </w:pPr>
            <w:r w:rsidRPr="00C55C38">
              <w:rPr>
                <w:rFonts w:asciiTheme="minorHAnsi" w:hAnsiTheme="minorHAnsi" w:cstheme="minorHAnsi"/>
              </w:rPr>
              <w:t>Koordinacija izrade i sprovođenja programa obuke za 2021. godinu</w:t>
            </w:r>
          </w:p>
        </w:tc>
        <w:tc>
          <w:tcPr>
            <w:tcW w:w="2721" w:type="dxa"/>
          </w:tcPr>
          <w:p w:rsidR="00CE4AE3" w:rsidRPr="00A12516" w:rsidRDefault="00CE4AE3" w:rsidP="00BD1F00">
            <w:pPr>
              <w:spacing w:line="312" w:lineRule="auto"/>
              <w:cnfStyle w:val="000000100000"/>
              <w:rPr>
                <w:rFonts w:asciiTheme="minorHAnsi" w:hAnsiTheme="minorHAnsi" w:cstheme="minorHAnsi"/>
                <w:b/>
                <w:sz w:val="24"/>
              </w:rPr>
            </w:pPr>
            <w:r w:rsidRPr="00C55C38">
              <w:rPr>
                <w:rFonts w:asciiTheme="minorHAnsi" w:hAnsiTheme="minorHAnsi" w:cstheme="minorHAnsi"/>
              </w:rPr>
              <w:t xml:space="preserve">Program obuke treba završiti na početku </w:t>
            </w:r>
            <w:r w:rsidRPr="001B13C7">
              <w:rPr>
                <w:rFonts w:asciiTheme="minorHAnsi" w:hAnsiTheme="minorHAnsi" w:cstheme="minorHAnsi"/>
              </w:rPr>
              <w:t>TM1</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28</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C55C38">
              <w:rPr>
                <w:rFonts w:asciiTheme="minorHAnsi" w:hAnsiTheme="minorHAnsi" w:cstheme="minorHAnsi"/>
                <w:sz w:val="24"/>
              </w:rPr>
              <w:t>Transparentnost, komunikacija sa javnošću i medijima</w:t>
            </w:r>
          </w:p>
        </w:tc>
        <w:tc>
          <w:tcPr>
            <w:tcW w:w="3235" w:type="dxa"/>
          </w:tcPr>
          <w:p w:rsidR="00CE4AE3" w:rsidRPr="00A12516" w:rsidRDefault="00CE4AE3" w:rsidP="00BD1F00">
            <w:pPr>
              <w:spacing w:line="312" w:lineRule="auto"/>
              <w:jc w:val="left"/>
              <w:cnfStyle w:val="000000010000"/>
              <w:rPr>
                <w:rFonts w:asciiTheme="minorHAnsi" w:hAnsiTheme="minorHAnsi" w:cstheme="minorHAnsi"/>
                <w:sz w:val="24"/>
              </w:rPr>
            </w:pPr>
            <w:r w:rsidRPr="00C55C38">
              <w:rPr>
                <w:rFonts w:asciiTheme="minorHAnsi" w:hAnsiTheme="minorHAnsi" w:cstheme="minorHAnsi"/>
              </w:rPr>
              <w:t>Odnosi sa javnošću i transparentnost su od posebnog značaja za RUE. Da bi se poboljšala transparentnost, objavljivanje najava sastanaka odbora, dnevnog reda, komunikacija i odluka vršiće se kontinuirano</w:t>
            </w:r>
          </w:p>
        </w:tc>
        <w:tc>
          <w:tcPr>
            <w:tcW w:w="2721" w:type="dxa"/>
          </w:tcPr>
          <w:p w:rsidR="00CE4AE3" w:rsidRPr="00A12516" w:rsidRDefault="00CE4AE3" w:rsidP="00BD1F00">
            <w:pPr>
              <w:spacing w:line="312" w:lineRule="auto"/>
              <w:cnfStyle w:val="000000010000"/>
              <w:rPr>
                <w:rFonts w:asciiTheme="minorHAnsi" w:hAnsiTheme="minorHAnsi" w:cstheme="minorHAnsi"/>
                <w:b/>
                <w:sz w:val="24"/>
              </w:rPr>
            </w:pPr>
            <w:r w:rsidRPr="00C55C38">
              <w:rPr>
                <w:rFonts w:asciiTheme="minorHAnsi" w:hAnsiTheme="minorHAnsi" w:cstheme="minorHAnsi"/>
              </w:rPr>
              <w:t>U toku</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29</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C55C38">
              <w:rPr>
                <w:rFonts w:asciiTheme="minorHAnsi" w:hAnsiTheme="minorHAnsi" w:cstheme="minorHAnsi"/>
                <w:sz w:val="24"/>
              </w:rPr>
              <w:t>Bilten RUE</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C55C38">
              <w:rPr>
                <w:rFonts w:asciiTheme="minorHAnsi" w:hAnsiTheme="minorHAnsi" w:cstheme="minorHAnsi"/>
              </w:rPr>
              <w:t>Posebni akti i druge odluke u vezi sa licencama i naknadama objavljuju se na zvaničnoj veb stranici RUE i takođe će biti objavljeni u Biltenu RUE. Bilten se objavljuje najmanje jednom u šest meseci i objavljuje se na veb lokaciji RUE.</w:t>
            </w:r>
          </w:p>
        </w:tc>
        <w:tc>
          <w:tcPr>
            <w:tcW w:w="2721" w:type="dxa"/>
          </w:tcPr>
          <w:p w:rsidR="00CE4AE3" w:rsidRPr="00A12516" w:rsidRDefault="00CE4AE3" w:rsidP="00BD1F00">
            <w:pPr>
              <w:spacing w:line="312" w:lineRule="auto"/>
              <w:jc w:val="left"/>
              <w:cnfStyle w:val="000000100000"/>
              <w:rPr>
                <w:rFonts w:asciiTheme="minorHAnsi" w:hAnsiTheme="minorHAnsi" w:cstheme="minorHAnsi"/>
                <w:b/>
                <w:sz w:val="24"/>
              </w:rPr>
            </w:pPr>
            <w:r w:rsidRPr="00C55C38">
              <w:rPr>
                <w:rFonts w:asciiTheme="minorHAnsi" w:hAnsiTheme="minorHAnsi" w:cstheme="minorHAnsi"/>
              </w:rPr>
              <w:t xml:space="preserve">Bilten RUE bi trebalo da bude objavljen na kraju </w:t>
            </w:r>
            <w:r w:rsidRPr="00636B51">
              <w:rPr>
                <w:rFonts w:asciiTheme="minorHAnsi" w:hAnsiTheme="minorHAnsi" w:cstheme="minorHAnsi"/>
              </w:rPr>
              <w:t xml:space="preserve">TM2 </w:t>
            </w:r>
            <w:r>
              <w:rPr>
                <w:rFonts w:asciiTheme="minorHAnsi" w:hAnsiTheme="minorHAnsi" w:cstheme="minorHAnsi"/>
              </w:rPr>
              <w:t>i</w:t>
            </w:r>
            <w:r w:rsidRPr="00636B51">
              <w:rPr>
                <w:rFonts w:asciiTheme="minorHAnsi" w:hAnsiTheme="minorHAnsi" w:cstheme="minorHAnsi"/>
              </w:rPr>
              <w:t xml:space="preserve"> TM4</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30</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C55C38">
              <w:rPr>
                <w:rFonts w:asciiTheme="minorHAnsi" w:hAnsiTheme="minorHAnsi" w:cstheme="minorHAnsi"/>
                <w:sz w:val="24"/>
              </w:rPr>
              <w:t>Zatvoreni distributivni sistemi</w:t>
            </w:r>
          </w:p>
        </w:tc>
        <w:tc>
          <w:tcPr>
            <w:tcW w:w="3235" w:type="dxa"/>
          </w:tcPr>
          <w:p w:rsidR="00CE4AE3" w:rsidRPr="00A12516" w:rsidRDefault="00CE4AE3" w:rsidP="00BD1F00">
            <w:pPr>
              <w:spacing w:line="312" w:lineRule="auto"/>
              <w:jc w:val="left"/>
              <w:cnfStyle w:val="000000010000"/>
              <w:rPr>
                <w:rFonts w:asciiTheme="minorHAnsi" w:hAnsiTheme="minorHAnsi" w:cstheme="minorHAnsi"/>
                <w:lang w:eastAsia="ja-JP"/>
              </w:rPr>
            </w:pPr>
            <w:r w:rsidRPr="00C55C38">
              <w:rPr>
                <w:rFonts w:asciiTheme="minorHAnsi" w:hAnsiTheme="minorHAnsi" w:cstheme="minorHAnsi"/>
              </w:rPr>
              <w:t>Za obavljanje distributivne delatnosti u zatvorenom sistemu moraju se odobriti pravila za obavljanje ove delatnosti.</w:t>
            </w:r>
          </w:p>
        </w:tc>
        <w:tc>
          <w:tcPr>
            <w:tcW w:w="2721" w:type="dxa"/>
          </w:tcPr>
          <w:p w:rsidR="00CE4AE3" w:rsidRPr="00A12516" w:rsidRDefault="00CE4AE3" w:rsidP="00BD1F00">
            <w:pPr>
              <w:spacing w:line="312" w:lineRule="auto"/>
              <w:jc w:val="left"/>
              <w:cnfStyle w:val="000000010000"/>
              <w:rPr>
                <w:rFonts w:asciiTheme="minorHAnsi" w:hAnsiTheme="minorHAnsi" w:cstheme="minorHAnsi"/>
                <w:sz w:val="24"/>
              </w:rPr>
            </w:pPr>
            <w:r w:rsidRPr="00DA4C42">
              <w:rPr>
                <w:rFonts w:asciiTheme="minorHAnsi" w:hAnsiTheme="minorHAnsi" w:cstheme="minorHAnsi"/>
                <w:sz w:val="24"/>
              </w:rPr>
              <w:t xml:space="preserve">Pravilo se mora dostaviti Odboru RUE na odobrenje u </w:t>
            </w:r>
            <w:r>
              <w:rPr>
                <w:rFonts w:asciiTheme="minorHAnsi" w:hAnsiTheme="minorHAnsi" w:cstheme="minorHAnsi"/>
                <w:sz w:val="24"/>
              </w:rPr>
              <w:t>TM2</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31</w:t>
            </w:r>
          </w:p>
        </w:tc>
        <w:tc>
          <w:tcPr>
            <w:tcW w:w="2292" w:type="dxa"/>
          </w:tcPr>
          <w:p w:rsidR="00CE4AE3" w:rsidRPr="00A12516" w:rsidRDefault="00CE4AE3" w:rsidP="00BD1F00">
            <w:pPr>
              <w:spacing w:line="312" w:lineRule="auto"/>
              <w:cnfStyle w:val="000000100000"/>
              <w:rPr>
                <w:rFonts w:asciiTheme="minorHAnsi" w:hAnsiTheme="minorHAnsi" w:cstheme="minorHAnsi"/>
                <w:sz w:val="24"/>
              </w:rPr>
            </w:pPr>
            <w:r w:rsidRPr="00DA4C42">
              <w:rPr>
                <w:rFonts w:asciiTheme="minorHAnsi" w:hAnsiTheme="minorHAnsi" w:cstheme="minorHAnsi"/>
                <w:sz w:val="24"/>
              </w:rPr>
              <w:t>Prijava za članstvo  RUE u ACER-u</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DA4C42">
              <w:rPr>
                <w:rFonts w:asciiTheme="minorHAnsi" w:hAnsiTheme="minorHAnsi" w:cstheme="minorHAnsi"/>
              </w:rPr>
              <w:t>U decembru 2019. godine, RUE je zatražio od Sekretarijata Energetske zajednice podršku RUE za prijavu kako bi dobio status posmatrača u ACER-u.</w:t>
            </w:r>
          </w:p>
        </w:tc>
        <w:tc>
          <w:tcPr>
            <w:tcW w:w="2721" w:type="dxa"/>
          </w:tcPr>
          <w:p w:rsidR="00CE4AE3" w:rsidRPr="00A12516" w:rsidRDefault="00CE4AE3" w:rsidP="00BD1F00">
            <w:pPr>
              <w:spacing w:line="312" w:lineRule="auto"/>
              <w:jc w:val="left"/>
              <w:cnfStyle w:val="000000100000"/>
              <w:rPr>
                <w:rFonts w:asciiTheme="minorHAnsi" w:hAnsiTheme="minorHAnsi" w:cstheme="minorHAnsi"/>
                <w:b/>
                <w:sz w:val="24"/>
              </w:rPr>
            </w:pPr>
            <w:r>
              <w:rPr>
                <w:rFonts w:asciiTheme="minorHAnsi" w:hAnsiTheme="minorHAnsi" w:cstheme="minorHAnsi"/>
                <w:sz w:val="24"/>
              </w:rPr>
              <w:t xml:space="preserve">Ponovo će se aplicirati u  </w:t>
            </w:r>
            <w:r w:rsidRPr="00636B51">
              <w:rPr>
                <w:rFonts w:asciiTheme="minorHAnsi" w:hAnsiTheme="minorHAnsi" w:cstheme="minorHAnsi"/>
                <w:sz w:val="24"/>
              </w:rPr>
              <w:t>TM2</w:t>
            </w:r>
            <w:r w:rsidRPr="00A12516">
              <w:rPr>
                <w:rFonts w:asciiTheme="minorHAnsi" w:hAnsiTheme="minorHAnsi" w:cstheme="minorHAnsi"/>
                <w:b/>
                <w:sz w:val="24"/>
              </w:rPr>
              <w:t xml:space="preserve"> </w:t>
            </w:r>
          </w:p>
        </w:tc>
      </w:tr>
      <w:tr w:rsidR="00CE4AE3" w:rsidRPr="00A12516"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32</w:t>
            </w:r>
          </w:p>
        </w:tc>
        <w:tc>
          <w:tcPr>
            <w:tcW w:w="2292" w:type="dxa"/>
          </w:tcPr>
          <w:p w:rsidR="00CE4AE3" w:rsidRPr="00A12516" w:rsidRDefault="00CE4AE3" w:rsidP="00BD1F00">
            <w:pPr>
              <w:spacing w:line="312" w:lineRule="auto"/>
              <w:cnfStyle w:val="000000010000"/>
              <w:rPr>
                <w:rFonts w:asciiTheme="minorHAnsi" w:hAnsiTheme="minorHAnsi" w:cstheme="minorHAnsi"/>
                <w:sz w:val="24"/>
              </w:rPr>
            </w:pPr>
            <w:r w:rsidRPr="00DA4C42">
              <w:rPr>
                <w:rFonts w:asciiTheme="minorHAnsi" w:hAnsiTheme="minorHAnsi" w:cstheme="minorHAnsi"/>
                <w:sz w:val="24"/>
              </w:rPr>
              <w:t xml:space="preserve">Priprema različitih informativnih letaka/brošura </w:t>
            </w:r>
          </w:p>
        </w:tc>
        <w:tc>
          <w:tcPr>
            <w:tcW w:w="3235" w:type="dxa"/>
          </w:tcPr>
          <w:p w:rsidR="00CE4AE3" w:rsidRPr="00A12516" w:rsidRDefault="00CE4AE3" w:rsidP="00BD1F00">
            <w:pPr>
              <w:spacing w:line="312" w:lineRule="auto"/>
              <w:jc w:val="left"/>
              <w:cnfStyle w:val="000000010000"/>
              <w:rPr>
                <w:rFonts w:asciiTheme="minorHAnsi" w:hAnsiTheme="minorHAnsi" w:cstheme="minorHAnsi"/>
                <w:sz w:val="24"/>
              </w:rPr>
            </w:pPr>
            <w:r w:rsidRPr="00DA4C42">
              <w:rPr>
                <w:rFonts w:asciiTheme="minorHAnsi" w:hAnsiTheme="minorHAnsi" w:cstheme="minorHAnsi"/>
                <w:sz w:val="24"/>
              </w:rPr>
              <w:t>RUE treba da pripremi letke / brošure kako bi potrošače obavestio o otvaranju tržišta, zakonskim obavezama između primaoca i pružaoca usluga, uslovima licenciranja i drugim pitanjima koja se smatraju važnim.</w:t>
            </w:r>
          </w:p>
        </w:tc>
        <w:tc>
          <w:tcPr>
            <w:tcW w:w="2721" w:type="dxa"/>
          </w:tcPr>
          <w:p w:rsidR="00CE4AE3" w:rsidRPr="00A12516" w:rsidRDefault="00CE4AE3" w:rsidP="00BD1F00">
            <w:pPr>
              <w:spacing w:line="312" w:lineRule="auto"/>
              <w:jc w:val="left"/>
              <w:cnfStyle w:val="000000010000"/>
              <w:rPr>
                <w:rFonts w:asciiTheme="minorHAnsi" w:hAnsiTheme="minorHAnsi" w:cstheme="minorHAnsi"/>
                <w:b/>
                <w:sz w:val="24"/>
              </w:rPr>
            </w:pPr>
            <w:r w:rsidRPr="00A12516">
              <w:rPr>
                <w:rFonts w:asciiTheme="minorHAnsi" w:hAnsiTheme="minorHAnsi" w:cstheme="minorHAnsi"/>
                <w:b/>
                <w:sz w:val="24"/>
              </w:rPr>
              <w:t xml:space="preserve"> </w:t>
            </w:r>
          </w:p>
        </w:tc>
      </w:tr>
      <w:tr w:rsidR="00CE4AE3" w:rsidRPr="00A12516"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t>33</w:t>
            </w:r>
          </w:p>
        </w:tc>
        <w:tc>
          <w:tcPr>
            <w:tcW w:w="2292" w:type="dxa"/>
          </w:tcPr>
          <w:p w:rsidR="00CE4AE3" w:rsidRPr="00A12516" w:rsidRDefault="00CE4AE3" w:rsidP="00BD1F00">
            <w:pPr>
              <w:spacing w:line="312" w:lineRule="auto"/>
              <w:jc w:val="left"/>
              <w:cnfStyle w:val="000000100000"/>
              <w:rPr>
                <w:rFonts w:asciiTheme="minorHAnsi" w:hAnsiTheme="minorHAnsi" w:cstheme="minorHAnsi"/>
                <w:sz w:val="24"/>
              </w:rPr>
            </w:pPr>
            <w:r>
              <w:rPr>
                <w:rFonts w:asciiTheme="minorHAnsi" w:hAnsiTheme="minorHAnsi" w:cstheme="minorHAnsi"/>
                <w:sz w:val="24"/>
              </w:rPr>
              <w:t>Sredstva</w:t>
            </w:r>
            <w:r w:rsidRPr="00DA4C42">
              <w:rPr>
                <w:rFonts w:asciiTheme="minorHAnsi" w:hAnsiTheme="minorHAnsi" w:cstheme="minorHAnsi"/>
                <w:sz w:val="24"/>
              </w:rPr>
              <w:t xml:space="preserve"> za </w:t>
            </w:r>
            <w:r w:rsidRPr="00DA4C42">
              <w:rPr>
                <w:rFonts w:asciiTheme="minorHAnsi" w:hAnsiTheme="minorHAnsi" w:cstheme="minorHAnsi"/>
                <w:sz w:val="24"/>
              </w:rPr>
              <w:lastRenderedPageBreak/>
              <w:t>upoređivanje cena energije</w:t>
            </w:r>
          </w:p>
        </w:tc>
        <w:tc>
          <w:tcPr>
            <w:tcW w:w="3235" w:type="dxa"/>
          </w:tcPr>
          <w:p w:rsidR="00CE4AE3" w:rsidRPr="00DA4C42" w:rsidRDefault="00CE4AE3" w:rsidP="00BD1F00">
            <w:pPr>
              <w:spacing w:line="312" w:lineRule="auto"/>
              <w:jc w:val="left"/>
              <w:cnfStyle w:val="000000100000"/>
              <w:rPr>
                <w:rFonts w:asciiTheme="minorHAnsi" w:hAnsiTheme="minorHAnsi" w:cstheme="minorHAnsi"/>
                <w:sz w:val="24"/>
              </w:rPr>
            </w:pPr>
            <w:r>
              <w:rPr>
                <w:rFonts w:asciiTheme="minorHAnsi" w:hAnsiTheme="minorHAnsi" w:cstheme="minorHAnsi"/>
                <w:sz w:val="24"/>
              </w:rPr>
              <w:lastRenderedPageBreak/>
              <w:t>Sredstva</w:t>
            </w:r>
            <w:r w:rsidRPr="00DA4C42">
              <w:rPr>
                <w:rFonts w:asciiTheme="minorHAnsi" w:hAnsiTheme="minorHAnsi" w:cstheme="minorHAnsi"/>
                <w:sz w:val="24"/>
              </w:rPr>
              <w:t xml:space="preserve"> za upoređivanje cena </w:t>
            </w:r>
            <w:r w:rsidRPr="00DA4C42">
              <w:rPr>
                <w:rFonts w:asciiTheme="minorHAnsi" w:hAnsiTheme="minorHAnsi" w:cstheme="minorHAnsi"/>
                <w:sz w:val="24"/>
              </w:rPr>
              <w:lastRenderedPageBreak/>
              <w:t>je mrežna platforma dizajnirana da pomogne potrošačima u poređenju cena energije na otvorenom tržištu, kao i da pomogne regulatoru u poboljšanju komunikacije i edukaciji potrošača o pitanjima vezanim za otvaranje energetskog tržišta. maloprodaja električne energije. Projekat tehnički podržava USAID / NARUC, dok će RUE biti odgovoran za njegov rad.</w:t>
            </w:r>
          </w:p>
          <w:p w:rsidR="00CE4AE3" w:rsidRPr="00A12516" w:rsidRDefault="00CE4AE3" w:rsidP="00BD1F00">
            <w:pPr>
              <w:spacing w:line="312" w:lineRule="auto"/>
              <w:jc w:val="left"/>
              <w:cnfStyle w:val="000000100000"/>
              <w:rPr>
                <w:rFonts w:asciiTheme="minorHAnsi" w:hAnsiTheme="minorHAnsi" w:cstheme="minorHAnsi"/>
                <w:sz w:val="24"/>
              </w:rPr>
            </w:pPr>
            <w:r w:rsidRPr="00DA4C42">
              <w:rPr>
                <w:rFonts w:asciiTheme="minorHAnsi" w:hAnsiTheme="minorHAnsi" w:cstheme="minorHAnsi"/>
                <w:sz w:val="24"/>
              </w:rPr>
              <w:t>Na maloprodajnom nivou, kupovina električne energije može biti složen proces, posebno za potrošače koji nisu upoznati sa energetskim sektorom. Kao što je dokazano otvaranjem maloprodajnog tržišta SAD-a i EU-a, obrazovanje potrošača je ključno za stvaranje atmosfere koja podstiče transparentnost i ulaganja.</w:t>
            </w:r>
          </w:p>
          <w:p w:rsidR="00CE4AE3" w:rsidRPr="00A12516" w:rsidRDefault="00CE4AE3" w:rsidP="00BD1F00">
            <w:pPr>
              <w:spacing w:line="312" w:lineRule="auto"/>
              <w:jc w:val="left"/>
              <w:cnfStyle w:val="000000100000"/>
              <w:rPr>
                <w:rFonts w:asciiTheme="minorHAnsi" w:hAnsiTheme="minorHAnsi" w:cstheme="minorHAnsi"/>
                <w:sz w:val="24"/>
              </w:rPr>
            </w:pPr>
          </w:p>
        </w:tc>
        <w:tc>
          <w:tcPr>
            <w:tcW w:w="2721" w:type="dxa"/>
          </w:tcPr>
          <w:p w:rsidR="00CE4AE3" w:rsidRPr="00C61EF7" w:rsidRDefault="00CE4AE3" w:rsidP="00BD1F00">
            <w:pPr>
              <w:spacing w:line="312" w:lineRule="auto"/>
              <w:jc w:val="left"/>
              <w:cnfStyle w:val="000000100000"/>
              <w:rPr>
                <w:rFonts w:asciiTheme="minorHAnsi" w:hAnsiTheme="minorHAnsi" w:cstheme="minorHAnsi"/>
                <w:sz w:val="24"/>
              </w:rPr>
            </w:pPr>
            <w:r>
              <w:rPr>
                <w:rFonts w:asciiTheme="minorHAnsi" w:hAnsiTheme="minorHAnsi" w:cstheme="minorHAnsi"/>
                <w:sz w:val="24"/>
              </w:rPr>
              <w:lastRenderedPageBreak/>
              <w:t>U toku</w:t>
            </w:r>
          </w:p>
        </w:tc>
      </w:tr>
      <w:tr w:rsidR="00CE4AE3" w:rsidRPr="00636B51"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sidRPr="00A12516">
              <w:rPr>
                <w:rFonts w:asciiTheme="minorHAnsi" w:hAnsiTheme="minorHAnsi" w:cstheme="minorHAnsi"/>
                <w:sz w:val="24"/>
              </w:rPr>
              <w:lastRenderedPageBreak/>
              <w:t>3</w:t>
            </w:r>
            <w:r>
              <w:rPr>
                <w:rFonts w:asciiTheme="minorHAnsi" w:hAnsiTheme="minorHAnsi" w:cstheme="minorHAnsi"/>
                <w:sz w:val="24"/>
              </w:rPr>
              <w:t>4</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highlight w:val="yellow"/>
              </w:rPr>
            </w:pPr>
            <w:r w:rsidRPr="00DA4C42">
              <w:rPr>
                <w:rFonts w:asciiTheme="minorHAnsi" w:hAnsiTheme="minorHAnsi" w:cstheme="minorHAnsi"/>
                <w:sz w:val="24"/>
              </w:rPr>
              <w:t xml:space="preserve">Metodologija za </w:t>
            </w:r>
            <w:r>
              <w:rPr>
                <w:rFonts w:asciiTheme="minorHAnsi" w:hAnsiTheme="minorHAnsi" w:cstheme="minorHAnsi"/>
                <w:sz w:val="24"/>
              </w:rPr>
              <w:t>ob</w:t>
            </w:r>
            <w:r w:rsidRPr="00DA4C42">
              <w:rPr>
                <w:rFonts w:asciiTheme="minorHAnsi" w:hAnsiTheme="minorHAnsi" w:cstheme="minorHAnsi"/>
                <w:sz w:val="24"/>
              </w:rPr>
              <w:t>računavanje referentne cene energije iz OIE.</w:t>
            </w:r>
          </w:p>
        </w:tc>
        <w:tc>
          <w:tcPr>
            <w:tcW w:w="3235" w:type="dxa"/>
          </w:tcPr>
          <w:p w:rsidR="00CE4AE3" w:rsidRPr="00A12516" w:rsidRDefault="00CE4AE3" w:rsidP="00BD1F00">
            <w:pPr>
              <w:spacing w:line="312" w:lineRule="auto"/>
              <w:jc w:val="left"/>
              <w:cnfStyle w:val="000000010000"/>
              <w:rPr>
                <w:rFonts w:asciiTheme="minorHAnsi" w:hAnsiTheme="minorHAnsi" w:cstheme="minorHAnsi"/>
                <w:highlight w:val="yellow"/>
              </w:rPr>
            </w:pPr>
            <w:r w:rsidRPr="00DA4C42">
              <w:rPr>
                <w:rFonts w:asciiTheme="minorHAnsi" w:hAnsiTheme="minorHAnsi" w:cstheme="minorHAnsi"/>
              </w:rPr>
              <w:t xml:space="preserve">Ova metodologija je za internu upotrebu RUE koja ima za cilj ispunjavanje obaveza za stvaranje referentne cene za energiju iz kvalifikovanih obnovljivih izvora, za energiju koju Operater tržišta prodaje </w:t>
            </w:r>
            <w:r w:rsidRPr="00DA4C42">
              <w:rPr>
                <w:rFonts w:asciiTheme="minorHAnsi" w:hAnsiTheme="minorHAnsi" w:cstheme="minorHAnsi"/>
              </w:rPr>
              <w:lastRenderedPageBreak/>
              <w:t>dobavljačima.</w:t>
            </w:r>
          </w:p>
        </w:tc>
        <w:tc>
          <w:tcPr>
            <w:tcW w:w="2721" w:type="dxa"/>
          </w:tcPr>
          <w:p w:rsidR="00CE4AE3" w:rsidRPr="00636B51" w:rsidRDefault="00CE4AE3" w:rsidP="00BD1F00">
            <w:pPr>
              <w:spacing w:line="312" w:lineRule="auto"/>
              <w:cnfStyle w:val="000000010000"/>
              <w:rPr>
                <w:rFonts w:asciiTheme="minorHAnsi" w:hAnsiTheme="minorHAnsi" w:cstheme="minorHAnsi"/>
                <w:b/>
                <w:sz w:val="24"/>
              </w:rPr>
            </w:pPr>
            <w:r w:rsidRPr="00DA4C42">
              <w:rPr>
                <w:rFonts w:asciiTheme="minorHAnsi" w:hAnsiTheme="minorHAnsi" w:cstheme="minorHAnsi"/>
              </w:rPr>
              <w:lastRenderedPageBreak/>
              <w:t xml:space="preserve">Metodologija mora biti usvojena na kraju </w:t>
            </w:r>
            <w:r w:rsidRPr="00636B51">
              <w:rPr>
                <w:rFonts w:asciiTheme="minorHAnsi" w:hAnsiTheme="minorHAnsi" w:cstheme="minorHAnsi"/>
              </w:rPr>
              <w:t>TM</w:t>
            </w:r>
            <w:r>
              <w:rPr>
                <w:rFonts w:asciiTheme="minorHAnsi" w:hAnsiTheme="minorHAnsi" w:cstheme="minorHAnsi"/>
              </w:rPr>
              <w:t>1</w:t>
            </w:r>
          </w:p>
        </w:tc>
      </w:tr>
      <w:tr w:rsidR="00CE4AE3" w:rsidRPr="00636B51" w:rsidTr="00BD1F00">
        <w:trPr>
          <w:cnfStyle w:val="00000010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lastRenderedPageBreak/>
              <w:t>35</w:t>
            </w:r>
          </w:p>
        </w:tc>
        <w:tc>
          <w:tcPr>
            <w:tcW w:w="2292" w:type="dxa"/>
          </w:tcPr>
          <w:p w:rsidR="00CE4AE3" w:rsidRPr="00A12516" w:rsidRDefault="00CE4AE3" w:rsidP="00BD1F00">
            <w:pPr>
              <w:spacing w:line="312" w:lineRule="auto"/>
              <w:jc w:val="left"/>
              <w:cnfStyle w:val="000000100000"/>
              <w:rPr>
                <w:rFonts w:asciiTheme="minorHAnsi" w:hAnsiTheme="minorHAnsi" w:cstheme="minorHAnsi"/>
                <w:sz w:val="24"/>
              </w:rPr>
            </w:pPr>
            <w:r w:rsidRPr="00DA4C42">
              <w:t>Odobrenje godišnjeg plana gubitaka u distribuciji</w:t>
            </w:r>
          </w:p>
        </w:tc>
        <w:tc>
          <w:tcPr>
            <w:tcW w:w="3235" w:type="dxa"/>
          </w:tcPr>
          <w:p w:rsidR="00CE4AE3" w:rsidRPr="00A12516" w:rsidRDefault="00CE4AE3" w:rsidP="00BD1F00">
            <w:pPr>
              <w:spacing w:line="312" w:lineRule="auto"/>
              <w:jc w:val="left"/>
              <w:cnfStyle w:val="000000100000"/>
              <w:rPr>
                <w:rFonts w:asciiTheme="minorHAnsi" w:hAnsiTheme="minorHAnsi" w:cstheme="minorHAnsi"/>
              </w:rPr>
            </w:pPr>
            <w:r w:rsidRPr="00DA4C42">
              <w:t>Godišnji plan gubitaka uključuje procenu tehničkih gubitaka i neovlašćene potrošnje električne energije.</w:t>
            </w:r>
          </w:p>
        </w:tc>
        <w:tc>
          <w:tcPr>
            <w:tcW w:w="2721" w:type="dxa"/>
          </w:tcPr>
          <w:p w:rsidR="00CE4AE3" w:rsidRPr="00636B51" w:rsidRDefault="00CE4AE3" w:rsidP="00BD1F00">
            <w:pPr>
              <w:spacing w:line="312" w:lineRule="auto"/>
              <w:jc w:val="left"/>
              <w:cnfStyle w:val="000000100000"/>
              <w:rPr>
                <w:rFonts w:asciiTheme="minorHAnsi" w:hAnsiTheme="minorHAnsi" w:cstheme="minorHAnsi"/>
              </w:rPr>
            </w:pPr>
            <w:r w:rsidRPr="00DA4C42">
              <w:rPr>
                <w:rFonts w:asciiTheme="minorHAnsi" w:hAnsiTheme="minorHAnsi" w:cstheme="minorHAnsi"/>
                <w:sz w:val="24"/>
              </w:rPr>
              <w:t>Odobrenje od strane odbora</w:t>
            </w:r>
            <w:r>
              <w:rPr>
                <w:rFonts w:asciiTheme="minorHAnsi" w:hAnsiTheme="minorHAnsi" w:cstheme="minorHAnsi"/>
                <w:sz w:val="24"/>
              </w:rPr>
              <w:t xml:space="preserve"> TM4</w:t>
            </w:r>
          </w:p>
        </w:tc>
      </w:tr>
      <w:tr w:rsidR="00CE4AE3" w:rsidRPr="00636B51" w:rsidTr="00BD1F00">
        <w:trPr>
          <w:cnfStyle w:val="000000010000"/>
        </w:trPr>
        <w:tc>
          <w:tcPr>
            <w:cnfStyle w:val="001000000000"/>
            <w:tcW w:w="805" w:type="dxa"/>
          </w:tcPr>
          <w:p w:rsidR="00CE4AE3" w:rsidRPr="00A12516" w:rsidRDefault="00CE4AE3" w:rsidP="00BD1F00">
            <w:pPr>
              <w:spacing w:line="312" w:lineRule="auto"/>
              <w:rPr>
                <w:rFonts w:asciiTheme="minorHAnsi" w:hAnsiTheme="minorHAnsi" w:cstheme="minorHAnsi"/>
                <w:sz w:val="24"/>
              </w:rPr>
            </w:pPr>
            <w:r>
              <w:rPr>
                <w:rFonts w:asciiTheme="minorHAnsi" w:hAnsiTheme="minorHAnsi" w:cstheme="minorHAnsi"/>
                <w:sz w:val="24"/>
              </w:rPr>
              <w:t>36</w:t>
            </w:r>
          </w:p>
        </w:tc>
        <w:tc>
          <w:tcPr>
            <w:tcW w:w="2292" w:type="dxa"/>
          </w:tcPr>
          <w:p w:rsidR="00CE4AE3" w:rsidRPr="00A12516" w:rsidRDefault="00CE4AE3" w:rsidP="00BD1F00">
            <w:pPr>
              <w:spacing w:line="312" w:lineRule="auto"/>
              <w:jc w:val="left"/>
              <w:cnfStyle w:val="000000010000"/>
              <w:rPr>
                <w:rFonts w:asciiTheme="minorHAnsi" w:hAnsiTheme="minorHAnsi" w:cstheme="minorHAnsi"/>
                <w:sz w:val="24"/>
              </w:rPr>
            </w:pPr>
            <w:r w:rsidRPr="00DA4C42">
              <w:rPr>
                <w:rFonts w:asciiTheme="minorHAnsi" w:hAnsiTheme="minorHAnsi" w:cstheme="minorHAnsi"/>
                <w:sz w:val="24"/>
              </w:rPr>
              <w:t>Uspostavljanje kriterijuma odstupanja za Mrežni kod - OST, kao i odstupanja strana</w:t>
            </w:r>
          </w:p>
        </w:tc>
        <w:tc>
          <w:tcPr>
            <w:tcW w:w="3235" w:type="dxa"/>
          </w:tcPr>
          <w:p w:rsidR="00CE4AE3" w:rsidRPr="00A12516" w:rsidRDefault="00CE4AE3" w:rsidP="00BD1F00">
            <w:pPr>
              <w:spacing w:line="312" w:lineRule="auto"/>
              <w:jc w:val="left"/>
              <w:cnfStyle w:val="000000010000"/>
              <w:rPr>
                <w:rFonts w:asciiTheme="minorHAnsi" w:hAnsiTheme="minorHAnsi" w:cstheme="minorHAnsi"/>
              </w:rPr>
            </w:pPr>
            <w:r w:rsidRPr="00DA4C42">
              <w:rPr>
                <w:rFonts w:asciiTheme="minorHAnsi" w:hAnsiTheme="minorHAnsi" w:cstheme="minorHAnsi"/>
                <w:sz w:val="24"/>
              </w:rPr>
              <w:t>RUE će odrediti kriterijume za odobravanje odstupanja koja će objaviti na svojoj veb stranici i dostaviti Energetskoj zajednici.</w:t>
            </w:r>
          </w:p>
        </w:tc>
        <w:tc>
          <w:tcPr>
            <w:tcW w:w="2721" w:type="dxa"/>
          </w:tcPr>
          <w:p w:rsidR="00CE4AE3" w:rsidRPr="00636B51" w:rsidRDefault="00CE4AE3" w:rsidP="00BD1F00">
            <w:pPr>
              <w:spacing w:line="312" w:lineRule="auto"/>
              <w:cnfStyle w:val="000000010000"/>
              <w:rPr>
                <w:rFonts w:asciiTheme="minorHAnsi" w:hAnsiTheme="minorHAnsi" w:cstheme="minorHAnsi"/>
              </w:rPr>
            </w:pPr>
            <w:r>
              <w:rPr>
                <w:rFonts w:asciiTheme="minorHAnsi" w:hAnsiTheme="minorHAnsi" w:cstheme="minorHAnsi"/>
              </w:rPr>
              <w:t>U toku</w:t>
            </w:r>
          </w:p>
        </w:tc>
      </w:tr>
    </w:tbl>
    <w:p w:rsidR="002E2DE0" w:rsidRDefault="002E2DE0" w:rsidP="00CE4AE3">
      <w:pPr>
        <w:spacing w:line="312" w:lineRule="auto"/>
        <w:rPr>
          <w:rFonts w:asciiTheme="minorHAnsi" w:hAnsiTheme="minorHAnsi" w:cstheme="minorHAnsi"/>
        </w:rPr>
      </w:pPr>
    </w:p>
    <w:p w:rsidR="002E2DE0" w:rsidRDefault="002E2DE0" w:rsidP="00CE4AE3">
      <w:pPr>
        <w:spacing w:line="312" w:lineRule="auto"/>
        <w:rPr>
          <w:rFonts w:asciiTheme="minorHAnsi" w:hAnsiTheme="minorHAnsi" w:cstheme="minorHAnsi"/>
        </w:rPr>
      </w:pPr>
    </w:p>
    <w:p w:rsidR="00CE4AE3" w:rsidRPr="00A12516" w:rsidRDefault="00CE4AE3" w:rsidP="00CE4AE3">
      <w:pPr>
        <w:spacing w:line="312" w:lineRule="auto"/>
        <w:rPr>
          <w:rFonts w:asciiTheme="minorHAnsi" w:hAnsiTheme="minorHAnsi" w:cstheme="minorHAnsi"/>
        </w:rPr>
      </w:pPr>
      <w:r w:rsidRPr="00DA4C42">
        <w:rPr>
          <w:rFonts w:asciiTheme="minorHAnsi" w:hAnsiTheme="minorHAnsi" w:cstheme="minorHAnsi"/>
        </w:rPr>
        <w:t>Odobren od Odbora Regulatornog ureda za energiju dana</w:t>
      </w:r>
      <w:r w:rsidRPr="00A12516">
        <w:rPr>
          <w:rFonts w:asciiTheme="minorHAnsi" w:hAnsiTheme="minorHAnsi" w:cstheme="minorHAnsi"/>
        </w:rPr>
        <w:t>: XXXXX</w:t>
      </w:r>
      <w:r>
        <w:rPr>
          <w:rFonts w:asciiTheme="minorHAnsi" w:hAnsiTheme="minorHAnsi" w:cstheme="minorHAnsi"/>
        </w:rPr>
        <w:t xml:space="preserve"> 2020</w:t>
      </w:r>
      <w:r w:rsidRPr="00A12516">
        <w:rPr>
          <w:rFonts w:asciiTheme="minorHAnsi" w:hAnsiTheme="minorHAnsi" w:cstheme="minorHAnsi"/>
        </w:rPr>
        <w:t xml:space="preserve"> </w:t>
      </w:r>
    </w:p>
    <w:p w:rsidR="00CE4AE3" w:rsidRPr="00A12516" w:rsidRDefault="00CE4AE3" w:rsidP="00CE4AE3">
      <w:pPr>
        <w:autoSpaceDE w:val="0"/>
        <w:autoSpaceDN w:val="0"/>
        <w:adjustRightInd w:val="0"/>
        <w:spacing w:after="0" w:line="240" w:lineRule="auto"/>
        <w:jc w:val="right"/>
        <w:rPr>
          <w:rFonts w:asciiTheme="minorHAnsi" w:hAnsiTheme="minorHAnsi" w:cstheme="minorHAnsi"/>
          <w:b/>
          <w:bCs/>
          <w:szCs w:val="22"/>
        </w:rPr>
      </w:pPr>
      <w:r w:rsidRPr="00DA4C42">
        <w:rPr>
          <w:rFonts w:asciiTheme="minorHAnsi" w:hAnsiTheme="minorHAnsi" w:cstheme="minorHAnsi"/>
          <w:b/>
          <w:bCs/>
          <w:szCs w:val="22"/>
        </w:rPr>
        <w:t>Regulatorni odbor</w:t>
      </w:r>
      <w:r w:rsidRPr="00A12516">
        <w:rPr>
          <w:rFonts w:asciiTheme="minorHAnsi" w:hAnsiTheme="minorHAnsi" w:cstheme="minorHAnsi"/>
          <w:b/>
          <w:bCs/>
          <w:szCs w:val="22"/>
          <w:lang w:eastAsia="sq-AL"/>
        </w:rPr>
        <w:t>:</w:t>
      </w:r>
    </w:p>
    <w:p w:rsidR="00CE4AE3" w:rsidRPr="00A12516" w:rsidRDefault="00CE4AE3" w:rsidP="00CE4AE3">
      <w:pPr>
        <w:autoSpaceDE w:val="0"/>
        <w:autoSpaceDN w:val="0"/>
        <w:adjustRightInd w:val="0"/>
        <w:spacing w:after="0" w:line="240" w:lineRule="auto"/>
        <w:jc w:val="right"/>
        <w:rPr>
          <w:rFonts w:asciiTheme="minorHAnsi" w:hAnsiTheme="minorHAnsi" w:cstheme="minorHAnsi"/>
          <w:szCs w:val="22"/>
          <w:u w:val="single"/>
        </w:rPr>
      </w:pP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rPr>
      </w:pPr>
      <w:r w:rsidRPr="00A12516">
        <w:rPr>
          <w:rFonts w:asciiTheme="minorHAnsi" w:hAnsiTheme="minorHAnsi" w:cstheme="minorHAnsi"/>
          <w:szCs w:val="22"/>
          <w:u w:val="single"/>
        </w:rPr>
        <w:t xml:space="preserve">_______________________  </w:t>
      </w:r>
      <w:r w:rsidRPr="00A12516">
        <w:rPr>
          <w:rFonts w:asciiTheme="minorHAnsi" w:hAnsiTheme="minorHAnsi" w:cstheme="minorHAnsi"/>
          <w:szCs w:val="22"/>
        </w:rPr>
        <w:t xml:space="preserve">Arsim Janova, </w:t>
      </w:r>
      <w:r w:rsidRPr="00DA4C42">
        <w:rPr>
          <w:rFonts w:asciiTheme="minorHAnsi" w:hAnsiTheme="minorHAnsi" w:cstheme="minorHAnsi"/>
          <w:szCs w:val="22"/>
        </w:rPr>
        <w:t>v.d. Predsedavajući</w:t>
      </w: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u w:val="single"/>
        </w:rPr>
      </w:pPr>
      <w:r w:rsidRPr="00A12516">
        <w:rPr>
          <w:rFonts w:asciiTheme="minorHAnsi" w:hAnsiTheme="minorHAnsi" w:cstheme="minorHAnsi"/>
          <w:szCs w:val="22"/>
          <w:u w:val="single"/>
        </w:rPr>
        <w:t>_______________________</w:t>
      </w: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rPr>
      </w:pPr>
      <w:r w:rsidRPr="00A12516">
        <w:rPr>
          <w:rFonts w:asciiTheme="minorHAnsi" w:hAnsiTheme="minorHAnsi" w:cstheme="minorHAnsi"/>
          <w:szCs w:val="22"/>
        </w:rPr>
        <w:t xml:space="preserve">Besim Sejfijaj, </w:t>
      </w:r>
      <w:r>
        <w:rPr>
          <w:rFonts w:asciiTheme="minorHAnsi" w:hAnsiTheme="minorHAnsi" w:cstheme="minorHAnsi"/>
          <w:szCs w:val="22"/>
        </w:rPr>
        <w:t>član</w:t>
      </w: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rPr>
      </w:pPr>
      <w:r w:rsidRPr="00A12516">
        <w:rPr>
          <w:rFonts w:asciiTheme="minorHAnsi" w:hAnsiTheme="minorHAnsi" w:cstheme="minorHAnsi"/>
          <w:szCs w:val="22"/>
        </w:rPr>
        <w:t xml:space="preserve"> </w:t>
      </w: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u w:val="single"/>
        </w:rPr>
      </w:pPr>
      <w:r w:rsidRPr="00A12516">
        <w:rPr>
          <w:rFonts w:asciiTheme="minorHAnsi" w:hAnsiTheme="minorHAnsi" w:cstheme="minorHAnsi"/>
          <w:szCs w:val="22"/>
          <w:u w:val="single"/>
        </w:rPr>
        <w:t>_______________________</w:t>
      </w:r>
    </w:p>
    <w:p w:rsidR="00CE4AE3" w:rsidRPr="00A12516" w:rsidRDefault="00CE4AE3" w:rsidP="00CE4AE3">
      <w:pPr>
        <w:autoSpaceDE w:val="0"/>
        <w:autoSpaceDN w:val="0"/>
        <w:adjustRightInd w:val="0"/>
        <w:spacing w:after="0" w:line="240" w:lineRule="auto"/>
        <w:jc w:val="right"/>
        <w:rPr>
          <w:rFonts w:asciiTheme="minorHAnsi" w:hAnsiTheme="minorHAnsi" w:cstheme="minorHAnsi"/>
          <w:szCs w:val="22"/>
        </w:rPr>
      </w:pPr>
      <w:r w:rsidRPr="00A12516">
        <w:rPr>
          <w:rFonts w:asciiTheme="minorHAnsi" w:hAnsiTheme="minorHAnsi" w:cstheme="minorHAnsi"/>
          <w:szCs w:val="22"/>
        </w:rPr>
        <w:t xml:space="preserve">Selman Hoti, </w:t>
      </w:r>
      <w:r>
        <w:rPr>
          <w:rFonts w:asciiTheme="minorHAnsi" w:hAnsiTheme="minorHAnsi" w:cstheme="minorHAnsi"/>
          <w:szCs w:val="22"/>
        </w:rPr>
        <w:t>član</w:t>
      </w:r>
    </w:p>
    <w:p w:rsidR="00CE4AE3" w:rsidRPr="00A12516" w:rsidRDefault="00CE4AE3" w:rsidP="00CE4AE3">
      <w:pPr>
        <w:autoSpaceDE w:val="0"/>
        <w:autoSpaceDN w:val="0"/>
        <w:adjustRightInd w:val="0"/>
        <w:spacing w:after="0" w:line="240" w:lineRule="auto"/>
        <w:jc w:val="right"/>
        <w:rPr>
          <w:rFonts w:asciiTheme="minorHAnsi" w:hAnsiTheme="minorHAnsi" w:cstheme="minorHAnsi"/>
          <w:szCs w:val="22"/>
          <w:u w:val="single"/>
        </w:rPr>
      </w:pPr>
    </w:p>
    <w:p w:rsidR="00CE4AE3" w:rsidRPr="00A12516" w:rsidRDefault="00CE4AE3" w:rsidP="00CE4AE3">
      <w:pPr>
        <w:autoSpaceDE w:val="0"/>
        <w:autoSpaceDN w:val="0"/>
        <w:adjustRightInd w:val="0"/>
        <w:spacing w:after="0" w:line="240" w:lineRule="auto"/>
        <w:ind w:left="6237"/>
        <w:jc w:val="right"/>
        <w:rPr>
          <w:rFonts w:asciiTheme="minorHAnsi" w:hAnsiTheme="minorHAnsi" w:cstheme="minorHAnsi"/>
          <w:szCs w:val="22"/>
          <w:u w:val="single"/>
        </w:rPr>
      </w:pPr>
      <w:r w:rsidRPr="00A12516">
        <w:rPr>
          <w:rFonts w:asciiTheme="minorHAnsi" w:hAnsiTheme="minorHAnsi" w:cstheme="minorHAnsi"/>
          <w:szCs w:val="22"/>
          <w:u w:val="single"/>
        </w:rPr>
        <w:t>_______________________</w:t>
      </w:r>
    </w:p>
    <w:p w:rsidR="00CE4AE3" w:rsidRPr="00A12516" w:rsidRDefault="00CE4AE3" w:rsidP="00CE4AE3">
      <w:pPr>
        <w:autoSpaceDE w:val="0"/>
        <w:autoSpaceDN w:val="0"/>
        <w:adjustRightInd w:val="0"/>
        <w:spacing w:after="0" w:line="240" w:lineRule="auto"/>
        <w:jc w:val="right"/>
        <w:rPr>
          <w:rFonts w:asciiTheme="minorHAnsi" w:hAnsiTheme="minorHAnsi" w:cstheme="minorHAnsi"/>
          <w:szCs w:val="22"/>
        </w:rPr>
      </w:pPr>
      <w:r w:rsidRPr="00A12516">
        <w:rPr>
          <w:rFonts w:asciiTheme="minorHAnsi" w:hAnsiTheme="minorHAnsi" w:cstheme="minorHAnsi"/>
          <w:szCs w:val="22"/>
        </w:rPr>
        <w:t xml:space="preserve"> Izet Ru</w:t>
      </w:r>
      <w:r>
        <w:rPr>
          <w:rFonts w:asciiTheme="minorHAnsi" w:hAnsiTheme="minorHAnsi" w:cstheme="minorHAnsi"/>
          <w:szCs w:val="22"/>
        </w:rPr>
        <w:t>š</w:t>
      </w:r>
      <w:r w:rsidRPr="00A12516">
        <w:rPr>
          <w:rFonts w:asciiTheme="minorHAnsi" w:hAnsiTheme="minorHAnsi" w:cstheme="minorHAnsi"/>
          <w:szCs w:val="22"/>
        </w:rPr>
        <w:t xml:space="preserve">iti, </w:t>
      </w:r>
      <w:r>
        <w:rPr>
          <w:rFonts w:asciiTheme="minorHAnsi" w:hAnsiTheme="minorHAnsi" w:cstheme="minorHAnsi"/>
          <w:szCs w:val="22"/>
        </w:rPr>
        <w:t>član</w:t>
      </w:r>
    </w:p>
    <w:p w:rsidR="00761EDA" w:rsidRPr="005524CC" w:rsidRDefault="00761EDA" w:rsidP="00761EDA">
      <w:pPr>
        <w:autoSpaceDE w:val="0"/>
        <w:autoSpaceDN w:val="0"/>
        <w:adjustRightInd w:val="0"/>
        <w:spacing w:after="0" w:line="240" w:lineRule="auto"/>
        <w:jc w:val="right"/>
        <w:rPr>
          <w:rFonts w:asciiTheme="minorHAnsi" w:hAnsiTheme="minorHAnsi" w:cstheme="minorHAnsi"/>
          <w:szCs w:val="22"/>
        </w:rPr>
      </w:pPr>
    </w:p>
    <w:sectPr w:rsidR="00761EDA" w:rsidRPr="005524CC" w:rsidSect="0085259A">
      <w:headerReference w:type="default" r:id="rId8"/>
      <w:footerReference w:type="default" r:id="rId9"/>
      <w:headerReference w:type="first" r:id="rId10"/>
      <w:footerReference w:type="first" r:id="rId11"/>
      <w:pgSz w:w="11909" w:h="16834" w:code="9"/>
      <w:pgMar w:top="1765" w:right="1418" w:bottom="1418" w:left="1418" w:header="45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05" w:rsidRDefault="00C86605">
      <w:r>
        <w:separator/>
      </w:r>
    </w:p>
  </w:endnote>
  <w:endnote w:type="continuationSeparator" w:id="0">
    <w:p w:rsidR="00C86605" w:rsidRDefault="00C86605">
      <w:r>
        <w:continuationSeparator/>
      </w:r>
    </w:p>
  </w:endnote>
</w:endnotes>
</file>

<file path=word/fontTable.xml><?xml version="1.0" encoding="utf-8"?>
<w:fonts xmlns:r="http://schemas.openxmlformats.org/officeDocument/2006/relationships" xmlns:w="http://schemas.openxmlformats.org/wordprocessingml/2006/main">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4563"/>
      <w:docPartObj>
        <w:docPartGallery w:val="Page Numbers (Bottom of Page)"/>
        <w:docPartUnique/>
      </w:docPartObj>
    </w:sdtPr>
    <w:sdtContent>
      <w:sdt>
        <w:sdtPr>
          <w:id w:val="98381352"/>
          <w:docPartObj>
            <w:docPartGallery w:val="Page Numbers (Top of Page)"/>
            <w:docPartUnique/>
          </w:docPartObj>
        </w:sdtPr>
        <w:sdtContent>
          <w:p w:rsidR="003B7A31" w:rsidRDefault="003B7A31" w:rsidP="009D512D">
            <w:pPr>
              <w:pStyle w:val="Footer"/>
              <w:jc w:val="right"/>
            </w:pPr>
            <w:r>
              <w:t xml:space="preserve">Strana </w:t>
            </w:r>
            <w:r w:rsidR="0007212B">
              <w:rPr>
                <w:b/>
                <w:sz w:val="24"/>
              </w:rPr>
              <w:fldChar w:fldCharType="begin"/>
            </w:r>
            <w:r>
              <w:rPr>
                <w:b/>
              </w:rPr>
              <w:instrText xml:space="preserve"> PAGE </w:instrText>
            </w:r>
            <w:r w:rsidR="0007212B">
              <w:rPr>
                <w:b/>
                <w:sz w:val="24"/>
              </w:rPr>
              <w:fldChar w:fldCharType="separate"/>
            </w:r>
            <w:r w:rsidR="003D5C97">
              <w:rPr>
                <w:b/>
                <w:noProof/>
              </w:rPr>
              <w:t>2</w:t>
            </w:r>
            <w:r w:rsidR="0007212B">
              <w:rPr>
                <w:b/>
                <w:sz w:val="24"/>
              </w:rPr>
              <w:fldChar w:fldCharType="end"/>
            </w:r>
            <w:r>
              <w:t xml:space="preserve"> od </w:t>
            </w:r>
            <w:r w:rsidR="0007212B">
              <w:rPr>
                <w:b/>
                <w:sz w:val="24"/>
              </w:rPr>
              <w:fldChar w:fldCharType="begin"/>
            </w:r>
            <w:r>
              <w:rPr>
                <w:b/>
              </w:rPr>
              <w:instrText xml:space="preserve"> NUMPAGES  </w:instrText>
            </w:r>
            <w:r w:rsidR="0007212B">
              <w:rPr>
                <w:b/>
                <w:sz w:val="24"/>
              </w:rPr>
              <w:fldChar w:fldCharType="separate"/>
            </w:r>
            <w:r w:rsidR="003D5C97">
              <w:rPr>
                <w:b/>
                <w:noProof/>
              </w:rPr>
              <w:t>29</w:t>
            </w:r>
            <w:r w:rsidR="0007212B">
              <w:rPr>
                <w:b/>
                <w:sz w:val="24"/>
              </w:rPr>
              <w:fldChar w:fldCharType="end"/>
            </w:r>
          </w:p>
        </w:sdtContent>
      </w:sdt>
    </w:sdtContent>
  </w:sdt>
  <w:p w:rsidR="003B7A31" w:rsidRDefault="003B7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31" w:rsidRPr="00F65B6C" w:rsidRDefault="0007212B"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noProof/>
        <w:color w:val="FFFFFF"/>
        <w:sz w:val="18"/>
        <w:szCs w:val="18"/>
        <w:lang w:val="en-US"/>
      </w:rPr>
      <w:pict>
        <v:shapetype id="_x0000_t32" coordsize="21600,21600" o:spt="32" o:oned="t" path="m,l21600,21600e" filled="f">
          <v:path arrowok="t" fillok="f" o:connecttype="none"/>
          <o:lock v:ext="edit" shapetype="t"/>
        </v:shapetype>
        <v:shape id="AutoShape 1" o:spid="_x0000_s2052" type="#_x0000_t32" style="position:absolute;left:0;text-align:left;margin-left:2.25pt;margin-top:2.5pt;width:449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" strokecolor="#005f91"/>
      </w:pict>
    </w:r>
    <w:r w:rsidRPr="00F65B6C">
      <w:rPr>
        <w:color w:val="FFFFFF"/>
      </w:rPr>
      <w:fldChar w:fldCharType="begin"/>
    </w:r>
    <w:r w:rsidR="003B7A31" w:rsidRPr="00F65B6C">
      <w:rPr>
        <w:color w:val="FFFFFF"/>
      </w:rPr>
      <w:instrText xml:space="preserve"> PAGE   \* MERGEFORMAT </w:instrText>
    </w:r>
    <w:r w:rsidRPr="00F65B6C">
      <w:rPr>
        <w:color w:val="FFFFFF"/>
      </w:rPr>
      <w:fldChar w:fldCharType="separate"/>
    </w:r>
    <w:r w:rsidR="003D5C97">
      <w:rPr>
        <w:noProof/>
        <w:color w:val="FFFFFF"/>
      </w:rPr>
      <w:t>1</w:t>
    </w:r>
    <w:r w:rsidRPr="00F65B6C">
      <w:rPr>
        <w:color w:val="FFFFFF"/>
      </w:rPr>
      <w:fldChar w:fldCharType="end"/>
    </w:r>
  </w:p>
  <w:p w:rsidR="003B7A31" w:rsidRPr="006803FB" w:rsidRDefault="003B7A31" w:rsidP="00CC5C73">
    <w:pPr>
      <w:pStyle w:val="Footer"/>
      <w:tabs>
        <w:tab w:val="clear" w:pos="8640"/>
        <w:tab w:val="left" w:pos="6240"/>
      </w:tabs>
      <w:spacing w:after="0" w:line="240" w:lineRule="auto"/>
      <w:ind w:left="-57"/>
      <w:rPr>
        <w:rFonts w:ascii="Calibri" w:hAnsi="Calibri"/>
        <w:color w:val="005F91"/>
        <w:sz w:val="18"/>
        <w:szCs w:val="18"/>
      </w:rPr>
    </w:pPr>
    <w:r w:rsidRPr="006803FB">
      <w:rPr>
        <w:rFonts w:ascii="Calibri" w:hAnsi="Calibri"/>
        <w:color w:val="005F91"/>
        <w:sz w:val="18"/>
        <w:szCs w:val="18"/>
      </w:rPr>
      <w:t>Adresa: Ul. Dervish Rozhaja br. 12, 10000 Priština, Kosovo</w:t>
    </w:r>
  </w:p>
  <w:p w:rsidR="003B7A31" w:rsidRPr="006803FB" w:rsidRDefault="003B7A31" w:rsidP="00CC5C73">
    <w:pPr>
      <w:pStyle w:val="Footer"/>
      <w:tabs>
        <w:tab w:val="clear" w:pos="8640"/>
        <w:tab w:val="left" w:pos="6240"/>
      </w:tabs>
      <w:spacing w:after="0" w:line="240" w:lineRule="auto"/>
      <w:ind w:left="-57"/>
      <w:rPr>
        <w:rFonts w:ascii="Calibri" w:hAnsi="Calibri"/>
        <w:color w:val="005F91"/>
        <w:sz w:val="18"/>
        <w:szCs w:val="18"/>
      </w:rPr>
    </w:pPr>
    <w:r w:rsidRPr="006803FB">
      <w:rPr>
        <w:rFonts w:ascii="Calibri" w:hAnsi="Calibri"/>
        <w:color w:val="005F91"/>
        <w:sz w:val="18"/>
        <w:szCs w:val="18"/>
      </w:rPr>
      <w:t>Tel: 038 247 615 lok. 101, Fax: 038 247 620, E-mail: info@ero-ks.org, veb: www.ero-ks.org</w:t>
    </w:r>
  </w:p>
  <w:p w:rsidR="003B7A31" w:rsidRDefault="003B7A31" w:rsidP="00CC5C73">
    <w:pPr>
      <w:pStyle w:val="Footer"/>
      <w:tabs>
        <w:tab w:val="clear" w:pos="4320"/>
        <w:tab w:val="clear" w:pos="8640"/>
        <w:tab w:val="left" w:pos="10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05" w:rsidRDefault="00C86605">
      <w:r>
        <w:separator/>
      </w:r>
    </w:p>
  </w:footnote>
  <w:footnote w:type="continuationSeparator" w:id="0">
    <w:p w:rsidR="00C86605" w:rsidRDefault="00C86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31" w:rsidRPr="00E075FD" w:rsidRDefault="0007212B" w:rsidP="00313D14">
    <w:pPr>
      <w:pStyle w:val="Header"/>
      <w:tabs>
        <w:tab w:val="clear" w:pos="4320"/>
        <w:tab w:val="clear" w:pos="8640"/>
        <w:tab w:val="left" w:pos="810"/>
      </w:tabs>
      <w:rPr>
        <w:szCs w:val="22"/>
      </w:rPr>
    </w:pPr>
    <w:sdt>
      <w:sdtPr>
        <w:id w:val="765036568"/>
        <w:docPartObj>
          <w:docPartGallery w:val="Watermarks"/>
          <w:docPartUnique/>
        </w:docPartObj>
      </w:sdtPr>
      <w:sdtContent>
        <w:r w:rsidRPr="0007212B">
          <w:rPr>
            <w:noProof/>
            <w:lang w:val="sq-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7A31">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58.5pt" o:ole="">
          <v:imagedata r:id="rId1" o:title=""/>
        </v:shape>
        <o:OLEObject Type="Embed" ProgID="CorelDRAW.Graphic.14" ShapeID="_x0000_i1026" DrawAspect="Content" ObjectID="_1667202495"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31" w:rsidRPr="00C54EA0" w:rsidRDefault="003B7A31"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3B7A31" w:rsidRPr="0085259A" w:rsidRDefault="003B7A31" w:rsidP="00974BC8">
    <w:pPr>
      <w:pStyle w:val="Header"/>
      <w:tabs>
        <w:tab w:val="clear" w:pos="4320"/>
        <w:tab w:val="clear" w:pos="8640"/>
        <w:tab w:val="center" w:pos="4500"/>
        <w:tab w:val="right" w:pos="9000"/>
      </w:tabs>
      <w:ind w:right="73"/>
      <w:rPr>
        <w:b/>
        <w:u w:val="dott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1F05"/>
    <w:multiLevelType w:val="hybridMultilevel"/>
    <w:tmpl w:val="66949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92D13"/>
    <w:multiLevelType w:val="hybridMultilevel"/>
    <w:tmpl w:val="EE4EE864"/>
    <w:lvl w:ilvl="0" w:tplc="BCDCC458">
      <w:numFmt w:val="bullet"/>
      <w:lvlText w:val="•"/>
      <w:lvlJc w:val="left"/>
      <w:pPr>
        <w:ind w:left="720" w:hanging="360"/>
      </w:pPr>
      <w:rPr>
        <w:rFonts w:ascii="Gill Sans MT" w:eastAsiaTheme="minorHAnsi" w:hAnsi="Gill Sans MT"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882374C"/>
    <w:multiLevelType w:val="hybridMultilevel"/>
    <w:tmpl w:val="312A6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0006D8"/>
    <w:multiLevelType w:val="hybridMultilevel"/>
    <w:tmpl w:val="9C46A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B0AF3"/>
    <w:multiLevelType w:val="hybridMultilevel"/>
    <w:tmpl w:val="892A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E55F0"/>
    <w:multiLevelType w:val="hybridMultilevel"/>
    <w:tmpl w:val="29749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2A2402"/>
    <w:multiLevelType w:val="hybridMultilevel"/>
    <w:tmpl w:val="53045656"/>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422827B6"/>
    <w:multiLevelType w:val="hybridMultilevel"/>
    <w:tmpl w:val="7C8C6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91CF1"/>
    <w:multiLevelType w:val="hybridMultilevel"/>
    <w:tmpl w:val="0A1C5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43E4EFA"/>
    <w:multiLevelType w:val="hybridMultilevel"/>
    <w:tmpl w:val="3BEC2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A236A4"/>
    <w:multiLevelType w:val="multilevel"/>
    <w:tmpl w:val="0409001F"/>
    <w:lvl w:ilvl="0">
      <w:start w:val="1"/>
      <w:numFmt w:val="decimal"/>
      <w:lvlText w:val="%1."/>
      <w:lvlJc w:val="left"/>
      <w:pPr>
        <w:ind w:left="557" w:hanging="360"/>
      </w:pPr>
    </w:lvl>
    <w:lvl w:ilvl="1">
      <w:start w:val="1"/>
      <w:numFmt w:val="decimal"/>
      <w:lvlText w:val="%1.%2."/>
      <w:lvlJc w:val="left"/>
      <w:pPr>
        <w:ind w:left="972" w:hanging="432"/>
      </w:pPr>
    </w:lvl>
    <w:lvl w:ilvl="2">
      <w:start w:val="1"/>
      <w:numFmt w:val="decimal"/>
      <w:lvlText w:val="%1.%2.%3."/>
      <w:lvlJc w:val="left"/>
      <w:pPr>
        <w:ind w:left="1421" w:hanging="504"/>
      </w:pPr>
    </w:lvl>
    <w:lvl w:ilvl="3">
      <w:start w:val="1"/>
      <w:numFmt w:val="decimal"/>
      <w:lvlText w:val="%1.%2.%3.%4."/>
      <w:lvlJc w:val="left"/>
      <w:pPr>
        <w:ind w:left="1925" w:hanging="648"/>
      </w:pPr>
    </w:lvl>
    <w:lvl w:ilvl="4">
      <w:start w:val="1"/>
      <w:numFmt w:val="decimal"/>
      <w:lvlText w:val="%1.%2.%3.%4.%5."/>
      <w:lvlJc w:val="left"/>
      <w:pPr>
        <w:ind w:left="2429" w:hanging="792"/>
      </w:pPr>
    </w:lvl>
    <w:lvl w:ilvl="5">
      <w:start w:val="1"/>
      <w:numFmt w:val="decimal"/>
      <w:lvlText w:val="%1.%2.%3.%4.%5.%6."/>
      <w:lvlJc w:val="left"/>
      <w:pPr>
        <w:ind w:left="2933" w:hanging="936"/>
      </w:pPr>
    </w:lvl>
    <w:lvl w:ilvl="6">
      <w:start w:val="1"/>
      <w:numFmt w:val="decimal"/>
      <w:lvlText w:val="%1.%2.%3.%4.%5.%6.%7."/>
      <w:lvlJc w:val="left"/>
      <w:pPr>
        <w:ind w:left="3437" w:hanging="1080"/>
      </w:pPr>
    </w:lvl>
    <w:lvl w:ilvl="7">
      <w:start w:val="1"/>
      <w:numFmt w:val="decimal"/>
      <w:lvlText w:val="%1.%2.%3.%4.%5.%6.%7.%8."/>
      <w:lvlJc w:val="left"/>
      <w:pPr>
        <w:ind w:left="3941" w:hanging="1224"/>
      </w:pPr>
    </w:lvl>
    <w:lvl w:ilvl="8">
      <w:start w:val="1"/>
      <w:numFmt w:val="decimal"/>
      <w:lvlText w:val="%1.%2.%3.%4.%5.%6.%7.%8.%9."/>
      <w:lvlJc w:val="left"/>
      <w:pPr>
        <w:ind w:left="4517" w:hanging="1440"/>
      </w:pPr>
    </w:lvl>
  </w:abstractNum>
  <w:abstractNum w:abstractNumId="14">
    <w:nsid w:val="51A60266"/>
    <w:multiLevelType w:val="hybridMultilevel"/>
    <w:tmpl w:val="261C69A8"/>
    <w:lvl w:ilvl="0" w:tplc="FFFFFFFF">
      <w:start w:val="1"/>
      <w:numFmt w:val="bullet"/>
      <w:pStyle w:val="Bulletlist1"/>
      <w:lvlText w:val=""/>
      <w:lvlJc w:val="left"/>
      <w:pPr>
        <w:tabs>
          <w:tab w:val="num" w:pos="360"/>
        </w:tabs>
        <w:ind w:left="360" w:hanging="360"/>
      </w:pPr>
      <w:rPr>
        <w:rFonts w:ascii="Symbol" w:hAnsi="Symbol" w:hint="default"/>
        <w:color w:val="666699"/>
        <w:sz w:val="24"/>
        <w:szCs w:val="24"/>
        <w:lang w:val="en-G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3FE014F"/>
    <w:multiLevelType w:val="hybridMultilevel"/>
    <w:tmpl w:val="BAF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C2D94"/>
    <w:multiLevelType w:val="hybridMultilevel"/>
    <w:tmpl w:val="90BE7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103B1"/>
    <w:multiLevelType w:val="hybridMultilevel"/>
    <w:tmpl w:val="9C4E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B7D82"/>
    <w:multiLevelType w:val="multilevel"/>
    <w:tmpl w:val="530EB16C"/>
    <w:lvl w:ilvl="0">
      <w:start w:val="1"/>
      <w:numFmt w:val="decimal"/>
      <w:lvlText w:val="%1"/>
      <w:lvlJc w:val="left"/>
      <w:pPr>
        <w:tabs>
          <w:tab w:val="num" w:pos="432"/>
        </w:tabs>
        <w:ind w:left="432" w:hanging="432"/>
      </w:pPr>
    </w:lvl>
    <w:lvl w:ilvl="1">
      <w:start w:val="1"/>
      <w:numFmt w:val="decimal"/>
      <w:lvlText w:val="%1.%2"/>
      <w:lvlJc w:val="left"/>
      <w:pPr>
        <w:tabs>
          <w:tab w:val="num" w:pos="669"/>
        </w:tabs>
        <w:ind w:left="669" w:hanging="576"/>
      </w:pPr>
    </w:lvl>
    <w:lvl w:ilvl="2">
      <w:start w:val="1"/>
      <w:numFmt w:val="decimal"/>
      <w:lvlText w:val="%1.%2.%3"/>
      <w:lvlJc w:val="left"/>
      <w:pPr>
        <w:tabs>
          <w:tab w:val="num" w:pos="810"/>
        </w:tabs>
        <w:ind w:left="81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CDD495B"/>
    <w:multiLevelType w:val="hybridMultilevel"/>
    <w:tmpl w:val="E2486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9600E"/>
    <w:multiLevelType w:val="hybridMultilevel"/>
    <w:tmpl w:val="AD38F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C5748"/>
    <w:multiLevelType w:val="hybridMultilevel"/>
    <w:tmpl w:val="5C242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F0DDD"/>
    <w:multiLevelType w:val="hybridMultilevel"/>
    <w:tmpl w:val="1E169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EC255F3"/>
    <w:multiLevelType w:val="hybridMultilevel"/>
    <w:tmpl w:val="3E9C3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37C92"/>
    <w:multiLevelType w:val="hybridMultilevel"/>
    <w:tmpl w:val="7E2A7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515FB"/>
    <w:multiLevelType w:val="hybridMultilevel"/>
    <w:tmpl w:val="65AE3222"/>
    <w:lvl w:ilvl="0" w:tplc="C3E80F0E">
      <w:start w:val="1"/>
      <w:numFmt w:val="bullet"/>
      <w:pStyle w:val="TextBoxbullet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2517BD"/>
    <w:multiLevelType w:val="hybridMultilevel"/>
    <w:tmpl w:val="A816E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3"/>
  </w:num>
  <w:num w:numId="4">
    <w:abstractNumId w:val="11"/>
  </w:num>
  <w:num w:numId="5">
    <w:abstractNumId w:val="8"/>
  </w:num>
  <w:num w:numId="6">
    <w:abstractNumId w:val="0"/>
  </w:num>
  <w:num w:numId="7">
    <w:abstractNumId w:val="9"/>
  </w:num>
  <w:num w:numId="8">
    <w:abstractNumId w:val="4"/>
  </w:num>
  <w:num w:numId="9">
    <w:abstractNumId w:val="26"/>
  </w:num>
  <w:num w:numId="10">
    <w:abstractNumId w:val="15"/>
  </w:num>
  <w:num w:numId="11">
    <w:abstractNumId w:val="14"/>
  </w:num>
  <w:num w:numId="12">
    <w:abstractNumId w:val="27"/>
  </w:num>
  <w:num w:numId="13">
    <w:abstractNumId w:val="10"/>
  </w:num>
  <w:num w:numId="14">
    <w:abstractNumId w:val="5"/>
  </w:num>
  <w:num w:numId="15">
    <w:abstractNumId w:val="3"/>
  </w:num>
  <w:num w:numId="16">
    <w:abstractNumId w:val="19"/>
  </w:num>
  <w:num w:numId="17">
    <w:abstractNumId w:val="18"/>
  </w:num>
  <w:num w:numId="18">
    <w:abstractNumId w:val="24"/>
  </w:num>
  <w:num w:numId="19">
    <w:abstractNumId w:val="16"/>
  </w:num>
  <w:num w:numId="20">
    <w:abstractNumId w:val="22"/>
  </w:num>
  <w:num w:numId="21">
    <w:abstractNumId w:val="20"/>
  </w:num>
  <w:num w:numId="22">
    <w:abstractNumId w:val="17"/>
  </w:num>
  <w:num w:numId="23">
    <w:abstractNumId w:val="25"/>
  </w:num>
  <w:num w:numId="24">
    <w:abstractNumId w:val="21"/>
  </w:num>
  <w:num w:numId="25">
    <w:abstractNumId w:val="1"/>
  </w:num>
  <w:num w:numId="26">
    <w:abstractNumId w:val="13"/>
  </w:num>
  <w:num w:numId="27">
    <w:abstractNumId w:val="2"/>
  </w:num>
  <w:num w:numId="2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proofState w:spelling="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10242">
      <o:colormru v:ext="edit" colors="#005f91"/>
    </o:shapedefaults>
    <o:shapelayout v:ext="edit">
      <o:idmap v:ext="edit" data="2"/>
      <o:rules v:ext="edit">
        <o:r id="V:Rule2" type="connector" idref="#AutoShape 1"/>
      </o:rules>
    </o:shapelayout>
  </w:hdrShapeDefaults>
  <w:footnotePr>
    <w:footnote w:id="-1"/>
    <w:footnote w:id="0"/>
  </w:footnotePr>
  <w:endnotePr>
    <w:endnote w:id="-1"/>
    <w:endnote w:id="0"/>
  </w:endnotePr>
  <w:compat>
    <w:useFELayout/>
  </w:compat>
  <w:rsids>
    <w:rsidRoot w:val="00787178"/>
    <w:rsid w:val="00003D33"/>
    <w:rsid w:val="00004C69"/>
    <w:rsid w:val="00005251"/>
    <w:rsid w:val="00005331"/>
    <w:rsid w:val="00007DF6"/>
    <w:rsid w:val="000110F2"/>
    <w:rsid w:val="00012C1B"/>
    <w:rsid w:val="00020949"/>
    <w:rsid w:val="000218A7"/>
    <w:rsid w:val="000224A1"/>
    <w:rsid w:val="00027D14"/>
    <w:rsid w:val="00027D1E"/>
    <w:rsid w:val="00027E99"/>
    <w:rsid w:val="000342A2"/>
    <w:rsid w:val="000361B3"/>
    <w:rsid w:val="0004249C"/>
    <w:rsid w:val="0004531B"/>
    <w:rsid w:val="00045FBF"/>
    <w:rsid w:val="00050381"/>
    <w:rsid w:val="00051AFD"/>
    <w:rsid w:val="0005216D"/>
    <w:rsid w:val="00052F4E"/>
    <w:rsid w:val="0005579A"/>
    <w:rsid w:val="00060F0B"/>
    <w:rsid w:val="00062152"/>
    <w:rsid w:val="000656DC"/>
    <w:rsid w:val="00066B59"/>
    <w:rsid w:val="0007026B"/>
    <w:rsid w:val="00071F93"/>
    <w:rsid w:val="0007212B"/>
    <w:rsid w:val="000726EB"/>
    <w:rsid w:val="00073134"/>
    <w:rsid w:val="0007635B"/>
    <w:rsid w:val="00077E9A"/>
    <w:rsid w:val="000833A7"/>
    <w:rsid w:val="000843DF"/>
    <w:rsid w:val="00084778"/>
    <w:rsid w:val="00085767"/>
    <w:rsid w:val="00090DF4"/>
    <w:rsid w:val="00092E1D"/>
    <w:rsid w:val="000955E2"/>
    <w:rsid w:val="000A154C"/>
    <w:rsid w:val="000A2821"/>
    <w:rsid w:val="000A28A8"/>
    <w:rsid w:val="000A3719"/>
    <w:rsid w:val="000A44C3"/>
    <w:rsid w:val="000A4AA2"/>
    <w:rsid w:val="000A5F4E"/>
    <w:rsid w:val="000A600F"/>
    <w:rsid w:val="000A6BC1"/>
    <w:rsid w:val="000B110C"/>
    <w:rsid w:val="000B15D4"/>
    <w:rsid w:val="000B2755"/>
    <w:rsid w:val="000B3666"/>
    <w:rsid w:val="000B6036"/>
    <w:rsid w:val="000C092E"/>
    <w:rsid w:val="000C22AA"/>
    <w:rsid w:val="000C2538"/>
    <w:rsid w:val="000C57CC"/>
    <w:rsid w:val="000C63AA"/>
    <w:rsid w:val="000C6A18"/>
    <w:rsid w:val="000D0ED7"/>
    <w:rsid w:val="000D7A54"/>
    <w:rsid w:val="000E0E10"/>
    <w:rsid w:val="000E4282"/>
    <w:rsid w:val="000E4F06"/>
    <w:rsid w:val="000E6C77"/>
    <w:rsid w:val="000E7116"/>
    <w:rsid w:val="000E7957"/>
    <w:rsid w:val="000F3019"/>
    <w:rsid w:val="000F3047"/>
    <w:rsid w:val="000F4AC2"/>
    <w:rsid w:val="000F6AC3"/>
    <w:rsid w:val="000F70BD"/>
    <w:rsid w:val="0010289D"/>
    <w:rsid w:val="001037F2"/>
    <w:rsid w:val="00104542"/>
    <w:rsid w:val="001116FE"/>
    <w:rsid w:val="00111CBE"/>
    <w:rsid w:val="00112B2C"/>
    <w:rsid w:val="00113696"/>
    <w:rsid w:val="001138D0"/>
    <w:rsid w:val="001217F0"/>
    <w:rsid w:val="001218A2"/>
    <w:rsid w:val="00122782"/>
    <w:rsid w:val="00123F92"/>
    <w:rsid w:val="00135853"/>
    <w:rsid w:val="00137A43"/>
    <w:rsid w:val="0014047E"/>
    <w:rsid w:val="0014453F"/>
    <w:rsid w:val="00145358"/>
    <w:rsid w:val="0014601B"/>
    <w:rsid w:val="00150D3E"/>
    <w:rsid w:val="00155DB2"/>
    <w:rsid w:val="00157D83"/>
    <w:rsid w:val="00160337"/>
    <w:rsid w:val="001604CE"/>
    <w:rsid w:val="00162839"/>
    <w:rsid w:val="00162F3E"/>
    <w:rsid w:val="00165AFE"/>
    <w:rsid w:val="00166396"/>
    <w:rsid w:val="00175E12"/>
    <w:rsid w:val="0017670B"/>
    <w:rsid w:val="0018149C"/>
    <w:rsid w:val="00183623"/>
    <w:rsid w:val="001845F9"/>
    <w:rsid w:val="001850DD"/>
    <w:rsid w:val="0018590D"/>
    <w:rsid w:val="00193BC6"/>
    <w:rsid w:val="00196A61"/>
    <w:rsid w:val="001A2042"/>
    <w:rsid w:val="001A7251"/>
    <w:rsid w:val="001A7485"/>
    <w:rsid w:val="001A74E6"/>
    <w:rsid w:val="001B0367"/>
    <w:rsid w:val="001B060D"/>
    <w:rsid w:val="001B13C7"/>
    <w:rsid w:val="001B1A2A"/>
    <w:rsid w:val="001B1CF9"/>
    <w:rsid w:val="001B50D7"/>
    <w:rsid w:val="001B5874"/>
    <w:rsid w:val="001B5E9C"/>
    <w:rsid w:val="001B6D12"/>
    <w:rsid w:val="001C43EE"/>
    <w:rsid w:val="001C4925"/>
    <w:rsid w:val="001D0127"/>
    <w:rsid w:val="001D7426"/>
    <w:rsid w:val="001E08E6"/>
    <w:rsid w:val="001E578D"/>
    <w:rsid w:val="001E6287"/>
    <w:rsid w:val="001F2B48"/>
    <w:rsid w:val="001F361C"/>
    <w:rsid w:val="001F646D"/>
    <w:rsid w:val="001F6668"/>
    <w:rsid w:val="001F6D03"/>
    <w:rsid w:val="001F7EF2"/>
    <w:rsid w:val="002007EE"/>
    <w:rsid w:val="0020082B"/>
    <w:rsid w:val="00200EE3"/>
    <w:rsid w:val="00203B49"/>
    <w:rsid w:val="002072E4"/>
    <w:rsid w:val="0020752C"/>
    <w:rsid w:val="002106EA"/>
    <w:rsid w:val="00212A04"/>
    <w:rsid w:val="0021327A"/>
    <w:rsid w:val="002135C7"/>
    <w:rsid w:val="002158B4"/>
    <w:rsid w:val="0021653F"/>
    <w:rsid w:val="002209E6"/>
    <w:rsid w:val="00225781"/>
    <w:rsid w:val="0022608D"/>
    <w:rsid w:val="00226A31"/>
    <w:rsid w:val="00226DCC"/>
    <w:rsid w:val="00231F00"/>
    <w:rsid w:val="00232C55"/>
    <w:rsid w:val="002336F8"/>
    <w:rsid w:val="00240087"/>
    <w:rsid w:val="002410BB"/>
    <w:rsid w:val="00243487"/>
    <w:rsid w:val="00251E37"/>
    <w:rsid w:val="00253113"/>
    <w:rsid w:val="00256611"/>
    <w:rsid w:val="0025775D"/>
    <w:rsid w:val="00261756"/>
    <w:rsid w:val="00264077"/>
    <w:rsid w:val="002666B2"/>
    <w:rsid w:val="00267C88"/>
    <w:rsid w:val="00277E59"/>
    <w:rsid w:val="002813B0"/>
    <w:rsid w:val="00282D21"/>
    <w:rsid w:val="00287984"/>
    <w:rsid w:val="00291406"/>
    <w:rsid w:val="00291D5E"/>
    <w:rsid w:val="00294453"/>
    <w:rsid w:val="00296ECD"/>
    <w:rsid w:val="0029721C"/>
    <w:rsid w:val="002A2A69"/>
    <w:rsid w:val="002A2B71"/>
    <w:rsid w:val="002A34F5"/>
    <w:rsid w:val="002B312A"/>
    <w:rsid w:val="002B68FF"/>
    <w:rsid w:val="002B6D79"/>
    <w:rsid w:val="002C5E07"/>
    <w:rsid w:val="002D0050"/>
    <w:rsid w:val="002D1940"/>
    <w:rsid w:val="002D2D81"/>
    <w:rsid w:val="002D37B8"/>
    <w:rsid w:val="002D46FC"/>
    <w:rsid w:val="002E0A19"/>
    <w:rsid w:val="002E2DE0"/>
    <w:rsid w:val="002E4D81"/>
    <w:rsid w:val="002E4FD3"/>
    <w:rsid w:val="002F07DA"/>
    <w:rsid w:val="002F152A"/>
    <w:rsid w:val="002F4A3F"/>
    <w:rsid w:val="002F6ED3"/>
    <w:rsid w:val="00301181"/>
    <w:rsid w:val="00303D46"/>
    <w:rsid w:val="003043F5"/>
    <w:rsid w:val="003048B4"/>
    <w:rsid w:val="003072E2"/>
    <w:rsid w:val="00307523"/>
    <w:rsid w:val="003118CF"/>
    <w:rsid w:val="003134A0"/>
    <w:rsid w:val="00313D14"/>
    <w:rsid w:val="00316DAF"/>
    <w:rsid w:val="00317B50"/>
    <w:rsid w:val="00322BC6"/>
    <w:rsid w:val="00323063"/>
    <w:rsid w:val="003270FC"/>
    <w:rsid w:val="00327E77"/>
    <w:rsid w:val="00330D35"/>
    <w:rsid w:val="00330D46"/>
    <w:rsid w:val="00332D82"/>
    <w:rsid w:val="00334119"/>
    <w:rsid w:val="003350EA"/>
    <w:rsid w:val="0033750C"/>
    <w:rsid w:val="00345207"/>
    <w:rsid w:val="003468ED"/>
    <w:rsid w:val="003513FC"/>
    <w:rsid w:val="00354E8E"/>
    <w:rsid w:val="0035518C"/>
    <w:rsid w:val="00356338"/>
    <w:rsid w:val="00356AD0"/>
    <w:rsid w:val="003654CA"/>
    <w:rsid w:val="00367F56"/>
    <w:rsid w:val="003709DE"/>
    <w:rsid w:val="00371936"/>
    <w:rsid w:val="00371C72"/>
    <w:rsid w:val="00371FEF"/>
    <w:rsid w:val="003764AF"/>
    <w:rsid w:val="00376DB3"/>
    <w:rsid w:val="0038486A"/>
    <w:rsid w:val="0038681D"/>
    <w:rsid w:val="00386836"/>
    <w:rsid w:val="00390090"/>
    <w:rsid w:val="00394488"/>
    <w:rsid w:val="003A0C05"/>
    <w:rsid w:val="003A4914"/>
    <w:rsid w:val="003A59B4"/>
    <w:rsid w:val="003A7C36"/>
    <w:rsid w:val="003B2439"/>
    <w:rsid w:val="003B359C"/>
    <w:rsid w:val="003B47C4"/>
    <w:rsid w:val="003B612F"/>
    <w:rsid w:val="003B70F3"/>
    <w:rsid w:val="003B7A31"/>
    <w:rsid w:val="003C3F30"/>
    <w:rsid w:val="003C5247"/>
    <w:rsid w:val="003D5C97"/>
    <w:rsid w:val="003E14D9"/>
    <w:rsid w:val="003E2CC0"/>
    <w:rsid w:val="003E4526"/>
    <w:rsid w:val="003E50CE"/>
    <w:rsid w:val="003E5EC7"/>
    <w:rsid w:val="003F2075"/>
    <w:rsid w:val="003F21FB"/>
    <w:rsid w:val="003F252A"/>
    <w:rsid w:val="003F4BA2"/>
    <w:rsid w:val="003F53D1"/>
    <w:rsid w:val="003F6EEB"/>
    <w:rsid w:val="003F7DEA"/>
    <w:rsid w:val="00405D8C"/>
    <w:rsid w:val="00405F86"/>
    <w:rsid w:val="00407A96"/>
    <w:rsid w:val="00407E6E"/>
    <w:rsid w:val="004143C2"/>
    <w:rsid w:val="004158BE"/>
    <w:rsid w:val="00416207"/>
    <w:rsid w:val="00420355"/>
    <w:rsid w:val="004239F1"/>
    <w:rsid w:val="00424850"/>
    <w:rsid w:val="00424D48"/>
    <w:rsid w:val="00427EB8"/>
    <w:rsid w:val="00430C40"/>
    <w:rsid w:val="00430D98"/>
    <w:rsid w:val="00430F8F"/>
    <w:rsid w:val="0043352B"/>
    <w:rsid w:val="0043499B"/>
    <w:rsid w:val="00435EB9"/>
    <w:rsid w:val="00442253"/>
    <w:rsid w:val="00445E9C"/>
    <w:rsid w:val="00446A88"/>
    <w:rsid w:val="00450F10"/>
    <w:rsid w:val="004515A1"/>
    <w:rsid w:val="00454435"/>
    <w:rsid w:val="00456B8A"/>
    <w:rsid w:val="0046376D"/>
    <w:rsid w:val="00467049"/>
    <w:rsid w:val="00470196"/>
    <w:rsid w:val="00470B67"/>
    <w:rsid w:val="00471A8C"/>
    <w:rsid w:val="00475290"/>
    <w:rsid w:val="00476A0E"/>
    <w:rsid w:val="00477ADE"/>
    <w:rsid w:val="00477F9E"/>
    <w:rsid w:val="00483CB3"/>
    <w:rsid w:val="004840B0"/>
    <w:rsid w:val="00486130"/>
    <w:rsid w:val="00486702"/>
    <w:rsid w:val="00491602"/>
    <w:rsid w:val="0049165C"/>
    <w:rsid w:val="004A017B"/>
    <w:rsid w:val="004A09B1"/>
    <w:rsid w:val="004A2DDD"/>
    <w:rsid w:val="004A3B39"/>
    <w:rsid w:val="004A6479"/>
    <w:rsid w:val="004A6866"/>
    <w:rsid w:val="004A6E35"/>
    <w:rsid w:val="004B2CFA"/>
    <w:rsid w:val="004B5B28"/>
    <w:rsid w:val="004C1ADE"/>
    <w:rsid w:val="004C2827"/>
    <w:rsid w:val="004C2B1E"/>
    <w:rsid w:val="004C5A3C"/>
    <w:rsid w:val="004C7706"/>
    <w:rsid w:val="004D0853"/>
    <w:rsid w:val="004D0D8D"/>
    <w:rsid w:val="004D2F1B"/>
    <w:rsid w:val="004E0238"/>
    <w:rsid w:val="004E10BF"/>
    <w:rsid w:val="004E1584"/>
    <w:rsid w:val="004E53B5"/>
    <w:rsid w:val="004E6A7D"/>
    <w:rsid w:val="004F2481"/>
    <w:rsid w:val="004F2A50"/>
    <w:rsid w:val="004F2D0A"/>
    <w:rsid w:val="004F4D64"/>
    <w:rsid w:val="00504D96"/>
    <w:rsid w:val="00505393"/>
    <w:rsid w:val="005071F2"/>
    <w:rsid w:val="00512570"/>
    <w:rsid w:val="00513CA0"/>
    <w:rsid w:val="005140DA"/>
    <w:rsid w:val="00520274"/>
    <w:rsid w:val="00523B71"/>
    <w:rsid w:val="0053170C"/>
    <w:rsid w:val="005333AF"/>
    <w:rsid w:val="00541616"/>
    <w:rsid w:val="00541FF5"/>
    <w:rsid w:val="005442DC"/>
    <w:rsid w:val="00545A18"/>
    <w:rsid w:val="005462E8"/>
    <w:rsid w:val="005472AE"/>
    <w:rsid w:val="005523DC"/>
    <w:rsid w:val="005524CC"/>
    <w:rsid w:val="00552765"/>
    <w:rsid w:val="00552D89"/>
    <w:rsid w:val="00555F5D"/>
    <w:rsid w:val="00557307"/>
    <w:rsid w:val="00557A2C"/>
    <w:rsid w:val="005603CA"/>
    <w:rsid w:val="00561E55"/>
    <w:rsid w:val="00563547"/>
    <w:rsid w:val="00564302"/>
    <w:rsid w:val="005659C5"/>
    <w:rsid w:val="00567E78"/>
    <w:rsid w:val="00572A88"/>
    <w:rsid w:val="00573F16"/>
    <w:rsid w:val="005742E6"/>
    <w:rsid w:val="00580081"/>
    <w:rsid w:val="005815C2"/>
    <w:rsid w:val="005824A4"/>
    <w:rsid w:val="005838D5"/>
    <w:rsid w:val="00584C38"/>
    <w:rsid w:val="00584F27"/>
    <w:rsid w:val="00585862"/>
    <w:rsid w:val="005963C1"/>
    <w:rsid w:val="0059648C"/>
    <w:rsid w:val="005A0BB1"/>
    <w:rsid w:val="005A1929"/>
    <w:rsid w:val="005A1D60"/>
    <w:rsid w:val="005A4F01"/>
    <w:rsid w:val="005A66D0"/>
    <w:rsid w:val="005A789C"/>
    <w:rsid w:val="005A7F36"/>
    <w:rsid w:val="005B038E"/>
    <w:rsid w:val="005B4C30"/>
    <w:rsid w:val="005B5285"/>
    <w:rsid w:val="005B57AD"/>
    <w:rsid w:val="005B5B59"/>
    <w:rsid w:val="005C08B6"/>
    <w:rsid w:val="005D0FA5"/>
    <w:rsid w:val="005D1577"/>
    <w:rsid w:val="005D29E7"/>
    <w:rsid w:val="005D2D3F"/>
    <w:rsid w:val="005E0C78"/>
    <w:rsid w:val="005E207C"/>
    <w:rsid w:val="005E28DB"/>
    <w:rsid w:val="005E4311"/>
    <w:rsid w:val="005E51D2"/>
    <w:rsid w:val="005F0C1C"/>
    <w:rsid w:val="005F0E8F"/>
    <w:rsid w:val="005F128A"/>
    <w:rsid w:val="005F4101"/>
    <w:rsid w:val="005F5120"/>
    <w:rsid w:val="005F5EB4"/>
    <w:rsid w:val="005F661A"/>
    <w:rsid w:val="005F6AE1"/>
    <w:rsid w:val="005F737A"/>
    <w:rsid w:val="005F7C2C"/>
    <w:rsid w:val="00600749"/>
    <w:rsid w:val="00602CD9"/>
    <w:rsid w:val="00602E62"/>
    <w:rsid w:val="006031BA"/>
    <w:rsid w:val="00603BC1"/>
    <w:rsid w:val="00606207"/>
    <w:rsid w:val="00606D7E"/>
    <w:rsid w:val="00607622"/>
    <w:rsid w:val="00607673"/>
    <w:rsid w:val="00607B50"/>
    <w:rsid w:val="006104DB"/>
    <w:rsid w:val="00610F63"/>
    <w:rsid w:val="0061437B"/>
    <w:rsid w:val="00615F12"/>
    <w:rsid w:val="006220B5"/>
    <w:rsid w:val="006223A7"/>
    <w:rsid w:val="00622F48"/>
    <w:rsid w:val="00624042"/>
    <w:rsid w:val="00625624"/>
    <w:rsid w:val="00627F79"/>
    <w:rsid w:val="00631BE8"/>
    <w:rsid w:val="00631DD3"/>
    <w:rsid w:val="006324A8"/>
    <w:rsid w:val="00633319"/>
    <w:rsid w:val="006368D7"/>
    <w:rsid w:val="00636B51"/>
    <w:rsid w:val="0064056D"/>
    <w:rsid w:val="006411C5"/>
    <w:rsid w:val="006415A1"/>
    <w:rsid w:val="00642B1A"/>
    <w:rsid w:val="00646304"/>
    <w:rsid w:val="006468D5"/>
    <w:rsid w:val="0065155A"/>
    <w:rsid w:val="006552D0"/>
    <w:rsid w:val="00661073"/>
    <w:rsid w:val="006673EB"/>
    <w:rsid w:val="00670038"/>
    <w:rsid w:val="00670A62"/>
    <w:rsid w:val="006714A5"/>
    <w:rsid w:val="00673A1A"/>
    <w:rsid w:val="006748DA"/>
    <w:rsid w:val="00675166"/>
    <w:rsid w:val="006768F1"/>
    <w:rsid w:val="00677093"/>
    <w:rsid w:val="006803FB"/>
    <w:rsid w:val="00680622"/>
    <w:rsid w:val="00680D57"/>
    <w:rsid w:val="00681623"/>
    <w:rsid w:val="006825AE"/>
    <w:rsid w:val="006877DC"/>
    <w:rsid w:val="00690727"/>
    <w:rsid w:val="00693924"/>
    <w:rsid w:val="00695CD4"/>
    <w:rsid w:val="00696B36"/>
    <w:rsid w:val="006A0A83"/>
    <w:rsid w:val="006A18FA"/>
    <w:rsid w:val="006A2A80"/>
    <w:rsid w:val="006A5709"/>
    <w:rsid w:val="006B1EC9"/>
    <w:rsid w:val="006B49A2"/>
    <w:rsid w:val="006B5D6F"/>
    <w:rsid w:val="006C08D5"/>
    <w:rsid w:val="006D7352"/>
    <w:rsid w:val="006D7A8D"/>
    <w:rsid w:val="006E0FBB"/>
    <w:rsid w:val="006E486B"/>
    <w:rsid w:val="006E696A"/>
    <w:rsid w:val="006F04B6"/>
    <w:rsid w:val="006F0987"/>
    <w:rsid w:val="006F0A49"/>
    <w:rsid w:val="006F2494"/>
    <w:rsid w:val="006F4D56"/>
    <w:rsid w:val="006F6324"/>
    <w:rsid w:val="006F66D2"/>
    <w:rsid w:val="00705B5D"/>
    <w:rsid w:val="00707566"/>
    <w:rsid w:val="00710569"/>
    <w:rsid w:val="007108D3"/>
    <w:rsid w:val="007110F6"/>
    <w:rsid w:val="00711625"/>
    <w:rsid w:val="0071203F"/>
    <w:rsid w:val="00712D4A"/>
    <w:rsid w:val="00713738"/>
    <w:rsid w:val="00714EE1"/>
    <w:rsid w:val="00715A9A"/>
    <w:rsid w:val="00716608"/>
    <w:rsid w:val="0072137E"/>
    <w:rsid w:val="00721ECC"/>
    <w:rsid w:val="00722AAC"/>
    <w:rsid w:val="00727101"/>
    <w:rsid w:val="0073299B"/>
    <w:rsid w:val="007353D4"/>
    <w:rsid w:val="007405FF"/>
    <w:rsid w:val="00747E71"/>
    <w:rsid w:val="00751C77"/>
    <w:rsid w:val="007556CB"/>
    <w:rsid w:val="0075686A"/>
    <w:rsid w:val="00761EDA"/>
    <w:rsid w:val="00763C7F"/>
    <w:rsid w:val="0076493B"/>
    <w:rsid w:val="00764EE2"/>
    <w:rsid w:val="00767177"/>
    <w:rsid w:val="00776392"/>
    <w:rsid w:val="007810F0"/>
    <w:rsid w:val="00783092"/>
    <w:rsid w:val="00784C89"/>
    <w:rsid w:val="00784FC4"/>
    <w:rsid w:val="00786216"/>
    <w:rsid w:val="00787178"/>
    <w:rsid w:val="0078783C"/>
    <w:rsid w:val="00792012"/>
    <w:rsid w:val="0079745F"/>
    <w:rsid w:val="007A09E1"/>
    <w:rsid w:val="007A1CD5"/>
    <w:rsid w:val="007A21E6"/>
    <w:rsid w:val="007A22C0"/>
    <w:rsid w:val="007A43DB"/>
    <w:rsid w:val="007A5476"/>
    <w:rsid w:val="007B028A"/>
    <w:rsid w:val="007B08A6"/>
    <w:rsid w:val="007B08E6"/>
    <w:rsid w:val="007B29E0"/>
    <w:rsid w:val="007B2A90"/>
    <w:rsid w:val="007B2F87"/>
    <w:rsid w:val="007B3A71"/>
    <w:rsid w:val="007B3BE1"/>
    <w:rsid w:val="007C0D9A"/>
    <w:rsid w:val="007C1316"/>
    <w:rsid w:val="007C16D5"/>
    <w:rsid w:val="007C2A99"/>
    <w:rsid w:val="007C6A94"/>
    <w:rsid w:val="007D4970"/>
    <w:rsid w:val="007D4A9A"/>
    <w:rsid w:val="007D5147"/>
    <w:rsid w:val="007D5BF5"/>
    <w:rsid w:val="007E05DF"/>
    <w:rsid w:val="007E1874"/>
    <w:rsid w:val="007E396E"/>
    <w:rsid w:val="007E5A07"/>
    <w:rsid w:val="007E702E"/>
    <w:rsid w:val="007E734F"/>
    <w:rsid w:val="007F2756"/>
    <w:rsid w:val="007F4EB2"/>
    <w:rsid w:val="007F54E5"/>
    <w:rsid w:val="007F63BD"/>
    <w:rsid w:val="007F7AB0"/>
    <w:rsid w:val="00801991"/>
    <w:rsid w:val="00820334"/>
    <w:rsid w:val="00820618"/>
    <w:rsid w:val="00821EE3"/>
    <w:rsid w:val="00824A6B"/>
    <w:rsid w:val="00824C80"/>
    <w:rsid w:val="00825D02"/>
    <w:rsid w:val="0082770C"/>
    <w:rsid w:val="00830010"/>
    <w:rsid w:val="00830FEF"/>
    <w:rsid w:val="00831164"/>
    <w:rsid w:val="00835E80"/>
    <w:rsid w:val="00840AD2"/>
    <w:rsid w:val="00842A4E"/>
    <w:rsid w:val="00844ADB"/>
    <w:rsid w:val="0084631B"/>
    <w:rsid w:val="00851800"/>
    <w:rsid w:val="0085259A"/>
    <w:rsid w:val="00854EBD"/>
    <w:rsid w:val="00855BBD"/>
    <w:rsid w:val="00857223"/>
    <w:rsid w:val="008573C3"/>
    <w:rsid w:val="0086137D"/>
    <w:rsid w:val="00861E78"/>
    <w:rsid w:val="00863557"/>
    <w:rsid w:val="008654EF"/>
    <w:rsid w:val="008667EB"/>
    <w:rsid w:val="00866B9E"/>
    <w:rsid w:val="008675BD"/>
    <w:rsid w:val="00870F7F"/>
    <w:rsid w:val="00874084"/>
    <w:rsid w:val="00874B49"/>
    <w:rsid w:val="00876419"/>
    <w:rsid w:val="00880B10"/>
    <w:rsid w:val="00881AF9"/>
    <w:rsid w:val="00881E67"/>
    <w:rsid w:val="00885990"/>
    <w:rsid w:val="00887097"/>
    <w:rsid w:val="008873A1"/>
    <w:rsid w:val="00891FA0"/>
    <w:rsid w:val="008A09F9"/>
    <w:rsid w:val="008A242B"/>
    <w:rsid w:val="008A3C56"/>
    <w:rsid w:val="008A5B5D"/>
    <w:rsid w:val="008A6938"/>
    <w:rsid w:val="008B5F16"/>
    <w:rsid w:val="008C02CB"/>
    <w:rsid w:val="008C096D"/>
    <w:rsid w:val="008C0A10"/>
    <w:rsid w:val="008C26EE"/>
    <w:rsid w:val="008C5143"/>
    <w:rsid w:val="008C532D"/>
    <w:rsid w:val="008D05D9"/>
    <w:rsid w:val="008E13FB"/>
    <w:rsid w:val="008E2746"/>
    <w:rsid w:val="008E4C1F"/>
    <w:rsid w:val="008E6042"/>
    <w:rsid w:val="008E7E0F"/>
    <w:rsid w:val="008F6F5D"/>
    <w:rsid w:val="009004D2"/>
    <w:rsid w:val="00903469"/>
    <w:rsid w:val="00903764"/>
    <w:rsid w:val="009051D3"/>
    <w:rsid w:val="00910588"/>
    <w:rsid w:val="00910EA1"/>
    <w:rsid w:val="0091187E"/>
    <w:rsid w:val="0091242A"/>
    <w:rsid w:val="00912822"/>
    <w:rsid w:val="00924025"/>
    <w:rsid w:val="009240E0"/>
    <w:rsid w:val="00924ABB"/>
    <w:rsid w:val="009260FF"/>
    <w:rsid w:val="00927FCE"/>
    <w:rsid w:val="009318CB"/>
    <w:rsid w:val="00931FD1"/>
    <w:rsid w:val="00932E70"/>
    <w:rsid w:val="009341C6"/>
    <w:rsid w:val="00935220"/>
    <w:rsid w:val="0093750B"/>
    <w:rsid w:val="0093769C"/>
    <w:rsid w:val="009404BB"/>
    <w:rsid w:val="009413B5"/>
    <w:rsid w:val="0094279C"/>
    <w:rsid w:val="00944CFF"/>
    <w:rsid w:val="00946074"/>
    <w:rsid w:val="009466A9"/>
    <w:rsid w:val="00946856"/>
    <w:rsid w:val="009501B1"/>
    <w:rsid w:val="00950FC4"/>
    <w:rsid w:val="00954B3B"/>
    <w:rsid w:val="00954E2B"/>
    <w:rsid w:val="00957A8F"/>
    <w:rsid w:val="00957FFB"/>
    <w:rsid w:val="009619F6"/>
    <w:rsid w:val="009632D4"/>
    <w:rsid w:val="009642C9"/>
    <w:rsid w:val="009644BB"/>
    <w:rsid w:val="00965AE9"/>
    <w:rsid w:val="00966347"/>
    <w:rsid w:val="009715F0"/>
    <w:rsid w:val="00971815"/>
    <w:rsid w:val="009721EA"/>
    <w:rsid w:val="00974BC8"/>
    <w:rsid w:val="00974F60"/>
    <w:rsid w:val="00977044"/>
    <w:rsid w:val="009773E0"/>
    <w:rsid w:val="0098314B"/>
    <w:rsid w:val="009836FD"/>
    <w:rsid w:val="00984553"/>
    <w:rsid w:val="009857FA"/>
    <w:rsid w:val="00985E30"/>
    <w:rsid w:val="00985F20"/>
    <w:rsid w:val="00987DF8"/>
    <w:rsid w:val="00993C9F"/>
    <w:rsid w:val="00996FA0"/>
    <w:rsid w:val="009973B6"/>
    <w:rsid w:val="009978E8"/>
    <w:rsid w:val="009A6974"/>
    <w:rsid w:val="009A7162"/>
    <w:rsid w:val="009B432B"/>
    <w:rsid w:val="009C03B8"/>
    <w:rsid w:val="009C3530"/>
    <w:rsid w:val="009C4005"/>
    <w:rsid w:val="009C44A3"/>
    <w:rsid w:val="009C4ABB"/>
    <w:rsid w:val="009C59CD"/>
    <w:rsid w:val="009D00CD"/>
    <w:rsid w:val="009D512D"/>
    <w:rsid w:val="009E11E5"/>
    <w:rsid w:val="009E15EB"/>
    <w:rsid w:val="009E1C77"/>
    <w:rsid w:val="009E6B49"/>
    <w:rsid w:val="009F20F8"/>
    <w:rsid w:val="009F22A2"/>
    <w:rsid w:val="009F3C9E"/>
    <w:rsid w:val="00A03E85"/>
    <w:rsid w:val="00A05479"/>
    <w:rsid w:val="00A071EF"/>
    <w:rsid w:val="00A10EFF"/>
    <w:rsid w:val="00A1104A"/>
    <w:rsid w:val="00A11EE9"/>
    <w:rsid w:val="00A12516"/>
    <w:rsid w:val="00A12A15"/>
    <w:rsid w:val="00A2269F"/>
    <w:rsid w:val="00A241AB"/>
    <w:rsid w:val="00A24C83"/>
    <w:rsid w:val="00A3265F"/>
    <w:rsid w:val="00A34213"/>
    <w:rsid w:val="00A35218"/>
    <w:rsid w:val="00A35C22"/>
    <w:rsid w:val="00A368BA"/>
    <w:rsid w:val="00A40132"/>
    <w:rsid w:val="00A40497"/>
    <w:rsid w:val="00A41759"/>
    <w:rsid w:val="00A4260F"/>
    <w:rsid w:val="00A43502"/>
    <w:rsid w:val="00A51EB8"/>
    <w:rsid w:val="00A54217"/>
    <w:rsid w:val="00A5506B"/>
    <w:rsid w:val="00A55E04"/>
    <w:rsid w:val="00A55F94"/>
    <w:rsid w:val="00A57092"/>
    <w:rsid w:val="00A60DB4"/>
    <w:rsid w:val="00A62672"/>
    <w:rsid w:val="00A66056"/>
    <w:rsid w:val="00A66EE1"/>
    <w:rsid w:val="00A67350"/>
    <w:rsid w:val="00A704CD"/>
    <w:rsid w:val="00A71134"/>
    <w:rsid w:val="00A72D2D"/>
    <w:rsid w:val="00A74A17"/>
    <w:rsid w:val="00A75C8C"/>
    <w:rsid w:val="00A80110"/>
    <w:rsid w:val="00A80367"/>
    <w:rsid w:val="00A83D9C"/>
    <w:rsid w:val="00A86378"/>
    <w:rsid w:val="00A915A4"/>
    <w:rsid w:val="00A9700C"/>
    <w:rsid w:val="00A97E27"/>
    <w:rsid w:val="00A97ED3"/>
    <w:rsid w:val="00AA17FD"/>
    <w:rsid w:val="00AA25D0"/>
    <w:rsid w:val="00AA33F6"/>
    <w:rsid w:val="00AA4138"/>
    <w:rsid w:val="00AB1D65"/>
    <w:rsid w:val="00AB3B75"/>
    <w:rsid w:val="00AB6FBC"/>
    <w:rsid w:val="00AB778B"/>
    <w:rsid w:val="00AC0595"/>
    <w:rsid w:val="00AC1F89"/>
    <w:rsid w:val="00AC36A9"/>
    <w:rsid w:val="00AC54C8"/>
    <w:rsid w:val="00AC66C5"/>
    <w:rsid w:val="00AD0112"/>
    <w:rsid w:val="00AD1BD8"/>
    <w:rsid w:val="00AD59A3"/>
    <w:rsid w:val="00AD6892"/>
    <w:rsid w:val="00AE04F4"/>
    <w:rsid w:val="00AE17B6"/>
    <w:rsid w:val="00AE63F9"/>
    <w:rsid w:val="00AE712C"/>
    <w:rsid w:val="00AF3B90"/>
    <w:rsid w:val="00AF6068"/>
    <w:rsid w:val="00B00D49"/>
    <w:rsid w:val="00B03F37"/>
    <w:rsid w:val="00B046C0"/>
    <w:rsid w:val="00B05278"/>
    <w:rsid w:val="00B0672C"/>
    <w:rsid w:val="00B0778C"/>
    <w:rsid w:val="00B10092"/>
    <w:rsid w:val="00B158A9"/>
    <w:rsid w:val="00B1610E"/>
    <w:rsid w:val="00B174BE"/>
    <w:rsid w:val="00B226E9"/>
    <w:rsid w:val="00B23C2E"/>
    <w:rsid w:val="00B25166"/>
    <w:rsid w:val="00B25B60"/>
    <w:rsid w:val="00B27944"/>
    <w:rsid w:val="00B2796B"/>
    <w:rsid w:val="00B27EE2"/>
    <w:rsid w:val="00B3147B"/>
    <w:rsid w:val="00B32F7F"/>
    <w:rsid w:val="00B33184"/>
    <w:rsid w:val="00B35D67"/>
    <w:rsid w:val="00B36C00"/>
    <w:rsid w:val="00B40F1B"/>
    <w:rsid w:val="00B41BDA"/>
    <w:rsid w:val="00B42DBB"/>
    <w:rsid w:val="00B44274"/>
    <w:rsid w:val="00B5008F"/>
    <w:rsid w:val="00B50D18"/>
    <w:rsid w:val="00B52349"/>
    <w:rsid w:val="00B52BBB"/>
    <w:rsid w:val="00B52D85"/>
    <w:rsid w:val="00B55894"/>
    <w:rsid w:val="00B64DAB"/>
    <w:rsid w:val="00B650B9"/>
    <w:rsid w:val="00B651DD"/>
    <w:rsid w:val="00B66003"/>
    <w:rsid w:val="00B74AA5"/>
    <w:rsid w:val="00B76534"/>
    <w:rsid w:val="00B80FF6"/>
    <w:rsid w:val="00B813C5"/>
    <w:rsid w:val="00B8283C"/>
    <w:rsid w:val="00B82B97"/>
    <w:rsid w:val="00B85CA0"/>
    <w:rsid w:val="00B90F11"/>
    <w:rsid w:val="00B94258"/>
    <w:rsid w:val="00B9439A"/>
    <w:rsid w:val="00B95373"/>
    <w:rsid w:val="00B95AD8"/>
    <w:rsid w:val="00B95E32"/>
    <w:rsid w:val="00BA060C"/>
    <w:rsid w:val="00BA136C"/>
    <w:rsid w:val="00BA1DD0"/>
    <w:rsid w:val="00BA2669"/>
    <w:rsid w:val="00BA3DDF"/>
    <w:rsid w:val="00BA5D85"/>
    <w:rsid w:val="00BB0F40"/>
    <w:rsid w:val="00BB4CD8"/>
    <w:rsid w:val="00BC1546"/>
    <w:rsid w:val="00BC2151"/>
    <w:rsid w:val="00BC2A5C"/>
    <w:rsid w:val="00BC3001"/>
    <w:rsid w:val="00BC327D"/>
    <w:rsid w:val="00BC3900"/>
    <w:rsid w:val="00BD0875"/>
    <w:rsid w:val="00BD0E3F"/>
    <w:rsid w:val="00BD189C"/>
    <w:rsid w:val="00BD221A"/>
    <w:rsid w:val="00BD4EC9"/>
    <w:rsid w:val="00BE4E1C"/>
    <w:rsid w:val="00BF2563"/>
    <w:rsid w:val="00BF3064"/>
    <w:rsid w:val="00C0130C"/>
    <w:rsid w:val="00C03BF7"/>
    <w:rsid w:val="00C0542C"/>
    <w:rsid w:val="00C05D5D"/>
    <w:rsid w:val="00C11928"/>
    <w:rsid w:val="00C12747"/>
    <w:rsid w:val="00C133D5"/>
    <w:rsid w:val="00C137C4"/>
    <w:rsid w:val="00C13CBE"/>
    <w:rsid w:val="00C13D39"/>
    <w:rsid w:val="00C14FCC"/>
    <w:rsid w:val="00C15B09"/>
    <w:rsid w:val="00C15F77"/>
    <w:rsid w:val="00C17788"/>
    <w:rsid w:val="00C2046A"/>
    <w:rsid w:val="00C24292"/>
    <w:rsid w:val="00C26B9B"/>
    <w:rsid w:val="00C30623"/>
    <w:rsid w:val="00C31636"/>
    <w:rsid w:val="00C33DF9"/>
    <w:rsid w:val="00C357F8"/>
    <w:rsid w:val="00C42993"/>
    <w:rsid w:val="00C43528"/>
    <w:rsid w:val="00C43D1A"/>
    <w:rsid w:val="00C4433C"/>
    <w:rsid w:val="00C46BD6"/>
    <w:rsid w:val="00C46C4D"/>
    <w:rsid w:val="00C520E7"/>
    <w:rsid w:val="00C52B03"/>
    <w:rsid w:val="00C54EA0"/>
    <w:rsid w:val="00C562AB"/>
    <w:rsid w:val="00C56590"/>
    <w:rsid w:val="00C57090"/>
    <w:rsid w:val="00C605FE"/>
    <w:rsid w:val="00C61EF7"/>
    <w:rsid w:val="00C6335E"/>
    <w:rsid w:val="00C63D85"/>
    <w:rsid w:val="00C63E02"/>
    <w:rsid w:val="00C651FF"/>
    <w:rsid w:val="00C65536"/>
    <w:rsid w:val="00C6615B"/>
    <w:rsid w:val="00C6668E"/>
    <w:rsid w:val="00C70247"/>
    <w:rsid w:val="00C726B3"/>
    <w:rsid w:val="00C73733"/>
    <w:rsid w:val="00C74022"/>
    <w:rsid w:val="00C74148"/>
    <w:rsid w:val="00C75AAB"/>
    <w:rsid w:val="00C75D50"/>
    <w:rsid w:val="00C75FBD"/>
    <w:rsid w:val="00C76193"/>
    <w:rsid w:val="00C76E2E"/>
    <w:rsid w:val="00C803ED"/>
    <w:rsid w:val="00C82811"/>
    <w:rsid w:val="00C82C26"/>
    <w:rsid w:val="00C83CAD"/>
    <w:rsid w:val="00C8423F"/>
    <w:rsid w:val="00C84275"/>
    <w:rsid w:val="00C84CE3"/>
    <w:rsid w:val="00C85CF9"/>
    <w:rsid w:val="00C86605"/>
    <w:rsid w:val="00C86B65"/>
    <w:rsid w:val="00C871AD"/>
    <w:rsid w:val="00C91FB6"/>
    <w:rsid w:val="00C92411"/>
    <w:rsid w:val="00C928AC"/>
    <w:rsid w:val="00C93565"/>
    <w:rsid w:val="00C937A4"/>
    <w:rsid w:val="00C95BA4"/>
    <w:rsid w:val="00CA14BB"/>
    <w:rsid w:val="00CA2078"/>
    <w:rsid w:val="00CA285D"/>
    <w:rsid w:val="00CA5929"/>
    <w:rsid w:val="00CA753E"/>
    <w:rsid w:val="00CA79FF"/>
    <w:rsid w:val="00CB0BD3"/>
    <w:rsid w:val="00CB2633"/>
    <w:rsid w:val="00CB2D15"/>
    <w:rsid w:val="00CB5FD2"/>
    <w:rsid w:val="00CB6C95"/>
    <w:rsid w:val="00CB6D1D"/>
    <w:rsid w:val="00CC4FCD"/>
    <w:rsid w:val="00CC5C73"/>
    <w:rsid w:val="00CD187E"/>
    <w:rsid w:val="00CD544B"/>
    <w:rsid w:val="00CD5A33"/>
    <w:rsid w:val="00CD6AE4"/>
    <w:rsid w:val="00CE0F8E"/>
    <w:rsid w:val="00CE3EEC"/>
    <w:rsid w:val="00CE4AE3"/>
    <w:rsid w:val="00CE59BD"/>
    <w:rsid w:val="00CE6C40"/>
    <w:rsid w:val="00CE7ED3"/>
    <w:rsid w:val="00CF282C"/>
    <w:rsid w:val="00CF306C"/>
    <w:rsid w:val="00CF7096"/>
    <w:rsid w:val="00D01999"/>
    <w:rsid w:val="00D04242"/>
    <w:rsid w:val="00D04C76"/>
    <w:rsid w:val="00D1188C"/>
    <w:rsid w:val="00D11995"/>
    <w:rsid w:val="00D12DE0"/>
    <w:rsid w:val="00D136C9"/>
    <w:rsid w:val="00D20417"/>
    <w:rsid w:val="00D21880"/>
    <w:rsid w:val="00D22561"/>
    <w:rsid w:val="00D23EEE"/>
    <w:rsid w:val="00D25E6A"/>
    <w:rsid w:val="00D272D8"/>
    <w:rsid w:val="00D30F59"/>
    <w:rsid w:val="00D32D40"/>
    <w:rsid w:val="00D3307A"/>
    <w:rsid w:val="00D33431"/>
    <w:rsid w:val="00D33EDA"/>
    <w:rsid w:val="00D3485A"/>
    <w:rsid w:val="00D375EC"/>
    <w:rsid w:val="00D37893"/>
    <w:rsid w:val="00D4259A"/>
    <w:rsid w:val="00D43C74"/>
    <w:rsid w:val="00D44C41"/>
    <w:rsid w:val="00D451B7"/>
    <w:rsid w:val="00D50963"/>
    <w:rsid w:val="00D520C7"/>
    <w:rsid w:val="00D57FCA"/>
    <w:rsid w:val="00D60AFA"/>
    <w:rsid w:val="00D6376B"/>
    <w:rsid w:val="00D66CD8"/>
    <w:rsid w:val="00D67D0A"/>
    <w:rsid w:val="00D74A11"/>
    <w:rsid w:val="00D82C50"/>
    <w:rsid w:val="00D84227"/>
    <w:rsid w:val="00D92548"/>
    <w:rsid w:val="00D93ACE"/>
    <w:rsid w:val="00D93CDF"/>
    <w:rsid w:val="00D951FD"/>
    <w:rsid w:val="00D96DF5"/>
    <w:rsid w:val="00D973DB"/>
    <w:rsid w:val="00DA108D"/>
    <w:rsid w:val="00DA1CC6"/>
    <w:rsid w:val="00DB5480"/>
    <w:rsid w:val="00DB6A0D"/>
    <w:rsid w:val="00DB765D"/>
    <w:rsid w:val="00DC221E"/>
    <w:rsid w:val="00DC331B"/>
    <w:rsid w:val="00DC72F7"/>
    <w:rsid w:val="00DD09E1"/>
    <w:rsid w:val="00DD1428"/>
    <w:rsid w:val="00DD2D25"/>
    <w:rsid w:val="00DD2F30"/>
    <w:rsid w:val="00DD4F5E"/>
    <w:rsid w:val="00DD7D3A"/>
    <w:rsid w:val="00DE1293"/>
    <w:rsid w:val="00DE7F1D"/>
    <w:rsid w:val="00DF4183"/>
    <w:rsid w:val="00DF4A4A"/>
    <w:rsid w:val="00DF4B83"/>
    <w:rsid w:val="00DF5A25"/>
    <w:rsid w:val="00E0104C"/>
    <w:rsid w:val="00E03CDD"/>
    <w:rsid w:val="00E04FA0"/>
    <w:rsid w:val="00E06885"/>
    <w:rsid w:val="00E06DA7"/>
    <w:rsid w:val="00E075FD"/>
    <w:rsid w:val="00E07F8D"/>
    <w:rsid w:val="00E13A94"/>
    <w:rsid w:val="00E14EED"/>
    <w:rsid w:val="00E150C9"/>
    <w:rsid w:val="00E15313"/>
    <w:rsid w:val="00E15DE3"/>
    <w:rsid w:val="00E16F37"/>
    <w:rsid w:val="00E20D47"/>
    <w:rsid w:val="00E22267"/>
    <w:rsid w:val="00E22564"/>
    <w:rsid w:val="00E2354E"/>
    <w:rsid w:val="00E244CB"/>
    <w:rsid w:val="00E247A5"/>
    <w:rsid w:val="00E2500A"/>
    <w:rsid w:val="00E30F03"/>
    <w:rsid w:val="00E33473"/>
    <w:rsid w:val="00E33810"/>
    <w:rsid w:val="00E34778"/>
    <w:rsid w:val="00E41160"/>
    <w:rsid w:val="00E43408"/>
    <w:rsid w:val="00E436C3"/>
    <w:rsid w:val="00E4381F"/>
    <w:rsid w:val="00E51CBF"/>
    <w:rsid w:val="00E63798"/>
    <w:rsid w:val="00E66C34"/>
    <w:rsid w:val="00E673F0"/>
    <w:rsid w:val="00E73CE1"/>
    <w:rsid w:val="00E75E28"/>
    <w:rsid w:val="00E7760C"/>
    <w:rsid w:val="00E801F1"/>
    <w:rsid w:val="00E80781"/>
    <w:rsid w:val="00E80DD7"/>
    <w:rsid w:val="00E81D56"/>
    <w:rsid w:val="00E82C3A"/>
    <w:rsid w:val="00E82DE0"/>
    <w:rsid w:val="00E852A4"/>
    <w:rsid w:val="00E8537B"/>
    <w:rsid w:val="00E87A07"/>
    <w:rsid w:val="00E94DDD"/>
    <w:rsid w:val="00E978DB"/>
    <w:rsid w:val="00E97A92"/>
    <w:rsid w:val="00E97E89"/>
    <w:rsid w:val="00EA14E0"/>
    <w:rsid w:val="00EA1A95"/>
    <w:rsid w:val="00EA1CAD"/>
    <w:rsid w:val="00EA1D2C"/>
    <w:rsid w:val="00EA24FA"/>
    <w:rsid w:val="00EA333F"/>
    <w:rsid w:val="00EA5A65"/>
    <w:rsid w:val="00EA60AC"/>
    <w:rsid w:val="00EB245E"/>
    <w:rsid w:val="00EB2D08"/>
    <w:rsid w:val="00EB57D1"/>
    <w:rsid w:val="00EC2F75"/>
    <w:rsid w:val="00EC5AC7"/>
    <w:rsid w:val="00EC7171"/>
    <w:rsid w:val="00EC73C5"/>
    <w:rsid w:val="00ED00C3"/>
    <w:rsid w:val="00ED06DA"/>
    <w:rsid w:val="00ED2F3F"/>
    <w:rsid w:val="00ED45AE"/>
    <w:rsid w:val="00ED461C"/>
    <w:rsid w:val="00EE3268"/>
    <w:rsid w:val="00EE5E3A"/>
    <w:rsid w:val="00EF2F21"/>
    <w:rsid w:val="00F03EF6"/>
    <w:rsid w:val="00F048A0"/>
    <w:rsid w:val="00F10403"/>
    <w:rsid w:val="00F11703"/>
    <w:rsid w:val="00F11F43"/>
    <w:rsid w:val="00F177E5"/>
    <w:rsid w:val="00F20044"/>
    <w:rsid w:val="00F2047B"/>
    <w:rsid w:val="00F21229"/>
    <w:rsid w:val="00F23BDC"/>
    <w:rsid w:val="00F266FA"/>
    <w:rsid w:val="00F312C2"/>
    <w:rsid w:val="00F329C8"/>
    <w:rsid w:val="00F32DCB"/>
    <w:rsid w:val="00F33C2D"/>
    <w:rsid w:val="00F35599"/>
    <w:rsid w:val="00F4052C"/>
    <w:rsid w:val="00F4094D"/>
    <w:rsid w:val="00F40A98"/>
    <w:rsid w:val="00F43FB2"/>
    <w:rsid w:val="00F44BF5"/>
    <w:rsid w:val="00F461EF"/>
    <w:rsid w:val="00F50B70"/>
    <w:rsid w:val="00F5214C"/>
    <w:rsid w:val="00F52E9D"/>
    <w:rsid w:val="00F53075"/>
    <w:rsid w:val="00F5319A"/>
    <w:rsid w:val="00F538EE"/>
    <w:rsid w:val="00F5590E"/>
    <w:rsid w:val="00F56A76"/>
    <w:rsid w:val="00F57347"/>
    <w:rsid w:val="00F61D47"/>
    <w:rsid w:val="00F62039"/>
    <w:rsid w:val="00F62FD4"/>
    <w:rsid w:val="00F65B6C"/>
    <w:rsid w:val="00F7259A"/>
    <w:rsid w:val="00F7652E"/>
    <w:rsid w:val="00F84DF7"/>
    <w:rsid w:val="00F85118"/>
    <w:rsid w:val="00F8525E"/>
    <w:rsid w:val="00F91448"/>
    <w:rsid w:val="00F91558"/>
    <w:rsid w:val="00F93628"/>
    <w:rsid w:val="00F93EF9"/>
    <w:rsid w:val="00F95233"/>
    <w:rsid w:val="00F96267"/>
    <w:rsid w:val="00FA0EA1"/>
    <w:rsid w:val="00FA1405"/>
    <w:rsid w:val="00FA3995"/>
    <w:rsid w:val="00FA3D60"/>
    <w:rsid w:val="00FA42EB"/>
    <w:rsid w:val="00FB00C5"/>
    <w:rsid w:val="00FB49FD"/>
    <w:rsid w:val="00FB6166"/>
    <w:rsid w:val="00FC0729"/>
    <w:rsid w:val="00FC0B6C"/>
    <w:rsid w:val="00FC3531"/>
    <w:rsid w:val="00FC4ECD"/>
    <w:rsid w:val="00FC5DFB"/>
    <w:rsid w:val="00FD157B"/>
    <w:rsid w:val="00FD22C2"/>
    <w:rsid w:val="00FD3908"/>
    <w:rsid w:val="00FD3BC4"/>
    <w:rsid w:val="00FD5C96"/>
    <w:rsid w:val="00FE01E3"/>
    <w:rsid w:val="00FE1E1D"/>
    <w:rsid w:val="00FE3884"/>
    <w:rsid w:val="00FE4A4C"/>
    <w:rsid w:val="00FE5A19"/>
    <w:rsid w:val="00FE66A7"/>
    <w:rsid w:val="00FF0422"/>
    <w:rsid w:val="00FF1B4E"/>
    <w:rsid w:val="00FF3395"/>
    <w:rsid w:val="00FF6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005f9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24"/>
    <w:pPr>
      <w:spacing w:after="200" w:line="276" w:lineRule="auto"/>
      <w:jc w:val="both"/>
    </w:pPr>
    <w:rPr>
      <w:rFonts w:ascii="Corbel" w:hAnsi="Corbel" w:cs="Arial"/>
      <w:sz w:val="22"/>
      <w:szCs w:val="24"/>
      <w:lang w:val="sr-Latn-CS"/>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aliases w:val="fn,footnote text,Footnotes,Footnote ak,Fußnotentext Char1,Fußnotentext Char Char,Fußnotentext Char1 Char Char,Fußnotentext Char Char Char Char,Fußnotentext Char1 Char Char Char Char,Fußnotentext Char Char Char Char Char Char,Fußnote"/>
    <w:basedOn w:val="Normal"/>
    <w:link w:val="FootnoteTextChar"/>
    <w:rsid w:val="00445E9C"/>
    <w:rPr>
      <w:sz w:val="20"/>
    </w:rPr>
  </w:style>
  <w:style w:type="character" w:styleId="FootnoteReference">
    <w:name w:val="footnote reference"/>
    <w:aliases w:val="Ref,de nota al pie,(NECG) Footnote Reference,Footnote number,SUPERS,Footnote reference number,Footnote symbol,note TESI,EN Footnote Reference,stylish,BVI fnr,Footnote,Times 10 Point,Exposant 3 Point,number,-E Fußnotenzeichen"/>
    <w:basedOn w:val="DefaultParagraphFont"/>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aliases w:val="Bullets,Medium Grid 1 - Accent 22,List Paragraph1"/>
    <w:basedOn w:val="Normal"/>
    <w:link w:val="ListParagraphChar"/>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val="sq-AL"/>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hAnsi="Calibri" w:cs="Calibri"/>
      <w:color w:val="000000"/>
      <w:sz w:val="24"/>
      <w:szCs w:val="24"/>
    </w:rPr>
  </w:style>
  <w:style w:type="table" w:customStyle="1" w:styleId="LightGrid-Accent11">
    <w:name w:val="Light Grid - Accent 11"/>
    <w:basedOn w:val="TableNormal"/>
    <w:uiPriority w:val="62"/>
    <w:rsid w:val="00541616"/>
    <w:rPr>
      <w:rFonts w:asciiTheme="minorHAnsi" w:hAnsiTheme="minorHAnsi" w:cstheme="minorBidi"/>
      <w:sz w:val="22"/>
      <w:szCs w:val="22"/>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aliases w:val="fn Char,footnote text Char,Footnotes Char,Footnote ak Char,Fußnotentext Char1 Char,Fußnotentext Char Char Char,Fußnotentext Char1 Char Char Char,Fußnotentext Char Char Char Char Char,Fußnotentext Char1 Char Char Char Char Char"/>
    <w:basedOn w:val="DefaultParagraphFont"/>
    <w:link w:val="FootnoteText"/>
    <w:rsid w:val="00FF3395"/>
    <w:rPr>
      <w:rFonts w:ascii="Corbel" w:hAnsi="Corbel" w:cs="Arial"/>
      <w:szCs w:val="24"/>
      <w:lang w:val="sq-AL"/>
    </w:rPr>
  </w:style>
  <w:style w:type="paragraph" w:customStyle="1" w:styleId="TextBoxbullets">
    <w:name w:val="Text Box bullets"/>
    <w:basedOn w:val="Normal"/>
    <w:qFormat/>
    <w:rsid w:val="003A4914"/>
    <w:pPr>
      <w:numPr>
        <w:numId w:val="9"/>
      </w:numPr>
      <w:spacing w:before="40" w:after="40" w:line="240" w:lineRule="auto"/>
      <w:ind w:left="180" w:hanging="180"/>
      <w:jc w:val="left"/>
    </w:pPr>
    <w:rPr>
      <w:rFonts w:ascii="Gill Sans MT" w:eastAsia="Times New Roman" w:hAnsi="Gill Sans MT"/>
      <w:szCs w:val="22"/>
    </w:rPr>
  </w:style>
  <w:style w:type="character" w:customStyle="1" w:styleId="ListParagraphChar">
    <w:name w:val="List Paragraph Char"/>
    <w:aliases w:val="Bullets Char,Medium Grid 1 - Accent 22 Char,List Paragraph1 Char"/>
    <w:basedOn w:val="DefaultParagraphFont"/>
    <w:link w:val="ListParagraph"/>
    <w:locked/>
    <w:rsid w:val="00EA5A65"/>
    <w:rPr>
      <w:rFonts w:ascii="Corbel" w:hAnsi="Corbel" w:cs="Arial"/>
      <w:sz w:val="22"/>
      <w:szCs w:val="24"/>
      <w:lang w:val="sq-AL"/>
    </w:rPr>
  </w:style>
  <w:style w:type="paragraph" w:customStyle="1" w:styleId="Bulletlist1">
    <w:name w:val="Bullet list 1"/>
    <w:basedOn w:val="Normal"/>
    <w:rsid w:val="00EA5A65"/>
    <w:pPr>
      <w:numPr>
        <w:numId w:val="11"/>
      </w:numPr>
      <w:spacing w:before="120" w:after="0" w:line="240" w:lineRule="auto"/>
    </w:pPr>
    <w:rPr>
      <w:rFonts w:ascii="Georgia" w:eastAsia="Times New Roman" w:hAnsi="Georgia" w:cs="Angsana New"/>
      <w:sz w:val="23"/>
      <w:szCs w:val="20"/>
      <w:lang w:val="en-US"/>
    </w:rPr>
  </w:style>
  <w:style w:type="character" w:customStyle="1" w:styleId="longtext">
    <w:name w:val="long_text"/>
    <w:basedOn w:val="DefaultParagraphFont"/>
    <w:rsid w:val="001217F0"/>
  </w:style>
  <w:style w:type="character" w:styleId="Emphasis">
    <w:name w:val="Emphasis"/>
    <w:basedOn w:val="DefaultParagraphFont"/>
    <w:qFormat/>
    <w:rsid w:val="001217F0"/>
    <w:rPr>
      <w:i/>
      <w:iCs/>
    </w:rPr>
  </w:style>
  <w:style w:type="paragraph" w:styleId="TOCHeading">
    <w:name w:val="TOC Heading"/>
    <w:basedOn w:val="Heading1"/>
    <w:next w:val="Normal"/>
    <w:uiPriority w:val="39"/>
    <w:unhideWhenUsed/>
    <w:qFormat/>
    <w:rsid w:val="00C937A4"/>
    <w:pPr>
      <w:keepLines/>
      <w:numPr>
        <w:numId w:val="0"/>
      </w:numPr>
      <w:spacing w:before="480" w:after="0"/>
      <w:outlineLvl w:val="9"/>
    </w:pPr>
    <w:rPr>
      <w:rFonts w:asciiTheme="majorHAnsi" w:eastAsiaTheme="majorEastAsia" w:hAnsiTheme="majorHAnsi" w:cstheme="majorBidi"/>
      <w:color w:val="365F91" w:themeColor="accent1" w:themeShade="BF"/>
      <w:szCs w:val="28"/>
      <w:lang w:val="en-US"/>
    </w:rPr>
  </w:style>
  <w:style w:type="paragraph" w:customStyle="1" w:styleId="TitlePageSubtitle">
    <w:name w:val="Title Page Subtitle"/>
    <w:qFormat/>
    <w:rsid w:val="000C092E"/>
    <w:rPr>
      <w:rFonts w:ascii="Gill Sans MT" w:eastAsiaTheme="minorHAnsi" w:hAnsi="Gill Sans MT" w:cstheme="minorBidi"/>
      <w:bCs/>
      <w:sz w:val="44"/>
      <w:szCs w:val="22"/>
    </w:rPr>
  </w:style>
  <w:style w:type="table" w:styleId="TableClassic3">
    <w:name w:val="Table Classic 3"/>
    <w:basedOn w:val="TableNormal"/>
    <w:rsid w:val="009A6974"/>
    <w:pPr>
      <w:spacing w:after="200" w:line="276"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3A0C05"/>
    <w:rPr>
      <w:sz w:val="16"/>
      <w:szCs w:val="16"/>
    </w:rPr>
  </w:style>
  <w:style w:type="paragraph" w:styleId="CommentText">
    <w:name w:val="annotation text"/>
    <w:basedOn w:val="Normal"/>
    <w:link w:val="CommentTextChar"/>
    <w:semiHidden/>
    <w:unhideWhenUsed/>
    <w:rsid w:val="003A0C05"/>
    <w:pPr>
      <w:spacing w:line="240" w:lineRule="auto"/>
    </w:pPr>
    <w:rPr>
      <w:sz w:val="20"/>
      <w:szCs w:val="20"/>
    </w:rPr>
  </w:style>
  <w:style w:type="character" w:customStyle="1" w:styleId="CommentTextChar">
    <w:name w:val="Comment Text Char"/>
    <w:basedOn w:val="DefaultParagraphFont"/>
    <w:link w:val="CommentText"/>
    <w:semiHidden/>
    <w:rsid w:val="003A0C05"/>
    <w:rPr>
      <w:rFonts w:ascii="Corbel" w:hAnsi="Corbel" w:cs="Arial"/>
      <w:lang w:val="sq-AL"/>
    </w:rPr>
  </w:style>
  <w:style w:type="paragraph" w:styleId="CommentSubject">
    <w:name w:val="annotation subject"/>
    <w:basedOn w:val="CommentText"/>
    <w:next w:val="CommentText"/>
    <w:link w:val="CommentSubjectChar"/>
    <w:semiHidden/>
    <w:unhideWhenUsed/>
    <w:rsid w:val="003A0C05"/>
    <w:rPr>
      <w:b/>
      <w:bCs/>
    </w:rPr>
  </w:style>
  <w:style w:type="character" w:customStyle="1" w:styleId="CommentSubjectChar">
    <w:name w:val="Comment Subject Char"/>
    <w:basedOn w:val="CommentTextChar"/>
    <w:link w:val="CommentSubject"/>
    <w:semiHidden/>
    <w:rsid w:val="003A0C05"/>
    <w:rPr>
      <w:rFonts w:ascii="Corbel" w:hAnsi="Corbel" w:cs="Arial"/>
      <w:b/>
      <w:bCs/>
      <w:lang w:val="sq-AL"/>
    </w:rPr>
  </w:style>
</w:styles>
</file>

<file path=word/webSettings.xml><?xml version="1.0" encoding="utf-8"?>
<w:webSettings xmlns:r="http://schemas.openxmlformats.org/officeDocument/2006/relationships" xmlns:w="http://schemas.openxmlformats.org/wordprocessingml/2006/main">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182">
      <w:bodyDiv w:val="1"/>
      <w:marLeft w:val="0"/>
      <w:marRight w:val="0"/>
      <w:marTop w:val="0"/>
      <w:marBottom w:val="0"/>
      <w:divBdr>
        <w:top w:val="none" w:sz="0" w:space="0" w:color="auto"/>
        <w:left w:val="none" w:sz="0" w:space="0" w:color="auto"/>
        <w:bottom w:val="none" w:sz="0" w:space="0" w:color="auto"/>
        <w:right w:val="none" w:sz="0" w:space="0" w:color="auto"/>
      </w:divBdr>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epaj\AppData\Local\Microsoft\Windows\Temporary%20Internet%20Files\Content.Outlook\1HTYLHAM\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0D70-FBAE-453E-8534-236A1411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Template>
  <TotalTime>431</TotalTime>
  <Pages>29</Pages>
  <Words>7287</Words>
  <Characters>41541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48731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ppepaj</dc:creator>
  <cp:lastModifiedBy>led-com.ch</cp:lastModifiedBy>
  <cp:revision>62</cp:revision>
  <cp:lastPrinted>2016-04-20T09:17:00Z</cp:lastPrinted>
  <dcterms:created xsi:type="dcterms:W3CDTF">2020-11-17T07:31:00Z</dcterms:created>
  <dcterms:modified xsi:type="dcterms:W3CDTF">2020-11-18T10:02:00Z</dcterms:modified>
</cp:coreProperties>
</file>