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FCA9" w14:textId="77777777" w:rsidR="0075093C" w:rsidRPr="00DE0AA0" w:rsidRDefault="0075093C" w:rsidP="0075093C">
      <w:pPr>
        <w:rPr>
          <w:lang w:val="en-GB"/>
        </w:rPr>
      </w:pPr>
    </w:p>
    <w:p w14:paraId="0140A84E" w14:textId="77777777" w:rsidR="0075093C" w:rsidRPr="00DE0AA0" w:rsidRDefault="0075093C" w:rsidP="0075093C">
      <w:pPr>
        <w:rPr>
          <w:lang w:val="en-GB"/>
        </w:rPr>
      </w:pPr>
    </w:p>
    <w:p w14:paraId="288561B3" w14:textId="77777777" w:rsidR="0075093C" w:rsidRPr="00DE0AA0" w:rsidRDefault="0075093C" w:rsidP="0075093C">
      <w:pPr>
        <w:rPr>
          <w:lang w:val="en-GB"/>
        </w:rPr>
      </w:pPr>
    </w:p>
    <w:p w14:paraId="2001CDB2" w14:textId="77777777" w:rsidR="0075093C" w:rsidRPr="00DE0AA0" w:rsidRDefault="009C3A41" w:rsidP="0075093C">
      <w:pPr>
        <w:pStyle w:val="Title"/>
        <w:shd w:val="clear" w:color="auto" w:fill="005D97"/>
        <w:jc w:val="center"/>
        <w:rPr>
          <w:color w:val="DF8D1D"/>
          <w:szCs w:val="32"/>
          <w:lang w:val="en-GB"/>
        </w:rPr>
      </w:pPr>
      <w:r w:rsidRPr="00DE0AA0">
        <w:rPr>
          <w:color w:val="DF8D1D"/>
          <w:szCs w:val="32"/>
          <w:lang w:val="en-GB"/>
        </w:rPr>
        <w:t>Consultation Report</w:t>
      </w:r>
    </w:p>
    <w:p w14:paraId="003CF774" w14:textId="77777777" w:rsidR="0075093C" w:rsidRPr="00DE0AA0" w:rsidRDefault="009C3A41" w:rsidP="00133C8E">
      <w:pPr>
        <w:pStyle w:val="Title"/>
        <w:shd w:val="clear" w:color="auto" w:fill="005D97"/>
        <w:jc w:val="center"/>
        <w:rPr>
          <w:color w:val="DF8D1D"/>
          <w:szCs w:val="32"/>
          <w:lang w:val="en-GB"/>
        </w:rPr>
      </w:pPr>
      <w:r w:rsidRPr="00DE0AA0">
        <w:rPr>
          <w:color w:val="DF8D1D"/>
          <w:szCs w:val="32"/>
          <w:lang w:val="en-GB"/>
        </w:rPr>
        <w:t>Input Values and Operati</w:t>
      </w:r>
      <w:r w:rsidR="00133C8E" w:rsidRPr="00DE0AA0">
        <w:rPr>
          <w:color w:val="DF8D1D"/>
          <w:szCs w:val="32"/>
          <w:lang w:val="en-GB"/>
        </w:rPr>
        <w:t xml:space="preserve">ng </w:t>
      </w:r>
      <w:r w:rsidRPr="00DE0AA0">
        <w:rPr>
          <w:color w:val="DF8D1D"/>
          <w:szCs w:val="32"/>
          <w:lang w:val="en-GB"/>
        </w:rPr>
        <w:t xml:space="preserve">Expenses of the Universal Service Supplier </w:t>
      </w:r>
    </w:p>
    <w:p w14:paraId="3DEDC770" w14:textId="77777777" w:rsidR="0075093C" w:rsidRPr="00DE0AA0" w:rsidRDefault="009C3A41" w:rsidP="0075093C">
      <w:pPr>
        <w:pStyle w:val="Title"/>
        <w:shd w:val="clear" w:color="auto" w:fill="005D97"/>
        <w:jc w:val="center"/>
        <w:rPr>
          <w:color w:val="DF8D1D"/>
          <w:sz w:val="36"/>
          <w:szCs w:val="26"/>
          <w:lang w:val="en-GB"/>
        </w:rPr>
      </w:pPr>
      <w:r w:rsidRPr="00DE0AA0">
        <w:rPr>
          <w:color w:val="DF8D1D"/>
          <w:sz w:val="36"/>
          <w:szCs w:val="26"/>
          <w:lang w:val="en-GB"/>
        </w:rPr>
        <w:t>Review of Input Values</w:t>
      </w:r>
      <w:r w:rsidR="0075093C" w:rsidRPr="00DE0AA0">
        <w:rPr>
          <w:color w:val="DF8D1D"/>
          <w:sz w:val="36"/>
          <w:szCs w:val="26"/>
          <w:lang w:val="en-GB"/>
        </w:rPr>
        <w:t xml:space="preserve"> (2022-2024)</w:t>
      </w:r>
    </w:p>
    <w:p w14:paraId="6608EEEA" w14:textId="77777777" w:rsidR="0075093C" w:rsidRPr="00DE0AA0" w:rsidRDefault="0075093C" w:rsidP="0075093C">
      <w:pPr>
        <w:rPr>
          <w:lang w:val="en-GB"/>
        </w:rPr>
      </w:pPr>
    </w:p>
    <w:p w14:paraId="7FC261AB" w14:textId="77777777" w:rsidR="0075093C" w:rsidRPr="00DE0AA0" w:rsidRDefault="0075093C" w:rsidP="0075093C">
      <w:pPr>
        <w:rPr>
          <w:lang w:val="en-GB"/>
        </w:rPr>
      </w:pPr>
    </w:p>
    <w:p w14:paraId="5F29D514" w14:textId="77777777" w:rsidR="0075093C" w:rsidRPr="00DE0AA0" w:rsidRDefault="0075093C" w:rsidP="0075093C">
      <w:pPr>
        <w:rPr>
          <w:lang w:val="en-GB"/>
        </w:rPr>
      </w:pPr>
    </w:p>
    <w:p w14:paraId="62E05920" w14:textId="77777777" w:rsidR="0075093C" w:rsidRPr="00DE0AA0" w:rsidRDefault="0075093C" w:rsidP="0075093C">
      <w:pPr>
        <w:rPr>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8"/>
      </w:tblGrid>
      <w:tr w:rsidR="0075093C" w:rsidRPr="00DE0AA0" w14:paraId="6F9E2A12" w14:textId="77777777" w:rsidTr="0075093C">
        <w:tc>
          <w:tcPr>
            <w:tcW w:w="9198" w:type="dxa"/>
            <w:shd w:val="clear" w:color="auto" w:fill="E0E0E0"/>
          </w:tcPr>
          <w:p w14:paraId="53C7F9F0" w14:textId="77777777" w:rsidR="00E83882" w:rsidRPr="00DE0AA0" w:rsidRDefault="00E83882" w:rsidP="00E83882">
            <w:pPr>
              <w:spacing w:before="120"/>
              <w:jc w:val="center"/>
              <w:rPr>
                <w:b/>
                <w:color w:val="005D97"/>
                <w:lang w:val="en-GB"/>
              </w:rPr>
            </w:pPr>
            <w:r w:rsidRPr="00DE0AA0">
              <w:rPr>
                <w:b/>
                <w:color w:val="005D97"/>
                <w:lang w:val="en-GB"/>
              </w:rPr>
              <w:t>DISCLAIMER</w:t>
            </w:r>
          </w:p>
          <w:p w14:paraId="39CC59CF" w14:textId="77777777" w:rsidR="0075093C" w:rsidRPr="00DE0AA0" w:rsidRDefault="00E83882" w:rsidP="00E83882">
            <w:pPr>
              <w:keepNext/>
              <w:jc w:val="both"/>
              <w:rPr>
                <w:b/>
                <w:bCs/>
                <w:lang w:val="en-GB"/>
              </w:rPr>
            </w:pPr>
            <w:r w:rsidRPr="00DE0AA0">
              <w:rPr>
                <w:b/>
                <w:color w:val="005D97"/>
                <w:lang w:val="en-GB"/>
              </w:rPr>
              <w:t xml:space="preserve">This Consultation Report has been prepared by ERO for the purpose of informing stakeholders. </w:t>
            </w:r>
            <w:r w:rsidRPr="00DE0AA0">
              <w:rPr>
                <w:b/>
                <w:color w:val="005D97"/>
                <w:u w:val="single"/>
                <w:lang w:val="en-GB"/>
              </w:rPr>
              <w:t>It does not represent a decision by the ERO and should not be interpreted as such.</w:t>
            </w:r>
          </w:p>
        </w:tc>
      </w:tr>
    </w:tbl>
    <w:p w14:paraId="21C0E682" w14:textId="77777777" w:rsidR="0075093C" w:rsidRPr="00DE0AA0" w:rsidRDefault="0075093C" w:rsidP="0075093C">
      <w:pPr>
        <w:rPr>
          <w:lang w:val="en-GB"/>
        </w:rPr>
      </w:pPr>
    </w:p>
    <w:p w14:paraId="0057C759" w14:textId="77777777" w:rsidR="0075093C" w:rsidRPr="00DE0AA0" w:rsidRDefault="0075093C" w:rsidP="0075093C">
      <w:pPr>
        <w:rPr>
          <w:lang w:val="en-GB"/>
        </w:rPr>
      </w:pPr>
    </w:p>
    <w:p w14:paraId="428744B3" w14:textId="77777777" w:rsidR="0075093C" w:rsidRPr="00DE0AA0" w:rsidRDefault="0075093C" w:rsidP="0075093C">
      <w:pPr>
        <w:rPr>
          <w:lang w:val="en-GB"/>
        </w:rPr>
      </w:pPr>
    </w:p>
    <w:p w14:paraId="5A6356AD" w14:textId="77777777" w:rsidR="0075093C" w:rsidRPr="00DE0AA0" w:rsidRDefault="0075093C" w:rsidP="0075093C">
      <w:pPr>
        <w:rPr>
          <w:lang w:val="en-GB"/>
        </w:rPr>
      </w:pPr>
    </w:p>
    <w:p w14:paraId="3001164C" w14:textId="77777777" w:rsidR="0075093C" w:rsidRPr="00DE0AA0" w:rsidRDefault="0075093C" w:rsidP="0075093C">
      <w:pPr>
        <w:pStyle w:val="ReportDate"/>
        <w:rPr>
          <w:lang w:val="en-GB"/>
        </w:rPr>
      </w:pPr>
    </w:p>
    <w:p w14:paraId="34C12738" w14:textId="77777777" w:rsidR="0075093C" w:rsidRPr="00DE0AA0" w:rsidRDefault="0075093C" w:rsidP="0075093C">
      <w:pPr>
        <w:pStyle w:val="ReportDate"/>
        <w:rPr>
          <w:sz w:val="28"/>
          <w:szCs w:val="28"/>
          <w:lang w:val="en-GB"/>
        </w:rPr>
      </w:pPr>
    </w:p>
    <w:p w14:paraId="710A5F5D" w14:textId="77777777" w:rsidR="0075093C" w:rsidRPr="00DE0AA0" w:rsidRDefault="0075093C" w:rsidP="0075093C">
      <w:pPr>
        <w:pStyle w:val="ReportDate"/>
        <w:rPr>
          <w:b w:val="0"/>
          <w:bCs w:val="0"/>
          <w:sz w:val="28"/>
          <w:szCs w:val="28"/>
          <w:lang w:val="en-GB"/>
        </w:rPr>
      </w:pPr>
      <w:r w:rsidRPr="00DE0AA0">
        <w:rPr>
          <w:sz w:val="28"/>
          <w:szCs w:val="28"/>
          <w:lang w:val="en-GB"/>
        </w:rPr>
        <w:t xml:space="preserve">25 </w:t>
      </w:r>
      <w:r w:rsidR="00E83882" w:rsidRPr="00DE0AA0">
        <w:rPr>
          <w:sz w:val="28"/>
          <w:szCs w:val="28"/>
          <w:lang w:val="en-GB"/>
        </w:rPr>
        <w:t xml:space="preserve">November </w:t>
      </w:r>
      <w:r w:rsidRPr="00DE0AA0">
        <w:rPr>
          <w:sz w:val="28"/>
          <w:szCs w:val="28"/>
          <w:lang w:val="en-GB"/>
        </w:rPr>
        <w:t>2021</w:t>
      </w:r>
      <w:r w:rsidRPr="00DE0AA0">
        <w:rPr>
          <w:sz w:val="28"/>
          <w:szCs w:val="28"/>
          <w:lang w:val="en-GB"/>
        </w:rPr>
        <w:br w:type="page"/>
      </w:r>
    </w:p>
    <w:p w14:paraId="35F972B0" w14:textId="77777777" w:rsidR="0075093C" w:rsidRPr="00DE0AA0" w:rsidRDefault="00E83882" w:rsidP="0075093C">
      <w:pPr>
        <w:rPr>
          <w:b/>
          <w:bCs/>
          <w:sz w:val="28"/>
          <w:szCs w:val="28"/>
          <w:lang w:val="en-GB"/>
        </w:rPr>
      </w:pPr>
      <w:r w:rsidRPr="00DE0AA0">
        <w:rPr>
          <w:b/>
          <w:bCs/>
          <w:sz w:val="28"/>
          <w:szCs w:val="28"/>
          <w:lang w:val="en-GB"/>
        </w:rPr>
        <w:lastRenderedPageBreak/>
        <w:t>Table of Contents</w:t>
      </w:r>
    </w:p>
    <w:p w14:paraId="003440CF" w14:textId="26630557" w:rsidR="003E4423" w:rsidRDefault="0075093C">
      <w:pPr>
        <w:pStyle w:val="TOC1"/>
        <w:rPr>
          <w:rFonts w:asciiTheme="minorHAnsi" w:eastAsiaTheme="minorEastAsia" w:hAnsiTheme="minorHAnsi" w:cstheme="minorBidi"/>
          <w:b w:val="0"/>
          <w:noProof/>
          <w:szCs w:val="22"/>
          <w:lang w:val="en-US"/>
        </w:rPr>
      </w:pPr>
      <w:r w:rsidRPr="00DE0AA0">
        <w:rPr>
          <w:szCs w:val="22"/>
        </w:rPr>
        <w:fldChar w:fldCharType="begin"/>
      </w:r>
      <w:r w:rsidRPr="00DE0AA0">
        <w:rPr>
          <w:szCs w:val="22"/>
        </w:rPr>
        <w:instrText xml:space="preserve"> TOC \o "1-5" \h \z \u </w:instrText>
      </w:r>
      <w:r w:rsidRPr="00DE0AA0">
        <w:rPr>
          <w:szCs w:val="22"/>
        </w:rPr>
        <w:fldChar w:fldCharType="separate"/>
      </w:r>
      <w:hyperlink w:anchor="_Toc89262419" w:history="1">
        <w:r w:rsidR="003E4423" w:rsidRPr="003C44FC">
          <w:rPr>
            <w:rStyle w:val="Hyperlink"/>
            <w:noProof/>
          </w:rPr>
          <w:t>1</w:t>
        </w:r>
        <w:r w:rsidR="003E4423">
          <w:rPr>
            <w:rFonts w:asciiTheme="minorHAnsi" w:eastAsiaTheme="minorEastAsia" w:hAnsiTheme="minorHAnsi" w:cstheme="minorBidi"/>
            <w:b w:val="0"/>
            <w:noProof/>
            <w:szCs w:val="22"/>
            <w:lang w:val="en-US"/>
          </w:rPr>
          <w:tab/>
        </w:r>
        <w:r w:rsidR="003E4423" w:rsidRPr="003C44FC">
          <w:rPr>
            <w:rStyle w:val="Hyperlink"/>
            <w:noProof/>
          </w:rPr>
          <w:t>Introduction</w:t>
        </w:r>
        <w:r w:rsidR="003E4423">
          <w:rPr>
            <w:noProof/>
            <w:webHidden/>
          </w:rPr>
          <w:tab/>
        </w:r>
        <w:r w:rsidR="003E4423">
          <w:rPr>
            <w:noProof/>
            <w:webHidden/>
          </w:rPr>
          <w:fldChar w:fldCharType="begin"/>
        </w:r>
        <w:r w:rsidR="003E4423">
          <w:rPr>
            <w:noProof/>
            <w:webHidden/>
          </w:rPr>
          <w:instrText xml:space="preserve"> PAGEREF _Toc89262419 \h </w:instrText>
        </w:r>
        <w:r w:rsidR="003E4423">
          <w:rPr>
            <w:noProof/>
            <w:webHidden/>
          </w:rPr>
        </w:r>
        <w:r w:rsidR="003E4423">
          <w:rPr>
            <w:noProof/>
            <w:webHidden/>
          </w:rPr>
          <w:fldChar w:fldCharType="separate"/>
        </w:r>
        <w:r w:rsidR="003E4423">
          <w:rPr>
            <w:noProof/>
            <w:webHidden/>
          </w:rPr>
          <w:t>3</w:t>
        </w:r>
        <w:r w:rsidR="003E4423">
          <w:rPr>
            <w:noProof/>
            <w:webHidden/>
          </w:rPr>
          <w:fldChar w:fldCharType="end"/>
        </w:r>
      </w:hyperlink>
    </w:p>
    <w:p w14:paraId="6FA70064" w14:textId="3E7E7C0B" w:rsidR="003E4423" w:rsidRDefault="003E4423">
      <w:pPr>
        <w:pStyle w:val="TOC1"/>
        <w:rPr>
          <w:rFonts w:asciiTheme="minorHAnsi" w:eastAsiaTheme="minorEastAsia" w:hAnsiTheme="minorHAnsi" w:cstheme="minorBidi"/>
          <w:b w:val="0"/>
          <w:noProof/>
          <w:szCs w:val="22"/>
          <w:lang w:val="en-US"/>
        </w:rPr>
      </w:pPr>
      <w:hyperlink w:anchor="_Toc89262420" w:history="1">
        <w:r w:rsidRPr="003C44FC">
          <w:rPr>
            <w:rStyle w:val="Hyperlink"/>
            <w:noProof/>
          </w:rPr>
          <w:t>2</w:t>
        </w:r>
        <w:r>
          <w:rPr>
            <w:rFonts w:asciiTheme="minorHAnsi" w:eastAsiaTheme="minorEastAsia" w:hAnsiTheme="minorHAnsi" w:cstheme="minorBidi"/>
            <w:b w:val="0"/>
            <w:noProof/>
            <w:szCs w:val="22"/>
            <w:lang w:val="en-US"/>
          </w:rPr>
          <w:tab/>
        </w:r>
        <w:r w:rsidRPr="003C44FC">
          <w:rPr>
            <w:rStyle w:val="Hyperlink"/>
            <w:noProof/>
          </w:rPr>
          <w:t>Input Values</w:t>
        </w:r>
        <w:r>
          <w:rPr>
            <w:noProof/>
            <w:webHidden/>
          </w:rPr>
          <w:tab/>
        </w:r>
        <w:r>
          <w:rPr>
            <w:noProof/>
            <w:webHidden/>
          </w:rPr>
          <w:fldChar w:fldCharType="begin"/>
        </w:r>
        <w:r>
          <w:rPr>
            <w:noProof/>
            <w:webHidden/>
          </w:rPr>
          <w:instrText xml:space="preserve"> PAGEREF _Toc89262420 \h </w:instrText>
        </w:r>
        <w:r>
          <w:rPr>
            <w:noProof/>
            <w:webHidden/>
          </w:rPr>
        </w:r>
        <w:r>
          <w:rPr>
            <w:noProof/>
            <w:webHidden/>
          </w:rPr>
          <w:fldChar w:fldCharType="separate"/>
        </w:r>
        <w:r>
          <w:rPr>
            <w:noProof/>
            <w:webHidden/>
          </w:rPr>
          <w:t>4</w:t>
        </w:r>
        <w:r>
          <w:rPr>
            <w:noProof/>
            <w:webHidden/>
          </w:rPr>
          <w:fldChar w:fldCharType="end"/>
        </w:r>
      </w:hyperlink>
    </w:p>
    <w:p w14:paraId="74C6E933" w14:textId="74ECE2AE" w:rsidR="003E4423" w:rsidRDefault="003E4423">
      <w:pPr>
        <w:pStyle w:val="TOC2"/>
        <w:rPr>
          <w:rFonts w:asciiTheme="minorHAnsi" w:eastAsiaTheme="minorEastAsia" w:hAnsiTheme="minorHAnsi" w:cstheme="minorBidi"/>
          <w:noProof/>
          <w:szCs w:val="22"/>
          <w:lang w:val="en-US"/>
        </w:rPr>
      </w:pPr>
      <w:hyperlink w:anchor="_Toc89262421" w:history="1">
        <w:r w:rsidRPr="003C44FC">
          <w:rPr>
            <w:rStyle w:val="Hyperlink"/>
            <w:noProof/>
          </w:rPr>
          <w:t>2.1</w:t>
        </w:r>
        <w:r>
          <w:rPr>
            <w:rFonts w:asciiTheme="minorHAnsi" w:eastAsiaTheme="minorEastAsia" w:hAnsiTheme="minorHAnsi" w:cstheme="minorBidi"/>
            <w:noProof/>
            <w:szCs w:val="22"/>
            <w:lang w:val="en-US"/>
          </w:rPr>
          <w:tab/>
        </w:r>
        <w:r w:rsidRPr="003C44FC">
          <w:rPr>
            <w:rStyle w:val="Hyperlink"/>
            <w:noProof/>
          </w:rPr>
          <w:t>Retail margin</w:t>
        </w:r>
        <w:r>
          <w:rPr>
            <w:noProof/>
            <w:webHidden/>
          </w:rPr>
          <w:tab/>
        </w:r>
        <w:r>
          <w:rPr>
            <w:noProof/>
            <w:webHidden/>
          </w:rPr>
          <w:fldChar w:fldCharType="begin"/>
        </w:r>
        <w:r>
          <w:rPr>
            <w:noProof/>
            <w:webHidden/>
          </w:rPr>
          <w:instrText xml:space="preserve"> PAGEREF _Toc89262421 \h </w:instrText>
        </w:r>
        <w:r>
          <w:rPr>
            <w:noProof/>
            <w:webHidden/>
          </w:rPr>
        </w:r>
        <w:r>
          <w:rPr>
            <w:noProof/>
            <w:webHidden/>
          </w:rPr>
          <w:fldChar w:fldCharType="separate"/>
        </w:r>
        <w:r>
          <w:rPr>
            <w:noProof/>
            <w:webHidden/>
          </w:rPr>
          <w:t>5</w:t>
        </w:r>
        <w:r>
          <w:rPr>
            <w:noProof/>
            <w:webHidden/>
          </w:rPr>
          <w:fldChar w:fldCharType="end"/>
        </w:r>
      </w:hyperlink>
    </w:p>
    <w:p w14:paraId="0DED2EE9" w14:textId="424BCB6A"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22" w:history="1">
        <w:r w:rsidRPr="003C44FC">
          <w:rPr>
            <w:rStyle w:val="Hyperlink"/>
            <w:noProof/>
          </w:rPr>
          <w:t>2.1.1</w:t>
        </w:r>
        <w:r>
          <w:rPr>
            <w:rFonts w:asciiTheme="minorHAnsi" w:eastAsiaTheme="minorEastAsia" w:hAnsiTheme="minorHAnsi" w:cstheme="minorBidi"/>
            <w:noProof/>
            <w:sz w:val="22"/>
            <w:szCs w:val="22"/>
            <w:lang w:val="en-US"/>
          </w:rPr>
          <w:tab/>
        </w:r>
        <w:r w:rsidRPr="003C44FC">
          <w:rPr>
            <w:rStyle w:val="Hyperlink"/>
            <w:noProof/>
          </w:rPr>
          <w:t>KESCO’s application</w:t>
        </w:r>
        <w:r>
          <w:rPr>
            <w:noProof/>
            <w:webHidden/>
          </w:rPr>
          <w:tab/>
        </w:r>
        <w:r>
          <w:rPr>
            <w:noProof/>
            <w:webHidden/>
          </w:rPr>
          <w:fldChar w:fldCharType="begin"/>
        </w:r>
        <w:r>
          <w:rPr>
            <w:noProof/>
            <w:webHidden/>
          </w:rPr>
          <w:instrText xml:space="preserve"> PAGEREF _Toc89262422 \h </w:instrText>
        </w:r>
        <w:r>
          <w:rPr>
            <w:noProof/>
            <w:webHidden/>
          </w:rPr>
        </w:r>
        <w:r>
          <w:rPr>
            <w:noProof/>
            <w:webHidden/>
          </w:rPr>
          <w:fldChar w:fldCharType="separate"/>
        </w:r>
        <w:r>
          <w:rPr>
            <w:noProof/>
            <w:webHidden/>
          </w:rPr>
          <w:t>5</w:t>
        </w:r>
        <w:r>
          <w:rPr>
            <w:noProof/>
            <w:webHidden/>
          </w:rPr>
          <w:fldChar w:fldCharType="end"/>
        </w:r>
      </w:hyperlink>
    </w:p>
    <w:p w14:paraId="5F2D4AFA" w14:textId="1E58A10E"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23" w:history="1">
        <w:r w:rsidRPr="003C44FC">
          <w:rPr>
            <w:rStyle w:val="Hyperlink"/>
            <w:noProof/>
          </w:rPr>
          <w:t>2.1.2</w:t>
        </w:r>
        <w:r>
          <w:rPr>
            <w:rFonts w:asciiTheme="minorHAnsi" w:eastAsiaTheme="minorEastAsia" w:hAnsiTheme="minorHAnsi" w:cstheme="minorBidi"/>
            <w:noProof/>
            <w:sz w:val="22"/>
            <w:szCs w:val="22"/>
            <w:lang w:val="en-US"/>
          </w:rPr>
          <w:tab/>
        </w:r>
        <w:r w:rsidRPr="003C44FC">
          <w:rPr>
            <w:rStyle w:val="Hyperlink"/>
            <w:noProof/>
          </w:rPr>
          <w:t>ERO’s review and proposal on USS Retail Margin</w:t>
        </w:r>
        <w:r>
          <w:rPr>
            <w:noProof/>
            <w:webHidden/>
          </w:rPr>
          <w:tab/>
        </w:r>
        <w:r>
          <w:rPr>
            <w:noProof/>
            <w:webHidden/>
          </w:rPr>
          <w:fldChar w:fldCharType="begin"/>
        </w:r>
        <w:r>
          <w:rPr>
            <w:noProof/>
            <w:webHidden/>
          </w:rPr>
          <w:instrText xml:space="preserve"> PAGEREF _Toc89262423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67A24AB6" w14:textId="4E7A21E0" w:rsidR="003E4423" w:rsidRDefault="003E4423">
      <w:pPr>
        <w:pStyle w:val="TOC2"/>
        <w:rPr>
          <w:rFonts w:asciiTheme="minorHAnsi" w:eastAsiaTheme="minorEastAsia" w:hAnsiTheme="minorHAnsi" w:cstheme="minorBidi"/>
          <w:noProof/>
          <w:szCs w:val="22"/>
          <w:lang w:val="en-US"/>
        </w:rPr>
      </w:pPr>
      <w:hyperlink w:anchor="_Toc89262424" w:history="1">
        <w:r w:rsidRPr="003C44FC">
          <w:rPr>
            <w:rStyle w:val="Hyperlink"/>
            <w:noProof/>
          </w:rPr>
          <w:t>2.2</w:t>
        </w:r>
        <w:r>
          <w:rPr>
            <w:rFonts w:asciiTheme="minorHAnsi" w:eastAsiaTheme="minorEastAsia" w:hAnsiTheme="minorHAnsi" w:cstheme="minorBidi"/>
            <w:noProof/>
            <w:szCs w:val="22"/>
            <w:lang w:val="en-US"/>
          </w:rPr>
          <w:tab/>
        </w:r>
        <w:r w:rsidRPr="003C44FC">
          <w:rPr>
            <w:rStyle w:val="Hyperlink"/>
            <w:noProof/>
          </w:rPr>
          <w:t>Bad debt</w:t>
        </w:r>
        <w:r>
          <w:rPr>
            <w:noProof/>
            <w:webHidden/>
          </w:rPr>
          <w:tab/>
        </w:r>
        <w:r>
          <w:rPr>
            <w:noProof/>
            <w:webHidden/>
          </w:rPr>
          <w:fldChar w:fldCharType="begin"/>
        </w:r>
        <w:r>
          <w:rPr>
            <w:noProof/>
            <w:webHidden/>
          </w:rPr>
          <w:instrText xml:space="preserve"> PAGEREF _Toc89262424 \h </w:instrText>
        </w:r>
        <w:r>
          <w:rPr>
            <w:noProof/>
            <w:webHidden/>
          </w:rPr>
        </w:r>
        <w:r>
          <w:rPr>
            <w:noProof/>
            <w:webHidden/>
          </w:rPr>
          <w:fldChar w:fldCharType="separate"/>
        </w:r>
        <w:r>
          <w:rPr>
            <w:noProof/>
            <w:webHidden/>
          </w:rPr>
          <w:t>7</w:t>
        </w:r>
        <w:r>
          <w:rPr>
            <w:noProof/>
            <w:webHidden/>
          </w:rPr>
          <w:fldChar w:fldCharType="end"/>
        </w:r>
      </w:hyperlink>
    </w:p>
    <w:p w14:paraId="5819058D" w14:textId="0BCB5341"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25" w:history="1">
        <w:r w:rsidRPr="003C44FC">
          <w:rPr>
            <w:rStyle w:val="Hyperlink"/>
            <w:noProof/>
          </w:rPr>
          <w:t>2.2.1</w:t>
        </w:r>
        <w:r>
          <w:rPr>
            <w:rFonts w:asciiTheme="minorHAnsi" w:eastAsiaTheme="minorEastAsia" w:hAnsiTheme="minorHAnsi" w:cstheme="minorBidi"/>
            <w:noProof/>
            <w:sz w:val="22"/>
            <w:szCs w:val="22"/>
            <w:lang w:val="en-US"/>
          </w:rPr>
          <w:tab/>
        </w:r>
        <w:r w:rsidRPr="003C44FC">
          <w:rPr>
            <w:rStyle w:val="Hyperlink"/>
            <w:noProof/>
          </w:rPr>
          <w:t>KESCO’s application</w:t>
        </w:r>
        <w:r>
          <w:rPr>
            <w:noProof/>
            <w:webHidden/>
          </w:rPr>
          <w:tab/>
        </w:r>
        <w:r>
          <w:rPr>
            <w:noProof/>
            <w:webHidden/>
          </w:rPr>
          <w:fldChar w:fldCharType="begin"/>
        </w:r>
        <w:r>
          <w:rPr>
            <w:noProof/>
            <w:webHidden/>
          </w:rPr>
          <w:instrText xml:space="preserve"> PAGEREF _Toc89262425 \h </w:instrText>
        </w:r>
        <w:r>
          <w:rPr>
            <w:noProof/>
            <w:webHidden/>
          </w:rPr>
        </w:r>
        <w:r>
          <w:rPr>
            <w:noProof/>
            <w:webHidden/>
          </w:rPr>
          <w:fldChar w:fldCharType="separate"/>
        </w:r>
        <w:r>
          <w:rPr>
            <w:noProof/>
            <w:webHidden/>
          </w:rPr>
          <w:t>7</w:t>
        </w:r>
        <w:r>
          <w:rPr>
            <w:noProof/>
            <w:webHidden/>
          </w:rPr>
          <w:fldChar w:fldCharType="end"/>
        </w:r>
      </w:hyperlink>
    </w:p>
    <w:p w14:paraId="52F6DF78" w14:textId="004FE798"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26" w:history="1">
        <w:r w:rsidRPr="003C44FC">
          <w:rPr>
            <w:rStyle w:val="Hyperlink"/>
            <w:noProof/>
          </w:rPr>
          <w:t>2.2.2</w:t>
        </w:r>
        <w:r>
          <w:rPr>
            <w:rFonts w:asciiTheme="minorHAnsi" w:eastAsiaTheme="minorEastAsia" w:hAnsiTheme="minorHAnsi" w:cstheme="minorBidi"/>
            <w:noProof/>
            <w:sz w:val="22"/>
            <w:szCs w:val="22"/>
            <w:lang w:val="en-US"/>
          </w:rPr>
          <w:tab/>
        </w:r>
        <w:r w:rsidRPr="003C44FC">
          <w:rPr>
            <w:rStyle w:val="Hyperlink"/>
            <w:noProof/>
          </w:rPr>
          <w:t>ERO’s review and proposal on allowing the bad debt</w:t>
        </w:r>
        <w:r>
          <w:rPr>
            <w:noProof/>
            <w:webHidden/>
          </w:rPr>
          <w:tab/>
        </w:r>
        <w:r>
          <w:rPr>
            <w:noProof/>
            <w:webHidden/>
          </w:rPr>
          <w:fldChar w:fldCharType="begin"/>
        </w:r>
        <w:r>
          <w:rPr>
            <w:noProof/>
            <w:webHidden/>
          </w:rPr>
          <w:instrText xml:space="preserve"> PAGEREF _Toc89262426 \h </w:instrText>
        </w:r>
        <w:r>
          <w:rPr>
            <w:noProof/>
            <w:webHidden/>
          </w:rPr>
        </w:r>
        <w:r>
          <w:rPr>
            <w:noProof/>
            <w:webHidden/>
          </w:rPr>
          <w:fldChar w:fldCharType="separate"/>
        </w:r>
        <w:r>
          <w:rPr>
            <w:noProof/>
            <w:webHidden/>
          </w:rPr>
          <w:t>8</w:t>
        </w:r>
        <w:r>
          <w:rPr>
            <w:noProof/>
            <w:webHidden/>
          </w:rPr>
          <w:fldChar w:fldCharType="end"/>
        </w:r>
      </w:hyperlink>
    </w:p>
    <w:p w14:paraId="63E7D1FD" w14:textId="17E572CE" w:rsidR="003E4423" w:rsidRDefault="003E4423">
      <w:pPr>
        <w:pStyle w:val="TOC4"/>
        <w:tabs>
          <w:tab w:val="right" w:leader="dot" w:pos="9350"/>
        </w:tabs>
        <w:rPr>
          <w:rFonts w:eastAsiaTheme="minorEastAsia"/>
          <w:noProof/>
        </w:rPr>
      </w:pPr>
      <w:hyperlink w:anchor="_Toc89262427" w:history="1">
        <w:r w:rsidRPr="003C44FC">
          <w:rPr>
            <w:rStyle w:val="Hyperlink"/>
            <w:noProof/>
            <w:lang w:val="en-GB"/>
          </w:rPr>
          <w:t>Impact of the accounts receivable discounted</w:t>
        </w:r>
        <w:r>
          <w:rPr>
            <w:noProof/>
            <w:webHidden/>
          </w:rPr>
          <w:tab/>
        </w:r>
        <w:r>
          <w:rPr>
            <w:noProof/>
            <w:webHidden/>
          </w:rPr>
          <w:fldChar w:fldCharType="begin"/>
        </w:r>
        <w:r>
          <w:rPr>
            <w:noProof/>
            <w:webHidden/>
          </w:rPr>
          <w:instrText xml:space="preserve"> PAGEREF _Toc89262427 \h </w:instrText>
        </w:r>
        <w:r>
          <w:rPr>
            <w:noProof/>
            <w:webHidden/>
          </w:rPr>
        </w:r>
        <w:r>
          <w:rPr>
            <w:noProof/>
            <w:webHidden/>
          </w:rPr>
          <w:fldChar w:fldCharType="separate"/>
        </w:r>
        <w:r>
          <w:rPr>
            <w:noProof/>
            <w:webHidden/>
          </w:rPr>
          <w:t>8</w:t>
        </w:r>
        <w:r>
          <w:rPr>
            <w:noProof/>
            <w:webHidden/>
          </w:rPr>
          <w:fldChar w:fldCharType="end"/>
        </w:r>
      </w:hyperlink>
    </w:p>
    <w:p w14:paraId="4F6FB71E" w14:textId="5E9906D8" w:rsidR="003E4423" w:rsidRDefault="003E4423">
      <w:pPr>
        <w:pStyle w:val="TOC4"/>
        <w:tabs>
          <w:tab w:val="right" w:leader="dot" w:pos="9350"/>
        </w:tabs>
        <w:rPr>
          <w:rFonts w:eastAsiaTheme="minorEastAsia"/>
          <w:noProof/>
        </w:rPr>
      </w:pPr>
      <w:hyperlink w:anchor="_Toc89262428" w:history="1">
        <w:r w:rsidRPr="003C44FC">
          <w:rPr>
            <w:rStyle w:val="Hyperlink"/>
            <w:noProof/>
            <w:lang w:val="en-GB"/>
          </w:rPr>
          <w:t>The impact of deregulation</w:t>
        </w:r>
        <w:r>
          <w:rPr>
            <w:noProof/>
            <w:webHidden/>
          </w:rPr>
          <w:tab/>
        </w:r>
        <w:r>
          <w:rPr>
            <w:noProof/>
            <w:webHidden/>
          </w:rPr>
          <w:fldChar w:fldCharType="begin"/>
        </w:r>
        <w:r>
          <w:rPr>
            <w:noProof/>
            <w:webHidden/>
          </w:rPr>
          <w:instrText xml:space="preserve"> PAGEREF _Toc89262428 \h </w:instrText>
        </w:r>
        <w:r>
          <w:rPr>
            <w:noProof/>
            <w:webHidden/>
          </w:rPr>
        </w:r>
        <w:r>
          <w:rPr>
            <w:noProof/>
            <w:webHidden/>
          </w:rPr>
          <w:fldChar w:fldCharType="separate"/>
        </w:r>
        <w:r>
          <w:rPr>
            <w:noProof/>
            <w:webHidden/>
          </w:rPr>
          <w:t>9</w:t>
        </w:r>
        <w:r>
          <w:rPr>
            <w:noProof/>
            <w:webHidden/>
          </w:rPr>
          <w:fldChar w:fldCharType="end"/>
        </w:r>
      </w:hyperlink>
    </w:p>
    <w:p w14:paraId="0BD0DC6F" w14:textId="2A9215EE" w:rsidR="003E4423" w:rsidRDefault="003E4423">
      <w:pPr>
        <w:pStyle w:val="TOC4"/>
        <w:tabs>
          <w:tab w:val="right" w:leader="dot" w:pos="9350"/>
        </w:tabs>
        <w:rPr>
          <w:rFonts w:eastAsiaTheme="minorEastAsia"/>
          <w:noProof/>
        </w:rPr>
      </w:pPr>
      <w:hyperlink w:anchor="_Toc89262429" w:history="1">
        <w:r w:rsidRPr="003C44FC">
          <w:rPr>
            <w:rStyle w:val="Hyperlink"/>
            <w:noProof/>
            <w:lang w:val="en-GB"/>
          </w:rPr>
          <w:t>Analysis of the evaluation of deregulation</w:t>
        </w:r>
        <w:r>
          <w:rPr>
            <w:noProof/>
            <w:webHidden/>
          </w:rPr>
          <w:tab/>
        </w:r>
        <w:r>
          <w:rPr>
            <w:noProof/>
            <w:webHidden/>
          </w:rPr>
          <w:fldChar w:fldCharType="begin"/>
        </w:r>
        <w:r>
          <w:rPr>
            <w:noProof/>
            <w:webHidden/>
          </w:rPr>
          <w:instrText xml:space="preserve"> PAGEREF _Toc89262429 \h </w:instrText>
        </w:r>
        <w:r>
          <w:rPr>
            <w:noProof/>
            <w:webHidden/>
          </w:rPr>
        </w:r>
        <w:r>
          <w:rPr>
            <w:noProof/>
            <w:webHidden/>
          </w:rPr>
          <w:fldChar w:fldCharType="separate"/>
        </w:r>
        <w:r>
          <w:rPr>
            <w:noProof/>
            <w:webHidden/>
          </w:rPr>
          <w:t>10</w:t>
        </w:r>
        <w:r>
          <w:rPr>
            <w:noProof/>
            <w:webHidden/>
          </w:rPr>
          <w:fldChar w:fldCharType="end"/>
        </w:r>
      </w:hyperlink>
    </w:p>
    <w:p w14:paraId="66A53C54" w14:textId="772D2355" w:rsidR="003E4423" w:rsidRDefault="003E4423">
      <w:pPr>
        <w:pStyle w:val="TOC2"/>
        <w:rPr>
          <w:rFonts w:asciiTheme="minorHAnsi" w:eastAsiaTheme="minorEastAsia" w:hAnsiTheme="minorHAnsi" w:cstheme="minorBidi"/>
          <w:noProof/>
          <w:szCs w:val="22"/>
          <w:lang w:val="en-US"/>
        </w:rPr>
      </w:pPr>
      <w:hyperlink w:anchor="_Toc89262430" w:history="1">
        <w:r w:rsidRPr="003C44FC">
          <w:rPr>
            <w:rStyle w:val="Hyperlink"/>
            <w:noProof/>
          </w:rPr>
          <w:t>2.3</w:t>
        </w:r>
        <w:r>
          <w:rPr>
            <w:rFonts w:asciiTheme="minorHAnsi" w:eastAsiaTheme="minorEastAsia" w:hAnsiTheme="minorHAnsi" w:cstheme="minorBidi"/>
            <w:noProof/>
            <w:szCs w:val="22"/>
            <w:lang w:val="en-US"/>
          </w:rPr>
          <w:tab/>
        </w:r>
        <w:r w:rsidRPr="003C44FC">
          <w:rPr>
            <w:rStyle w:val="Hyperlink"/>
            <w:noProof/>
          </w:rPr>
          <w:t>Imbalance sharing factor</w:t>
        </w:r>
        <w:r>
          <w:rPr>
            <w:noProof/>
            <w:webHidden/>
          </w:rPr>
          <w:tab/>
        </w:r>
        <w:r>
          <w:rPr>
            <w:noProof/>
            <w:webHidden/>
          </w:rPr>
          <w:fldChar w:fldCharType="begin"/>
        </w:r>
        <w:r>
          <w:rPr>
            <w:noProof/>
            <w:webHidden/>
          </w:rPr>
          <w:instrText xml:space="preserve"> PAGEREF _Toc89262430 \h </w:instrText>
        </w:r>
        <w:r>
          <w:rPr>
            <w:noProof/>
            <w:webHidden/>
          </w:rPr>
        </w:r>
        <w:r>
          <w:rPr>
            <w:noProof/>
            <w:webHidden/>
          </w:rPr>
          <w:fldChar w:fldCharType="separate"/>
        </w:r>
        <w:r>
          <w:rPr>
            <w:noProof/>
            <w:webHidden/>
          </w:rPr>
          <w:t>11</w:t>
        </w:r>
        <w:r>
          <w:rPr>
            <w:noProof/>
            <w:webHidden/>
          </w:rPr>
          <w:fldChar w:fldCharType="end"/>
        </w:r>
      </w:hyperlink>
    </w:p>
    <w:p w14:paraId="6C085095" w14:textId="4B7ED78A"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31" w:history="1">
        <w:r w:rsidRPr="003C44FC">
          <w:rPr>
            <w:rStyle w:val="Hyperlink"/>
            <w:noProof/>
          </w:rPr>
          <w:t>2.3.1</w:t>
        </w:r>
        <w:r>
          <w:rPr>
            <w:rFonts w:asciiTheme="minorHAnsi" w:eastAsiaTheme="minorEastAsia" w:hAnsiTheme="minorHAnsi" w:cstheme="minorBidi"/>
            <w:noProof/>
            <w:sz w:val="22"/>
            <w:szCs w:val="22"/>
            <w:lang w:val="en-US"/>
          </w:rPr>
          <w:tab/>
        </w:r>
        <w:r w:rsidRPr="003C44FC">
          <w:rPr>
            <w:rStyle w:val="Hyperlink"/>
            <w:noProof/>
          </w:rPr>
          <w:t>KESCO’s application</w:t>
        </w:r>
        <w:r>
          <w:rPr>
            <w:noProof/>
            <w:webHidden/>
          </w:rPr>
          <w:tab/>
        </w:r>
        <w:r>
          <w:rPr>
            <w:noProof/>
            <w:webHidden/>
          </w:rPr>
          <w:fldChar w:fldCharType="begin"/>
        </w:r>
        <w:r>
          <w:rPr>
            <w:noProof/>
            <w:webHidden/>
          </w:rPr>
          <w:instrText xml:space="preserve"> PAGEREF _Toc89262431 \h </w:instrText>
        </w:r>
        <w:r>
          <w:rPr>
            <w:noProof/>
            <w:webHidden/>
          </w:rPr>
        </w:r>
        <w:r>
          <w:rPr>
            <w:noProof/>
            <w:webHidden/>
          </w:rPr>
          <w:fldChar w:fldCharType="separate"/>
        </w:r>
        <w:r>
          <w:rPr>
            <w:noProof/>
            <w:webHidden/>
          </w:rPr>
          <w:t>11</w:t>
        </w:r>
        <w:r>
          <w:rPr>
            <w:noProof/>
            <w:webHidden/>
          </w:rPr>
          <w:fldChar w:fldCharType="end"/>
        </w:r>
      </w:hyperlink>
    </w:p>
    <w:p w14:paraId="16085DD1" w14:textId="0EE304A2"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32" w:history="1">
        <w:r w:rsidRPr="003C44FC">
          <w:rPr>
            <w:rStyle w:val="Hyperlink"/>
            <w:noProof/>
          </w:rPr>
          <w:t>2.3.2</w:t>
        </w:r>
        <w:r>
          <w:rPr>
            <w:rFonts w:asciiTheme="minorHAnsi" w:eastAsiaTheme="minorEastAsia" w:hAnsiTheme="minorHAnsi" w:cstheme="minorBidi"/>
            <w:noProof/>
            <w:sz w:val="22"/>
            <w:szCs w:val="22"/>
            <w:lang w:val="en-US"/>
          </w:rPr>
          <w:tab/>
        </w:r>
        <w:r w:rsidRPr="003C44FC">
          <w:rPr>
            <w:rStyle w:val="Hyperlink"/>
            <w:noProof/>
          </w:rPr>
          <w:t>ERO’s proposal</w:t>
        </w:r>
        <w:r>
          <w:rPr>
            <w:noProof/>
            <w:webHidden/>
          </w:rPr>
          <w:tab/>
        </w:r>
        <w:r>
          <w:rPr>
            <w:noProof/>
            <w:webHidden/>
          </w:rPr>
          <w:fldChar w:fldCharType="begin"/>
        </w:r>
        <w:r>
          <w:rPr>
            <w:noProof/>
            <w:webHidden/>
          </w:rPr>
          <w:instrText xml:space="preserve"> PAGEREF _Toc89262432 \h </w:instrText>
        </w:r>
        <w:r>
          <w:rPr>
            <w:noProof/>
            <w:webHidden/>
          </w:rPr>
        </w:r>
        <w:r>
          <w:rPr>
            <w:noProof/>
            <w:webHidden/>
          </w:rPr>
          <w:fldChar w:fldCharType="separate"/>
        </w:r>
        <w:r>
          <w:rPr>
            <w:noProof/>
            <w:webHidden/>
          </w:rPr>
          <w:t>12</w:t>
        </w:r>
        <w:r>
          <w:rPr>
            <w:noProof/>
            <w:webHidden/>
          </w:rPr>
          <w:fldChar w:fldCharType="end"/>
        </w:r>
      </w:hyperlink>
    </w:p>
    <w:p w14:paraId="5A03CDCD" w14:textId="66BDE03F" w:rsidR="003E4423" w:rsidRDefault="003E4423">
      <w:pPr>
        <w:pStyle w:val="TOC1"/>
        <w:rPr>
          <w:rFonts w:asciiTheme="minorHAnsi" w:eastAsiaTheme="minorEastAsia" w:hAnsiTheme="minorHAnsi" w:cstheme="minorBidi"/>
          <w:b w:val="0"/>
          <w:noProof/>
          <w:szCs w:val="22"/>
          <w:lang w:val="en-US"/>
        </w:rPr>
      </w:pPr>
      <w:hyperlink w:anchor="_Toc89262433" w:history="1">
        <w:r w:rsidRPr="003C44FC">
          <w:rPr>
            <w:rStyle w:val="Hyperlink"/>
            <w:noProof/>
          </w:rPr>
          <w:t>3</w:t>
        </w:r>
        <w:r>
          <w:rPr>
            <w:rFonts w:asciiTheme="minorHAnsi" w:eastAsiaTheme="minorEastAsia" w:hAnsiTheme="minorHAnsi" w:cstheme="minorBidi"/>
            <w:b w:val="0"/>
            <w:noProof/>
            <w:szCs w:val="22"/>
            <w:lang w:val="en-US"/>
          </w:rPr>
          <w:tab/>
        </w:r>
        <w:r w:rsidRPr="003C44FC">
          <w:rPr>
            <w:rStyle w:val="Hyperlink"/>
            <w:noProof/>
          </w:rPr>
          <w:t>Operating and maintenance costs</w:t>
        </w:r>
        <w:r>
          <w:rPr>
            <w:noProof/>
            <w:webHidden/>
          </w:rPr>
          <w:tab/>
        </w:r>
        <w:r>
          <w:rPr>
            <w:noProof/>
            <w:webHidden/>
          </w:rPr>
          <w:fldChar w:fldCharType="begin"/>
        </w:r>
        <w:r>
          <w:rPr>
            <w:noProof/>
            <w:webHidden/>
          </w:rPr>
          <w:instrText xml:space="preserve"> PAGEREF _Toc89262433 \h </w:instrText>
        </w:r>
        <w:r>
          <w:rPr>
            <w:noProof/>
            <w:webHidden/>
          </w:rPr>
        </w:r>
        <w:r>
          <w:rPr>
            <w:noProof/>
            <w:webHidden/>
          </w:rPr>
          <w:fldChar w:fldCharType="separate"/>
        </w:r>
        <w:r>
          <w:rPr>
            <w:noProof/>
            <w:webHidden/>
          </w:rPr>
          <w:t>13</w:t>
        </w:r>
        <w:r>
          <w:rPr>
            <w:noProof/>
            <w:webHidden/>
          </w:rPr>
          <w:fldChar w:fldCharType="end"/>
        </w:r>
      </w:hyperlink>
    </w:p>
    <w:p w14:paraId="5EFB181F" w14:textId="01D1D190" w:rsidR="003E4423" w:rsidRDefault="003E4423">
      <w:pPr>
        <w:pStyle w:val="TOC2"/>
        <w:rPr>
          <w:rFonts w:asciiTheme="minorHAnsi" w:eastAsiaTheme="minorEastAsia" w:hAnsiTheme="minorHAnsi" w:cstheme="minorBidi"/>
          <w:noProof/>
          <w:szCs w:val="22"/>
          <w:lang w:val="en-US"/>
        </w:rPr>
      </w:pPr>
      <w:hyperlink w:anchor="_Toc89262434" w:history="1">
        <w:r w:rsidRPr="003C44FC">
          <w:rPr>
            <w:rStyle w:val="Hyperlink"/>
            <w:noProof/>
          </w:rPr>
          <w:t>3.1</w:t>
        </w:r>
        <w:r>
          <w:rPr>
            <w:rFonts w:asciiTheme="minorHAnsi" w:eastAsiaTheme="minorEastAsia" w:hAnsiTheme="minorHAnsi" w:cstheme="minorBidi"/>
            <w:noProof/>
            <w:szCs w:val="22"/>
            <w:lang w:val="en-US"/>
          </w:rPr>
          <w:tab/>
        </w:r>
        <w:r w:rsidRPr="003C44FC">
          <w:rPr>
            <w:rStyle w:val="Hyperlink"/>
            <w:noProof/>
          </w:rPr>
          <w:t>KESCO’s application</w:t>
        </w:r>
        <w:r>
          <w:rPr>
            <w:noProof/>
            <w:webHidden/>
          </w:rPr>
          <w:tab/>
        </w:r>
        <w:r>
          <w:rPr>
            <w:noProof/>
            <w:webHidden/>
          </w:rPr>
          <w:fldChar w:fldCharType="begin"/>
        </w:r>
        <w:r>
          <w:rPr>
            <w:noProof/>
            <w:webHidden/>
          </w:rPr>
          <w:instrText xml:space="preserve"> PAGEREF _Toc89262434 \h </w:instrText>
        </w:r>
        <w:r>
          <w:rPr>
            <w:noProof/>
            <w:webHidden/>
          </w:rPr>
        </w:r>
        <w:r>
          <w:rPr>
            <w:noProof/>
            <w:webHidden/>
          </w:rPr>
          <w:fldChar w:fldCharType="separate"/>
        </w:r>
        <w:r>
          <w:rPr>
            <w:noProof/>
            <w:webHidden/>
          </w:rPr>
          <w:t>13</w:t>
        </w:r>
        <w:r>
          <w:rPr>
            <w:noProof/>
            <w:webHidden/>
          </w:rPr>
          <w:fldChar w:fldCharType="end"/>
        </w:r>
      </w:hyperlink>
    </w:p>
    <w:p w14:paraId="61D9579E" w14:textId="778C55A5" w:rsidR="003E4423" w:rsidRDefault="003E4423">
      <w:pPr>
        <w:pStyle w:val="TOC2"/>
        <w:rPr>
          <w:rFonts w:asciiTheme="minorHAnsi" w:eastAsiaTheme="minorEastAsia" w:hAnsiTheme="minorHAnsi" w:cstheme="minorBidi"/>
          <w:noProof/>
          <w:szCs w:val="22"/>
          <w:lang w:val="en-US"/>
        </w:rPr>
      </w:pPr>
      <w:hyperlink w:anchor="_Toc89262435" w:history="1">
        <w:r w:rsidRPr="003C44FC">
          <w:rPr>
            <w:rStyle w:val="Hyperlink"/>
            <w:noProof/>
          </w:rPr>
          <w:t>3.2</w:t>
        </w:r>
        <w:r>
          <w:rPr>
            <w:rFonts w:asciiTheme="minorHAnsi" w:eastAsiaTheme="minorEastAsia" w:hAnsiTheme="minorHAnsi" w:cstheme="minorBidi"/>
            <w:noProof/>
            <w:szCs w:val="22"/>
            <w:lang w:val="en-US"/>
          </w:rPr>
          <w:tab/>
        </w:r>
        <w:r w:rsidRPr="003C44FC">
          <w:rPr>
            <w:rStyle w:val="Hyperlink"/>
            <w:noProof/>
          </w:rPr>
          <w:t>Review of the application and ERO’s proposal on Operating Costs</w:t>
        </w:r>
        <w:r>
          <w:rPr>
            <w:noProof/>
            <w:webHidden/>
          </w:rPr>
          <w:tab/>
        </w:r>
        <w:r>
          <w:rPr>
            <w:noProof/>
            <w:webHidden/>
          </w:rPr>
          <w:fldChar w:fldCharType="begin"/>
        </w:r>
        <w:r>
          <w:rPr>
            <w:noProof/>
            <w:webHidden/>
          </w:rPr>
          <w:instrText xml:space="preserve"> PAGEREF _Toc89262435 \h </w:instrText>
        </w:r>
        <w:r>
          <w:rPr>
            <w:noProof/>
            <w:webHidden/>
          </w:rPr>
        </w:r>
        <w:r>
          <w:rPr>
            <w:noProof/>
            <w:webHidden/>
          </w:rPr>
          <w:fldChar w:fldCharType="separate"/>
        </w:r>
        <w:r>
          <w:rPr>
            <w:noProof/>
            <w:webHidden/>
          </w:rPr>
          <w:t>14</w:t>
        </w:r>
        <w:r>
          <w:rPr>
            <w:noProof/>
            <w:webHidden/>
          </w:rPr>
          <w:fldChar w:fldCharType="end"/>
        </w:r>
      </w:hyperlink>
    </w:p>
    <w:p w14:paraId="6A0339FD" w14:textId="438EDAE5"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36" w:history="1">
        <w:r w:rsidRPr="003C44FC">
          <w:rPr>
            <w:rStyle w:val="Hyperlink"/>
            <w:noProof/>
          </w:rPr>
          <w:t>3.2.1</w:t>
        </w:r>
        <w:r>
          <w:rPr>
            <w:rFonts w:asciiTheme="minorHAnsi" w:eastAsiaTheme="minorEastAsia" w:hAnsiTheme="minorHAnsi" w:cstheme="minorBidi"/>
            <w:noProof/>
            <w:sz w:val="22"/>
            <w:szCs w:val="22"/>
            <w:lang w:val="en-US"/>
          </w:rPr>
          <w:tab/>
        </w:r>
        <w:r w:rsidRPr="003C44FC">
          <w:rPr>
            <w:rStyle w:val="Hyperlink"/>
            <w:noProof/>
          </w:rPr>
          <w:t>Efficiency factor</w:t>
        </w:r>
        <w:r>
          <w:rPr>
            <w:noProof/>
            <w:webHidden/>
          </w:rPr>
          <w:tab/>
        </w:r>
        <w:r>
          <w:rPr>
            <w:noProof/>
            <w:webHidden/>
          </w:rPr>
          <w:fldChar w:fldCharType="begin"/>
        </w:r>
        <w:r>
          <w:rPr>
            <w:noProof/>
            <w:webHidden/>
          </w:rPr>
          <w:instrText xml:space="preserve"> PAGEREF _Toc89262436 \h </w:instrText>
        </w:r>
        <w:r>
          <w:rPr>
            <w:noProof/>
            <w:webHidden/>
          </w:rPr>
        </w:r>
        <w:r>
          <w:rPr>
            <w:noProof/>
            <w:webHidden/>
          </w:rPr>
          <w:fldChar w:fldCharType="separate"/>
        </w:r>
        <w:r>
          <w:rPr>
            <w:noProof/>
            <w:webHidden/>
          </w:rPr>
          <w:t>18</w:t>
        </w:r>
        <w:r>
          <w:rPr>
            <w:noProof/>
            <w:webHidden/>
          </w:rPr>
          <w:fldChar w:fldCharType="end"/>
        </w:r>
      </w:hyperlink>
    </w:p>
    <w:p w14:paraId="18D486D7" w14:textId="176C27FC" w:rsidR="003E4423" w:rsidRDefault="003E4423">
      <w:pPr>
        <w:pStyle w:val="TOC4"/>
        <w:tabs>
          <w:tab w:val="right" w:leader="dot" w:pos="9350"/>
        </w:tabs>
        <w:rPr>
          <w:rFonts w:eastAsiaTheme="minorEastAsia"/>
          <w:noProof/>
        </w:rPr>
      </w:pPr>
      <w:hyperlink w:anchor="_Toc89262437" w:history="1">
        <w:r w:rsidRPr="003C44FC">
          <w:rPr>
            <w:rStyle w:val="Hyperlink"/>
            <w:noProof/>
            <w:lang w:val="en-GB"/>
          </w:rPr>
          <w:t>KESCO’s proposal</w:t>
        </w:r>
        <w:r>
          <w:rPr>
            <w:noProof/>
            <w:webHidden/>
          </w:rPr>
          <w:tab/>
        </w:r>
        <w:r>
          <w:rPr>
            <w:noProof/>
            <w:webHidden/>
          </w:rPr>
          <w:fldChar w:fldCharType="begin"/>
        </w:r>
        <w:r>
          <w:rPr>
            <w:noProof/>
            <w:webHidden/>
          </w:rPr>
          <w:instrText xml:space="preserve"> PAGEREF _Toc89262437 \h </w:instrText>
        </w:r>
        <w:r>
          <w:rPr>
            <w:noProof/>
            <w:webHidden/>
          </w:rPr>
        </w:r>
        <w:r>
          <w:rPr>
            <w:noProof/>
            <w:webHidden/>
          </w:rPr>
          <w:fldChar w:fldCharType="separate"/>
        </w:r>
        <w:r>
          <w:rPr>
            <w:noProof/>
            <w:webHidden/>
          </w:rPr>
          <w:t>18</w:t>
        </w:r>
        <w:r>
          <w:rPr>
            <w:noProof/>
            <w:webHidden/>
          </w:rPr>
          <w:fldChar w:fldCharType="end"/>
        </w:r>
      </w:hyperlink>
    </w:p>
    <w:p w14:paraId="2C45971C" w14:textId="16EAD2CF" w:rsidR="003E4423" w:rsidRDefault="003E4423">
      <w:pPr>
        <w:pStyle w:val="TOC4"/>
        <w:tabs>
          <w:tab w:val="right" w:leader="dot" w:pos="9350"/>
        </w:tabs>
        <w:rPr>
          <w:rFonts w:eastAsiaTheme="minorEastAsia"/>
          <w:noProof/>
        </w:rPr>
      </w:pPr>
      <w:hyperlink w:anchor="_Toc89262438" w:history="1">
        <w:r w:rsidRPr="003C44FC">
          <w:rPr>
            <w:rStyle w:val="Hyperlink"/>
            <w:noProof/>
            <w:lang w:val="en-GB"/>
          </w:rPr>
          <w:t>ERO’s proposal</w:t>
        </w:r>
        <w:r>
          <w:rPr>
            <w:noProof/>
            <w:webHidden/>
          </w:rPr>
          <w:tab/>
        </w:r>
        <w:r>
          <w:rPr>
            <w:noProof/>
            <w:webHidden/>
          </w:rPr>
          <w:fldChar w:fldCharType="begin"/>
        </w:r>
        <w:r>
          <w:rPr>
            <w:noProof/>
            <w:webHidden/>
          </w:rPr>
          <w:instrText xml:space="preserve"> PAGEREF _Toc89262438 \h </w:instrText>
        </w:r>
        <w:r>
          <w:rPr>
            <w:noProof/>
            <w:webHidden/>
          </w:rPr>
        </w:r>
        <w:r>
          <w:rPr>
            <w:noProof/>
            <w:webHidden/>
          </w:rPr>
          <w:fldChar w:fldCharType="separate"/>
        </w:r>
        <w:r>
          <w:rPr>
            <w:noProof/>
            <w:webHidden/>
          </w:rPr>
          <w:t>18</w:t>
        </w:r>
        <w:r>
          <w:rPr>
            <w:noProof/>
            <w:webHidden/>
          </w:rPr>
          <w:fldChar w:fldCharType="end"/>
        </w:r>
      </w:hyperlink>
    </w:p>
    <w:p w14:paraId="04C2DF13" w14:textId="530BFA70" w:rsidR="003E4423" w:rsidRDefault="003E4423">
      <w:pPr>
        <w:pStyle w:val="TOC2"/>
        <w:rPr>
          <w:rFonts w:asciiTheme="minorHAnsi" w:eastAsiaTheme="minorEastAsia" w:hAnsiTheme="minorHAnsi" w:cstheme="minorBidi"/>
          <w:noProof/>
          <w:szCs w:val="22"/>
          <w:lang w:val="en-US"/>
        </w:rPr>
      </w:pPr>
      <w:hyperlink w:anchor="_Toc89262439" w:history="1">
        <w:r w:rsidRPr="003C44FC">
          <w:rPr>
            <w:rStyle w:val="Hyperlink"/>
            <w:noProof/>
          </w:rPr>
          <w:t>3.3</w:t>
        </w:r>
        <w:r>
          <w:rPr>
            <w:rFonts w:asciiTheme="minorHAnsi" w:eastAsiaTheme="minorEastAsia" w:hAnsiTheme="minorHAnsi" w:cstheme="minorBidi"/>
            <w:noProof/>
            <w:szCs w:val="22"/>
            <w:lang w:val="en-US"/>
          </w:rPr>
          <w:tab/>
        </w:r>
        <w:r w:rsidRPr="003C44FC">
          <w:rPr>
            <w:rStyle w:val="Hyperlink"/>
            <w:noProof/>
          </w:rPr>
          <w:t>Categorization and lifespan of assets</w:t>
        </w:r>
        <w:r>
          <w:rPr>
            <w:noProof/>
            <w:webHidden/>
          </w:rPr>
          <w:tab/>
        </w:r>
        <w:r>
          <w:rPr>
            <w:noProof/>
            <w:webHidden/>
          </w:rPr>
          <w:fldChar w:fldCharType="begin"/>
        </w:r>
        <w:r>
          <w:rPr>
            <w:noProof/>
            <w:webHidden/>
          </w:rPr>
          <w:instrText xml:space="preserve"> PAGEREF _Toc89262439 \h </w:instrText>
        </w:r>
        <w:r>
          <w:rPr>
            <w:noProof/>
            <w:webHidden/>
          </w:rPr>
        </w:r>
        <w:r>
          <w:rPr>
            <w:noProof/>
            <w:webHidden/>
          </w:rPr>
          <w:fldChar w:fldCharType="separate"/>
        </w:r>
        <w:r>
          <w:rPr>
            <w:noProof/>
            <w:webHidden/>
          </w:rPr>
          <w:t>21</w:t>
        </w:r>
        <w:r>
          <w:rPr>
            <w:noProof/>
            <w:webHidden/>
          </w:rPr>
          <w:fldChar w:fldCharType="end"/>
        </w:r>
      </w:hyperlink>
    </w:p>
    <w:p w14:paraId="42F47D78" w14:textId="104E959B"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40" w:history="1">
        <w:r w:rsidRPr="003C44FC">
          <w:rPr>
            <w:rStyle w:val="Hyperlink"/>
            <w:noProof/>
          </w:rPr>
          <w:t>3.3.1</w:t>
        </w:r>
        <w:r>
          <w:rPr>
            <w:rFonts w:asciiTheme="minorHAnsi" w:eastAsiaTheme="minorEastAsia" w:hAnsiTheme="minorHAnsi" w:cstheme="minorBidi"/>
            <w:noProof/>
            <w:sz w:val="22"/>
            <w:szCs w:val="22"/>
            <w:lang w:val="en-US"/>
          </w:rPr>
          <w:tab/>
        </w:r>
        <w:r w:rsidRPr="003C44FC">
          <w:rPr>
            <w:rStyle w:val="Hyperlink"/>
            <w:noProof/>
          </w:rPr>
          <w:t>KESCO’s application</w:t>
        </w:r>
        <w:r>
          <w:rPr>
            <w:noProof/>
            <w:webHidden/>
          </w:rPr>
          <w:tab/>
        </w:r>
        <w:r>
          <w:rPr>
            <w:noProof/>
            <w:webHidden/>
          </w:rPr>
          <w:fldChar w:fldCharType="begin"/>
        </w:r>
        <w:r>
          <w:rPr>
            <w:noProof/>
            <w:webHidden/>
          </w:rPr>
          <w:instrText xml:space="preserve"> PAGEREF _Toc89262440 \h </w:instrText>
        </w:r>
        <w:r>
          <w:rPr>
            <w:noProof/>
            <w:webHidden/>
          </w:rPr>
        </w:r>
        <w:r>
          <w:rPr>
            <w:noProof/>
            <w:webHidden/>
          </w:rPr>
          <w:fldChar w:fldCharType="separate"/>
        </w:r>
        <w:r>
          <w:rPr>
            <w:noProof/>
            <w:webHidden/>
          </w:rPr>
          <w:t>21</w:t>
        </w:r>
        <w:r>
          <w:rPr>
            <w:noProof/>
            <w:webHidden/>
          </w:rPr>
          <w:fldChar w:fldCharType="end"/>
        </w:r>
      </w:hyperlink>
    </w:p>
    <w:p w14:paraId="387E4CD2" w14:textId="73771F63" w:rsidR="003E4423" w:rsidRDefault="003E4423">
      <w:pPr>
        <w:pStyle w:val="TOC3"/>
        <w:tabs>
          <w:tab w:val="left" w:pos="1320"/>
          <w:tab w:val="right" w:leader="dot" w:pos="9350"/>
        </w:tabs>
        <w:rPr>
          <w:rFonts w:asciiTheme="minorHAnsi" w:eastAsiaTheme="minorEastAsia" w:hAnsiTheme="minorHAnsi" w:cstheme="minorBidi"/>
          <w:noProof/>
          <w:sz w:val="22"/>
          <w:szCs w:val="22"/>
          <w:lang w:val="en-US"/>
        </w:rPr>
      </w:pPr>
      <w:hyperlink w:anchor="_Toc89262441" w:history="1">
        <w:r w:rsidRPr="003C44FC">
          <w:rPr>
            <w:rStyle w:val="Hyperlink"/>
            <w:noProof/>
          </w:rPr>
          <w:t>3.3.2</w:t>
        </w:r>
        <w:r>
          <w:rPr>
            <w:rFonts w:asciiTheme="minorHAnsi" w:eastAsiaTheme="minorEastAsia" w:hAnsiTheme="minorHAnsi" w:cstheme="minorBidi"/>
            <w:noProof/>
            <w:sz w:val="22"/>
            <w:szCs w:val="22"/>
            <w:lang w:val="en-US"/>
          </w:rPr>
          <w:tab/>
        </w:r>
        <w:r w:rsidRPr="003C44FC">
          <w:rPr>
            <w:rStyle w:val="Hyperlink"/>
            <w:noProof/>
          </w:rPr>
          <w:t>ERO’s review and proposal</w:t>
        </w:r>
        <w:r>
          <w:rPr>
            <w:noProof/>
            <w:webHidden/>
          </w:rPr>
          <w:tab/>
        </w:r>
        <w:r>
          <w:rPr>
            <w:noProof/>
            <w:webHidden/>
          </w:rPr>
          <w:fldChar w:fldCharType="begin"/>
        </w:r>
        <w:r>
          <w:rPr>
            <w:noProof/>
            <w:webHidden/>
          </w:rPr>
          <w:instrText xml:space="preserve"> PAGEREF _Toc89262441 \h </w:instrText>
        </w:r>
        <w:r>
          <w:rPr>
            <w:noProof/>
            <w:webHidden/>
          </w:rPr>
        </w:r>
        <w:r>
          <w:rPr>
            <w:noProof/>
            <w:webHidden/>
          </w:rPr>
          <w:fldChar w:fldCharType="separate"/>
        </w:r>
        <w:r>
          <w:rPr>
            <w:noProof/>
            <w:webHidden/>
          </w:rPr>
          <w:t>22</w:t>
        </w:r>
        <w:r>
          <w:rPr>
            <w:noProof/>
            <w:webHidden/>
          </w:rPr>
          <w:fldChar w:fldCharType="end"/>
        </w:r>
      </w:hyperlink>
    </w:p>
    <w:p w14:paraId="6055E12A" w14:textId="7738A92E" w:rsidR="003E4423" w:rsidRDefault="003E4423">
      <w:pPr>
        <w:pStyle w:val="TOC1"/>
        <w:rPr>
          <w:rFonts w:asciiTheme="minorHAnsi" w:eastAsiaTheme="minorEastAsia" w:hAnsiTheme="minorHAnsi" w:cstheme="minorBidi"/>
          <w:b w:val="0"/>
          <w:noProof/>
          <w:szCs w:val="22"/>
          <w:lang w:val="en-US"/>
        </w:rPr>
      </w:pPr>
      <w:hyperlink w:anchor="_Toc89262442" w:history="1">
        <w:r w:rsidRPr="003C44FC">
          <w:rPr>
            <w:rStyle w:val="Hyperlink"/>
            <w:noProof/>
          </w:rPr>
          <w:t>4</w:t>
        </w:r>
        <w:r>
          <w:rPr>
            <w:rFonts w:asciiTheme="minorHAnsi" w:eastAsiaTheme="minorEastAsia" w:hAnsiTheme="minorHAnsi" w:cstheme="minorBidi"/>
            <w:b w:val="0"/>
            <w:noProof/>
            <w:szCs w:val="22"/>
            <w:lang w:val="en-US"/>
          </w:rPr>
          <w:tab/>
        </w:r>
        <w:r w:rsidRPr="003C44FC">
          <w:rPr>
            <w:rStyle w:val="Hyperlink"/>
            <w:noProof/>
          </w:rPr>
          <w:t>Proposal for Input Values and Operating Expenses</w:t>
        </w:r>
        <w:r>
          <w:rPr>
            <w:noProof/>
            <w:webHidden/>
          </w:rPr>
          <w:tab/>
        </w:r>
        <w:r>
          <w:rPr>
            <w:noProof/>
            <w:webHidden/>
          </w:rPr>
          <w:fldChar w:fldCharType="begin"/>
        </w:r>
        <w:r>
          <w:rPr>
            <w:noProof/>
            <w:webHidden/>
          </w:rPr>
          <w:instrText xml:space="preserve"> PAGEREF _Toc89262442 \h </w:instrText>
        </w:r>
        <w:r>
          <w:rPr>
            <w:noProof/>
            <w:webHidden/>
          </w:rPr>
        </w:r>
        <w:r>
          <w:rPr>
            <w:noProof/>
            <w:webHidden/>
          </w:rPr>
          <w:fldChar w:fldCharType="separate"/>
        </w:r>
        <w:r>
          <w:rPr>
            <w:noProof/>
            <w:webHidden/>
          </w:rPr>
          <w:t>23</w:t>
        </w:r>
        <w:r>
          <w:rPr>
            <w:noProof/>
            <w:webHidden/>
          </w:rPr>
          <w:fldChar w:fldCharType="end"/>
        </w:r>
      </w:hyperlink>
    </w:p>
    <w:p w14:paraId="7C059D25" w14:textId="056B4B4B" w:rsidR="0075093C" w:rsidRPr="00DE0AA0" w:rsidRDefault="0075093C" w:rsidP="0075093C">
      <w:pPr>
        <w:rPr>
          <w:lang w:val="en-GB"/>
        </w:rPr>
      </w:pPr>
      <w:r w:rsidRPr="00DE0AA0">
        <w:rPr>
          <w:rFonts w:ascii="Calibri" w:eastAsia="Times New Roman" w:hAnsi="Calibri" w:cs="Arial"/>
          <w:b/>
          <w:lang w:val="en-GB"/>
        </w:rPr>
        <w:fldChar w:fldCharType="end"/>
      </w:r>
    </w:p>
    <w:p w14:paraId="7E6A8F18" w14:textId="77777777" w:rsidR="0075093C" w:rsidRPr="00DE0AA0" w:rsidRDefault="0075093C" w:rsidP="0075093C">
      <w:pPr>
        <w:rPr>
          <w:lang w:val="en-GB"/>
        </w:rPr>
      </w:pPr>
      <w:r w:rsidRPr="00DE0AA0">
        <w:rPr>
          <w:lang w:val="en-GB"/>
        </w:rPr>
        <w:br w:type="page"/>
      </w:r>
    </w:p>
    <w:p w14:paraId="59009942" w14:textId="77777777" w:rsidR="0075093C" w:rsidRPr="00DE0AA0" w:rsidRDefault="00BC51AD" w:rsidP="0075093C">
      <w:pPr>
        <w:pStyle w:val="Heading1"/>
        <w:pageBreakBefore/>
      </w:pPr>
      <w:bookmarkStart w:id="1" w:name="_Toc89262419"/>
      <w:r w:rsidRPr="00DE0AA0">
        <w:lastRenderedPageBreak/>
        <w:t>Introduction</w:t>
      </w:r>
      <w:bookmarkEnd w:id="1"/>
    </w:p>
    <w:p w14:paraId="07045777" w14:textId="77777777" w:rsidR="0075093C" w:rsidRPr="00DE0AA0" w:rsidRDefault="0004253A" w:rsidP="004B2C8B">
      <w:pPr>
        <w:jc w:val="both"/>
        <w:rPr>
          <w:rFonts w:cs="Calibri"/>
          <w:lang w:val="en-GB"/>
        </w:rPr>
      </w:pPr>
      <w:r w:rsidRPr="00DE0AA0">
        <w:rPr>
          <w:rFonts w:cs="Calibri"/>
          <w:lang w:val="en-GB"/>
        </w:rPr>
        <w:t>The Energy Regulatory Office (ERO) is currently undergoing the process of determining the Input Values and Operati</w:t>
      </w:r>
      <w:r w:rsidR="00B65555" w:rsidRPr="00DE0AA0">
        <w:rPr>
          <w:rFonts w:cs="Calibri"/>
          <w:lang w:val="en-GB"/>
        </w:rPr>
        <w:t>ng</w:t>
      </w:r>
      <w:r w:rsidRPr="00DE0AA0">
        <w:rPr>
          <w:rFonts w:cs="Calibri"/>
          <w:lang w:val="en-GB"/>
        </w:rPr>
        <w:t xml:space="preserve"> Expenses for the Universal Service Supplier - USS, for the period 1 April 2022 - 31 March 2025.</w:t>
      </w:r>
    </w:p>
    <w:p w14:paraId="4C9C2594" w14:textId="77777777" w:rsidR="0075093C" w:rsidRPr="00DE0AA0" w:rsidRDefault="00B03196" w:rsidP="0075093C">
      <w:pPr>
        <w:jc w:val="both"/>
        <w:rPr>
          <w:lang w:val="en-GB"/>
        </w:rPr>
      </w:pPr>
      <w:r w:rsidRPr="00DE0AA0">
        <w:rPr>
          <w:lang w:val="en-GB"/>
        </w:rPr>
        <w:t>During the Review of Input Values, ERO determines the values of some parameters which directly affect the determination of USS Allowed Revenues. Such parameters include Operat</w:t>
      </w:r>
      <w:r w:rsidR="00EF1930" w:rsidRPr="00DE0AA0">
        <w:rPr>
          <w:lang w:val="en-GB"/>
        </w:rPr>
        <w:t>ing</w:t>
      </w:r>
      <w:r w:rsidRPr="00DE0AA0">
        <w:rPr>
          <w:lang w:val="en-GB"/>
        </w:rPr>
        <w:t xml:space="preserve"> Expenses, Efficiency Factor, Asset Lifespan, Bad Debt, Retail Margin, Export Sharing Factor and Imbalance Sharing Factor. This Consultation Report presents ERO's initial proposals on Input Values and Operati</w:t>
      </w:r>
      <w:r w:rsidR="00EF1930" w:rsidRPr="00DE0AA0">
        <w:rPr>
          <w:lang w:val="en-GB"/>
        </w:rPr>
        <w:t>ng</w:t>
      </w:r>
      <w:r w:rsidRPr="00DE0AA0">
        <w:rPr>
          <w:lang w:val="en-GB"/>
        </w:rPr>
        <w:t xml:space="preserve"> Expen</w:t>
      </w:r>
      <w:r w:rsidR="00CA17BB" w:rsidRPr="00DE0AA0">
        <w:rPr>
          <w:lang w:val="en-GB"/>
        </w:rPr>
        <w:t>ses</w:t>
      </w:r>
      <w:r w:rsidRPr="00DE0AA0">
        <w:rPr>
          <w:lang w:val="en-GB"/>
        </w:rPr>
        <w:t xml:space="preserve"> for the </w:t>
      </w:r>
      <w:r w:rsidR="00CA17BB" w:rsidRPr="00DE0AA0">
        <w:rPr>
          <w:lang w:val="en-GB"/>
        </w:rPr>
        <w:t>up</w:t>
      </w:r>
      <w:r w:rsidRPr="00DE0AA0">
        <w:rPr>
          <w:lang w:val="en-GB"/>
        </w:rPr>
        <w:t>coming period 2022-2024 and is published for the purpose of informing stakeholders as well as providing the opportunity to comment and present stakeholders' views on</w:t>
      </w:r>
      <w:r w:rsidR="00CA17BB" w:rsidRPr="00DE0AA0">
        <w:rPr>
          <w:lang w:val="en-GB"/>
        </w:rPr>
        <w:t xml:space="preserve"> the proposed</w:t>
      </w:r>
      <w:r w:rsidRPr="00DE0AA0">
        <w:rPr>
          <w:lang w:val="en-GB"/>
        </w:rPr>
        <w:t xml:space="preserve"> values. </w:t>
      </w:r>
    </w:p>
    <w:p w14:paraId="1D5A8532" w14:textId="77777777" w:rsidR="00701D2D" w:rsidRPr="00DE0AA0" w:rsidRDefault="00D0253F" w:rsidP="00701D2D">
      <w:pPr>
        <w:jc w:val="both"/>
        <w:rPr>
          <w:rFonts w:cs="Calibri"/>
          <w:lang w:val="en-GB"/>
        </w:rPr>
      </w:pPr>
      <w:r w:rsidRPr="00DE0AA0">
        <w:rPr>
          <w:rFonts w:cs="Calibri"/>
          <w:lang w:val="en-GB"/>
        </w:rPr>
        <w:t>E</w:t>
      </w:r>
      <w:r w:rsidRPr="00DE0AA0">
        <w:rPr>
          <w:rFonts w:cstheme="minorHAnsi"/>
          <w:lang w:val="en-GB"/>
        </w:rPr>
        <w:t xml:space="preserve">RO believes that public consultation is at the heart of effective regulatory policy. Therefore, ERO publishes this </w:t>
      </w:r>
      <w:r w:rsidR="009574B0" w:rsidRPr="00DE0AA0">
        <w:rPr>
          <w:rFonts w:cstheme="minorHAnsi"/>
          <w:lang w:val="en-GB"/>
        </w:rPr>
        <w:t>Con</w:t>
      </w:r>
      <w:r w:rsidR="009574B0">
        <w:rPr>
          <w:rFonts w:cstheme="minorHAnsi"/>
          <w:lang w:val="en-GB"/>
        </w:rPr>
        <w:t>s</w:t>
      </w:r>
      <w:r w:rsidR="009574B0" w:rsidRPr="00DE0AA0">
        <w:rPr>
          <w:rFonts w:cstheme="minorHAnsi"/>
          <w:lang w:val="en-GB"/>
        </w:rPr>
        <w:t>ultation</w:t>
      </w:r>
      <w:r w:rsidRPr="00DE0AA0">
        <w:rPr>
          <w:rFonts w:cstheme="minorHAnsi"/>
          <w:lang w:val="en-GB"/>
        </w:rPr>
        <w:t xml:space="preserve"> Report, which contains initial proposals for input values, providing to all stakeholders the opportunity to analyse and comment by submitting new evidence, presenting counter-arguments or providing new data so that the final evaluation is accurate.</w:t>
      </w:r>
    </w:p>
    <w:p w14:paraId="34B48E41" w14:textId="77777777" w:rsidR="0075093C" w:rsidRPr="00DE0AA0" w:rsidRDefault="0049422D" w:rsidP="00DE0AA0">
      <w:pPr>
        <w:spacing w:before="120" w:after="120"/>
        <w:rPr>
          <w:rFonts w:cstheme="minorHAnsi"/>
          <w:lang w:val="en-GB"/>
        </w:rPr>
      </w:pPr>
      <w:r w:rsidRPr="00DE0AA0">
        <w:rPr>
          <w:rFonts w:cstheme="minorHAnsi"/>
          <w:lang w:val="en-GB"/>
        </w:rPr>
        <w:t xml:space="preserve">The parties who want to express their views on ERO's proposal are invited to submit their written comments at </w:t>
      </w:r>
      <w:r w:rsidRPr="00DE0AA0">
        <w:rPr>
          <w:rFonts w:cs="Calibri"/>
          <w:color w:val="0000FF"/>
          <w:u w:val="single"/>
          <w:lang w:val="en-GB"/>
        </w:rPr>
        <w:t>ero.pricing-tariffs@ero-ks.org</w:t>
      </w:r>
      <w:r w:rsidRPr="00DE0AA0">
        <w:rPr>
          <w:rFonts w:cstheme="minorHAnsi"/>
          <w:color w:val="1F4E79" w:themeColor="accent1" w:themeShade="80"/>
          <w:lang w:val="en-GB"/>
        </w:rPr>
        <w:t xml:space="preserve"> </w:t>
      </w:r>
      <w:r w:rsidRPr="00DE0AA0">
        <w:rPr>
          <w:rFonts w:cstheme="minorHAnsi"/>
          <w:lang w:val="en-GB"/>
        </w:rPr>
        <w:t>by 8 December 2021 at the latest. Comments can also be sent via post at ERO’s address:</w:t>
      </w:r>
    </w:p>
    <w:p w14:paraId="0DC22B35" w14:textId="77777777" w:rsidR="0075093C" w:rsidRPr="00DE0AA0" w:rsidRDefault="0075093C" w:rsidP="0075093C">
      <w:pPr>
        <w:spacing w:after="0" w:line="240" w:lineRule="auto"/>
        <w:ind w:left="720"/>
        <w:rPr>
          <w:rFonts w:cs="Calibri"/>
          <w:lang w:val="en-GB"/>
        </w:rPr>
      </w:pPr>
      <w:r w:rsidRPr="00DE0AA0">
        <w:rPr>
          <w:rFonts w:cs="Calibri"/>
          <w:lang w:val="en-GB"/>
        </w:rPr>
        <w:t>Zyra e Rregullatorit për Energji</w:t>
      </w:r>
    </w:p>
    <w:p w14:paraId="6D0050B1" w14:textId="77777777" w:rsidR="0075093C" w:rsidRPr="00DE0AA0" w:rsidRDefault="0075093C" w:rsidP="0075093C">
      <w:pPr>
        <w:spacing w:after="0" w:line="240" w:lineRule="auto"/>
        <w:ind w:left="720"/>
        <w:rPr>
          <w:rFonts w:cs="Calibri"/>
          <w:lang w:val="en-GB"/>
        </w:rPr>
      </w:pPr>
      <w:r w:rsidRPr="00DE0AA0">
        <w:rPr>
          <w:rFonts w:cs="Calibri"/>
          <w:lang w:val="en-GB"/>
        </w:rPr>
        <w:t>Departamenti për Tarifa dhe çmime</w:t>
      </w:r>
    </w:p>
    <w:p w14:paraId="4024783B" w14:textId="77777777" w:rsidR="0075093C" w:rsidRPr="00DE0AA0" w:rsidRDefault="0075093C" w:rsidP="0075093C">
      <w:pPr>
        <w:spacing w:after="0" w:line="240" w:lineRule="auto"/>
        <w:ind w:left="720"/>
        <w:rPr>
          <w:rFonts w:cs="Calibri"/>
          <w:lang w:val="en-GB"/>
        </w:rPr>
      </w:pPr>
      <w:r w:rsidRPr="00DE0AA0">
        <w:rPr>
          <w:rFonts w:cs="Calibri"/>
          <w:lang w:val="en-GB"/>
        </w:rPr>
        <w:t>Rr. Dervish Rozhaja Nr. 12</w:t>
      </w:r>
    </w:p>
    <w:p w14:paraId="522558DB" w14:textId="77777777" w:rsidR="0075093C" w:rsidRPr="00DE0AA0" w:rsidRDefault="0075093C" w:rsidP="0075093C">
      <w:pPr>
        <w:spacing w:after="0" w:line="240" w:lineRule="auto"/>
        <w:ind w:left="720"/>
        <w:rPr>
          <w:rFonts w:cs="Calibri"/>
          <w:lang w:val="en-GB"/>
        </w:rPr>
      </w:pPr>
      <w:r w:rsidRPr="00DE0AA0">
        <w:rPr>
          <w:rFonts w:cs="Calibri"/>
          <w:lang w:val="en-GB"/>
        </w:rPr>
        <w:t>Prishtinë, 10000, Kosovë</w:t>
      </w:r>
    </w:p>
    <w:p w14:paraId="7DCEB933" w14:textId="77777777" w:rsidR="0075093C" w:rsidRPr="00DE0AA0" w:rsidRDefault="0075093C" w:rsidP="0075093C">
      <w:pPr>
        <w:spacing w:after="0" w:line="240" w:lineRule="auto"/>
        <w:rPr>
          <w:rFonts w:cs="Calibri"/>
          <w:lang w:val="en-GB"/>
        </w:rPr>
      </w:pPr>
    </w:p>
    <w:p w14:paraId="7EA3CC17" w14:textId="77777777" w:rsidR="0075093C" w:rsidRPr="00135E87" w:rsidRDefault="00635964" w:rsidP="00135E87">
      <w:pPr>
        <w:spacing w:before="120" w:after="120"/>
        <w:rPr>
          <w:rFonts w:cstheme="minorHAnsi"/>
          <w:lang w:val="en-GB"/>
        </w:rPr>
      </w:pPr>
      <w:r w:rsidRPr="00DE0AA0">
        <w:rPr>
          <w:rFonts w:cstheme="minorHAnsi"/>
          <w:lang w:val="en-GB"/>
        </w:rPr>
        <w:t xml:space="preserve">Following the review of the received comments, ERO will publish the </w:t>
      </w:r>
      <w:r w:rsidRPr="00DE0AA0">
        <w:rPr>
          <w:rFonts w:cstheme="minorHAnsi"/>
          <w:b/>
          <w:i/>
          <w:lang w:val="en-GB"/>
        </w:rPr>
        <w:t>Final Report with responses to comments</w:t>
      </w:r>
      <w:r w:rsidRPr="00DE0AA0">
        <w:rPr>
          <w:rFonts w:cstheme="minorHAnsi"/>
          <w:lang w:val="en-GB"/>
        </w:rPr>
        <w:t>.</w:t>
      </w:r>
      <w:r w:rsidR="00306611" w:rsidRPr="00DE0AA0">
        <w:rPr>
          <w:rFonts w:cstheme="minorHAnsi"/>
          <w:lang w:val="en-GB"/>
        </w:rPr>
        <w:t xml:space="preserve"> The </w:t>
      </w:r>
      <w:r w:rsidR="00C32A98" w:rsidRPr="00DE0AA0">
        <w:rPr>
          <w:rFonts w:cstheme="minorHAnsi"/>
          <w:lang w:val="en-GB"/>
        </w:rPr>
        <w:t>comments received</w:t>
      </w:r>
      <w:r w:rsidR="00306611" w:rsidRPr="00DE0AA0">
        <w:rPr>
          <w:rFonts w:cstheme="minorHAnsi"/>
          <w:lang w:val="en-GB"/>
        </w:rPr>
        <w:t xml:space="preserve"> on this consultation paper will be published along with the Final Report. </w:t>
      </w:r>
    </w:p>
    <w:p w14:paraId="6CD98437" w14:textId="77777777" w:rsidR="0075093C" w:rsidRPr="00DE0AA0" w:rsidRDefault="0075093C" w:rsidP="0075093C">
      <w:pPr>
        <w:spacing w:after="0" w:line="240" w:lineRule="auto"/>
        <w:rPr>
          <w:rFonts w:cs="Calibri"/>
          <w:lang w:val="en-GB"/>
        </w:rPr>
      </w:pPr>
    </w:p>
    <w:p w14:paraId="6FB2278A" w14:textId="77777777" w:rsidR="0075093C" w:rsidRPr="00DE0AA0" w:rsidRDefault="00D43C82" w:rsidP="0075093C">
      <w:pPr>
        <w:spacing w:after="0" w:line="240" w:lineRule="auto"/>
        <w:rPr>
          <w:rFonts w:cs="Calibri"/>
          <w:b/>
          <w:lang w:val="en-GB"/>
        </w:rPr>
      </w:pPr>
      <w:r w:rsidRPr="00DE0AA0">
        <w:rPr>
          <w:rFonts w:cs="Calibri"/>
          <w:b/>
          <w:lang w:val="en-GB"/>
        </w:rPr>
        <w:t>Related documents</w:t>
      </w:r>
    </w:p>
    <w:p w14:paraId="20A3D930" w14:textId="77777777" w:rsidR="0075093C" w:rsidRPr="00DE0AA0" w:rsidRDefault="0075093C" w:rsidP="0075093C">
      <w:pPr>
        <w:spacing w:after="0" w:line="240" w:lineRule="auto"/>
        <w:rPr>
          <w:rFonts w:cs="Calibri"/>
          <w:lang w:val="en-G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6720"/>
      </w:tblGrid>
      <w:tr w:rsidR="0075093C" w:rsidRPr="00DE0AA0" w14:paraId="0CBB73C5" w14:textId="77777777" w:rsidTr="00756146">
        <w:trPr>
          <w:trHeight w:val="890"/>
        </w:trPr>
        <w:tc>
          <w:tcPr>
            <w:tcW w:w="1397" w:type="pct"/>
          </w:tcPr>
          <w:p w14:paraId="48CFCA3F" w14:textId="77777777" w:rsidR="0075093C" w:rsidRPr="00DE0AA0" w:rsidRDefault="00D43C82" w:rsidP="0075093C">
            <w:pPr>
              <w:rPr>
                <w:lang w:val="en-GB"/>
              </w:rPr>
            </w:pPr>
            <w:r w:rsidRPr="00DE0AA0">
              <w:rPr>
                <w:lang w:val="en-GB"/>
              </w:rPr>
              <w:t>Law on Energy Regulator</w:t>
            </w:r>
          </w:p>
        </w:tc>
        <w:tc>
          <w:tcPr>
            <w:tcW w:w="3603" w:type="pct"/>
          </w:tcPr>
          <w:p w14:paraId="668EBB7C" w14:textId="77777777" w:rsidR="0075093C" w:rsidRPr="00DE0AA0" w:rsidRDefault="00D844B3" w:rsidP="00756146">
            <w:pPr>
              <w:rPr>
                <w:sz w:val="20"/>
                <w:szCs w:val="20"/>
                <w:lang w:val="en-GB"/>
              </w:rPr>
            </w:pPr>
            <w:hyperlink r:id="rId8" w:history="1">
              <w:r w:rsidR="00756146" w:rsidRPr="00DE0AA0">
                <w:rPr>
                  <w:rStyle w:val="Hyperlink"/>
                  <w:sz w:val="20"/>
                  <w:szCs w:val="20"/>
                  <w:lang w:val="en-GB"/>
                </w:rPr>
                <w:t>http://ero-ks.org/2016/Ligjet/LIGJI_PER_RREGULLATORIN_E_ENERGJISEang.pdf</w:t>
              </w:r>
            </w:hyperlink>
          </w:p>
        </w:tc>
      </w:tr>
      <w:tr w:rsidR="0075093C" w:rsidRPr="00DE0AA0" w14:paraId="4053E43E" w14:textId="77777777" w:rsidTr="00756146">
        <w:trPr>
          <w:trHeight w:val="890"/>
        </w:trPr>
        <w:tc>
          <w:tcPr>
            <w:tcW w:w="1397" w:type="pct"/>
          </w:tcPr>
          <w:p w14:paraId="0E54F960" w14:textId="77777777" w:rsidR="0075093C" w:rsidRPr="00DE0AA0" w:rsidRDefault="00D43C82" w:rsidP="00756146">
            <w:pPr>
              <w:rPr>
                <w:lang w:val="en-GB"/>
              </w:rPr>
            </w:pPr>
            <w:r w:rsidRPr="00DE0AA0">
              <w:rPr>
                <w:lang w:val="en-GB"/>
              </w:rPr>
              <w:t>Rule on USS Revenues</w:t>
            </w:r>
          </w:p>
        </w:tc>
        <w:tc>
          <w:tcPr>
            <w:tcW w:w="3603" w:type="pct"/>
          </w:tcPr>
          <w:p w14:paraId="6CEFA32D" w14:textId="77777777" w:rsidR="0075093C" w:rsidRPr="00DE0AA0" w:rsidRDefault="00D844B3" w:rsidP="0075093C">
            <w:pPr>
              <w:rPr>
                <w:sz w:val="20"/>
                <w:szCs w:val="20"/>
                <w:lang w:val="en-GB"/>
              </w:rPr>
            </w:pPr>
            <w:hyperlink r:id="rId9" w:history="1">
              <w:r w:rsidR="0075093C" w:rsidRPr="00DE0AA0">
                <w:rPr>
                  <w:rStyle w:val="Hyperlink"/>
                  <w:sz w:val="20"/>
                  <w:szCs w:val="20"/>
                  <w:lang w:val="en-GB"/>
                </w:rPr>
                <w:t>http://ero-ks.org/2017/Rregullat/USS%20Pricing%20Rule.pdf</w:t>
              </w:r>
            </w:hyperlink>
            <w:r w:rsidR="0075093C" w:rsidRPr="00DE0AA0">
              <w:rPr>
                <w:sz w:val="20"/>
                <w:szCs w:val="20"/>
                <w:lang w:val="en-GB"/>
              </w:rPr>
              <w:t xml:space="preserve"> </w:t>
            </w:r>
          </w:p>
        </w:tc>
      </w:tr>
      <w:tr w:rsidR="0075093C" w:rsidRPr="00DE0AA0" w14:paraId="3501D0AA" w14:textId="77777777" w:rsidTr="00756146">
        <w:trPr>
          <w:trHeight w:val="890"/>
        </w:trPr>
        <w:tc>
          <w:tcPr>
            <w:tcW w:w="1397" w:type="pct"/>
          </w:tcPr>
          <w:p w14:paraId="6D67F1C4" w14:textId="77777777" w:rsidR="0075093C" w:rsidRPr="00DE0AA0" w:rsidRDefault="00D43C82" w:rsidP="0075093C">
            <w:pPr>
              <w:rPr>
                <w:lang w:val="en-GB"/>
              </w:rPr>
            </w:pPr>
            <w:r w:rsidRPr="00DE0AA0">
              <w:rPr>
                <w:lang w:val="en-GB"/>
              </w:rPr>
              <w:t xml:space="preserve">KESCO’s application on </w:t>
            </w:r>
            <w:r w:rsidR="005D5CB3" w:rsidRPr="00DE0AA0">
              <w:rPr>
                <w:lang w:val="en-GB"/>
              </w:rPr>
              <w:t>i</w:t>
            </w:r>
            <w:r w:rsidRPr="00DE0AA0">
              <w:rPr>
                <w:lang w:val="en-GB"/>
              </w:rPr>
              <w:t xml:space="preserve">nput </w:t>
            </w:r>
            <w:r w:rsidR="005D5CB3" w:rsidRPr="00DE0AA0">
              <w:rPr>
                <w:lang w:val="en-GB"/>
              </w:rPr>
              <w:t>v</w:t>
            </w:r>
            <w:r w:rsidRPr="00DE0AA0">
              <w:rPr>
                <w:lang w:val="en-GB"/>
              </w:rPr>
              <w:t>alues</w:t>
            </w:r>
          </w:p>
        </w:tc>
        <w:tc>
          <w:tcPr>
            <w:tcW w:w="3603" w:type="pct"/>
          </w:tcPr>
          <w:p w14:paraId="47B2E4D6" w14:textId="77777777" w:rsidR="0075093C" w:rsidRPr="00DE0AA0" w:rsidRDefault="00D844B3" w:rsidP="00756146">
            <w:pPr>
              <w:rPr>
                <w:sz w:val="20"/>
                <w:szCs w:val="20"/>
                <w:highlight w:val="yellow"/>
                <w:lang w:val="en-GB"/>
              </w:rPr>
            </w:pPr>
            <w:hyperlink r:id="rId10" w:history="1">
              <w:r w:rsidR="00D80ABE" w:rsidRPr="00DE0AA0">
                <w:rPr>
                  <w:rStyle w:val="Hyperlink"/>
                  <w:sz w:val="20"/>
                  <w:szCs w:val="20"/>
                  <w:lang w:val="en-GB"/>
                </w:rPr>
                <w:t>https://www.ero-ks.org/zrre/sites/default/files/Publikimet/Pjesemarresit%20ne%20Treg/Furnizim/Propozimi%20per%20Vlerat%20Hyrese%202022-2024%20per%20FSHU_KESCO.PDF</w:t>
              </w:r>
            </w:hyperlink>
            <w:r w:rsidR="00AA737B" w:rsidRPr="00DE0AA0">
              <w:rPr>
                <w:sz w:val="20"/>
                <w:szCs w:val="20"/>
                <w:lang w:val="en-GB"/>
              </w:rPr>
              <w:t xml:space="preserve"> </w:t>
            </w:r>
          </w:p>
        </w:tc>
      </w:tr>
    </w:tbl>
    <w:p w14:paraId="21AEEB51" w14:textId="77777777" w:rsidR="0075093C" w:rsidRPr="00DE0AA0" w:rsidRDefault="0075093C" w:rsidP="0075093C">
      <w:pPr>
        <w:spacing w:after="0" w:line="240" w:lineRule="auto"/>
        <w:rPr>
          <w:rFonts w:cs="Calibri"/>
          <w:b/>
          <w:sz w:val="28"/>
          <w:szCs w:val="28"/>
          <w:lang w:val="en-GB"/>
        </w:rPr>
      </w:pPr>
    </w:p>
    <w:p w14:paraId="4E8648EF" w14:textId="77777777" w:rsidR="0075093C" w:rsidRPr="00DE0AA0" w:rsidRDefault="005D5CB3" w:rsidP="0075093C">
      <w:pPr>
        <w:pStyle w:val="Heading1"/>
      </w:pPr>
      <w:bookmarkStart w:id="2" w:name="_Toc89262420"/>
      <w:r w:rsidRPr="00DE0AA0">
        <w:t>Input</w:t>
      </w:r>
      <w:r w:rsidR="001575EB" w:rsidRPr="00DE0AA0">
        <w:t xml:space="preserve"> V</w:t>
      </w:r>
      <w:r w:rsidRPr="00DE0AA0">
        <w:t>alues</w:t>
      </w:r>
      <w:bookmarkEnd w:id="2"/>
    </w:p>
    <w:p w14:paraId="10A8CFBF" w14:textId="77777777" w:rsidR="0075093C" w:rsidRPr="00DE0AA0" w:rsidRDefault="00AC2E7A" w:rsidP="0075093C">
      <w:pPr>
        <w:jc w:val="both"/>
        <w:rPr>
          <w:lang w:val="en-GB"/>
        </w:rPr>
      </w:pPr>
      <w:r w:rsidRPr="00DE0AA0">
        <w:rPr>
          <w:lang w:val="en-GB"/>
        </w:rPr>
        <w:t xml:space="preserve">The Rule on Determination of Revenues for Universal Service Supplier (USS) sets out the manner </w:t>
      </w:r>
      <w:r w:rsidR="00AC4B02" w:rsidRPr="00DE0AA0">
        <w:rPr>
          <w:lang w:val="en-GB"/>
        </w:rPr>
        <w:t>of calculation and adjustment of Maximum Allowed Revenues of the</w:t>
      </w:r>
      <w:r w:rsidRPr="00DE0AA0">
        <w:rPr>
          <w:lang w:val="en-GB"/>
        </w:rPr>
        <w:t xml:space="preserve"> Universal Service </w:t>
      </w:r>
      <w:r w:rsidR="00B459FA" w:rsidRPr="00DE0AA0">
        <w:rPr>
          <w:lang w:val="en-GB"/>
        </w:rPr>
        <w:t>Supplie</w:t>
      </w:r>
      <w:r w:rsidRPr="00DE0AA0">
        <w:rPr>
          <w:lang w:val="en-GB"/>
        </w:rPr>
        <w:t xml:space="preserve">r </w:t>
      </w:r>
      <w:r w:rsidR="00C663DA" w:rsidRPr="00DE0AA0">
        <w:rPr>
          <w:lang w:val="en-GB"/>
        </w:rPr>
        <w:t>that cover</w:t>
      </w:r>
      <w:r w:rsidRPr="00DE0AA0">
        <w:rPr>
          <w:lang w:val="en-GB"/>
        </w:rPr>
        <w:t xml:space="preserve"> the costs of providing regulated service to customers supplied with electricity under</w:t>
      </w:r>
      <w:r w:rsidR="00A461C7" w:rsidRPr="00DE0AA0">
        <w:rPr>
          <w:lang w:val="en-GB"/>
        </w:rPr>
        <w:t xml:space="preserve"> the</w:t>
      </w:r>
      <w:r w:rsidRPr="00DE0AA0">
        <w:rPr>
          <w:lang w:val="en-GB"/>
        </w:rPr>
        <w:t xml:space="preserve"> </w:t>
      </w:r>
      <w:r w:rsidR="007E71CD" w:rsidRPr="00DE0AA0">
        <w:rPr>
          <w:lang w:val="en-GB"/>
        </w:rPr>
        <w:t>universal service criteria</w:t>
      </w:r>
      <w:r w:rsidRPr="00DE0AA0">
        <w:rPr>
          <w:lang w:val="en-GB"/>
        </w:rPr>
        <w:t xml:space="preserve">. This rule defines Regulated Revenues in a </w:t>
      </w:r>
      <w:r w:rsidR="00DC17DA" w:rsidRPr="00DE0AA0">
        <w:rPr>
          <w:lang w:val="en-GB"/>
        </w:rPr>
        <w:t>manner</w:t>
      </w:r>
      <w:r w:rsidRPr="00DE0AA0">
        <w:rPr>
          <w:lang w:val="en-GB"/>
        </w:rPr>
        <w:t xml:space="preserve"> that enables </w:t>
      </w:r>
      <w:r w:rsidR="00C25FFB" w:rsidRPr="00DE0AA0">
        <w:rPr>
          <w:lang w:val="en-GB"/>
        </w:rPr>
        <w:t>the Universal Service Supplier</w:t>
      </w:r>
      <w:r w:rsidRPr="00DE0AA0">
        <w:rPr>
          <w:lang w:val="en-GB"/>
        </w:rPr>
        <w:t xml:space="preserve"> to cover retail costs, the cost of </w:t>
      </w:r>
      <w:r w:rsidR="00C25FFB" w:rsidRPr="00DE0AA0">
        <w:rPr>
          <w:lang w:val="en-GB"/>
        </w:rPr>
        <w:t>energy purchase required to supply USS customers</w:t>
      </w:r>
      <w:r w:rsidRPr="00DE0AA0">
        <w:rPr>
          <w:lang w:val="en-GB"/>
        </w:rPr>
        <w:t xml:space="preserve"> and p</w:t>
      </w:r>
      <w:r w:rsidR="00DC17DA" w:rsidRPr="00DE0AA0">
        <w:rPr>
          <w:lang w:val="en-GB"/>
        </w:rPr>
        <w:t>ass-through</w:t>
      </w:r>
      <w:r w:rsidRPr="00DE0AA0">
        <w:rPr>
          <w:lang w:val="en-GB"/>
        </w:rPr>
        <w:t xml:space="preserve"> costs (</w:t>
      </w:r>
      <w:r w:rsidR="00AC29BB" w:rsidRPr="00DE0AA0">
        <w:rPr>
          <w:lang w:val="en-GB"/>
        </w:rPr>
        <w:t>TSO and</w:t>
      </w:r>
      <w:r w:rsidR="00DC17DA" w:rsidRPr="00DE0AA0">
        <w:rPr>
          <w:lang w:val="en-GB"/>
        </w:rPr>
        <w:t xml:space="preserve"> DSO costs)</w:t>
      </w:r>
      <w:r w:rsidRPr="00DE0AA0">
        <w:rPr>
          <w:lang w:val="en-GB"/>
        </w:rPr>
        <w:t xml:space="preserve">. Adjustments are then made in accordance with the </w:t>
      </w:r>
      <w:r w:rsidR="00DC17DA" w:rsidRPr="00DE0AA0">
        <w:rPr>
          <w:lang w:val="en-GB"/>
        </w:rPr>
        <w:t>USS Pricing Rule</w:t>
      </w:r>
      <w:r w:rsidRPr="00DE0AA0">
        <w:rPr>
          <w:lang w:val="en-GB"/>
        </w:rPr>
        <w:t xml:space="preserve"> to ensure that </w:t>
      </w:r>
      <w:r w:rsidR="00DC17DA" w:rsidRPr="00DE0AA0">
        <w:rPr>
          <w:lang w:val="en-GB"/>
        </w:rPr>
        <w:t>USS</w:t>
      </w:r>
      <w:r w:rsidRPr="00DE0AA0">
        <w:rPr>
          <w:lang w:val="en-GB"/>
        </w:rPr>
        <w:t xml:space="preserve"> has sufficient financial liquidity, and that regulated revenues </w:t>
      </w:r>
      <w:r w:rsidR="005D64AB" w:rsidRPr="00DE0AA0">
        <w:rPr>
          <w:lang w:val="en-GB"/>
        </w:rPr>
        <w:t>realized</w:t>
      </w:r>
      <w:r w:rsidRPr="00DE0AA0">
        <w:rPr>
          <w:lang w:val="en-GB"/>
        </w:rPr>
        <w:t xml:space="preserve"> through the application of tariffs are </w:t>
      </w:r>
      <w:r w:rsidR="005D64AB" w:rsidRPr="00DE0AA0">
        <w:rPr>
          <w:lang w:val="en-GB"/>
        </w:rPr>
        <w:t>properly calculated</w:t>
      </w:r>
      <w:r w:rsidRPr="00DE0AA0">
        <w:rPr>
          <w:lang w:val="en-GB"/>
        </w:rPr>
        <w:t>.</w:t>
      </w:r>
    </w:p>
    <w:p w14:paraId="37367A79" w14:textId="77777777" w:rsidR="0075093C" w:rsidRPr="00DE0AA0" w:rsidRDefault="00BE466B" w:rsidP="0075093C">
      <w:pPr>
        <w:jc w:val="both"/>
        <w:rPr>
          <w:lang w:val="en-GB"/>
        </w:rPr>
      </w:pPr>
      <w:r w:rsidRPr="00DE0AA0">
        <w:rPr>
          <w:lang w:val="en-GB"/>
        </w:rPr>
        <w:t>USS Regulated Revenues depend on the Input Values that are</w:t>
      </w:r>
      <w:r w:rsidR="005D5149" w:rsidRPr="00DE0AA0">
        <w:rPr>
          <w:lang w:val="en-GB"/>
        </w:rPr>
        <w:t xml:space="preserve"> determined during their reviews</w:t>
      </w:r>
      <w:r w:rsidRPr="00DE0AA0">
        <w:rPr>
          <w:lang w:val="en-GB"/>
        </w:rPr>
        <w:t xml:space="preserve">. In order to promote revenue predictability, the input values are set for a regulatory period of 3 years. Changes in input values can only be made to the extent that these changes are </w:t>
      </w:r>
      <w:r w:rsidRPr="00DE0AA0">
        <w:rPr>
          <w:i/>
          <w:lang w:val="en-GB"/>
        </w:rPr>
        <w:t>‘reasonable, justified and carefully verif</w:t>
      </w:r>
      <w:r w:rsidRPr="00DE0AA0">
        <w:rPr>
          <w:lang w:val="en-GB"/>
        </w:rPr>
        <w:t xml:space="preserve">ied’ (Article 9.1 of the </w:t>
      </w:r>
      <w:r w:rsidR="004B1732" w:rsidRPr="00DE0AA0">
        <w:rPr>
          <w:lang w:val="en-GB"/>
        </w:rPr>
        <w:t>Rule on Determination of Revenues for Universal Service Supplier</w:t>
      </w:r>
      <w:r w:rsidRPr="00DE0AA0">
        <w:rPr>
          <w:lang w:val="en-GB"/>
        </w:rPr>
        <w:t>).</w:t>
      </w:r>
    </w:p>
    <w:p w14:paraId="4005549D" w14:textId="77777777" w:rsidR="0075093C" w:rsidRPr="00DE0AA0" w:rsidRDefault="000C79EF" w:rsidP="0075093C">
      <w:pPr>
        <w:jc w:val="both"/>
        <w:rPr>
          <w:lang w:val="en-GB"/>
        </w:rPr>
      </w:pPr>
      <w:r w:rsidRPr="00DE0AA0">
        <w:rPr>
          <w:lang w:val="en-GB"/>
        </w:rPr>
        <w:t>The Rule on Determination of Revenues for Universal Service Supplier (USS Pricing Rule) defines that input values are determined during the Input Value</w:t>
      </w:r>
      <w:r w:rsidR="00CC02A7" w:rsidRPr="00DE0AA0">
        <w:rPr>
          <w:lang w:val="en-GB"/>
        </w:rPr>
        <w:t>s</w:t>
      </w:r>
      <w:r w:rsidRPr="00DE0AA0">
        <w:rPr>
          <w:lang w:val="en-GB"/>
        </w:rPr>
        <w:t xml:space="preserve"> Review process, which according to Article 12, paragraph 3 are:</w:t>
      </w:r>
    </w:p>
    <w:p w14:paraId="278BF104" w14:textId="77777777" w:rsidR="0075093C" w:rsidRPr="00DE0AA0" w:rsidRDefault="00D178E3" w:rsidP="0075093C">
      <w:pPr>
        <w:pStyle w:val="ListParagraph"/>
        <w:numPr>
          <w:ilvl w:val="0"/>
          <w:numId w:val="19"/>
        </w:numPr>
        <w:rPr>
          <w:rFonts w:cs="Calibri"/>
          <w:lang w:eastAsia="en-GB"/>
        </w:rPr>
      </w:pPr>
      <w:r w:rsidRPr="00DE0AA0">
        <w:rPr>
          <w:rFonts w:cs="Calibri"/>
          <w:lang w:eastAsia="en-GB"/>
        </w:rPr>
        <w:t>Retail margin</w:t>
      </w:r>
    </w:p>
    <w:p w14:paraId="3EA9E219" w14:textId="77777777" w:rsidR="0075093C" w:rsidRPr="00DE0AA0" w:rsidRDefault="00D24BF3" w:rsidP="0075093C">
      <w:pPr>
        <w:pStyle w:val="ListParagraph"/>
        <w:numPr>
          <w:ilvl w:val="0"/>
          <w:numId w:val="19"/>
        </w:numPr>
        <w:rPr>
          <w:rFonts w:cs="Calibri"/>
          <w:lang w:eastAsia="en-GB"/>
        </w:rPr>
      </w:pPr>
      <w:r w:rsidRPr="00DE0AA0">
        <w:rPr>
          <w:rFonts w:cs="Calibri"/>
          <w:lang w:eastAsia="en-GB"/>
        </w:rPr>
        <w:t>Bad debt</w:t>
      </w:r>
    </w:p>
    <w:p w14:paraId="1653A30A" w14:textId="77777777" w:rsidR="0075093C" w:rsidRPr="00DE0AA0" w:rsidRDefault="00696529" w:rsidP="0075093C">
      <w:pPr>
        <w:pStyle w:val="ListParagraph"/>
        <w:numPr>
          <w:ilvl w:val="0"/>
          <w:numId w:val="19"/>
        </w:numPr>
        <w:rPr>
          <w:rFonts w:cs="Calibri"/>
          <w:lang w:eastAsia="en-GB"/>
        </w:rPr>
      </w:pPr>
      <w:r w:rsidRPr="00DE0AA0">
        <w:rPr>
          <w:rFonts w:cs="Calibri"/>
          <w:lang w:eastAsia="en-GB"/>
        </w:rPr>
        <w:t xml:space="preserve">Operating </w:t>
      </w:r>
      <w:r w:rsidR="00D24BF3" w:rsidRPr="00DE0AA0">
        <w:rPr>
          <w:rFonts w:cs="Calibri"/>
          <w:lang w:eastAsia="en-GB"/>
        </w:rPr>
        <w:t>costs</w:t>
      </w:r>
    </w:p>
    <w:p w14:paraId="21A274D3" w14:textId="77777777" w:rsidR="0075093C" w:rsidRPr="00DE0AA0" w:rsidRDefault="00D24BF3" w:rsidP="0075093C">
      <w:pPr>
        <w:pStyle w:val="ListParagraph"/>
        <w:numPr>
          <w:ilvl w:val="0"/>
          <w:numId w:val="19"/>
        </w:numPr>
        <w:rPr>
          <w:rFonts w:cs="Calibri"/>
          <w:lang w:eastAsia="en-GB"/>
        </w:rPr>
      </w:pPr>
      <w:r w:rsidRPr="00DE0AA0">
        <w:rPr>
          <w:rFonts w:cs="Calibri"/>
          <w:lang w:eastAsia="en-GB"/>
        </w:rPr>
        <w:t>Efficiency factor</w:t>
      </w:r>
    </w:p>
    <w:p w14:paraId="70689359" w14:textId="77777777" w:rsidR="0075093C" w:rsidRPr="00DE0AA0" w:rsidRDefault="00D30C77" w:rsidP="0075093C">
      <w:pPr>
        <w:pStyle w:val="ListParagraph"/>
        <w:numPr>
          <w:ilvl w:val="0"/>
          <w:numId w:val="19"/>
        </w:numPr>
        <w:rPr>
          <w:rFonts w:cs="Calibri"/>
          <w:lang w:eastAsia="en-GB"/>
        </w:rPr>
      </w:pPr>
      <w:r w:rsidRPr="00DE0AA0">
        <w:rPr>
          <w:rFonts w:cs="Calibri"/>
          <w:lang w:eastAsia="en-GB"/>
        </w:rPr>
        <w:t>Imbalance Sharing Factor</w:t>
      </w:r>
    </w:p>
    <w:p w14:paraId="76E9AF38" w14:textId="77777777" w:rsidR="0075093C" w:rsidRPr="00DE0AA0" w:rsidRDefault="00E624EF" w:rsidP="0075093C">
      <w:pPr>
        <w:pStyle w:val="ListParagraph"/>
        <w:numPr>
          <w:ilvl w:val="0"/>
          <w:numId w:val="19"/>
        </w:numPr>
        <w:rPr>
          <w:rFonts w:cs="Calibri"/>
          <w:lang w:eastAsia="en-GB"/>
        </w:rPr>
      </w:pPr>
      <w:r w:rsidRPr="00DE0AA0">
        <w:rPr>
          <w:rFonts w:cs="Calibri"/>
          <w:lang w:eastAsia="en-GB"/>
        </w:rPr>
        <w:t>Economic Lifespan of Assets</w:t>
      </w:r>
    </w:p>
    <w:p w14:paraId="7DF3FB24" w14:textId="77777777" w:rsidR="0075093C" w:rsidRPr="00DE0AA0" w:rsidRDefault="003C1CEC" w:rsidP="0075093C">
      <w:pPr>
        <w:pStyle w:val="ListParagraph"/>
        <w:numPr>
          <w:ilvl w:val="0"/>
          <w:numId w:val="19"/>
        </w:numPr>
      </w:pPr>
      <w:r w:rsidRPr="00DE0AA0">
        <w:t xml:space="preserve">Any other input parameter that the Regulator may </w:t>
      </w:r>
      <w:r w:rsidR="001A24C8" w:rsidRPr="00DE0AA0">
        <w:t>consider</w:t>
      </w:r>
      <w:r w:rsidRPr="00DE0AA0">
        <w:t xml:space="preserve"> </w:t>
      </w:r>
      <w:r w:rsidR="00364604" w:rsidRPr="00DE0AA0">
        <w:t>necessary. *</w:t>
      </w:r>
    </w:p>
    <w:p w14:paraId="13F68167" w14:textId="77777777" w:rsidR="0075093C" w:rsidRPr="00DE0AA0" w:rsidRDefault="0075093C" w:rsidP="00E742CD">
      <w:pPr>
        <w:jc w:val="both"/>
        <w:rPr>
          <w:lang w:val="en-GB"/>
        </w:rPr>
      </w:pPr>
      <w:r w:rsidRPr="00DE0AA0">
        <w:rPr>
          <w:lang w:val="en-GB"/>
        </w:rPr>
        <w:t xml:space="preserve">* </w:t>
      </w:r>
      <w:r w:rsidR="001A24C8" w:rsidRPr="00DE0AA0">
        <w:rPr>
          <w:lang w:val="en-GB"/>
        </w:rPr>
        <w:t>During this process, t</w:t>
      </w:r>
      <w:r w:rsidR="00364604" w:rsidRPr="00DE0AA0">
        <w:rPr>
          <w:lang w:val="en-GB"/>
        </w:rPr>
        <w:t xml:space="preserve">he Regulator considers it necessary to predetermine the efficiency factor in the controllable OPEX as another input parameter. The setting of the efficiency factor is in principle the same as </w:t>
      </w:r>
      <w:r w:rsidR="00F8701A" w:rsidRPr="00DE0AA0">
        <w:rPr>
          <w:lang w:val="en-GB"/>
        </w:rPr>
        <w:t xml:space="preserve">for </w:t>
      </w:r>
      <w:r w:rsidR="00364604" w:rsidRPr="00DE0AA0">
        <w:rPr>
          <w:lang w:val="en-GB"/>
        </w:rPr>
        <w:t xml:space="preserve">other regulated operators, but </w:t>
      </w:r>
      <w:r w:rsidR="00EB18CA" w:rsidRPr="00DE0AA0">
        <w:rPr>
          <w:lang w:val="en-GB"/>
        </w:rPr>
        <w:t>during its determination</w:t>
      </w:r>
      <w:r w:rsidR="00364604" w:rsidRPr="00DE0AA0">
        <w:rPr>
          <w:lang w:val="en-GB"/>
        </w:rPr>
        <w:t xml:space="preserve"> the specific characteristics of supply </w:t>
      </w:r>
      <w:r w:rsidR="00F8701A" w:rsidRPr="00DE0AA0">
        <w:rPr>
          <w:lang w:val="en-GB"/>
        </w:rPr>
        <w:t>were</w:t>
      </w:r>
      <w:r w:rsidR="00364604" w:rsidRPr="00DE0AA0">
        <w:rPr>
          <w:lang w:val="en-GB"/>
        </w:rPr>
        <w:t xml:space="preserve"> taken into account.</w:t>
      </w:r>
    </w:p>
    <w:p w14:paraId="72CF007E" w14:textId="77777777" w:rsidR="00C85B1F" w:rsidRPr="00DE0AA0" w:rsidRDefault="00C85B1F" w:rsidP="0075093C">
      <w:pPr>
        <w:rPr>
          <w:lang w:val="en-GB"/>
        </w:rPr>
      </w:pPr>
    </w:p>
    <w:p w14:paraId="0A52C4D5" w14:textId="77777777" w:rsidR="0075093C" w:rsidRPr="00DE0AA0" w:rsidRDefault="00C85B1F" w:rsidP="00C85B1F">
      <w:pPr>
        <w:tabs>
          <w:tab w:val="left" w:pos="8064"/>
        </w:tabs>
        <w:rPr>
          <w:lang w:val="en-GB"/>
        </w:rPr>
      </w:pPr>
      <w:r w:rsidRPr="00DE0AA0">
        <w:rPr>
          <w:lang w:val="en-GB"/>
        </w:rPr>
        <w:tab/>
      </w:r>
    </w:p>
    <w:p w14:paraId="2455D7F4" w14:textId="77777777" w:rsidR="0075093C" w:rsidRPr="00DE0AA0" w:rsidRDefault="00EE35F0" w:rsidP="0075093C">
      <w:pPr>
        <w:pStyle w:val="Heading2"/>
        <w:ind w:left="720"/>
      </w:pPr>
      <w:bookmarkStart w:id="3" w:name="_Toc89262421"/>
      <w:r w:rsidRPr="00DE0AA0">
        <w:lastRenderedPageBreak/>
        <w:t>Retail margin</w:t>
      </w:r>
      <w:bookmarkEnd w:id="3"/>
    </w:p>
    <w:p w14:paraId="0C4A6471" w14:textId="77777777" w:rsidR="0075093C" w:rsidRPr="00DE0AA0" w:rsidRDefault="00480ECD" w:rsidP="003A4746">
      <w:pPr>
        <w:jc w:val="both"/>
        <w:rPr>
          <w:lang w:val="en-GB"/>
        </w:rPr>
      </w:pPr>
      <w:r w:rsidRPr="00DE0AA0">
        <w:rPr>
          <w:lang w:val="en-GB"/>
        </w:rPr>
        <w:t xml:space="preserve">Retail margin is the fixed percentage that USS is allowed to apply to wholesale purchase costs in order to compensate for the risk it </w:t>
      </w:r>
      <w:r w:rsidR="009A22F0" w:rsidRPr="00DE0AA0">
        <w:rPr>
          <w:lang w:val="en-GB"/>
        </w:rPr>
        <w:t>undertakes</w:t>
      </w:r>
      <w:r w:rsidRPr="00DE0AA0">
        <w:rPr>
          <w:lang w:val="en-GB"/>
        </w:rPr>
        <w:t xml:space="preserve"> in </w:t>
      </w:r>
      <w:r w:rsidR="002233B9" w:rsidRPr="00DE0AA0">
        <w:rPr>
          <w:lang w:val="en-GB"/>
        </w:rPr>
        <w:t>provision of the</w:t>
      </w:r>
      <w:r w:rsidRPr="00DE0AA0">
        <w:rPr>
          <w:lang w:val="en-GB"/>
        </w:rPr>
        <w:t xml:space="preserve"> regulated service.</w:t>
      </w:r>
    </w:p>
    <w:p w14:paraId="1CFBEA64" w14:textId="77777777" w:rsidR="0075093C" w:rsidRPr="00DE0AA0" w:rsidRDefault="00EE7D80" w:rsidP="0075093C">
      <w:pPr>
        <w:jc w:val="both"/>
        <w:rPr>
          <w:lang w:val="en-GB"/>
        </w:rPr>
      </w:pPr>
      <w:r w:rsidRPr="00DE0AA0">
        <w:rPr>
          <w:lang w:val="en-GB"/>
        </w:rPr>
        <w:t>Given that the Universal Service Supplier is a regulated activity in the energy sector, consequently operati</w:t>
      </w:r>
      <w:r w:rsidR="00696529" w:rsidRPr="00DE0AA0">
        <w:rPr>
          <w:lang w:val="en-GB"/>
        </w:rPr>
        <w:t xml:space="preserve">ng </w:t>
      </w:r>
      <w:r w:rsidRPr="00DE0AA0">
        <w:rPr>
          <w:lang w:val="en-GB"/>
        </w:rPr>
        <w:t>costs and other cost factors related to</w:t>
      </w:r>
      <w:r w:rsidR="00393D5E">
        <w:rPr>
          <w:lang w:val="en-GB"/>
        </w:rPr>
        <w:t xml:space="preserve"> the</w:t>
      </w:r>
      <w:r w:rsidRPr="00DE0AA0">
        <w:rPr>
          <w:lang w:val="en-GB"/>
        </w:rPr>
        <w:t xml:space="preserve"> provision of customer service are predetermined. It implies that the company is not manda</w:t>
      </w:r>
      <w:r w:rsidR="00BD4A76" w:rsidRPr="00DE0AA0">
        <w:rPr>
          <w:lang w:val="en-GB"/>
        </w:rPr>
        <w:t>ted to determine its profit on</w:t>
      </w:r>
      <w:r w:rsidRPr="00DE0AA0">
        <w:rPr>
          <w:lang w:val="en-GB"/>
        </w:rPr>
        <w:t xml:space="preserve"> competitive basis, but the Regulator sets a margin level</w:t>
      </w:r>
      <w:r w:rsidR="00BC65BE">
        <w:rPr>
          <w:lang w:val="en-GB"/>
        </w:rPr>
        <w:t>,</w:t>
      </w:r>
      <w:r w:rsidRPr="00DE0AA0">
        <w:rPr>
          <w:lang w:val="en-GB"/>
        </w:rPr>
        <w:t xml:space="preserve"> as a reasonable profit, taking into account the risks that the supplier undertakes </w:t>
      </w:r>
      <w:r w:rsidR="00BD4A76" w:rsidRPr="00DE0AA0">
        <w:rPr>
          <w:lang w:val="en-GB"/>
        </w:rPr>
        <w:t>during the provision of</w:t>
      </w:r>
      <w:r w:rsidRPr="00DE0AA0">
        <w:rPr>
          <w:lang w:val="en-GB"/>
        </w:rPr>
        <w:t xml:space="preserve"> service to regulated customers. </w:t>
      </w:r>
      <w:r w:rsidR="00C61778" w:rsidRPr="00DE0AA0">
        <w:rPr>
          <w:lang w:val="en-GB"/>
        </w:rPr>
        <w:t>During its determination</w:t>
      </w:r>
      <w:r w:rsidRPr="00DE0AA0">
        <w:rPr>
          <w:lang w:val="en-GB"/>
        </w:rPr>
        <w:t>, the Regulato</w:t>
      </w:r>
      <w:r w:rsidR="00C61778" w:rsidRPr="00DE0AA0">
        <w:rPr>
          <w:lang w:val="en-GB"/>
        </w:rPr>
        <w:t xml:space="preserve">r, in addition to evaluating </w:t>
      </w:r>
      <w:r w:rsidRPr="00DE0AA0">
        <w:rPr>
          <w:lang w:val="en-GB"/>
        </w:rPr>
        <w:t xml:space="preserve">the exposure of </w:t>
      </w:r>
      <w:r w:rsidR="00C61778" w:rsidRPr="00DE0AA0">
        <w:rPr>
          <w:lang w:val="en-GB"/>
        </w:rPr>
        <w:t xml:space="preserve">USS </w:t>
      </w:r>
      <w:r w:rsidRPr="00DE0AA0">
        <w:rPr>
          <w:lang w:val="en-GB"/>
        </w:rPr>
        <w:t xml:space="preserve">to the risk it undertakes to provide the service, takes into account the comparability with the margin of suppliers </w:t>
      </w:r>
      <w:r w:rsidR="00B36793" w:rsidRPr="00DE0AA0">
        <w:rPr>
          <w:lang w:val="en-GB"/>
        </w:rPr>
        <w:t>of</w:t>
      </w:r>
      <w:r w:rsidRPr="00DE0AA0">
        <w:rPr>
          <w:lang w:val="en-GB"/>
        </w:rPr>
        <w:t xml:space="preserve"> other European countries, in particular </w:t>
      </w:r>
      <w:r w:rsidR="00B36793" w:rsidRPr="00DE0AA0">
        <w:rPr>
          <w:lang w:val="en-GB"/>
        </w:rPr>
        <w:t xml:space="preserve">of the </w:t>
      </w:r>
      <w:r w:rsidRPr="00DE0AA0">
        <w:rPr>
          <w:lang w:val="en-GB"/>
        </w:rPr>
        <w:t>countries with similar characteristics to the Kosovo market.</w:t>
      </w:r>
    </w:p>
    <w:p w14:paraId="075BBFAB" w14:textId="77777777" w:rsidR="0075093C" w:rsidRPr="00DE0AA0" w:rsidRDefault="0075093C" w:rsidP="0075093C">
      <w:pPr>
        <w:pStyle w:val="Heading3"/>
      </w:pPr>
      <w:bookmarkStart w:id="4" w:name="_Toc89262422"/>
      <w:r w:rsidRPr="00DE0AA0">
        <w:t>KESCO</w:t>
      </w:r>
      <w:r w:rsidR="00932086" w:rsidRPr="00DE0AA0">
        <w:t>’s application</w:t>
      </w:r>
      <w:bookmarkEnd w:id="4"/>
    </w:p>
    <w:p w14:paraId="65D4C595" w14:textId="28B758DA" w:rsidR="0075093C" w:rsidRPr="00DE0AA0" w:rsidRDefault="00FC6BAA" w:rsidP="0075093C">
      <w:pPr>
        <w:jc w:val="both"/>
        <w:rPr>
          <w:lang w:val="en-GB"/>
        </w:rPr>
      </w:pPr>
      <w:r w:rsidRPr="00DE0AA0">
        <w:rPr>
          <w:lang w:val="en-GB"/>
        </w:rPr>
        <w:t xml:space="preserve">In its application, KESCO proposes to maintain the current retail margin of 3.0%, as ensuring an adequate balance between risk compensation and to avoid harming </w:t>
      </w:r>
      <w:r w:rsidR="006703E7">
        <w:rPr>
          <w:lang w:val="en-GB"/>
        </w:rPr>
        <w:t>potential</w:t>
      </w:r>
      <w:r w:rsidRPr="00DE0AA0">
        <w:rPr>
          <w:lang w:val="en-GB"/>
        </w:rPr>
        <w:t xml:space="preserve"> </w:t>
      </w:r>
      <w:r w:rsidR="00E200D8">
        <w:rPr>
          <w:lang w:val="en-GB"/>
        </w:rPr>
        <w:t xml:space="preserve">new </w:t>
      </w:r>
      <w:r w:rsidRPr="00DE0AA0">
        <w:rPr>
          <w:lang w:val="en-GB"/>
        </w:rPr>
        <w:t>competing suppliers.</w:t>
      </w:r>
    </w:p>
    <w:p w14:paraId="2EACC364" w14:textId="77777777" w:rsidR="0075093C" w:rsidRPr="00DE0AA0" w:rsidRDefault="00D243BE" w:rsidP="0075093C">
      <w:pPr>
        <w:jc w:val="both"/>
        <w:rPr>
          <w:lang w:val="en-GB"/>
        </w:rPr>
      </w:pPr>
      <w:r w:rsidRPr="00DE0AA0">
        <w:rPr>
          <w:lang w:val="en-GB"/>
        </w:rPr>
        <w:t>KESCO states that retail margins for predetermined suppliers, when applied in the European Union and the Energy Community, are set by the regulator or through auctions. It further states that, among neighbouring countries, Albania implements a regulated margin set at 3% as in Kosovo, whereas in Macedonia the margin was set in the most recent auction, in 2019, which resulted in a margin of 11.5% (including all parameters of retail cost, bad debt and profit).</w:t>
      </w:r>
    </w:p>
    <w:p w14:paraId="34D09A23" w14:textId="77777777" w:rsidR="0075093C" w:rsidRPr="00DE0AA0" w:rsidRDefault="00E975D3" w:rsidP="0075093C">
      <w:pPr>
        <w:pStyle w:val="Heading3"/>
      </w:pPr>
      <w:bookmarkStart w:id="5" w:name="_Toc89262423"/>
      <w:r w:rsidRPr="00DE0AA0">
        <w:t>ERO’s review and proposal on USS Retail Margin</w:t>
      </w:r>
      <w:bookmarkEnd w:id="5"/>
    </w:p>
    <w:p w14:paraId="41B5FD24" w14:textId="77777777" w:rsidR="0075093C" w:rsidRPr="00DE0AA0" w:rsidRDefault="002C7A54" w:rsidP="0075093C">
      <w:pPr>
        <w:jc w:val="both"/>
        <w:rPr>
          <w:lang w:val="en-GB"/>
        </w:rPr>
      </w:pPr>
      <w:r w:rsidRPr="00DE0AA0">
        <w:rPr>
          <w:lang w:val="en-GB"/>
        </w:rPr>
        <w:t xml:space="preserve">During the evaluation of retail margin, ERO has </w:t>
      </w:r>
      <w:r w:rsidR="00AA7239" w:rsidRPr="00DE0AA0">
        <w:rPr>
          <w:lang w:val="en-GB"/>
        </w:rPr>
        <w:t>analysed</w:t>
      </w:r>
      <w:r w:rsidRPr="00DE0AA0">
        <w:rPr>
          <w:lang w:val="en-GB"/>
        </w:rPr>
        <w:t xml:space="preserve"> the approaches used by regulators in various countries in Europe and in the Balkan region, the factors that are </w:t>
      </w:r>
      <w:r w:rsidR="00AA7239" w:rsidRPr="00DE0AA0">
        <w:rPr>
          <w:lang w:val="en-GB"/>
        </w:rPr>
        <w:t>analysed</w:t>
      </w:r>
      <w:r w:rsidRPr="00DE0AA0">
        <w:rPr>
          <w:lang w:val="en-GB"/>
        </w:rPr>
        <w:t xml:space="preserve"> during its determination as well as market </w:t>
      </w:r>
      <w:r w:rsidR="006465D1" w:rsidRPr="00DE0AA0">
        <w:rPr>
          <w:lang w:val="en-GB"/>
        </w:rPr>
        <w:t>conditions</w:t>
      </w:r>
      <w:r w:rsidRPr="00DE0AA0">
        <w:rPr>
          <w:lang w:val="en-GB"/>
        </w:rPr>
        <w:t xml:space="preserve"> and circumstances. It should be </w:t>
      </w:r>
      <w:r w:rsidR="004500A7" w:rsidRPr="00DE0AA0">
        <w:rPr>
          <w:lang w:val="en-GB"/>
        </w:rPr>
        <w:t>emphasized</w:t>
      </w:r>
      <w:r w:rsidRPr="00DE0AA0">
        <w:rPr>
          <w:lang w:val="en-GB"/>
        </w:rPr>
        <w:t xml:space="preserve"> that there are few European countries that continue to regulate prices for retail supply, consequently setting the margin for suppliers. The following describes the experiences of different countries that apply margins predetermined by national regulators:</w:t>
      </w:r>
    </w:p>
    <w:p w14:paraId="7DBD3267" w14:textId="77777777" w:rsidR="0075093C" w:rsidRPr="00DE0AA0" w:rsidRDefault="00C00ECE" w:rsidP="00C00ECE">
      <w:pPr>
        <w:pStyle w:val="ListParagraph"/>
        <w:numPr>
          <w:ilvl w:val="0"/>
          <w:numId w:val="17"/>
        </w:numPr>
      </w:pPr>
      <w:r w:rsidRPr="00DE0AA0">
        <w:t>The Energy Regulatory Entity of Albania has set the retail margin through the regulatory framework, at a level not higher than 3%.</w:t>
      </w:r>
      <w:r w:rsidR="0075093C" w:rsidRPr="00DE0AA0">
        <w:rPr>
          <w:rStyle w:val="FootnoteReference"/>
        </w:rPr>
        <w:footnoteReference w:id="1"/>
      </w:r>
      <w:r w:rsidR="0075093C" w:rsidRPr="00DE0AA0">
        <w:t xml:space="preserve"> </w:t>
      </w:r>
      <w:r w:rsidRPr="00DE0AA0">
        <w:t>This enables the Regulator to set margins at lower levels, but not higher than 3%.</w:t>
      </w:r>
    </w:p>
    <w:p w14:paraId="5E43A1F0" w14:textId="1CD8747F" w:rsidR="0075093C" w:rsidRPr="00DE0AA0" w:rsidRDefault="001926FD" w:rsidP="006C59C3">
      <w:pPr>
        <w:pStyle w:val="ListParagraph"/>
        <w:numPr>
          <w:ilvl w:val="0"/>
          <w:numId w:val="17"/>
        </w:numPr>
      </w:pPr>
      <w:r w:rsidRPr="00DE0AA0">
        <w:rPr>
          <w:shd w:val="clear" w:color="auto" w:fill="FFFFFF" w:themeFill="background1"/>
        </w:rPr>
        <w:t>North Macedonia</w:t>
      </w:r>
      <w:r w:rsidR="0075093C" w:rsidRPr="00DE0AA0">
        <w:rPr>
          <w:shd w:val="clear" w:color="auto" w:fill="FFFFFF" w:themeFill="background1"/>
        </w:rPr>
        <w:t xml:space="preserve"> –</w:t>
      </w:r>
      <w:r w:rsidR="006C59C3" w:rsidRPr="00DE0AA0">
        <w:t xml:space="preserve">The retail margin for the regulated universal service supplier and the last resort supplier is determined through a competitive process. The margin which resulted </w:t>
      </w:r>
      <w:r w:rsidR="00B5616D">
        <w:t>from</w:t>
      </w:r>
      <w:r w:rsidR="00B5616D" w:rsidRPr="00DE0AA0">
        <w:t xml:space="preserve"> </w:t>
      </w:r>
      <w:r w:rsidR="006C59C3" w:rsidRPr="00DE0AA0">
        <w:t>the auction of 2019, is at the level of 11.5%. This margin level includes all universal supplier costs, such as operati</w:t>
      </w:r>
      <w:r w:rsidR="00C25DE5" w:rsidRPr="00DE0AA0">
        <w:t xml:space="preserve">ng </w:t>
      </w:r>
      <w:r w:rsidR="006C59C3" w:rsidRPr="00DE0AA0">
        <w:t xml:space="preserve">costs, outstanding debts and profit. So, North Macedonia has used another </w:t>
      </w:r>
      <w:r w:rsidR="006C59C3" w:rsidRPr="00DE0AA0">
        <w:lastRenderedPageBreak/>
        <w:t xml:space="preserve">model </w:t>
      </w:r>
      <w:r w:rsidR="00367953" w:rsidRPr="00DE0AA0">
        <w:t>for determination of margin</w:t>
      </w:r>
      <w:r w:rsidR="006C59C3" w:rsidRPr="00DE0AA0">
        <w:t xml:space="preserve">, </w:t>
      </w:r>
      <w:r w:rsidR="00367953" w:rsidRPr="00DE0AA0">
        <w:t>by following</w:t>
      </w:r>
      <w:r w:rsidR="006C59C3" w:rsidRPr="00DE0AA0">
        <w:t xml:space="preserve"> the competitive process for "retail costs, bad debt and profit" which differs as a model from other countries.</w:t>
      </w:r>
    </w:p>
    <w:p w14:paraId="63A84C3A" w14:textId="36F9E2AF" w:rsidR="0075093C" w:rsidRPr="00DE0AA0" w:rsidRDefault="001B6CE3" w:rsidP="00324A3D">
      <w:pPr>
        <w:pStyle w:val="ListParagraph"/>
        <w:numPr>
          <w:ilvl w:val="0"/>
          <w:numId w:val="17"/>
        </w:numPr>
      </w:pPr>
      <w:r w:rsidRPr="00DE0AA0">
        <w:t>In Ireland, the Commission for Regulation of Utilities (CRU) has evaluated the average retail margin earned by suppliers at 2% respectively 1.3%, which is considered an appropriate margin for supply under regulation criteria.</w:t>
      </w:r>
      <w:r w:rsidR="0075093C" w:rsidRPr="00DE0AA0">
        <w:rPr>
          <w:rStyle w:val="FootnoteReference"/>
        </w:rPr>
        <w:footnoteReference w:id="2"/>
      </w:r>
      <w:r w:rsidR="0075093C" w:rsidRPr="00DE0AA0">
        <w:t xml:space="preserve"> </w:t>
      </w:r>
      <w:r w:rsidR="00324A3D" w:rsidRPr="00DE0AA0">
        <w:t xml:space="preserve">At the time of these margins, CRU considered that this was an appropriate margin, </w:t>
      </w:r>
      <w:r w:rsidR="00A70595" w:rsidRPr="00DE0AA0">
        <w:t xml:space="preserve">taking into account </w:t>
      </w:r>
      <w:r w:rsidR="00324A3D" w:rsidRPr="00DE0AA0">
        <w:t>that there was no volume risk for regulated services, moreover if the company would not recover its full costs within a year then it would recover</w:t>
      </w:r>
      <w:r w:rsidR="00A70595" w:rsidRPr="00DE0AA0">
        <w:t xml:space="preserve"> them</w:t>
      </w:r>
      <w:r w:rsidR="00324A3D" w:rsidRPr="00DE0AA0">
        <w:t xml:space="preserve"> in future periods.</w:t>
      </w:r>
    </w:p>
    <w:p w14:paraId="4A813751" w14:textId="77777777" w:rsidR="0075093C" w:rsidRPr="00DE0AA0" w:rsidRDefault="00DF686A" w:rsidP="00A0382C">
      <w:pPr>
        <w:pStyle w:val="ListParagraph"/>
        <w:numPr>
          <w:ilvl w:val="0"/>
          <w:numId w:val="17"/>
        </w:numPr>
      </w:pPr>
      <w:r w:rsidRPr="00DE0AA0">
        <w:t xml:space="preserve">The Regulatory Authority of </w:t>
      </w:r>
      <w:r w:rsidR="00431B8C" w:rsidRPr="00DE0AA0">
        <w:t>Turkey, within</w:t>
      </w:r>
      <w:r w:rsidRPr="00DE0AA0">
        <w:t xml:space="preserve"> the review of parameters of the regulated supplier for the fourth regulatory period 2021-2025, in 2020, through ERRA, required from member countries as well as observing ones to provide information regarding their practices in determining the margin for regulated suppliers. Upon completion of the review process, EMRA decided that the supply margin would be 2.38% for the </w:t>
      </w:r>
      <w:r w:rsidR="00C80305" w:rsidRPr="00DE0AA0">
        <w:t xml:space="preserve">period </w:t>
      </w:r>
      <w:r w:rsidRPr="00DE0AA0">
        <w:t>2021-2025.</w:t>
      </w:r>
      <w:r w:rsidR="0075093C" w:rsidRPr="00DE0AA0">
        <w:rPr>
          <w:rStyle w:val="FootnoteReference"/>
        </w:rPr>
        <w:footnoteReference w:id="3"/>
      </w:r>
      <w:r w:rsidR="0075093C" w:rsidRPr="00DE0AA0">
        <w:t xml:space="preserve"> </w:t>
      </w:r>
      <w:r w:rsidR="00A0382C" w:rsidRPr="00DE0AA0">
        <w:t xml:space="preserve"> </w:t>
      </w:r>
    </w:p>
    <w:p w14:paraId="5A340DFE" w14:textId="2B7A3668" w:rsidR="0075093C" w:rsidRPr="00DE0AA0" w:rsidRDefault="00C86C5D" w:rsidP="008A5596">
      <w:pPr>
        <w:pStyle w:val="ListParagraph"/>
        <w:numPr>
          <w:ilvl w:val="0"/>
          <w:numId w:val="17"/>
        </w:numPr>
      </w:pPr>
      <w:r w:rsidRPr="00DE0AA0">
        <w:t xml:space="preserve">From the information provided and the research of the methodologies, it is seen that Georgian National Energy and Water Supply Regulatory Commission (GNERC), in the Methodology for Calculating Tariffs for Universal Services has set the rate of 1.5% as a reasonable profit rate applied to the </w:t>
      </w:r>
      <w:r w:rsidR="0047152F">
        <w:t xml:space="preserve">settlement </w:t>
      </w:r>
      <w:r w:rsidRPr="00DE0AA0">
        <w:t>price in the difference between the Universal Service Supplier and the Wholesale Public Service Operator.</w:t>
      </w:r>
      <w:r w:rsidR="0075093C" w:rsidRPr="00DE0AA0">
        <w:rPr>
          <w:rStyle w:val="FootnoteReference"/>
        </w:rPr>
        <w:footnoteReference w:id="4"/>
      </w:r>
      <w:r w:rsidR="008A5596" w:rsidRPr="00DE0AA0">
        <w:t xml:space="preserve"> </w:t>
      </w:r>
    </w:p>
    <w:p w14:paraId="1A09B4E0" w14:textId="77777777" w:rsidR="0075093C" w:rsidRPr="00DE0AA0" w:rsidRDefault="009A1C68" w:rsidP="00A92044">
      <w:pPr>
        <w:pStyle w:val="ListParagraph"/>
        <w:numPr>
          <w:ilvl w:val="0"/>
          <w:numId w:val="17"/>
        </w:numPr>
      </w:pPr>
      <w:r w:rsidRPr="00DE0AA0">
        <w:t>The National Energy Regulatory Agency of Moldova (ANRE), in the methodology for calculating the regulated prices for the Universal Service Supplier and the Last Resort Supplier has set as a margin "rate of return" the rate in the amount of 1%, a rate applicable to total costs (Energy + TSO + DSO + Supply).</w:t>
      </w:r>
      <w:r w:rsidR="0075093C" w:rsidRPr="00DE0AA0">
        <w:rPr>
          <w:rStyle w:val="FootnoteReference"/>
        </w:rPr>
        <w:footnoteReference w:id="5"/>
      </w:r>
      <w:r w:rsidR="00A92044" w:rsidRPr="00DE0AA0">
        <w:t xml:space="preserve"> </w:t>
      </w:r>
    </w:p>
    <w:p w14:paraId="016CA290" w14:textId="77777777" w:rsidR="0075093C" w:rsidRPr="00DE0AA0" w:rsidRDefault="008B34C2" w:rsidP="0075093C">
      <w:pPr>
        <w:rPr>
          <w:lang w:val="en-GB"/>
        </w:rPr>
      </w:pPr>
      <w:r w:rsidRPr="00DE0AA0">
        <w:rPr>
          <w:lang w:val="en-GB"/>
        </w:rPr>
        <w:t>Taking into consideration</w:t>
      </w:r>
      <w:r w:rsidR="001E7E33" w:rsidRPr="00DE0AA0">
        <w:rPr>
          <w:lang w:val="en-GB"/>
        </w:rPr>
        <w:t xml:space="preserve"> that</w:t>
      </w:r>
      <w:r w:rsidRPr="00DE0AA0">
        <w:rPr>
          <w:lang w:val="en-GB"/>
        </w:rPr>
        <w:t>:</w:t>
      </w:r>
    </w:p>
    <w:p w14:paraId="3FA50FBB" w14:textId="77777777" w:rsidR="0075093C" w:rsidRPr="00DE0AA0" w:rsidRDefault="00431B8C" w:rsidP="00431B8C">
      <w:pPr>
        <w:pStyle w:val="ListParagraph"/>
        <w:numPr>
          <w:ilvl w:val="0"/>
          <w:numId w:val="16"/>
        </w:numPr>
      </w:pPr>
      <w:r w:rsidRPr="00DE0AA0">
        <w:t>KESCO-USS is not exposed to the risk of energy volumes, moreover energy from KEK is provided with priority to USS;</w:t>
      </w:r>
    </w:p>
    <w:p w14:paraId="3A595339" w14:textId="77777777" w:rsidR="0075093C" w:rsidRPr="00DE0AA0" w:rsidRDefault="00A02B15" w:rsidP="00A02B15">
      <w:pPr>
        <w:pStyle w:val="ListParagraph"/>
        <w:numPr>
          <w:ilvl w:val="0"/>
          <w:numId w:val="16"/>
        </w:numPr>
      </w:pPr>
      <w:r w:rsidRPr="00DE0AA0">
        <w:t xml:space="preserve">Purchases made by traders are </w:t>
      </w:r>
      <w:r w:rsidR="00050199" w:rsidRPr="00DE0AA0">
        <w:t>transferred</w:t>
      </w:r>
      <w:r w:rsidRPr="00DE0AA0">
        <w:t xml:space="preserve"> at USS costs;</w:t>
      </w:r>
    </w:p>
    <w:p w14:paraId="0FDA924B" w14:textId="77777777" w:rsidR="0075093C" w:rsidRPr="00DE0AA0" w:rsidRDefault="000D079C" w:rsidP="000D079C">
      <w:pPr>
        <w:pStyle w:val="ListParagraph"/>
        <w:numPr>
          <w:ilvl w:val="0"/>
          <w:numId w:val="16"/>
        </w:numPr>
      </w:pPr>
      <w:r w:rsidRPr="00DE0AA0">
        <w:lastRenderedPageBreak/>
        <w:t>Full USS costs are recognized and adjusted during tariff reviews;</w:t>
      </w:r>
    </w:p>
    <w:p w14:paraId="4F2AFFE4" w14:textId="77777777" w:rsidR="0075093C" w:rsidRPr="00DE0AA0" w:rsidRDefault="00990F7E" w:rsidP="00990F7E">
      <w:pPr>
        <w:pStyle w:val="ListParagraph"/>
        <w:numPr>
          <w:ilvl w:val="0"/>
          <w:numId w:val="16"/>
        </w:numPr>
      </w:pPr>
      <w:r w:rsidRPr="00DE0AA0">
        <w:t>Analysis of historical data, regulatory experiences, conditions and circumstances of operation of the Universal Service Supplier</w:t>
      </w:r>
    </w:p>
    <w:p w14:paraId="3FA7B3F5" w14:textId="77777777" w:rsidR="0075093C" w:rsidRPr="00DE0AA0" w:rsidRDefault="009F3DE3" w:rsidP="0075093C">
      <w:pPr>
        <w:rPr>
          <w:lang w:val="en-GB"/>
        </w:rPr>
      </w:pPr>
      <w:r w:rsidRPr="00DE0AA0">
        <w:rPr>
          <w:lang w:val="en-GB"/>
        </w:rPr>
        <w:t xml:space="preserve">ERO considers it reasonable to set the retail margin at 2.54% for the </w:t>
      </w:r>
      <w:r w:rsidR="00C80305" w:rsidRPr="00DE0AA0">
        <w:rPr>
          <w:lang w:val="en-GB"/>
        </w:rPr>
        <w:t xml:space="preserve">period </w:t>
      </w:r>
      <w:r w:rsidRPr="00DE0AA0">
        <w:rPr>
          <w:lang w:val="en-GB"/>
        </w:rPr>
        <w:t>2022-2024. The meth</w:t>
      </w:r>
      <w:r w:rsidR="002B4793" w:rsidRPr="00DE0AA0">
        <w:rPr>
          <w:lang w:val="en-GB"/>
        </w:rPr>
        <w:t xml:space="preserve">odology for its calculation is </w:t>
      </w:r>
      <w:r w:rsidR="00080DC1" w:rsidRPr="00DE0AA0">
        <w:rPr>
          <w:lang w:val="en-GB"/>
        </w:rPr>
        <w:t>provided</w:t>
      </w:r>
      <w:r w:rsidRPr="00DE0AA0">
        <w:rPr>
          <w:lang w:val="en-GB"/>
        </w:rPr>
        <w:t xml:space="preserve"> below:</w:t>
      </w:r>
    </w:p>
    <w:p w14:paraId="1FAF8796" w14:textId="77777777" w:rsidR="0075093C" w:rsidRPr="00DE0AA0" w:rsidRDefault="0075093C" w:rsidP="0075093C">
      <w:pPr>
        <w:pStyle w:val="Caption"/>
      </w:pPr>
      <w:r w:rsidRPr="00DE0AA0">
        <w:t>Tab</w:t>
      </w:r>
      <w:r w:rsidR="00E634B5" w:rsidRPr="00DE0AA0">
        <w:t>le</w:t>
      </w:r>
      <w:r w:rsidRPr="00DE0AA0">
        <w:t xml:space="preserve">  </w:t>
      </w:r>
      <w:r w:rsidRPr="00DE0AA0">
        <w:fldChar w:fldCharType="begin"/>
      </w:r>
      <w:r w:rsidRPr="00DE0AA0">
        <w:instrText xml:space="preserve"> SEQ Tabela_ \* ARABIC </w:instrText>
      </w:r>
      <w:r w:rsidRPr="00DE0AA0">
        <w:fldChar w:fldCharType="separate"/>
      </w:r>
      <w:r w:rsidR="00701D2D" w:rsidRPr="00DE0AA0">
        <w:t>1</w:t>
      </w:r>
      <w:r w:rsidRPr="00DE0AA0">
        <w:fldChar w:fldCharType="end"/>
      </w:r>
      <w:r w:rsidRPr="00DE0AA0">
        <w:t xml:space="preserve"> </w:t>
      </w:r>
      <w:r w:rsidR="00E634B5" w:rsidRPr="00DE0AA0">
        <w:t>Retail margin costs</w:t>
      </w:r>
    </w:p>
    <w:tbl>
      <w:tblPr>
        <w:tblW w:w="0" w:type="auto"/>
        <w:tblLook w:val="04A0" w:firstRow="1" w:lastRow="0" w:firstColumn="1" w:lastColumn="0" w:noHBand="0" w:noVBand="1"/>
      </w:tblPr>
      <w:tblGrid>
        <w:gridCol w:w="663"/>
        <w:gridCol w:w="663"/>
        <w:gridCol w:w="1709"/>
        <w:gridCol w:w="2178"/>
        <w:gridCol w:w="2008"/>
      </w:tblGrid>
      <w:tr w:rsidR="00FA2350" w:rsidRPr="00DE0AA0" w14:paraId="1DF97AD3" w14:textId="77777777" w:rsidTr="0075093C">
        <w:trPr>
          <w:trHeight w:val="300"/>
        </w:trPr>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14:paraId="2BF14735" w14:textId="77777777" w:rsidR="0075093C" w:rsidRPr="00DE0AA0" w:rsidRDefault="0065588A" w:rsidP="0075093C">
            <w:pPr>
              <w:keepNext/>
              <w:spacing w:before="60" w:after="60" w:line="240" w:lineRule="auto"/>
              <w:rPr>
                <w:color w:val="FFFFFF" w:themeColor="background1"/>
                <w:lang w:val="en-GB"/>
              </w:rPr>
            </w:pPr>
            <w:r w:rsidRPr="00DE0AA0">
              <w:rPr>
                <w:color w:val="FFFFFF" w:themeColor="background1"/>
                <w:lang w:val="en-GB"/>
              </w:rPr>
              <w:t>Year</w:t>
            </w:r>
          </w:p>
        </w:tc>
        <w:tc>
          <w:tcPr>
            <w:tcW w:w="0" w:type="auto"/>
            <w:tcBorders>
              <w:top w:val="single" w:sz="4" w:space="0" w:color="auto"/>
              <w:left w:val="nil"/>
              <w:bottom w:val="single" w:sz="8" w:space="0" w:color="auto"/>
              <w:right w:val="nil"/>
            </w:tcBorders>
            <w:shd w:val="clear" w:color="auto" w:fill="1F4E79" w:themeFill="accent1" w:themeFillShade="80"/>
          </w:tcPr>
          <w:p w14:paraId="62457B31" w14:textId="77777777" w:rsidR="0075093C" w:rsidRPr="00DE0AA0" w:rsidRDefault="0065588A" w:rsidP="0075093C">
            <w:pPr>
              <w:keepNext/>
              <w:spacing w:before="60" w:after="60" w:line="240" w:lineRule="auto"/>
              <w:rPr>
                <w:color w:val="FFFFFF" w:themeColor="background1"/>
                <w:lang w:val="en-GB"/>
              </w:rPr>
            </w:pPr>
            <w:r w:rsidRPr="00DE0AA0">
              <w:rPr>
                <w:color w:val="FFFFFF" w:themeColor="background1"/>
                <w:lang w:val="en-GB"/>
              </w:rPr>
              <w:t>Unit</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14:paraId="1E93F6D2" w14:textId="77777777" w:rsidR="0075093C" w:rsidRPr="00DE0AA0" w:rsidRDefault="0065588A" w:rsidP="0075093C">
            <w:pPr>
              <w:keepNext/>
              <w:spacing w:before="60" w:after="60" w:line="240" w:lineRule="auto"/>
              <w:rPr>
                <w:color w:val="FFFFFF" w:themeColor="background1"/>
                <w:lang w:val="en-GB"/>
              </w:rPr>
            </w:pPr>
            <w:r w:rsidRPr="00DE0AA0">
              <w:rPr>
                <w:color w:val="FFFFFF" w:themeColor="background1"/>
                <w:lang w:val="en-GB"/>
              </w:rPr>
              <w:t xml:space="preserve">       Margin costs</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14:paraId="2D709EF9" w14:textId="77777777" w:rsidR="0075093C" w:rsidRPr="00DE0AA0" w:rsidRDefault="00FA2350" w:rsidP="0075093C">
            <w:pPr>
              <w:keepNext/>
              <w:spacing w:before="60" w:after="60" w:line="240" w:lineRule="auto"/>
              <w:rPr>
                <w:color w:val="FFFFFF" w:themeColor="background1"/>
                <w:lang w:val="en-GB"/>
              </w:rPr>
            </w:pPr>
            <w:r w:rsidRPr="00DE0AA0">
              <w:rPr>
                <w:color w:val="FFFFFF" w:themeColor="background1"/>
                <w:lang w:val="en-GB"/>
              </w:rPr>
              <w:t xml:space="preserve">Wholesale </w:t>
            </w:r>
            <w:r w:rsidR="0053514E" w:rsidRPr="00DE0AA0">
              <w:rPr>
                <w:color w:val="FFFFFF" w:themeColor="background1"/>
                <w:lang w:val="en-GB"/>
              </w:rPr>
              <w:t>gross costs</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14:paraId="548F7146" w14:textId="77777777" w:rsidR="0075093C" w:rsidRPr="00DE0AA0" w:rsidRDefault="0053514E" w:rsidP="0075093C">
            <w:pPr>
              <w:keepNext/>
              <w:spacing w:before="60" w:after="60" w:line="240" w:lineRule="auto"/>
              <w:rPr>
                <w:color w:val="FFFFFF" w:themeColor="background1"/>
                <w:lang w:val="en-GB"/>
              </w:rPr>
            </w:pPr>
            <w:r w:rsidRPr="00DE0AA0">
              <w:rPr>
                <w:color w:val="FFFFFF" w:themeColor="background1"/>
                <w:lang w:val="en-GB"/>
              </w:rPr>
              <w:t>Wholesale net costs</w:t>
            </w:r>
          </w:p>
        </w:tc>
      </w:tr>
      <w:tr w:rsidR="00FA2350" w:rsidRPr="00DE0AA0" w14:paraId="05E4D17B" w14:textId="77777777" w:rsidTr="0075093C">
        <w:trPr>
          <w:trHeight w:val="288"/>
        </w:trPr>
        <w:tc>
          <w:tcPr>
            <w:tcW w:w="0" w:type="auto"/>
            <w:tcBorders>
              <w:top w:val="nil"/>
              <w:left w:val="nil"/>
              <w:bottom w:val="nil"/>
              <w:right w:val="nil"/>
            </w:tcBorders>
            <w:shd w:val="clear" w:color="auto" w:fill="auto"/>
            <w:noWrap/>
            <w:vAlign w:val="center"/>
            <w:hideMark/>
          </w:tcPr>
          <w:p w14:paraId="06E9B5D1"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2017</w:t>
            </w:r>
          </w:p>
        </w:tc>
        <w:tc>
          <w:tcPr>
            <w:tcW w:w="0" w:type="auto"/>
            <w:tcBorders>
              <w:top w:val="nil"/>
              <w:left w:val="nil"/>
              <w:bottom w:val="nil"/>
              <w:right w:val="nil"/>
            </w:tcBorders>
          </w:tcPr>
          <w:p w14:paraId="4EF0B923"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bottom w:val="nil"/>
              <w:right w:val="nil"/>
            </w:tcBorders>
            <w:shd w:val="clear" w:color="auto" w:fill="auto"/>
            <w:noWrap/>
            <w:vAlign w:val="center"/>
            <w:hideMark/>
          </w:tcPr>
          <w:p w14:paraId="03FB65FC"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3,724</w:t>
            </w:r>
          </w:p>
        </w:tc>
        <w:tc>
          <w:tcPr>
            <w:tcW w:w="0" w:type="auto"/>
            <w:tcBorders>
              <w:top w:val="nil"/>
              <w:left w:val="nil"/>
              <w:bottom w:val="nil"/>
              <w:right w:val="nil"/>
            </w:tcBorders>
            <w:shd w:val="clear" w:color="auto" w:fill="auto"/>
            <w:noWrap/>
            <w:vAlign w:val="center"/>
            <w:hideMark/>
          </w:tcPr>
          <w:p w14:paraId="5E842819"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127,844</w:t>
            </w:r>
          </w:p>
        </w:tc>
        <w:tc>
          <w:tcPr>
            <w:tcW w:w="0" w:type="auto"/>
            <w:tcBorders>
              <w:top w:val="nil"/>
              <w:left w:val="nil"/>
              <w:bottom w:val="nil"/>
              <w:right w:val="nil"/>
            </w:tcBorders>
            <w:shd w:val="clear" w:color="auto" w:fill="auto"/>
            <w:noWrap/>
            <w:vAlign w:val="center"/>
            <w:hideMark/>
          </w:tcPr>
          <w:p w14:paraId="0F031FBA"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124,133</w:t>
            </w:r>
          </w:p>
        </w:tc>
      </w:tr>
      <w:tr w:rsidR="00FA2350" w:rsidRPr="00DE0AA0" w14:paraId="1D65A5BD" w14:textId="77777777" w:rsidTr="0075093C">
        <w:trPr>
          <w:trHeight w:val="288"/>
        </w:trPr>
        <w:tc>
          <w:tcPr>
            <w:tcW w:w="0" w:type="auto"/>
            <w:tcBorders>
              <w:top w:val="nil"/>
              <w:left w:val="nil"/>
              <w:bottom w:val="nil"/>
              <w:right w:val="nil"/>
            </w:tcBorders>
            <w:shd w:val="clear" w:color="auto" w:fill="auto"/>
            <w:noWrap/>
            <w:vAlign w:val="center"/>
            <w:hideMark/>
          </w:tcPr>
          <w:p w14:paraId="364503EC"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2018</w:t>
            </w:r>
          </w:p>
        </w:tc>
        <w:tc>
          <w:tcPr>
            <w:tcW w:w="0" w:type="auto"/>
            <w:tcBorders>
              <w:top w:val="nil"/>
              <w:left w:val="nil"/>
              <w:bottom w:val="nil"/>
              <w:right w:val="nil"/>
            </w:tcBorders>
          </w:tcPr>
          <w:p w14:paraId="10B43CF8"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bottom w:val="nil"/>
              <w:right w:val="nil"/>
            </w:tcBorders>
            <w:shd w:val="clear" w:color="auto" w:fill="auto"/>
            <w:noWrap/>
            <w:vAlign w:val="center"/>
            <w:hideMark/>
          </w:tcPr>
          <w:p w14:paraId="6D93AD77"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3,471</w:t>
            </w:r>
          </w:p>
        </w:tc>
        <w:tc>
          <w:tcPr>
            <w:tcW w:w="0" w:type="auto"/>
            <w:tcBorders>
              <w:top w:val="nil"/>
              <w:left w:val="nil"/>
              <w:bottom w:val="nil"/>
              <w:right w:val="nil"/>
            </w:tcBorders>
            <w:shd w:val="clear" w:color="auto" w:fill="auto"/>
            <w:noWrap/>
            <w:vAlign w:val="center"/>
            <w:hideMark/>
          </w:tcPr>
          <w:p w14:paraId="557290FC"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119,160</w:t>
            </w:r>
          </w:p>
        </w:tc>
        <w:tc>
          <w:tcPr>
            <w:tcW w:w="0" w:type="auto"/>
            <w:tcBorders>
              <w:top w:val="nil"/>
              <w:left w:val="nil"/>
              <w:bottom w:val="nil"/>
              <w:right w:val="nil"/>
            </w:tcBorders>
            <w:shd w:val="clear" w:color="auto" w:fill="auto"/>
            <w:noWrap/>
            <w:vAlign w:val="center"/>
            <w:hideMark/>
          </w:tcPr>
          <w:p w14:paraId="2730FCF9"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115,700</w:t>
            </w:r>
          </w:p>
        </w:tc>
      </w:tr>
      <w:tr w:rsidR="00FA2350" w:rsidRPr="00DE0AA0" w14:paraId="3371B389" w14:textId="77777777" w:rsidTr="0075093C">
        <w:trPr>
          <w:trHeight w:val="288"/>
        </w:trPr>
        <w:tc>
          <w:tcPr>
            <w:tcW w:w="0" w:type="auto"/>
            <w:tcBorders>
              <w:top w:val="nil"/>
              <w:left w:val="nil"/>
              <w:bottom w:val="nil"/>
              <w:right w:val="nil"/>
            </w:tcBorders>
            <w:shd w:val="clear" w:color="auto" w:fill="auto"/>
            <w:noWrap/>
            <w:vAlign w:val="center"/>
            <w:hideMark/>
          </w:tcPr>
          <w:p w14:paraId="5F940FDC"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2019</w:t>
            </w:r>
          </w:p>
        </w:tc>
        <w:tc>
          <w:tcPr>
            <w:tcW w:w="0" w:type="auto"/>
            <w:tcBorders>
              <w:top w:val="nil"/>
              <w:left w:val="nil"/>
              <w:bottom w:val="nil"/>
              <w:right w:val="nil"/>
            </w:tcBorders>
          </w:tcPr>
          <w:p w14:paraId="4E3160B5"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bottom w:val="nil"/>
              <w:right w:val="nil"/>
            </w:tcBorders>
            <w:shd w:val="clear" w:color="auto" w:fill="auto"/>
            <w:noWrap/>
            <w:vAlign w:val="center"/>
            <w:hideMark/>
          </w:tcPr>
          <w:p w14:paraId="5757EE46"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3,521</w:t>
            </w:r>
          </w:p>
        </w:tc>
        <w:tc>
          <w:tcPr>
            <w:tcW w:w="0" w:type="auto"/>
            <w:tcBorders>
              <w:top w:val="nil"/>
              <w:left w:val="nil"/>
              <w:bottom w:val="nil"/>
              <w:right w:val="nil"/>
            </w:tcBorders>
            <w:shd w:val="clear" w:color="auto" w:fill="auto"/>
            <w:noWrap/>
            <w:vAlign w:val="center"/>
            <w:hideMark/>
          </w:tcPr>
          <w:p w14:paraId="635CCA32"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120,899</w:t>
            </w:r>
          </w:p>
        </w:tc>
        <w:tc>
          <w:tcPr>
            <w:tcW w:w="0" w:type="auto"/>
            <w:tcBorders>
              <w:top w:val="nil"/>
              <w:left w:val="nil"/>
              <w:bottom w:val="nil"/>
              <w:right w:val="nil"/>
            </w:tcBorders>
            <w:shd w:val="clear" w:color="auto" w:fill="auto"/>
            <w:noWrap/>
            <w:vAlign w:val="center"/>
            <w:hideMark/>
          </w:tcPr>
          <w:p w14:paraId="79C5C70A"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117,367</w:t>
            </w:r>
          </w:p>
        </w:tc>
      </w:tr>
      <w:tr w:rsidR="00FA2350" w:rsidRPr="00DE0AA0" w14:paraId="09B6471D" w14:textId="77777777" w:rsidTr="0075093C">
        <w:trPr>
          <w:trHeight w:val="288"/>
        </w:trPr>
        <w:tc>
          <w:tcPr>
            <w:tcW w:w="0" w:type="auto"/>
            <w:tcBorders>
              <w:top w:val="nil"/>
              <w:left w:val="nil"/>
              <w:right w:val="nil"/>
            </w:tcBorders>
            <w:shd w:val="clear" w:color="auto" w:fill="auto"/>
            <w:noWrap/>
            <w:vAlign w:val="center"/>
            <w:hideMark/>
          </w:tcPr>
          <w:p w14:paraId="2C014DA3"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2020</w:t>
            </w:r>
          </w:p>
        </w:tc>
        <w:tc>
          <w:tcPr>
            <w:tcW w:w="0" w:type="auto"/>
            <w:tcBorders>
              <w:top w:val="nil"/>
              <w:left w:val="nil"/>
              <w:right w:val="nil"/>
            </w:tcBorders>
          </w:tcPr>
          <w:p w14:paraId="490C28E7"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right w:val="nil"/>
            </w:tcBorders>
            <w:shd w:val="clear" w:color="auto" w:fill="auto"/>
            <w:noWrap/>
            <w:vAlign w:val="center"/>
            <w:hideMark/>
          </w:tcPr>
          <w:p w14:paraId="7289F2B7"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3,795</w:t>
            </w:r>
          </w:p>
        </w:tc>
        <w:tc>
          <w:tcPr>
            <w:tcW w:w="0" w:type="auto"/>
            <w:tcBorders>
              <w:top w:val="nil"/>
              <w:left w:val="nil"/>
              <w:right w:val="nil"/>
            </w:tcBorders>
            <w:shd w:val="clear" w:color="auto" w:fill="auto"/>
            <w:noWrap/>
            <w:vAlign w:val="center"/>
            <w:hideMark/>
          </w:tcPr>
          <w:p w14:paraId="31315DA7"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130,298</w:t>
            </w:r>
          </w:p>
        </w:tc>
        <w:tc>
          <w:tcPr>
            <w:tcW w:w="0" w:type="auto"/>
            <w:tcBorders>
              <w:top w:val="nil"/>
              <w:left w:val="nil"/>
              <w:right w:val="nil"/>
            </w:tcBorders>
            <w:shd w:val="clear" w:color="auto" w:fill="auto"/>
            <w:noWrap/>
            <w:vAlign w:val="center"/>
            <w:hideMark/>
          </w:tcPr>
          <w:p w14:paraId="4DE29D38"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126,500</w:t>
            </w:r>
          </w:p>
        </w:tc>
      </w:tr>
      <w:tr w:rsidR="00FA2350" w:rsidRPr="00DE0AA0" w14:paraId="2CCC6BAF" w14:textId="77777777" w:rsidTr="0075093C">
        <w:trPr>
          <w:trHeight w:val="288"/>
        </w:trPr>
        <w:tc>
          <w:tcPr>
            <w:tcW w:w="0" w:type="auto"/>
            <w:tcBorders>
              <w:top w:val="nil"/>
              <w:left w:val="nil"/>
              <w:bottom w:val="single" w:sz="4" w:space="0" w:color="auto"/>
              <w:right w:val="nil"/>
            </w:tcBorders>
            <w:shd w:val="clear" w:color="auto" w:fill="auto"/>
            <w:noWrap/>
            <w:vAlign w:val="center"/>
            <w:hideMark/>
          </w:tcPr>
          <w:p w14:paraId="30D2C7E0"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2021</w:t>
            </w:r>
          </w:p>
        </w:tc>
        <w:tc>
          <w:tcPr>
            <w:tcW w:w="0" w:type="auto"/>
            <w:tcBorders>
              <w:top w:val="nil"/>
              <w:left w:val="nil"/>
              <w:bottom w:val="single" w:sz="4" w:space="0" w:color="auto"/>
              <w:right w:val="nil"/>
            </w:tcBorders>
          </w:tcPr>
          <w:p w14:paraId="214AB9E3"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bottom w:val="single" w:sz="4" w:space="0" w:color="auto"/>
              <w:right w:val="nil"/>
            </w:tcBorders>
            <w:shd w:val="clear" w:color="auto" w:fill="auto"/>
            <w:noWrap/>
            <w:vAlign w:val="center"/>
            <w:hideMark/>
          </w:tcPr>
          <w:p w14:paraId="4ACA0751"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4,730</w:t>
            </w:r>
          </w:p>
        </w:tc>
        <w:tc>
          <w:tcPr>
            <w:tcW w:w="0" w:type="auto"/>
            <w:tcBorders>
              <w:top w:val="nil"/>
              <w:left w:val="nil"/>
              <w:bottom w:val="single" w:sz="4" w:space="0" w:color="auto"/>
              <w:right w:val="nil"/>
            </w:tcBorders>
            <w:shd w:val="clear" w:color="auto" w:fill="auto"/>
            <w:noWrap/>
            <w:vAlign w:val="center"/>
            <w:hideMark/>
          </w:tcPr>
          <w:p w14:paraId="43877DB3"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162,396</w:t>
            </w:r>
          </w:p>
        </w:tc>
        <w:tc>
          <w:tcPr>
            <w:tcW w:w="0" w:type="auto"/>
            <w:tcBorders>
              <w:top w:val="nil"/>
              <w:left w:val="nil"/>
              <w:bottom w:val="single" w:sz="4" w:space="0" w:color="auto"/>
              <w:right w:val="nil"/>
            </w:tcBorders>
            <w:shd w:val="clear" w:color="auto" w:fill="auto"/>
            <w:noWrap/>
            <w:vAlign w:val="center"/>
            <w:hideMark/>
          </w:tcPr>
          <w:p w14:paraId="3FEE1C9C" w14:textId="77777777" w:rsidR="0075093C" w:rsidRPr="00DE0AA0" w:rsidRDefault="0075093C" w:rsidP="0075093C">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157,667</w:t>
            </w:r>
          </w:p>
        </w:tc>
      </w:tr>
    </w:tbl>
    <w:p w14:paraId="394BD857" w14:textId="77777777" w:rsidR="00D80ABE" w:rsidRPr="00DE0AA0" w:rsidRDefault="00D80ABE" w:rsidP="0075093C">
      <w:pPr>
        <w:pStyle w:val="Caption"/>
      </w:pPr>
    </w:p>
    <w:p w14:paraId="2DB74B30" w14:textId="77777777" w:rsidR="0075093C" w:rsidRPr="00DE0AA0" w:rsidRDefault="0075093C" w:rsidP="0075093C">
      <w:pPr>
        <w:pStyle w:val="Caption"/>
      </w:pPr>
      <w:r w:rsidRPr="00DE0AA0">
        <w:t>Tab</w:t>
      </w:r>
      <w:r w:rsidR="001B01CD" w:rsidRPr="00DE0AA0">
        <w:t>le</w:t>
      </w:r>
      <w:r w:rsidRPr="00DE0AA0">
        <w:t xml:space="preserve">  </w:t>
      </w:r>
      <w:r w:rsidRPr="00DE0AA0">
        <w:fldChar w:fldCharType="begin"/>
      </w:r>
      <w:r w:rsidRPr="00DE0AA0">
        <w:instrText xml:space="preserve"> SEQ Tabela_ \* ARABIC </w:instrText>
      </w:r>
      <w:r w:rsidRPr="00DE0AA0">
        <w:fldChar w:fldCharType="separate"/>
      </w:r>
      <w:r w:rsidR="00701D2D" w:rsidRPr="00DE0AA0">
        <w:t>2</w:t>
      </w:r>
      <w:r w:rsidRPr="00DE0AA0">
        <w:fldChar w:fldCharType="end"/>
      </w:r>
      <w:r w:rsidRPr="00DE0AA0">
        <w:t xml:space="preserve"> </w:t>
      </w:r>
      <w:r w:rsidR="00B20392" w:rsidRPr="00DE0AA0">
        <w:t>Retail margin</w:t>
      </w:r>
    </w:p>
    <w:tbl>
      <w:tblPr>
        <w:tblW w:w="0" w:type="auto"/>
        <w:tblLook w:val="04A0" w:firstRow="1" w:lastRow="0" w:firstColumn="1" w:lastColumn="0" w:noHBand="0" w:noVBand="1"/>
      </w:tblPr>
      <w:tblGrid>
        <w:gridCol w:w="3813"/>
        <w:gridCol w:w="663"/>
        <w:gridCol w:w="940"/>
      </w:tblGrid>
      <w:tr w:rsidR="0075093C" w:rsidRPr="00DE0AA0" w14:paraId="71BA45B2" w14:textId="77777777" w:rsidTr="0075093C">
        <w:trPr>
          <w:trHeight w:val="300"/>
        </w:trPr>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14:paraId="6BCC3226" w14:textId="77777777" w:rsidR="0075093C" w:rsidRPr="00DE0AA0" w:rsidRDefault="00B20392" w:rsidP="0075093C">
            <w:pPr>
              <w:spacing w:after="0" w:line="240" w:lineRule="auto"/>
              <w:rPr>
                <w:rFonts w:ascii="Calibri" w:eastAsia="Times New Roman" w:hAnsi="Calibri" w:cs="Times New Roman"/>
                <w:color w:val="FFFFFF" w:themeColor="background1"/>
                <w:lang w:val="en-GB" w:eastAsia="en-GB"/>
              </w:rPr>
            </w:pPr>
            <w:r w:rsidRPr="00DE0AA0">
              <w:rPr>
                <w:rFonts w:ascii="Calibri" w:eastAsia="Times New Roman" w:hAnsi="Calibri" w:cs="Times New Roman"/>
                <w:color w:val="FFFFFF" w:themeColor="background1"/>
                <w:lang w:val="en-GB" w:eastAsia="en-GB"/>
              </w:rPr>
              <w:t>Cal</w:t>
            </w:r>
            <w:r w:rsidR="00D8098F" w:rsidRPr="00DE0AA0">
              <w:rPr>
                <w:rFonts w:ascii="Calibri" w:eastAsia="Times New Roman" w:hAnsi="Calibri" w:cs="Times New Roman"/>
                <w:color w:val="FFFFFF" w:themeColor="background1"/>
                <w:lang w:val="en-GB" w:eastAsia="en-GB"/>
              </w:rPr>
              <w:t>culation</w:t>
            </w:r>
          </w:p>
        </w:tc>
        <w:tc>
          <w:tcPr>
            <w:tcW w:w="0" w:type="auto"/>
            <w:tcBorders>
              <w:top w:val="single" w:sz="4" w:space="0" w:color="auto"/>
              <w:left w:val="nil"/>
              <w:bottom w:val="single" w:sz="8" w:space="0" w:color="auto"/>
              <w:right w:val="nil"/>
            </w:tcBorders>
            <w:shd w:val="clear" w:color="auto" w:fill="1F4E79" w:themeFill="accent1" w:themeFillShade="80"/>
            <w:vAlign w:val="center"/>
          </w:tcPr>
          <w:p w14:paraId="13ACC11C" w14:textId="77777777" w:rsidR="0075093C" w:rsidRPr="00DE0AA0" w:rsidRDefault="00084918" w:rsidP="0075093C">
            <w:pPr>
              <w:spacing w:after="0" w:line="240" w:lineRule="auto"/>
              <w:rPr>
                <w:rFonts w:ascii="Calibri" w:eastAsia="Times New Roman" w:hAnsi="Calibri" w:cs="Times New Roman"/>
                <w:color w:val="FFFFFF" w:themeColor="background1"/>
                <w:lang w:val="en-GB" w:eastAsia="en-GB"/>
              </w:rPr>
            </w:pPr>
            <w:r w:rsidRPr="00DE0AA0">
              <w:rPr>
                <w:rFonts w:ascii="Calibri" w:eastAsia="Times New Roman" w:hAnsi="Calibri" w:cs="Times New Roman"/>
                <w:color w:val="FFFFFF" w:themeColor="background1"/>
                <w:lang w:val="en-GB" w:eastAsia="en-GB"/>
              </w:rPr>
              <w:t>Unit</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14:paraId="657918D3" w14:textId="77777777" w:rsidR="0075093C" w:rsidRPr="00DE0AA0" w:rsidRDefault="000F399C" w:rsidP="0075093C">
            <w:pPr>
              <w:spacing w:after="0" w:line="240" w:lineRule="auto"/>
              <w:rPr>
                <w:rFonts w:ascii="Calibri" w:eastAsia="Times New Roman" w:hAnsi="Calibri" w:cs="Times New Roman"/>
                <w:color w:val="FFFFFF" w:themeColor="background1"/>
                <w:lang w:val="en-GB" w:eastAsia="en-GB"/>
              </w:rPr>
            </w:pPr>
            <w:r w:rsidRPr="00DE0AA0">
              <w:rPr>
                <w:rFonts w:ascii="Calibri" w:eastAsia="Times New Roman" w:hAnsi="Calibri" w:cs="Times New Roman"/>
                <w:color w:val="FFFFFF" w:themeColor="background1"/>
                <w:lang w:val="en-GB" w:eastAsia="en-GB"/>
              </w:rPr>
              <w:t>Amount</w:t>
            </w:r>
          </w:p>
        </w:tc>
      </w:tr>
      <w:tr w:rsidR="0075093C" w:rsidRPr="00DE0AA0" w14:paraId="43AD16E2" w14:textId="77777777" w:rsidTr="0075093C">
        <w:trPr>
          <w:trHeight w:val="288"/>
        </w:trPr>
        <w:tc>
          <w:tcPr>
            <w:tcW w:w="0" w:type="auto"/>
            <w:tcBorders>
              <w:top w:val="nil"/>
              <w:left w:val="nil"/>
              <w:right w:val="nil"/>
            </w:tcBorders>
            <w:shd w:val="clear" w:color="auto" w:fill="auto"/>
            <w:noWrap/>
            <w:vAlign w:val="center"/>
            <w:hideMark/>
          </w:tcPr>
          <w:p w14:paraId="12109ED9" w14:textId="77777777" w:rsidR="0075093C" w:rsidRPr="00DE0AA0" w:rsidRDefault="00EB07F2" w:rsidP="00807AE5">
            <w:pPr>
              <w:spacing w:after="0" w:line="240" w:lineRule="auto"/>
              <w:ind w:firstLineChars="100" w:firstLine="220"/>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 xml:space="preserve">a) </w:t>
            </w:r>
            <w:r w:rsidR="00807AE5" w:rsidRPr="00DE0AA0">
              <w:rPr>
                <w:rFonts w:ascii="Calibri" w:eastAsia="Times New Roman" w:hAnsi="Calibri" w:cs="Times New Roman"/>
                <w:color w:val="000000"/>
                <w:lang w:val="en-GB" w:eastAsia="en-GB"/>
              </w:rPr>
              <w:t>Average costs of margin</w:t>
            </w:r>
            <w:r w:rsidR="0075093C" w:rsidRPr="00DE0AA0">
              <w:rPr>
                <w:rFonts w:ascii="Calibri" w:eastAsia="Times New Roman" w:hAnsi="Calibri" w:cs="Times New Roman"/>
                <w:color w:val="000000"/>
                <w:lang w:val="en-GB" w:eastAsia="en-GB"/>
              </w:rPr>
              <w:t xml:space="preserve"> 2017-2021</w:t>
            </w:r>
          </w:p>
        </w:tc>
        <w:tc>
          <w:tcPr>
            <w:tcW w:w="0" w:type="auto"/>
            <w:tcBorders>
              <w:top w:val="nil"/>
              <w:left w:val="nil"/>
              <w:right w:val="nil"/>
            </w:tcBorders>
            <w:vAlign w:val="center"/>
          </w:tcPr>
          <w:p w14:paraId="22AAB4F0" w14:textId="77777777" w:rsidR="0075093C" w:rsidRPr="00DE0AA0" w:rsidRDefault="0075093C" w:rsidP="0075093C">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right w:val="nil"/>
            </w:tcBorders>
            <w:shd w:val="clear" w:color="auto" w:fill="auto"/>
            <w:noWrap/>
            <w:vAlign w:val="center"/>
            <w:hideMark/>
          </w:tcPr>
          <w:p w14:paraId="09EC2751" w14:textId="77777777" w:rsidR="0075093C" w:rsidRPr="00DE0AA0" w:rsidRDefault="0075093C" w:rsidP="0075093C">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3,848</w:t>
            </w:r>
          </w:p>
        </w:tc>
      </w:tr>
      <w:tr w:rsidR="0075093C" w:rsidRPr="00DE0AA0" w14:paraId="14A25C9C" w14:textId="77777777" w:rsidTr="0075093C">
        <w:trPr>
          <w:trHeight w:val="288"/>
        </w:trPr>
        <w:tc>
          <w:tcPr>
            <w:tcW w:w="0" w:type="auto"/>
            <w:tcBorders>
              <w:top w:val="nil"/>
              <w:left w:val="nil"/>
              <w:right w:val="nil"/>
            </w:tcBorders>
            <w:shd w:val="clear" w:color="auto" w:fill="auto"/>
            <w:noWrap/>
            <w:vAlign w:val="center"/>
          </w:tcPr>
          <w:p w14:paraId="6253A860" w14:textId="77777777" w:rsidR="0075093C" w:rsidRPr="00DE0AA0" w:rsidRDefault="00EB07F2" w:rsidP="00AD2F17">
            <w:pPr>
              <w:spacing w:after="0" w:line="240" w:lineRule="auto"/>
              <w:ind w:firstLineChars="100" w:firstLine="220"/>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 xml:space="preserve">b) </w:t>
            </w:r>
            <w:r w:rsidR="00AD2F17" w:rsidRPr="00DE0AA0">
              <w:rPr>
                <w:rFonts w:ascii="Calibri" w:eastAsia="Times New Roman" w:hAnsi="Calibri" w:cs="Times New Roman"/>
                <w:color w:val="000000"/>
                <w:lang w:val="en-GB" w:eastAsia="en-GB"/>
              </w:rPr>
              <w:t>Margin trend in</w:t>
            </w:r>
            <w:r w:rsidR="0075093C" w:rsidRPr="00DE0AA0">
              <w:rPr>
                <w:rFonts w:ascii="Calibri" w:eastAsia="Times New Roman" w:hAnsi="Calibri" w:cs="Times New Roman"/>
                <w:color w:val="000000"/>
                <w:lang w:val="en-GB" w:eastAsia="en-GB"/>
              </w:rPr>
              <w:t xml:space="preserve"> 2022</w:t>
            </w:r>
          </w:p>
        </w:tc>
        <w:tc>
          <w:tcPr>
            <w:tcW w:w="0" w:type="auto"/>
            <w:tcBorders>
              <w:top w:val="nil"/>
              <w:left w:val="nil"/>
              <w:right w:val="nil"/>
            </w:tcBorders>
            <w:vAlign w:val="center"/>
          </w:tcPr>
          <w:p w14:paraId="3E6F67A2" w14:textId="77777777" w:rsidR="0075093C" w:rsidRPr="00DE0AA0" w:rsidRDefault="0075093C" w:rsidP="0075093C">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€000</w:t>
            </w:r>
          </w:p>
        </w:tc>
        <w:tc>
          <w:tcPr>
            <w:tcW w:w="0" w:type="auto"/>
            <w:tcBorders>
              <w:top w:val="nil"/>
              <w:left w:val="nil"/>
              <w:right w:val="nil"/>
            </w:tcBorders>
            <w:shd w:val="clear" w:color="auto" w:fill="auto"/>
            <w:noWrap/>
            <w:vAlign w:val="center"/>
          </w:tcPr>
          <w:p w14:paraId="52E775E3" w14:textId="77777777" w:rsidR="0075093C" w:rsidRPr="00DE0AA0" w:rsidRDefault="0075093C" w:rsidP="0075093C">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151,663</w:t>
            </w:r>
          </w:p>
        </w:tc>
      </w:tr>
      <w:tr w:rsidR="0075093C" w:rsidRPr="00DE0AA0" w14:paraId="3F5E3618" w14:textId="77777777" w:rsidTr="0075093C">
        <w:trPr>
          <w:trHeight w:val="288"/>
        </w:trPr>
        <w:tc>
          <w:tcPr>
            <w:tcW w:w="0" w:type="auto"/>
            <w:tcBorders>
              <w:top w:val="nil"/>
              <w:left w:val="nil"/>
              <w:bottom w:val="single" w:sz="4" w:space="0" w:color="auto"/>
              <w:right w:val="nil"/>
            </w:tcBorders>
            <w:shd w:val="clear" w:color="auto" w:fill="1F4E79" w:themeFill="accent1" w:themeFillShade="80"/>
            <w:noWrap/>
            <w:vAlign w:val="center"/>
            <w:hideMark/>
          </w:tcPr>
          <w:p w14:paraId="33C789AA" w14:textId="77777777" w:rsidR="0075093C" w:rsidRPr="00DE0AA0" w:rsidRDefault="0075093C" w:rsidP="005866FB">
            <w:pPr>
              <w:spacing w:after="0" w:line="240" w:lineRule="auto"/>
              <w:ind w:firstLineChars="100" w:firstLine="220"/>
              <w:rPr>
                <w:rFonts w:ascii="Calibri" w:eastAsia="Times New Roman" w:hAnsi="Calibri" w:cs="Times New Roman"/>
                <w:color w:val="FFFFFF" w:themeColor="background1"/>
                <w:lang w:val="en-GB" w:eastAsia="en-GB"/>
              </w:rPr>
            </w:pPr>
            <w:r w:rsidRPr="00DE0AA0">
              <w:rPr>
                <w:rFonts w:ascii="Calibri" w:eastAsia="Times New Roman" w:hAnsi="Calibri" w:cs="Times New Roman"/>
                <w:color w:val="FFFFFF" w:themeColor="background1"/>
                <w:lang w:val="en-GB" w:eastAsia="en-GB"/>
              </w:rPr>
              <w:t xml:space="preserve">c= a/b </w:t>
            </w:r>
            <w:r w:rsidR="005866FB" w:rsidRPr="00DE0AA0">
              <w:rPr>
                <w:rFonts w:ascii="Calibri" w:eastAsia="Times New Roman" w:hAnsi="Calibri" w:cs="Times New Roman"/>
                <w:color w:val="FFFFFF" w:themeColor="background1"/>
                <w:lang w:val="en-GB" w:eastAsia="en-GB"/>
              </w:rPr>
              <w:t>Margin</w:t>
            </w:r>
          </w:p>
        </w:tc>
        <w:tc>
          <w:tcPr>
            <w:tcW w:w="0" w:type="auto"/>
            <w:tcBorders>
              <w:top w:val="nil"/>
              <w:left w:val="nil"/>
              <w:bottom w:val="single" w:sz="4" w:space="0" w:color="auto"/>
              <w:right w:val="nil"/>
            </w:tcBorders>
            <w:shd w:val="clear" w:color="auto" w:fill="1F4E79" w:themeFill="accent1" w:themeFillShade="80"/>
            <w:vAlign w:val="center"/>
          </w:tcPr>
          <w:p w14:paraId="08F9130E" w14:textId="77777777" w:rsidR="0075093C" w:rsidRPr="00DE0AA0" w:rsidRDefault="0075093C" w:rsidP="0075093C">
            <w:pPr>
              <w:spacing w:after="0" w:line="240" w:lineRule="auto"/>
              <w:rPr>
                <w:rFonts w:ascii="Calibri" w:eastAsia="Times New Roman" w:hAnsi="Calibri" w:cs="Times New Roman"/>
                <w:color w:val="FFFFFF" w:themeColor="background1"/>
                <w:lang w:val="en-GB" w:eastAsia="en-GB"/>
              </w:rPr>
            </w:pPr>
            <w:r w:rsidRPr="00DE0AA0">
              <w:rPr>
                <w:rFonts w:ascii="Calibri" w:eastAsia="Times New Roman" w:hAnsi="Calibri" w:cs="Times New Roman"/>
                <w:color w:val="FFFFFF" w:themeColor="background1"/>
                <w:lang w:val="en-GB" w:eastAsia="en-GB"/>
              </w:rPr>
              <w:t>%</w:t>
            </w:r>
          </w:p>
        </w:tc>
        <w:tc>
          <w:tcPr>
            <w:tcW w:w="0" w:type="auto"/>
            <w:tcBorders>
              <w:top w:val="nil"/>
              <w:left w:val="nil"/>
              <w:bottom w:val="single" w:sz="4" w:space="0" w:color="auto"/>
              <w:right w:val="nil"/>
            </w:tcBorders>
            <w:shd w:val="clear" w:color="auto" w:fill="1F4E79" w:themeFill="accent1" w:themeFillShade="80"/>
            <w:noWrap/>
            <w:vAlign w:val="center"/>
            <w:hideMark/>
          </w:tcPr>
          <w:p w14:paraId="565CC0D3" w14:textId="77777777" w:rsidR="0075093C" w:rsidRPr="00DE0AA0" w:rsidRDefault="0075093C" w:rsidP="0075093C">
            <w:pPr>
              <w:spacing w:after="0" w:line="240" w:lineRule="auto"/>
              <w:rPr>
                <w:rFonts w:ascii="Calibri" w:eastAsia="Times New Roman" w:hAnsi="Calibri" w:cs="Times New Roman"/>
                <w:color w:val="FFFFFF" w:themeColor="background1"/>
                <w:lang w:val="en-GB" w:eastAsia="en-GB"/>
              </w:rPr>
            </w:pPr>
            <w:r w:rsidRPr="00DE0AA0">
              <w:rPr>
                <w:rFonts w:ascii="Calibri" w:eastAsia="Times New Roman" w:hAnsi="Calibri" w:cs="Times New Roman"/>
                <w:color w:val="FFFFFF" w:themeColor="background1"/>
                <w:lang w:val="en-GB" w:eastAsia="en-GB"/>
              </w:rPr>
              <w:t>2.54%</w:t>
            </w:r>
          </w:p>
        </w:tc>
      </w:tr>
    </w:tbl>
    <w:p w14:paraId="1C4E0F96" w14:textId="77777777" w:rsidR="0075093C" w:rsidRPr="00DE0AA0" w:rsidRDefault="0075093C" w:rsidP="0075093C">
      <w:pPr>
        <w:rPr>
          <w:lang w:val="en-GB"/>
        </w:rPr>
      </w:pPr>
    </w:p>
    <w:p w14:paraId="79B8B14D" w14:textId="77777777" w:rsidR="0075093C" w:rsidRPr="00DE0AA0" w:rsidRDefault="00E15B9F" w:rsidP="00EB07F2">
      <w:pPr>
        <w:jc w:val="both"/>
        <w:rPr>
          <w:lang w:val="en-GB"/>
        </w:rPr>
      </w:pPr>
      <w:r w:rsidRPr="00DE0AA0">
        <w:rPr>
          <w:lang w:val="en-GB"/>
        </w:rPr>
        <w:t xml:space="preserve">ERO proposes that the retail margin </w:t>
      </w:r>
      <w:r w:rsidR="00477FBB" w:rsidRPr="00DE0AA0">
        <w:rPr>
          <w:lang w:val="en-GB"/>
        </w:rPr>
        <w:t>of</w:t>
      </w:r>
      <w:r w:rsidRPr="00DE0AA0">
        <w:rPr>
          <w:lang w:val="en-GB"/>
        </w:rPr>
        <w:t xml:space="preserve"> 2.54% </w:t>
      </w:r>
      <w:r w:rsidR="007F5F1E" w:rsidRPr="00DE0AA0">
        <w:rPr>
          <w:lang w:val="en-GB"/>
        </w:rPr>
        <w:t xml:space="preserve">to </w:t>
      </w:r>
      <w:r w:rsidRPr="00DE0AA0">
        <w:rPr>
          <w:lang w:val="en-GB"/>
        </w:rPr>
        <w:t xml:space="preserve">be applied for the </w:t>
      </w:r>
      <w:r w:rsidR="00D83C70" w:rsidRPr="00DE0AA0">
        <w:rPr>
          <w:lang w:val="en-GB"/>
        </w:rPr>
        <w:t xml:space="preserve">period </w:t>
      </w:r>
      <w:r w:rsidRPr="00DE0AA0">
        <w:rPr>
          <w:lang w:val="en-GB"/>
        </w:rPr>
        <w:t>2022-2024.</w:t>
      </w:r>
    </w:p>
    <w:p w14:paraId="3D76BF93" w14:textId="77777777" w:rsidR="0075093C" w:rsidRPr="00DE0AA0" w:rsidRDefault="00972E9F" w:rsidP="0075093C">
      <w:pPr>
        <w:pStyle w:val="Heading2"/>
        <w:ind w:left="720"/>
      </w:pPr>
      <w:bookmarkStart w:id="6" w:name="_Toc89262424"/>
      <w:r w:rsidRPr="00DE0AA0">
        <w:t>Bad debt</w:t>
      </w:r>
      <w:bookmarkEnd w:id="6"/>
    </w:p>
    <w:p w14:paraId="0FA033C3" w14:textId="516119FB" w:rsidR="0075093C" w:rsidRPr="00DE0AA0" w:rsidRDefault="00B45159" w:rsidP="00EB07F2">
      <w:pPr>
        <w:jc w:val="both"/>
        <w:rPr>
          <w:lang w:val="en-GB"/>
        </w:rPr>
      </w:pPr>
      <w:r w:rsidRPr="00DE0AA0">
        <w:rPr>
          <w:lang w:val="en-GB"/>
        </w:rPr>
        <w:t xml:space="preserve">In the </w:t>
      </w:r>
      <w:r w:rsidR="002F6B42" w:rsidRPr="00DE0AA0">
        <w:rPr>
          <w:lang w:val="en-GB"/>
        </w:rPr>
        <w:t xml:space="preserve">USS Pricing Rule, it is stated that the allowed bad debt costs will be set by the Regulator </w:t>
      </w:r>
      <w:r w:rsidRPr="00DE0AA0">
        <w:rPr>
          <w:lang w:val="en-GB"/>
        </w:rPr>
        <w:t>during the determination of</w:t>
      </w:r>
      <w:r w:rsidR="002F6B42" w:rsidRPr="00DE0AA0">
        <w:rPr>
          <w:lang w:val="en-GB"/>
        </w:rPr>
        <w:t xml:space="preserve"> input values and will be calculated by applying the allowed level of bad debt in the initial calculation of MAR. The difference between the final MAR (which includes the calculation of bad debt) and the initial MAR represents the bad debt </w:t>
      </w:r>
      <w:r w:rsidR="00C6132F">
        <w:rPr>
          <w:lang w:val="en-GB"/>
        </w:rPr>
        <w:t xml:space="preserve">costs allowed </w:t>
      </w:r>
      <w:r w:rsidR="002F6B42" w:rsidRPr="00DE0AA0">
        <w:rPr>
          <w:lang w:val="en-GB"/>
        </w:rPr>
        <w:t>for the respective year.</w:t>
      </w:r>
    </w:p>
    <w:p w14:paraId="0FEE6CA6" w14:textId="77777777" w:rsidR="0075093C" w:rsidRPr="00DE0AA0" w:rsidRDefault="009B2F03" w:rsidP="0075093C">
      <w:pPr>
        <w:pStyle w:val="Heading3"/>
      </w:pPr>
      <w:bookmarkStart w:id="7" w:name="_Toc89262425"/>
      <w:r w:rsidRPr="00DE0AA0">
        <w:t>KESCO’s application</w:t>
      </w:r>
      <w:bookmarkEnd w:id="7"/>
    </w:p>
    <w:p w14:paraId="48CAE79B" w14:textId="77777777" w:rsidR="0075093C" w:rsidRPr="00DE0AA0" w:rsidRDefault="009B2F03" w:rsidP="00EB07F2">
      <w:pPr>
        <w:jc w:val="both"/>
        <w:rPr>
          <w:lang w:val="en-GB"/>
        </w:rPr>
      </w:pPr>
      <w:r w:rsidRPr="00DE0AA0">
        <w:rPr>
          <w:lang w:val="en-GB"/>
        </w:rPr>
        <w:t xml:space="preserve">The allowance of bad debt represents the share of billed revenues which KESCO, </w:t>
      </w:r>
      <w:r w:rsidR="006C5AEB" w:rsidRPr="00DE0AA0">
        <w:rPr>
          <w:lang w:val="en-GB"/>
        </w:rPr>
        <w:t>as a USS</w:t>
      </w:r>
      <w:r w:rsidRPr="00DE0AA0">
        <w:rPr>
          <w:lang w:val="en-GB"/>
        </w:rPr>
        <w:t>, is unable to collect due to non-payment, c</w:t>
      </w:r>
      <w:r w:rsidR="006C5AEB" w:rsidRPr="00DE0AA0">
        <w:rPr>
          <w:lang w:val="en-GB"/>
        </w:rPr>
        <w:t>ustomer</w:t>
      </w:r>
      <w:r w:rsidRPr="00DE0AA0">
        <w:rPr>
          <w:lang w:val="en-GB"/>
        </w:rPr>
        <w:t xml:space="preserve"> bankruptcy, etc. The current allowance is set at 4% of allowed revenues, a level which has not changed since 2015.</w:t>
      </w:r>
    </w:p>
    <w:p w14:paraId="2B241434" w14:textId="77777777" w:rsidR="0075093C" w:rsidRPr="00DE0AA0" w:rsidRDefault="00217F50" w:rsidP="0075093C">
      <w:pPr>
        <w:rPr>
          <w:lang w:val="en-GB"/>
        </w:rPr>
      </w:pPr>
      <w:r w:rsidRPr="00DE0AA0">
        <w:rPr>
          <w:lang w:val="en-GB"/>
        </w:rPr>
        <w:t xml:space="preserve">KESCO claims an increase in this compensation for the </w:t>
      </w:r>
      <w:r w:rsidR="00D83C70" w:rsidRPr="00DE0AA0">
        <w:rPr>
          <w:lang w:val="en-GB"/>
        </w:rPr>
        <w:t xml:space="preserve">period </w:t>
      </w:r>
      <w:r w:rsidRPr="00DE0AA0">
        <w:rPr>
          <w:lang w:val="en-GB"/>
        </w:rPr>
        <w:t>2022-2024 due to</w:t>
      </w:r>
      <w:r w:rsidR="00100775" w:rsidRPr="00DE0AA0">
        <w:rPr>
          <w:lang w:val="en-GB"/>
        </w:rPr>
        <w:t xml:space="preserve"> the</w:t>
      </w:r>
      <w:r w:rsidRPr="00DE0AA0">
        <w:rPr>
          <w:lang w:val="en-GB"/>
        </w:rPr>
        <w:t xml:space="preserve"> following reasons:</w:t>
      </w:r>
    </w:p>
    <w:p w14:paraId="2227E223" w14:textId="77777777" w:rsidR="0075093C" w:rsidRPr="00DE0AA0" w:rsidRDefault="00D11B1F" w:rsidP="00D11B1F">
      <w:pPr>
        <w:pStyle w:val="ListParagraph"/>
        <w:numPr>
          <w:ilvl w:val="0"/>
          <w:numId w:val="5"/>
        </w:numPr>
      </w:pPr>
      <w:r w:rsidRPr="00DE0AA0">
        <w:t xml:space="preserve">According to KESCO - the historical collection rate used by ERO underestimates KESCO's current bad debts. According to KESCO, the error made during the calculation of the level of current bad </w:t>
      </w:r>
      <w:r w:rsidRPr="00DE0AA0">
        <w:lastRenderedPageBreak/>
        <w:t xml:space="preserve">debts is the consideration of all supplier revenues. It is important to note that KESCO as a licensed supplier also </w:t>
      </w:r>
      <w:r w:rsidR="00433B45" w:rsidRPr="00DE0AA0">
        <w:t>receives payments</w:t>
      </w:r>
      <w:r w:rsidRPr="00DE0AA0">
        <w:t xml:space="preserve"> that are not related to the billed energy, whereas</w:t>
      </w:r>
      <w:r w:rsidR="00433B45" w:rsidRPr="00DE0AA0">
        <w:t xml:space="preserve"> </w:t>
      </w:r>
      <w:r w:rsidRPr="00DE0AA0">
        <w:t>the level allowed for bad debts is allowed on the basis of the initial MAR and as such should be calculated only in the amount of electricity billed for the respective year. According to KESCO</w:t>
      </w:r>
      <w:r w:rsidR="00665D24" w:rsidRPr="00DE0AA0">
        <w:t>’s</w:t>
      </w:r>
      <w:r w:rsidRPr="00DE0AA0">
        <w:t xml:space="preserve"> calculations, the average bad debt during the </w:t>
      </w:r>
      <w:r w:rsidR="00D83C70" w:rsidRPr="00DE0AA0">
        <w:t xml:space="preserve">period </w:t>
      </w:r>
      <w:r w:rsidRPr="00DE0AA0">
        <w:t>2017-2021</w:t>
      </w:r>
      <w:r w:rsidR="007A57B1" w:rsidRPr="00DE0AA0">
        <w:t xml:space="preserve"> </w:t>
      </w:r>
      <w:r w:rsidRPr="00DE0AA0">
        <w:t>turns out to be 5.2%.</w:t>
      </w:r>
    </w:p>
    <w:p w14:paraId="6F1B2AFC" w14:textId="77777777" w:rsidR="0075093C" w:rsidRPr="00DE0AA0" w:rsidRDefault="00CE5AA7" w:rsidP="00CE5AA7">
      <w:pPr>
        <w:pStyle w:val="ListParagraph"/>
        <w:numPr>
          <w:ilvl w:val="0"/>
          <w:numId w:val="5"/>
        </w:numPr>
      </w:pPr>
      <w:r w:rsidRPr="00DE0AA0">
        <w:t xml:space="preserve">KESCO, in its evaluation, has removed from calculation the 35kV and 10kV customers, who are expected to be supplied </w:t>
      </w:r>
      <w:r w:rsidR="009A7CAF" w:rsidRPr="00DE0AA0">
        <w:t>at</w:t>
      </w:r>
      <w:r w:rsidRPr="00DE0AA0">
        <w:t xml:space="preserve"> unregulated tariffs from April 2022. As a result, KESCO claims that the impact of their </w:t>
      </w:r>
      <w:r w:rsidR="009A7CAF" w:rsidRPr="00DE0AA0">
        <w:t>exit to the market</w:t>
      </w:r>
      <w:r w:rsidRPr="00DE0AA0">
        <w:t xml:space="preserve"> will affect in increasing the level of bad debt of </w:t>
      </w:r>
      <w:r w:rsidR="009A7CAF" w:rsidRPr="00DE0AA0">
        <w:t>USS</w:t>
      </w:r>
      <w:r w:rsidRPr="00DE0AA0">
        <w:t xml:space="preserve">, </w:t>
      </w:r>
      <w:r w:rsidR="00530637" w:rsidRPr="00DE0AA0">
        <w:t>therefore</w:t>
      </w:r>
      <w:r w:rsidRPr="00DE0AA0">
        <w:t xml:space="preserve"> not providing a concrete </w:t>
      </w:r>
      <w:r w:rsidR="009A7CAF" w:rsidRPr="00DE0AA0">
        <w:t>evaluation</w:t>
      </w:r>
      <w:r w:rsidRPr="00DE0AA0">
        <w:t xml:space="preserve"> of this impact.</w:t>
      </w:r>
    </w:p>
    <w:p w14:paraId="004CF053" w14:textId="152E8701" w:rsidR="0075093C" w:rsidRPr="00DE0AA0" w:rsidRDefault="00C23443" w:rsidP="00C23443">
      <w:pPr>
        <w:pStyle w:val="ListParagraph"/>
        <w:numPr>
          <w:ilvl w:val="0"/>
          <w:numId w:val="5"/>
        </w:numPr>
      </w:pPr>
      <w:r w:rsidRPr="00DE0AA0">
        <w:t xml:space="preserve">Even though KESCO </w:t>
      </w:r>
      <w:r w:rsidR="001833B9" w:rsidRPr="00DE0AA0">
        <w:t>has not taken</w:t>
      </w:r>
      <w:r w:rsidRPr="00DE0AA0">
        <w:t xml:space="preserve"> them into account during the evaluation of bad debt, it points out that there are several other factors that could affect the increase of the level of bad debt for </w:t>
      </w:r>
      <w:r w:rsidR="00793EE8" w:rsidRPr="00DE0AA0">
        <w:t>USS</w:t>
      </w:r>
      <w:r w:rsidRPr="00DE0AA0">
        <w:t xml:space="preserve">, </w:t>
      </w:r>
      <w:r w:rsidR="00793EE8" w:rsidRPr="00DE0AA0">
        <w:t>such as</w:t>
      </w:r>
      <w:r w:rsidRPr="00DE0AA0">
        <w:t>: the eventual increase of prices for final customers</w:t>
      </w:r>
      <w:r w:rsidR="001B781B">
        <w:t xml:space="preserve"> due to the</w:t>
      </w:r>
      <w:r w:rsidRPr="00DE0AA0">
        <w:t xml:space="preserve"> </w:t>
      </w:r>
      <w:r w:rsidR="00793EE8" w:rsidRPr="00DE0AA0">
        <w:t xml:space="preserve">increased </w:t>
      </w:r>
      <w:r w:rsidRPr="00DE0AA0">
        <w:t xml:space="preserve">prices in wholesale markets, overhauls of TPP Kosova B, </w:t>
      </w:r>
      <w:r w:rsidR="001833B9" w:rsidRPr="00DE0AA0">
        <w:t xml:space="preserve">eventual deregulation of </w:t>
      </w:r>
      <w:r w:rsidRPr="00DE0AA0">
        <w:t xml:space="preserve"> customers </w:t>
      </w:r>
      <w:r w:rsidR="001833B9" w:rsidRPr="00DE0AA0">
        <w:t xml:space="preserve"> connected </w:t>
      </w:r>
      <w:r w:rsidRPr="00DE0AA0">
        <w:t xml:space="preserve">at the 0.4kV </w:t>
      </w:r>
      <w:r w:rsidR="001833B9" w:rsidRPr="00DE0AA0">
        <w:t xml:space="preserve">level </w:t>
      </w:r>
      <w:r w:rsidRPr="00DE0AA0">
        <w:t xml:space="preserve">and the possibility of </w:t>
      </w:r>
      <w:r w:rsidR="00793EE8" w:rsidRPr="00DE0AA0">
        <w:t>supplier switching</w:t>
      </w:r>
      <w:r w:rsidRPr="00DE0AA0">
        <w:t xml:space="preserve"> and return to </w:t>
      </w:r>
      <w:r w:rsidR="00793EE8" w:rsidRPr="00DE0AA0">
        <w:t>USS</w:t>
      </w:r>
      <w:r w:rsidRPr="00DE0AA0">
        <w:t xml:space="preserve">, which could be misused by customers as in </w:t>
      </w:r>
      <w:r w:rsidR="001833B9" w:rsidRPr="00DE0AA0">
        <w:t xml:space="preserve">the </w:t>
      </w:r>
      <w:r w:rsidRPr="00DE0AA0">
        <w:t xml:space="preserve">countries which have </w:t>
      </w:r>
      <w:r w:rsidR="00A86649" w:rsidRPr="00DE0AA0">
        <w:t>under</w:t>
      </w:r>
      <w:r w:rsidRPr="00DE0AA0">
        <w:t>gone this process before.</w:t>
      </w:r>
    </w:p>
    <w:p w14:paraId="22AC4D7C" w14:textId="77777777" w:rsidR="0075093C" w:rsidRPr="00DE0AA0" w:rsidRDefault="007F675B" w:rsidP="00EB07F2">
      <w:pPr>
        <w:jc w:val="both"/>
        <w:rPr>
          <w:lang w:val="en-GB"/>
        </w:rPr>
      </w:pPr>
      <w:r w:rsidRPr="00DE0AA0">
        <w:rPr>
          <w:lang w:val="en-GB"/>
        </w:rPr>
        <w:t>The proposal which results from KESCO on allowing bad debt for the three-year tariff period 2022 -2024 is shown below.</w:t>
      </w:r>
    </w:p>
    <w:p w14:paraId="472563C4" w14:textId="77777777" w:rsidR="0075093C" w:rsidRPr="00DE0AA0" w:rsidRDefault="0075093C" w:rsidP="0075093C">
      <w:pPr>
        <w:pStyle w:val="Caption"/>
      </w:pPr>
      <w:r w:rsidRPr="00DE0AA0">
        <w:t>Tab</w:t>
      </w:r>
      <w:r w:rsidR="003A27D1" w:rsidRPr="00DE0AA0">
        <w:t>le</w:t>
      </w:r>
      <w:r w:rsidRPr="00DE0AA0">
        <w:t xml:space="preserve">  </w:t>
      </w:r>
      <w:r w:rsidRPr="00DE0AA0">
        <w:fldChar w:fldCharType="begin"/>
      </w:r>
      <w:r w:rsidRPr="00DE0AA0">
        <w:instrText xml:space="preserve"> SEQ Tabela_ \* ARABIC </w:instrText>
      </w:r>
      <w:r w:rsidRPr="00DE0AA0">
        <w:fldChar w:fldCharType="separate"/>
      </w:r>
      <w:r w:rsidR="00701D2D" w:rsidRPr="00DE0AA0">
        <w:t>3</w:t>
      </w:r>
      <w:r w:rsidRPr="00DE0AA0">
        <w:fldChar w:fldCharType="end"/>
      </w:r>
      <w:r w:rsidRPr="00DE0AA0">
        <w:t xml:space="preserve"> </w:t>
      </w:r>
      <w:r w:rsidR="000614DC" w:rsidRPr="00DE0AA0">
        <w:t xml:space="preserve">Request of USS on allowed level of bad debts </w:t>
      </w:r>
    </w:p>
    <w:tbl>
      <w:tblPr>
        <w:tblW w:w="5000" w:type="pct"/>
        <w:tblBorders>
          <w:bottom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09"/>
        <w:gridCol w:w="1621"/>
        <w:gridCol w:w="1711"/>
        <w:gridCol w:w="1619"/>
      </w:tblGrid>
      <w:tr w:rsidR="007A0FF6" w:rsidRPr="00DE0AA0" w14:paraId="5EF43942" w14:textId="77777777" w:rsidTr="00DE0AA0">
        <w:trPr>
          <w:trHeight w:val="552"/>
          <w:tblHeader/>
        </w:trPr>
        <w:tc>
          <w:tcPr>
            <w:tcW w:w="2355" w:type="pct"/>
            <w:shd w:val="clear" w:color="000000" w:fill="003366"/>
            <w:noWrap/>
            <w:vAlign w:val="center"/>
          </w:tcPr>
          <w:p w14:paraId="007136A4" w14:textId="77777777" w:rsidR="0075093C" w:rsidRPr="00DE0AA0" w:rsidRDefault="008A1DB6" w:rsidP="008A1DB6">
            <w:pPr>
              <w:keepNext/>
              <w:spacing w:before="60" w:after="60" w:line="240" w:lineRule="auto"/>
              <w:rPr>
                <w:rFonts w:eastAsia="Times New Roman" w:cstheme="minorHAnsi"/>
                <w:color w:val="FFFFFF"/>
                <w:sz w:val="20"/>
                <w:szCs w:val="20"/>
                <w:lang w:val="en-GB"/>
              </w:rPr>
            </w:pPr>
            <w:r w:rsidRPr="00DE0AA0">
              <w:rPr>
                <w:lang w:val="en-GB"/>
              </w:rPr>
              <w:t>Request on allowed level</w:t>
            </w:r>
            <w:r w:rsidR="0075093C" w:rsidRPr="00DE0AA0">
              <w:rPr>
                <w:lang w:val="en-GB"/>
              </w:rPr>
              <w:t xml:space="preserve"> </w:t>
            </w:r>
            <w:r w:rsidRPr="00DE0AA0">
              <w:rPr>
                <w:lang w:val="en-GB"/>
              </w:rPr>
              <w:t>of bad debts</w:t>
            </w:r>
            <w:r w:rsidR="0075093C" w:rsidRPr="00DE0AA0">
              <w:rPr>
                <w:lang w:val="en-GB"/>
              </w:rPr>
              <w:t xml:space="preserve"> </w:t>
            </w:r>
          </w:p>
        </w:tc>
        <w:tc>
          <w:tcPr>
            <w:tcW w:w="866" w:type="pct"/>
            <w:shd w:val="clear" w:color="000000" w:fill="003366"/>
            <w:noWrap/>
            <w:vAlign w:val="center"/>
          </w:tcPr>
          <w:p w14:paraId="1249DC4A" w14:textId="77777777" w:rsidR="0075093C" w:rsidRPr="00DE0AA0" w:rsidRDefault="0075093C" w:rsidP="0075093C">
            <w:pPr>
              <w:keepNext/>
              <w:spacing w:before="60" w:after="60" w:line="240" w:lineRule="auto"/>
              <w:jc w:val="center"/>
              <w:rPr>
                <w:rFonts w:eastAsia="Times New Roman" w:cstheme="minorHAnsi"/>
                <w:color w:val="FFFFFF"/>
                <w:sz w:val="20"/>
                <w:szCs w:val="20"/>
                <w:lang w:val="en-GB"/>
              </w:rPr>
            </w:pPr>
            <w:r w:rsidRPr="00DE0AA0">
              <w:rPr>
                <w:rFonts w:eastAsia="Times New Roman" w:cstheme="minorHAnsi"/>
                <w:color w:val="FFFFFF"/>
                <w:sz w:val="20"/>
                <w:szCs w:val="20"/>
                <w:lang w:val="en-GB"/>
              </w:rPr>
              <w:t>2022</w:t>
            </w:r>
          </w:p>
        </w:tc>
        <w:tc>
          <w:tcPr>
            <w:tcW w:w="914" w:type="pct"/>
            <w:shd w:val="clear" w:color="000000" w:fill="003366"/>
            <w:noWrap/>
            <w:vAlign w:val="center"/>
          </w:tcPr>
          <w:p w14:paraId="3694CAE4" w14:textId="77777777" w:rsidR="0075093C" w:rsidRPr="00DE0AA0" w:rsidRDefault="0075093C" w:rsidP="0075093C">
            <w:pPr>
              <w:keepNext/>
              <w:spacing w:before="60" w:after="60" w:line="240" w:lineRule="auto"/>
              <w:jc w:val="center"/>
              <w:rPr>
                <w:rFonts w:eastAsia="Times New Roman" w:cstheme="minorHAnsi"/>
                <w:color w:val="FFFFFF"/>
                <w:sz w:val="20"/>
                <w:szCs w:val="20"/>
                <w:lang w:val="en-GB"/>
              </w:rPr>
            </w:pPr>
            <w:r w:rsidRPr="00DE0AA0">
              <w:rPr>
                <w:rFonts w:eastAsia="Times New Roman" w:cstheme="minorHAnsi"/>
                <w:color w:val="FFFFFF"/>
                <w:sz w:val="20"/>
                <w:szCs w:val="20"/>
                <w:lang w:val="en-GB"/>
              </w:rPr>
              <w:t>2023</w:t>
            </w:r>
          </w:p>
        </w:tc>
        <w:tc>
          <w:tcPr>
            <w:tcW w:w="865" w:type="pct"/>
            <w:shd w:val="clear" w:color="000000" w:fill="003366"/>
            <w:noWrap/>
            <w:vAlign w:val="center"/>
          </w:tcPr>
          <w:p w14:paraId="0538612A" w14:textId="77777777" w:rsidR="0075093C" w:rsidRPr="00DE0AA0" w:rsidRDefault="0075093C" w:rsidP="0075093C">
            <w:pPr>
              <w:keepNext/>
              <w:spacing w:before="60" w:after="60" w:line="240" w:lineRule="auto"/>
              <w:jc w:val="center"/>
              <w:rPr>
                <w:rFonts w:eastAsia="Times New Roman" w:cstheme="minorHAnsi"/>
                <w:color w:val="FFFFFF"/>
                <w:sz w:val="20"/>
                <w:szCs w:val="20"/>
                <w:lang w:val="en-GB"/>
              </w:rPr>
            </w:pPr>
            <w:r w:rsidRPr="00DE0AA0">
              <w:rPr>
                <w:rFonts w:eastAsia="Times New Roman" w:cstheme="minorHAnsi"/>
                <w:color w:val="FFFFFF"/>
                <w:sz w:val="20"/>
                <w:szCs w:val="20"/>
                <w:lang w:val="en-GB"/>
              </w:rPr>
              <w:t>2024</w:t>
            </w:r>
          </w:p>
        </w:tc>
      </w:tr>
      <w:tr w:rsidR="007A0FF6" w:rsidRPr="00DE0AA0" w14:paraId="21EEB224" w14:textId="77777777" w:rsidTr="00DE0AA0">
        <w:trPr>
          <w:trHeight w:val="288"/>
        </w:trPr>
        <w:tc>
          <w:tcPr>
            <w:tcW w:w="2355" w:type="pct"/>
            <w:shd w:val="clear" w:color="auto" w:fill="DEEAF6" w:themeFill="accent1" w:themeFillTint="33"/>
            <w:noWrap/>
            <w:vAlign w:val="center"/>
            <w:hideMark/>
          </w:tcPr>
          <w:p w14:paraId="5A45913C" w14:textId="77777777" w:rsidR="0075093C" w:rsidRPr="00DE0AA0" w:rsidRDefault="008A1DB6" w:rsidP="0075093C">
            <w:pPr>
              <w:keepNext/>
              <w:spacing w:before="60" w:after="60" w:line="240" w:lineRule="auto"/>
              <w:rPr>
                <w:rFonts w:eastAsia="Times New Roman" w:cstheme="minorHAnsi"/>
                <w:color w:val="000000"/>
                <w:sz w:val="20"/>
                <w:szCs w:val="20"/>
                <w:lang w:val="en-GB"/>
              </w:rPr>
            </w:pPr>
            <w:r w:rsidRPr="00DE0AA0">
              <w:rPr>
                <w:rFonts w:eastAsia="Times New Roman" w:cstheme="minorHAnsi"/>
                <w:color w:val="000000"/>
                <w:sz w:val="20"/>
                <w:szCs w:val="20"/>
                <w:lang w:val="en-GB"/>
              </w:rPr>
              <w:t>Proposal for bad debt</w:t>
            </w:r>
          </w:p>
        </w:tc>
        <w:tc>
          <w:tcPr>
            <w:tcW w:w="866" w:type="pct"/>
            <w:shd w:val="clear" w:color="auto" w:fill="DEEAF6" w:themeFill="accent1" w:themeFillTint="33"/>
            <w:noWrap/>
            <w:vAlign w:val="center"/>
          </w:tcPr>
          <w:p w14:paraId="39E19918" w14:textId="77777777" w:rsidR="0075093C" w:rsidRPr="00DE0AA0" w:rsidRDefault="0075093C" w:rsidP="0075093C">
            <w:pPr>
              <w:keepNext/>
              <w:spacing w:before="60" w:after="60" w:line="240" w:lineRule="auto"/>
              <w:jc w:val="center"/>
              <w:rPr>
                <w:rFonts w:eastAsia="Times New Roman" w:cstheme="minorHAnsi"/>
                <w:color w:val="000000"/>
                <w:sz w:val="20"/>
                <w:szCs w:val="20"/>
                <w:lang w:val="en-GB"/>
              </w:rPr>
            </w:pPr>
            <w:r w:rsidRPr="00DE0AA0">
              <w:rPr>
                <w:rFonts w:eastAsia="Times New Roman" w:cstheme="minorHAnsi"/>
                <w:color w:val="000000"/>
                <w:sz w:val="20"/>
                <w:szCs w:val="20"/>
                <w:lang w:val="en-GB"/>
              </w:rPr>
              <w:t>5.2%</w:t>
            </w:r>
          </w:p>
        </w:tc>
        <w:tc>
          <w:tcPr>
            <w:tcW w:w="914" w:type="pct"/>
            <w:shd w:val="clear" w:color="auto" w:fill="DEEAF6" w:themeFill="accent1" w:themeFillTint="33"/>
            <w:noWrap/>
            <w:vAlign w:val="center"/>
          </w:tcPr>
          <w:p w14:paraId="1EBAEF95" w14:textId="77777777" w:rsidR="0075093C" w:rsidRPr="00DE0AA0" w:rsidRDefault="0075093C" w:rsidP="0075093C">
            <w:pPr>
              <w:keepNext/>
              <w:spacing w:before="60" w:after="60" w:line="240" w:lineRule="auto"/>
              <w:jc w:val="center"/>
              <w:rPr>
                <w:rFonts w:eastAsia="Times New Roman" w:cstheme="minorHAnsi"/>
                <w:color w:val="000000"/>
                <w:sz w:val="20"/>
                <w:szCs w:val="20"/>
                <w:lang w:val="en-GB"/>
              </w:rPr>
            </w:pPr>
            <w:r w:rsidRPr="00DE0AA0">
              <w:rPr>
                <w:rFonts w:eastAsia="Times New Roman" w:cstheme="minorHAnsi"/>
                <w:color w:val="000000"/>
                <w:sz w:val="20"/>
                <w:szCs w:val="20"/>
                <w:lang w:val="en-GB"/>
              </w:rPr>
              <w:t>4.8%</w:t>
            </w:r>
          </w:p>
        </w:tc>
        <w:tc>
          <w:tcPr>
            <w:tcW w:w="865" w:type="pct"/>
            <w:shd w:val="clear" w:color="auto" w:fill="DEEAF6" w:themeFill="accent1" w:themeFillTint="33"/>
            <w:noWrap/>
            <w:vAlign w:val="center"/>
          </w:tcPr>
          <w:p w14:paraId="0485F402" w14:textId="77777777" w:rsidR="0075093C" w:rsidRPr="00DE0AA0" w:rsidRDefault="0075093C" w:rsidP="0075093C">
            <w:pPr>
              <w:keepNext/>
              <w:spacing w:before="60" w:after="60" w:line="240" w:lineRule="auto"/>
              <w:jc w:val="center"/>
              <w:rPr>
                <w:rFonts w:eastAsia="Times New Roman" w:cstheme="minorHAnsi"/>
                <w:color w:val="000000"/>
                <w:sz w:val="20"/>
                <w:szCs w:val="20"/>
                <w:lang w:val="en-GB"/>
              </w:rPr>
            </w:pPr>
            <w:r w:rsidRPr="00DE0AA0">
              <w:rPr>
                <w:rFonts w:eastAsia="Times New Roman" w:cstheme="minorHAnsi"/>
                <w:color w:val="000000"/>
                <w:sz w:val="20"/>
                <w:szCs w:val="20"/>
                <w:lang w:val="en-GB"/>
              </w:rPr>
              <w:t>4.6%</w:t>
            </w:r>
          </w:p>
        </w:tc>
      </w:tr>
    </w:tbl>
    <w:p w14:paraId="5D34D882" w14:textId="77777777" w:rsidR="0075093C" w:rsidRPr="00DE0AA0" w:rsidRDefault="00751C92" w:rsidP="0075093C">
      <w:pPr>
        <w:rPr>
          <w:color w:val="A5A5A5" w:themeColor="accent3"/>
          <w:sz w:val="18"/>
          <w:szCs w:val="18"/>
          <w:lang w:val="en-GB"/>
        </w:rPr>
      </w:pPr>
      <w:r w:rsidRPr="00DE0AA0">
        <w:rPr>
          <w:color w:val="A5A5A5" w:themeColor="accent3"/>
          <w:sz w:val="18"/>
          <w:szCs w:val="18"/>
          <w:lang w:val="en-GB"/>
        </w:rPr>
        <w:t>Source</w:t>
      </w:r>
      <w:r w:rsidR="0075093C" w:rsidRPr="00DE0AA0">
        <w:rPr>
          <w:color w:val="A5A5A5" w:themeColor="accent3"/>
          <w:sz w:val="18"/>
          <w:szCs w:val="18"/>
          <w:lang w:val="en-GB"/>
        </w:rPr>
        <w:t>: KESCO</w:t>
      </w:r>
    </w:p>
    <w:p w14:paraId="4F62CD5D" w14:textId="77777777" w:rsidR="0075093C" w:rsidRPr="00DE0AA0" w:rsidRDefault="00F8655D" w:rsidP="0075093C">
      <w:pPr>
        <w:pStyle w:val="Heading3"/>
      </w:pPr>
      <w:bookmarkStart w:id="8" w:name="_Toc89262426"/>
      <w:r w:rsidRPr="00DE0AA0">
        <w:t>ERO’s review and proposal on allowing the bad debt</w:t>
      </w:r>
      <w:bookmarkEnd w:id="8"/>
    </w:p>
    <w:p w14:paraId="1C6D5655" w14:textId="34FDFC84" w:rsidR="0075093C" w:rsidRPr="00DE0AA0" w:rsidRDefault="00C7589A" w:rsidP="00EB07F2">
      <w:pPr>
        <w:jc w:val="both"/>
        <w:rPr>
          <w:lang w:val="en-GB"/>
        </w:rPr>
      </w:pPr>
      <w:r w:rsidRPr="00DE0AA0">
        <w:rPr>
          <w:lang w:val="en-GB"/>
        </w:rPr>
        <w:t>KESCO's argument that the allowance of bad debt should be calculated by referring only t</w:t>
      </w:r>
      <w:r w:rsidR="00D06570" w:rsidRPr="00DE0AA0">
        <w:rPr>
          <w:lang w:val="en-GB"/>
        </w:rPr>
        <w:t>o energy billing</w:t>
      </w:r>
      <w:r w:rsidRPr="00DE0AA0">
        <w:rPr>
          <w:lang w:val="en-GB"/>
        </w:rPr>
        <w:t xml:space="preserve"> is correct insofar as utility bills should be excluded from the calculation as </w:t>
      </w:r>
      <w:r w:rsidR="00A46102">
        <w:rPr>
          <w:lang w:val="en-GB"/>
        </w:rPr>
        <w:t>transferred</w:t>
      </w:r>
      <w:r w:rsidRPr="00DE0AA0">
        <w:rPr>
          <w:lang w:val="en-GB"/>
        </w:rPr>
        <w:t xml:space="preserve"> revenue</w:t>
      </w:r>
      <w:r w:rsidR="00462BCB" w:rsidRPr="00DE0AA0">
        <w:rPr>
          <w:lang w:val="en-GB"/>
        </w:rPr>
        <w:t>s</w:t>
      </w:r>
      <w:r w:rsidRPr="00DE0AA0">
        <w:rPr>
          <w:lang w:val="en-GB"/>
        </w:rPr>
        <w:t xml:space="preserve">, but not </w:t>
      </w:r>
      <w:r w:rsidR="00A46102">
        <w:rPr>
          <w:lang w:val="en-GB"/>
        </w:rPr>
        <w:t xml:space="preserve">also </w:t>
      </w:r>
      <w:r w:rsidRPr="00DE0AA0">
        <w:rPr>
          <w:lang w:val="en-GB"/>
        </w:rPr>
        <w:t xml:space="preserve">for </w:t>
      </w:r>
      <w:r w:rsidR="00F0182E" w:rsidRPr="00DE0AA0">
        <w:rPr>
          <w:lang w:val="en-GB"/>
        </w:rPr>
        <w:t xml:space="preserve">collections realized </w:t>
      </w:r>
      <w:r w:rsidR="00F0182E" w:rsidRPr="00882C92">
        <w:rPr>
          <w:lang w:val="en-GB"/>
        </w:rPr>
        <w:t>from the bailiff</w:t>
      </w:r>
      <w:r w:rsidRPr="00882C92">
        <w:rPr>
          <w:lang w:val="en-GB"/>
        </w:rPr>
        <w:t xml:space="preserve"> process</w:t>
      </w:r>
      <w:r w:rsidRPr="00DE0AA0">
        <w:rPr>
          <w:lang w:val="en-GB"/>
        </w:rPr>
        <w:t xml:space="preserve">. The following are the factors that ERO has taken into account </w:t>
      </w:r>
      <w:r w:rsidR="005C4211" w:rsidRPr="00DE0AA0">
        <w:rPr>
          <w:lang w:val="en-GB"/>
        </w:rPr>
        <w:t>during the evaluation of</w:t>
      </w:r>
      <w:r w:rsidRPr="00DE0AA0">
        <w:rPr>
          <w:lang w:val="en-GB"/>
        </w:rPr>
        <w:t xml:space="preserve"> the reasonable level of bad debt.</w:t>
      </w:r>
    </w:p>
    <w:p w14:paraId="2995C3C9" w14:textId="77777777" w:rsidR="0075093C" w:rsidRPr="00DE0AA0" w:rsidRDefault="00325A89" w:rsidP="0075093C">
      <w:pPr>
        <w:pStyle w:val="Heading4"/>
        <w:spacing w:after="240"/>
        <w:rPr>
          <w:lang w:val="en-GB"/>
        </w:rPr>
      </w:pPr>
      <w:bookmarkStart w:id="9" w:name="_Toc89262427"/>
      <w:r w:rsidRPr="00DE0AA0">
        <w:rPr>
          <w:lang w:val="en-GB"/>
        </w:rPr>
        <w:t xml:space="preserve">Impact of the </w:t>
      </w:r>
      <w:r w:rsidR="002C3A15" w:rsidRPr="00DE0AA0">
        <w:rPr>
          <w:lang w:val="en-GB"/>
        </w:rPr>
        <w:t>account</w:t>
      </w:r>
      <w:r w:rsidR="00B719A3" w:rsidRPr="00DE0AA0">
        <w:rPr>
          <w:lang w:val="en-GB"/>
        </w:rPr>
        <w:t>s</w:t>
      </w:r>
      <w:r w:rsidR="002C3A15" w:rsidRPr="00DE0AA0">
        <w:rPr>
          <w:lang w:val="en-GB"/>
        </w:rPr>
        <w:t xml:space="preserve"> receivable </w:t>
      </w:r>
      <w:r w:rsidR="00B719A3" w:rsidRPr="00DE0AA0">
        <w:rPr>
          <w:lang w:val="en-GB"/>
        </w:rPr>
        <w:t>discounted</w:t>
      </w:r>
      <w:bookmarkEnd w:id="9"/>
    </w:p>
    <w:p w14:paraId="7184C5BE" w14:textId="77777777" w:rsidR="0075093C" w:rsidRPr="00DE0AA0" w:rsidRDefault="008657C8" w:rsidP="00EB07F2">
      <w:pPr>
        <w:jc w:val="both"/>
        <w:rPr>
          <w:lang w:val="en-GB"/>
        </w:rPr>
      </w:pPr>
      <w:r w:rsidRPr="00DE0AA0">
        <w:rPr>
          <w:lang w:val="en-GB"/>
        </w:rPr>
        <w:t>Initially</w:t>
      </w:r>
      <w:r w:rsidR="00AC4FE7" w:rsidRPr="00DE0AA0">
        <w:rPr>
          <w:lang w:val="en-GB"/>
        </w:rPr>
        <w:t xml:space="preserve">, when handling the level of bad debt, it should be clarified that non-collection </w:t>
      </w:r>
      <w:r w:rsidR="00DC2C00" w:rsidRPr="00DE0AA0">
        <w:rPr>
          <w:lang w:val="en-GB"/>
        </w:rPr>
        <w:t>cannot</w:t>
      </w:r>
      <w:r w:rsidR="00AC4FE7" w:rsidRPr="00DE0AA0">
        <w:rPr>
          <w:lang w:val="en-GB"/>
        </w:rPr>
        <w:t xml:space="preserve"> be </w:t>
      </w:r>
      <w:r w:rsidR="00DC2C00" w:rsidRPr="00DE0AA0">
        <w:rPr>
          <w:lang w:val="en-GB"/>
        </w:rPr>
        <w:t xml:space="preserve">completely </w:t>
      </w:r>
      <w:r w:rsidR="00AC4FE7" w:rsidRPr="00DE0AA0">
        <w:rPr>
          <w:lang w:val="en-GB"/>
        </w:rPr>
        <w:t xml:space="preserve">considered as a bad debt, </w:t>
      </w:r>
      <w:r w:rsidRPr="00DE0AA0">
        <w:rPr>
          <w:lang w:val="en-GB"/>
        </w:rPr>
        <w:t>given that</w:t>
      </w:r>
      <w:r w:rsidR="00AC4FE7" w:rsidRPr="00DE0AA0">
        <w:rPr>
          <w:lang w:val="en-GB"/>
        </w:rPr>
        <w:t xml:space="preserve"> there may be delays in collection, but not all this non-collection turns out to remain bad debt. For this purpose, ERO has requested </w:t>
      </w:r>
      <w:r w:rsidR="00A57004" w:rsidRPr="00DE0AA0">
        <w:rPr>
          <w:lang w:val="en-GB"/>
        </w:rPr>
        <w:t xml:space="preserve">data from KESCO related to </w:t>
      </w:r>
      <w:r w:rsidR="002C3A15" w:rsidRPr="00DE0AA0">
        <w:rPr>
          <w:lang w:val="en-GB"/>
        </w:rPr>
        <w:t>Account</w:t>
      </w:r>
      <w:r w:rsidR="00B719A3" w:rsidRPr="00DE0AA0">
        <w:rPr>
          <w:lang w:val="en-GB"/>
        </w:rPr>
        <w:t>s</w:t>
      </w:r>
      <w:r w:rsidR="002C3A15" w:rsidRPr="00DE0AA0">
        <w:rPr>
          <w:lang w:val="en-GB"/>
        </w:rPr>
        <w:t xml:space="preserve"> </w:t>
      </w:r>
      <w:r w:rsidR="008D77FF" w:rsidRPr="00DE0AA0">
        <w:rPr>
          <w:lang w:val="en-GB"/>
        </w:rPr>
        <w:t>Receivable</w:t>
      </w:r>
      <w:r w:rsidR="002C3A15" w:rsidRPr="00DE0AA0">
        <w:rPr>
          <w:lang w:val="en-GB"/>
        </w:rPr>
        <w:t xml:space="preserve"> Discounted</w:t>
      </w:r>
      <w:r w:rsidR="00AC4FE7" w:rsidRPr="00DE0AA0">
        <w:rPr>
          <w:lang w:val="en-GB"/>
        </w:rPr>
        <w:t xml:space="preserve"> (</w:t>
      </w:r>
      <w:r w:rsidR="008D77FF" w:rsidRPr="00DE0AA0">
        <w:rPr>
          <w:lang w:val="en-GB"/>
        </w:rPr>
        <w:t>ARD</w:t>
      </w:r>
      <w:r w:rsidR="00AC4FE7" w:rsidRPr="00DE0AA0">
        <w:rPr>
          <w:lang w:val="en-GB"/>
        </w:rPr>
        <w:t xml:space="preserve">), and has </w:t>
      </w:r>
      <w:r w:rsidR="0033317B" w:rsidRPr="00DE0AA0">
        <w:rPr>
          <w:lang w:val="en-GB"/>
        </w:rPr>
        <w:t>analysed</w:t>
      </w:r>
      <w:r w:rsidR="00AC4FE7" w:rsidRPr="00DE0AA0">
        <w:rPr>
          <w:lang w:val="en-GB"/>
        </w:rPr>
        <w:t xml:space="preserve"> the financial statements of KESCO, which also reflects the </w:t>
      </w:r>
      <w:r w:rsidR="0056418E" w:rsidRPr="00DE0AA0">
        <w:rPr>
          <w:lang w:val="en-GB"/>
        </w:rPr>
        <w:t>lines</w:t>
      </w:r>
      <w:r w:rsidR="00AC4FE7" w:rsidRPr="00DE0AA0">
        <w:rPr>
          <w:lang w:val="en-GB"/>
        </w:rPr>
        <w:t xml:space="preserve"> related to the </w:t>
      </w:r>
      <w:r w:rsidR="00036BDA" w:rsidRPr="00DE0AA0">
        <w:rPr>
          <w:lang w:val="en-GB"/>
        </w:rPr>
        <w:t>account</w:t>
      </w:r>
      <w:r w:rsidR="00B719A3" w:rsidRPr="00DE0AA0">
        <w:rPr>
          <w:lang w:val="en-GB"/>
        </w:rPr>
        <w:t>s</w:t>
      </w:r>
      <w:r w:rsidR="00036BDA" w:rsidRPr="00DE0AA0">
        <w:rPr>
          <w:lang w:val="en-GB"/>
        </w:rPr>
        <w:t xml:space="preserve"> receivable discounted</w:t>
      </w:r>
      <w:r w:rsidR="00AC4FE7" w:rsidRPr="00DE0AA0">
        <w:rPr>
          <w:lang w:val="en-GB"/>
        </w:rPr>
        <w:t>.</w:t>
      </w:r>
    </w:p>
    <w:p w14:paraId="0DA2EE0E" w14:textId="77777777" w:rsidR="0075093C" w:rsidRPr="00DE0AA0" w:rsidRDefault="00244279" w:rsidP="00EB07F2">
      <w:pPr>
        <w:jc w:val="both"/>
        <w:rPr>
          <w:lang w:val="en-GB"/>
        </w:rPr>
      </w:pPr>
      <w:r w:rsidRPr="00DE0AA0">
        <w:rPr>
          <w:lang w:val="en-GB"/>
        </w:rPr>
        <w:lastRenderedPageBreak/>
        <w:t xml:space="preserve">During the last two years, due to the COVID 19 pandemic, the economic crisis has affected the whole world, and consequently Kosovo as well. As a result, this crisis </w:t>
      </w:r>
      <w:r w:rsidR="00FC3ABD" w:rsidRPr="00DE0AA0">
        <w:rPr>
          <w:lang w:val="en-GB"/>
        </w:rPr>
        <w:t xml:space="preserve">has </w:t>
      </w:r>
      <w:r w:rsidRPr="00DE0AA0">
        <w:rPr>
          <w:lang w:val="en-GB"/>
        </w:rPr>
        <w:t>also affected families and businesses which during this period have had difficulty fulfilling their obligations to public services and payment of loans.</w:t>
      </w:r>
    </w:p>
    <w:p w14:paraId="3E935572" w14:textId="77777777" w:rsidR="0075093C" w:rsidRPr="00DE0AA0" w:rsidRDefault="00486DDC" w:rsidP="00EB07F2">
      <w:pPr>
        <w:jc w:val="both"/>
        <w:rPr>
          <w:lang w:val="en-GB"/>
        </w:rPr>
      </w:pPr>
      <w:r w:rsidRPr="00DE0AA0">
        <w:rPr>
          <w:lang w:val="en-GB"/>
        </w:rPr>
        <w:t>From the analysis of historical data provided by KESCO, and financial statements for the period 2017-2021, the Accounts Receivable</w:t>
      </w:r>
      <w:r w:rsidR="00B719A3" w:rsidRPr="00DE0AA0">
        <w:rPr>
          <w:lang w:val="en-GB"/>
        </w:rPr>
        <w:t xml:space="preserve"> Discounted</w:t>
      </w:r>
      <w:r w:rsidRPr="00DE0AA0">
        <w:rPr>
          <w:lang w:val="en-GB"/>
        </w:rPr>
        <w:t xml:space="preserve"> on average for the whole period </w:t>
      </w:r>
      <w:r w:rsidR="00AF3452" w:rsidRPr="00DE0AA0">
        <w:rPr>
          <w:lang w:val="en-GB"/>
        </w:rPr>
        <w:t>is</w:t>
      </w:r>
      <w:r w:rsidRPr="00DE0AA0">
        <w:rPr>
          <w:lang w:val="en-GB"/>
        </w:rPr>
        <w:t xml:space="preserve"> 1.7%. In addition, ERO </w:t>
      </w:r>
      <w:r w:rsidR="000A1516" w:rsidRPr="00DE0AA0">
        <w:rPr>
          <w:lang w:val="en-GB"/>
        </w:rPr>
        <w:t>during its</w:t>
      </w:r>
      <w:r w:rsidR="00AE2C7C" w:rsidRPr="00DE0AA0">
        <w:rPr>
          <w:lang w:val="en-GB"/>
        </w:rPr>
        <w:t xml:space="preserve"> analysis</w:t>
      </w:r>
      <w:r w:rsidRPr="00DE0AA0">
        <w:rPr>
          <w:lang w:val="en-GB"/>
        </w:rPr>
        <w:t xml:space="preserve"> has taken into account the unknown</w:t>
      </w:r>
      <w:r w:rsidR="00AE2C7C" w:rsidRPr="00DE0AA0">
        <w:rPr>
          <w:lang w:val="en-GB"/>
        </w:rPr>
        <w:t xml:space="preserve"> circumstances</w:t>
      </w:r>
      <w:r w:rsidRPr="00DE0AA0">
        <w:rPr>
          <w:lang w:val="en-GB"/>
        </w:rPr>
        <w:t xml:space="preserve"> regarding the future situation of COVID</w:t>
      </w:r>
      <w:r w:rsidR="00AE2C7C" w:rsidRPr="00DE0AA0">
        <w:rPr>
          <w:lang w:val="en-GB"/>
        </w:rPr>
        <w:t>-</w:t>
      </w:r>
      <w:r w:rsidRPr="00DE0AA0">
        <w:rPr>
          <w:lang w:val="en-GB"/>
        </w:rPr>
        <w:t>19 in Kosovo and the world, as its eventual deteriorat</w:t>
      </w:r>
      <w:r w:rsidR="008C335B" w:rsidRPr="00DE0AA0">
        <w:rPr>
          <w:lang w:val="en-GB"/>
        </w:rPr>
        <w:t>ion may have a negative impact i</w:t>
      </w:r>
      <w:r w:rsidRPr="00DE0AA0">
        <w:rPr>
          <w:lang w:val="en-GB"/>
        </w:rPr>
        <w:t xml:space="preserve">n collection. Therefore, ERO </w:t>
      </w:r>
      <w:r w:rsidR="00A31208" w:rsidRPr="00DE0AA0">
        <w:rPr>
          <w:lang w:val="en-GB"/>
        </w:rPr>
        <w:t xml:space="preserve">during the evaluation of bad debt for 2022 as an </w:t>
      </w:r>
      <w:r w:rsidR="00A53E10" w:rsidRPr="00DE0AA0">
        <w:rPr>
          <w:lang w:val="en-GB"/>
        </w:rPr>
        <w:t>opening</w:t>
      </w:r>
      <w:r w:rsidR="00A31208" w:rsidRPr="00DE0AA0">
        <w:rPr>
          <w:lang w:val="en-GB"/>
        </w:rPr>
        <w:t xml:space="preserve"> value</w:t>
      </w:r>
      <w:r w:rsidRPr="00DE0AA0">
        <w:rPr>
          <w:lang w:val="en-GB"/>
        </w:rPr>
        <w:t>, has taken into account the critical years of Accounts Receivable</w:t>
      </w:r>
      <w:r w:rsidR="008C1D88" w:rsidRPr="00DE0AA0">
        <w:rPr>
          <w:lang w:val="en-GB"/>
        </w:rPr>
        <w:t xml:space="preserve"> Discounted</w:t>
      </w:r>
      <w:r w:rsidRPr="00DE0AA0">
        <w:rPr>
          <w:lang w:val="en-GB"/>
        </w:rPr>
        <w:t>, respectively 2020 and 2021.</w:t>
      </w:r>
    </w:p>
    <w:p w14:paraId="3541BF65" w14:textId="77777777" w:rsidR="0075093C" w:rsidRPr="00DE0AA0" w:rsidRDefault="008E32D5" w:rsidP="00EB07F2">
      <w:pPr>
        <w:jc w:val="both"/>
        <w:rPr>
          <w:lang w:val="en-GB"/>
        </w:rPr>
      </w:pPr>
      <w:r w:rsidRPr="00DE0AA0">
        <w:rPr>
          <w:lang w:val="en-GB"/>
        </w:rPr>
        <w:t xml:space="preserve">In assuming the </w:t>
      </w:r>
      <w:r w:rsidR="001F7227" w:rsidRPr="00DE0AA0">
        <w:rPr>
          <w:lang w:val="en-GB"/>
        </w:rPr>
        <w:t>expectations for</w:t>
      </w:r>
      <w:r w:rsidR="00B11E83" w:rsidRPr="00DE0AA0">
        <w:rPr>
          <w:lang w:val="en-GB"/>
        </w:rPr>
        <w:t xml:space="preserve"> </w:t>
      </w:r>
      <w:r w:rsidRPr="00DE0AA0">
        <w:rPr>
          <w:lang w:val="en-GB"/>
        </w:rPr>
        <w:t xml:space="preserve">Accounts Receivable </w:t>
      </w:r>
      <w:r w:rsidR="00CF567B" w:rsidRPr="00DE0AA0">
        <w:rPr>
          <w:lang w:val="en-GB"/>
        </w:rPr>
        <w:t xml:space="preserve">Discounted </w:t>
      </w:r>
      <w:r w:rsidR="00B11E83" w:rsidRPr="00DE0AA0">
        <w:rPr>
          <w:lang w:val="en-GB"/>
        </w:rPr>
        <w:t>for</w:t>
      </w:r>
      <w:r w:rsidRPr="00DE0AA0">
        <w:rPr>
          <w:lang w:val="en-GB"/>
        </w:rPr>
        <w:t xml:space="preserve"> 2021, ERO has taken</w:t>
      </w:r>
      <w:r w:rsidR="00084E63" w:rsidRPr="00DE0AA0">
        <w:rPr>
          <w:lang w:val="en-GB"/>
        </w:rPr>
        <w:t xml:space="preserve"> into account</w:t>
      </w:r>
      <w:r w:rsidRPr="00DE0AA0">
        <w:rPr>
          <w:lang w:val="en-GB"/>
        </w:rPr>
        <w:t xml:space="preserve"> the realized level for eight (8) months and then has converted it </w:t>
      </w:r>
      <w:r w:rsidR="00084E63" w:rsidRPr="00DE0AA0">
        <w:rPr>
          <w:lang w:val="en-GB"/>
        </w:rPr>
        <w:t>to</w:t>
      </w:r>
      <w:r w:rsidR="001458BF" w:rsidRPr="00DE0AA0">
        <w:rPr>
          <w:lang w:val="en-GB"/>
        </w:rPr>
        <w:t xml:space="preserve"> an</w:t>
      </w:r>
      <w:r w:rsidRPr="00DE0AA0">
        <w:rPr>
          <w:lang w:val="en-GB"/>
        </w:rPr>
        <w:t xml:space="preserve"> annual value (3.3 * 12/8), while for 2020 has </w:t>
      </w:r>
      <w:r w:rsidR="001458BF" w:rsidRPr="00DE0AA0">
        <w:rPr>
          <w:lang w:val="en-GB"/>
        </w:rPr>
        <w:t>used</w:t>
      </w:r>
      <w:r w:rsidRPr="00DE0AA0">
        <w:rPr>
          <w:lang w:val="en-GB"/>
        </w:rPr>
        <w:t xml:space="preserve"> the realized value. The </w:t>
      </w:r>
      <w:r w:rsidR="001458BF" w:rsidRPr="00DE0AA0">
        <w:rPr>
          <w:lang w:val="en-GB"/>
        </w:rPr>
        <w:t xml:space="preserve">average of </w:t>
      </w:r>
      <w:r w:rsidR="00F35773" w:rsidRPr="00DE0AA0">
        <w:rPr>
          <w:lang w:val="en-GB"/>
        </w:rPr>
        <w:t xml:space="preserve">ARD </w:t>
      </w:r>
      <w:r w:rsidRPr="00DE0AA0">
        <w:rPr>
          <w:lang w:val="en-GB"/>
        </w:rPr>
        <w:t>for 2020-2021 has turned out to be 2.21%. This level enables the avoida</w:t>
      </w:r>
      <w:r w:rsidR="0086694A" w:rsidRPr="00DE0AA0">
        <w:rPr>
          <w:lang w:val="en-GB"/>
        </w:rPr>
        <w:t xml:space="preserve">nce of </w:t>
      </w:r>
      <w:r w:rsidR="003B6CD0" w:rsidRPr="00DE0AA0">
        <w:rPr>
          <w:lang w:val="en-GB"/>
        </w:rPr>
        <w:t xml:space="preserve">any </w:t>
      </w:r>
      <w:r w:rsidR="0086694A" w:rsidRPr="00DE0AA0">
        <w:rPr>
          <w:lang w:val="en-GB"/>
        </w:rPr>
        <w:t xml:space="preserve">eventual </w:t>
      </w:r>
      <w:r w:rsidR="000548CF" w:rsidRPr="00DE0AA0">
        <w:rPr>
          <w:lang w:val="en-GB"/>
        </w:rPr>
        <w:t>unpredictability</w:t>
      </w:r>
      <w:r w:rsidRPr="00DE0AA0">
        <w:rPr>
          <w:lang w:val="en-GB"/>
        </w:rPr>
        <w:t xml:space="preserve"> on the one hand, and is a preventive measure for the stability and liquidity of </w:t>
      </w:r>
      <w:r w:rsidR="009F1C9F" w:rsidRPr="00DE0AA0">
        <w:rPr>
          <w:lang w:val="en-GB"/>
        </w:rPr>
        <w:t>USS</w:t>
      </w:r>
      <w:r w:rsidRPr="00DE0AA0">
        <w:rPr>
          <w:lang w:val="en-GB"/>
        </w:rPr>
        <w:t xml:space="preserve"> on the other hand.</w:t>
      </w:r>
    </w:p>
    <w:p w14:paraId="36585C62" w14:textId="77777777" w:rsidR="0075093C" w:rsidRPr="00DE0AA0" w:rsidRDefault="00DE5E68" w:rsidP="0075093C">
      <w:pPr>
        <w:pStyle w:val="Heading4"/>
        <w:spacing w:after="240"/>
        <w:rPr>
          <w:lang w:val="en-GB"/>
        </w:rPr>
      </w:pPr>
      <w:bookmarkStart w:id="10" w:name="_Toc89262428"/>
      <w:r w:rsidRPr="00DE0AA0">
        <w:rPr>
          <w:lang w:val="en-GB"/>
        </w:rPr>
        <w:t xml:space="preserve">The impact of </w:t>
      </w:r>
      <w:r w:rsidR="00B161E3" w:rsidRPr="00DE0AA0">
        <w:rPr>
          <w:lang w:val="en-GB"/>
        </w:rPr>
        <w:t>deregulation</w:t>
      </w:r>
      <w:bookmarkEnd w:id="10"/>
    </w:p>
    <w:p w14:paraId="76DCFB82" w14:textId="77777777" w:rsidR="0075093C" w:rsidRPr="00DE0AA0" w:rsidRDefault="00B161E3" w:rsidP="009277F3">
      <w:pPr>
        <w:jc w:val="both"/>
        <w:rPr>
          <w:lang w:val="en-GB"/>
        </w:rPr>
      </w:pPr>
      <w:r w:rsidRPr="00DE0AA0">
        <w:rPr>
          <w:lang w:val="en-GB"/>
        </w:rPr>
        <w:t xml:space="preserve">ERO has also taken into account the impact of the deregulation of customers, </w:t>
      </w:r>
      <w:r w:rsidR="002B1D61" w:rsidRPr="00DE0AA0">
        <w:rPr>
          <w:lang w:val="en-GB"/>
        </w:rPr>
        <w:t>of</w:t>
      </w:r>
      <w:r w:rsidRPr="00DE0AA0">
        <w:rPr>
          <w:lang w:val="en-GB"/>
        </w:rPr>
        <w:t xml:space="preserve"> </w:t>
      </w:r>
      <w:r w:rsidR="002B1D61" w:rsidRPr="00DE0AA0">
        <w:rPr>
          <w:lang w:val="en-GB"/>
        </w:rPr>
        <w:t>0.15%</w:t>
      </w:r>
      <w:r w:rsidRPr="00DE0AA0">
        <w:rPr>
          <w:lang w:val="en-GB"/>
        </w:rPr>
        <w:t>, during the evaluation of bad debt. ERO's final proposal on allowing the level of bad debt for the base year 2022 of the regulatory period is 2.4%, while it proposes that this rate shall be reduced to 2.0% in 2024. This target of ERO has as a reference the average level realized by KESCO-USS</w:t>
      </w:r>
      <w:r w:rsidR="00CB4981" w:rsidRPr="00DE0AA0">
        <w:rPr>
          <w:lang w:val="en-GB"/>
        </w:rPr>
        <w:t xml:space="preserve"> during the </w:t>
      </w:r>
      <w:r w:rsidR="00D83C70" w:rsidRPr="00DE0AA0">
        <w:rPr>
          <w:lang w:val="en-GB"/>
        </w:rPr>
        <w:t xml:space="preserve">period </w:t>
      </w:r>
      <w:r w:rsidRPr="00DE0AA0">
        <w:rPr>
          <w:lang w:val="en-GB"/>
        </w:rPr>
        <w:t xml:space="preserve">2017-2021, which was 1.7%. The target of 0.4% </w:t>
      </w:r>
      <w:r w:rsidR="00477772" w:rsidRPr="00DE0AA0">
        <w:rPr>
          <w:lang w:val="en-GB"/>
        </w:rPr>
        <w:t xml:space="preserve">is divided into two years; </w:t>
      </w:r>
      <w:r w:rsidRPr="00DE0AA0">
        <w:rPr>
          <w:lang w:val="en-GB"/>
        </w:rPr>
        <w:t xml:space="preserve">for 2023 the bad </w:t>
      </w:r>
      <w:r w:rsidR="00477772" w:rsidRPr="00DE0AA0">
        <w:rPr>
          <w:lang w:val="en-GB"/>
        </w:rPr>
        <w:t>debt is proposed to be 2.2%, whereas</w:t>
      </w:r>
      <w:r w:rsidRPr="00DE0AA0">
        <w:rPr>
          <w:lang w:val="en-GB"/>
        </w:rPr>
        <w:t xml:space="preserve"> in 2024 it is proposed to be 2.0%. The regulatory objective is to provide an incentive for further imp</w:t>
      </w:r>
      <w:r w:rsidR="00477772" w:rsidRPr="00DE0AA0">
        <w:rPr>
          <w:lang w:val="en-GB"/>
        </w:rPr>
        <w:t>rovement of accounts receivable. T</w:t>
      </w:r>
      <w:r w:rsidRPr="00DE0AA0">
        <w:rPr>
          <w:lang w:val="en-GB"/>
        </w:rPr>
        <w:t xml:space="preserve">his incentive is also based on the fact that </w:t>
      </w:r>
      <w:r w:rsidRPr="00882C92">
        <w:rPr>
          <w:lang w:val="en-GB"/>
        </w:rPr>
        <w:t xml:space="preserve">through the </w:t>
      </w:r>
      <w:r w:rsidR="002B1D61" w:rsidRPr="00882C92">
        <w:rPr>
          <w:lang w:val="en-GB"/>
        </w:rPr>
        <w:t>bailiff</w:t>
      </w:r>
      <w:r w:rsidRPr="00DE0AA0">
        <w:rPr>
          <w:lang w:val="en-GB"/>
        </w:rPr>
        <w:t xml:space="preserve"> process in the past </w:t>
      </w:r>
      <w:r w:rsidR="002F19A5" w:rsidRPr="00DE0AA0">
        <w:rPr>
          <w:lang w:val="en-GB"/>
        </w:rPr>
        <w:t>USS</w:t>
      </w:r>
      <w:r w:rsidRPr="00DE0AA0">
        <w:rPr>
          <w:lang w:val="en-GB"/>
        </w:rPr>
        <w:t xml:space="preserve"> has </w:t>
      </w:r>
      <w:r w:rsidR="002B1D61" w:rsidRPr="00DE0AA0">
        <w:rPr>
          <w:lang w:val="en-GB"/>
        </w:rPr>
        <w:t xml:space="preserve">had </w:t>
      </w:r>
      <w:r w:rsidRPr="00DE0AA0">
        <w:rPr>
          <w:lang w:val="en-GB"/>
        </w:rPr>
        <w:t>an improvement in the level of accounts receivable</w:t>
      </w:r>
      <w:r w:rsidR="002B1D61" w:rsidRPr="00DE0AA0">
        <w:rPr>
          <w:lang w:val="en-GB"/>
        </w:rPr>
        <w:t>.</w:t>
      </w:r>
    </w:p>
    <w:p w14:paraId="16A99740" w14:textId="0ECD34EA" w:rsidR="0075093C" w:rsidRPr="00DE0AA0" w:rsidRDefault="00F650CB" w:rsidP="009277F3">
      <w:pPr>
        <w:jc w:val="both"/>
        <w:rPr>
          <w:lang w:val="en-GB"/>
        </w:rPr>
      </w:pPr>
      <w:r w:rsidRPr="00DE0AA0">
        <w:rPr>
          <w:lang w:val="en-GB"/>
        </w:rPr>
        <w:t xml:space="preserve">The regulatory mechanism for managing the bad debt enables the financing of the deficit in revenues that cannot be collected from billing customers at the lowest possible cost, taking into account the acceptable level of exposure to financial risks and </w:t>
      </w:r>
      <w:r w:rsidR="00EE1AC8" w:rsidRPr="00DE0AA0">
        <w:rPr>
          <w:lang w:val="en-GB"/>
        </w:rPr>
        <w:t xml:space="preserve">the </w:t>
      </w:r>
      <w:r w:rsidRPr="00DE0AA0">
        <w:rPr>
          <w:lang w:val="en-GB"/>
        </w:rPr>
        <w:t>liquidity of USS.</w:t>
      </w:r>
    </w:p>
    <w:p w14:paraId="031C30D2" w14:textId="77777777" w:rsidR="0075093C" w:rsidRPr="00DE0AA0" w:rsidRDefault="00033B0E" w:rsidP="009277F3">
      <w:pPr>
        <w:jc w:val="both"/>
        <w:rPr>
          <w:lang w:val="en-GB"/>
        </w:rPr>
      </w:pPr>
      <w:r w:rsidRPr="00DE0AA0">
        <w:rPr>
          <w:lang w:val="en-GB"/>
        </w:rPr>
        <w:t>The</w:t>
      </w:r>
      <w:r w:rsidR="0006211E" w:rsidRPr="00DE0AA0">
        <w:rPr>
          <w:lang w:val="en-GB"/>
        </w:rPr>
        <w:t xml:space="preserve"> following</w:t>
      </w:r>
      <w:r w:rsidRPr="00DE0AA0">
        <w:rPr>
          <w:lang w:val="en-GB"/>
        </w:rPr>
        <w:t xml:space="preserve"> table below presents the data used and the calculations related to aspects</w:t>
      </w:r>
      <w:r w:rsidR="00DA63FF" w:rsidRPr="00DE0AA0">
        <w:rPr>
          <w:lang w:val="en-GB"/>
        </w:rPr>
        <w:t xml:space="preserve"> of non-collection</w:t>
      </w:r>
      <w:r w:rsidRPr="00DE0AA0">
        <w:rPr>
          <w:lang w:val="en-GB"/>
        </w:rPr>
        <w:t xml:space="preserve"> for allowing bad debt.</w:t>
      </w:r>
    </w:p>
    <w:p w14:paraId="6B898F19" w14:textId="77777777" w:rsidR="003A3FAA" w:rsidRPr="00DE0AA0" w:rsidRDefault="003A3FAA" w:rsidP="009277F3">
      <w:pPr>
        <w:jc w:val="both"/>
        <w:rPr>
          <w:lang w:val="en-GB"/>
        </w:rPr>
      </w:pPr>
    </w:p>
    <w:p w14:paraId="1743B5BC" w14:textId="77777777" w:rsidR="00820A8B" w:rsidRDefault="00820A8B" w:rsidP="009277F3">
      <w:pPr>
        <w:jc w:val="both"/>
        <w:rPr>
          <w:lang w:val="en-GB"/>
        </w:rPr>
      </w:pPr>
    </w:p>
    <w:p w14:paraId="1B9FBD3F" w14:textId="77777777" w:rsidR="00FC06D6" w:rsidRDefault="00FC06D6" w:rsidP="009277F3">
      <w:pPr>
        <w:jc w:val="both"/>
        <w:rPr>
          <w:lang w:val="en-GB"/>
        </w:rPr>
      </w:pPr>
    </w:p>
    <w:p w14:paraId="5A2BEC75" w14:textId="77777777" w:rsidR="00FC06D6" w:rsidRDefault="00FC06D6" w:rsidP="009277F3">
      <w:pPr>
        <w:jc w:val="both"/>
        <w:rPr>
          <w:lang w:val="en-GB"/>
        </w:rPr>
      </w:pPr>
    </w:p>
    <w:p w14:paraId="621B24C9" w14:textId="77777777" w:rsidR="00FC06D6" w:rsidRPr="00DE0AA0" w:rsidRDefault="00FC06D6" w:rsidP="009277F3">
      <w:pPr>
        <w:jc w:val="both"/>
        <w:rPr>
          <w:lang w:val="en-GB"/>
        </w:rPr>
      </w:pPr>
    </w:p>
    <w:p w14:paraId="465F1C85" w14:textId="77777777" w:rsidR="0075093C" w:rsidRPr="00DE0AA0" w:rsidRDefault="0075093C" w:rsidP="0075093C">
      <w:pPr>
        <w:pStyle w:val="Caption"/>
      </w:pPr>
      <w:r w:rsidRPr="00DE0AA0">
        <w:lastRenderedPageBreak/>
        <w:t>Tab</w:t>
      </w:r>
      <w:r w:rsidR="00AA3379" w:rsidRPr="00DE0AA0">
        <w:t>le</w:t>
      </w:r>
      <w:r w:rsidRPr="00DE0AA0">
        <w:t xml:space="preserve">  </w:t>
      </w:r>
      <w:r w:rsidRPr="00DE0AA0">
        <w:fldChar w:fldCharType="begin"/>
      </w:r>
      <w:r w:rsidRPr="00DE0AA0">
        <w:instrText xml:space="preserve"> SEQ Tabela_ \* ARABIC </w:instrText>
      </w:r>
      <w:r w:rsidRPr="00DE0AA0">
        <w:fldChar w:fldCharType="separate"/>
      </w:r>
      <w:r w:rsidR="00701D2D" w:rsidRPr="00DE0AA0">
        <w:t>4</w:t>
      </w:r>
      <w:r w:rsidRPr="00DE0AA0">
        <w:fldChar w:fldCharType="end"/>
      </w:r>
      <w:r w:rsidRPr="00DE0AA0">
        <w:t xml:space="preserve"> </w:t>
      </w:r>
      <w:r w:rsidR="00AA3379" w:rsidRPr="00DE0AA0">
        <w:t>Historic</w:t>
      </w:r>
      <w:r w:rsidR="001959FE" w:rsidRPr="00DE0AA0">
        <w:t>al</w:t>
      </w:r>
      <w:r w:rsidR="00AA3379" w:rsidRPr="00DE0AA0">
        <w:t xml:space="preserve"> rates of non-collection</w:t>
      </w:r>
    </w:p>
    <w:tbl>
      <w:tblPr>
        <w:tblW w:w="5000" w:type="pct"/>
        <w:tblLayout w:type="fixed"/>
        <w:tblLook w:val="04A0" w:firstRow="1" w:lastRow="0" w:firstColumn="1" w:lastColumn="0" w:noHBand="0" w:noVBand="1"/>
      </w:tblPr>
      <w:tblGrid>
        <w:gridCol w:w="3601"/>
        <w:gridCol w:w="903"/>
        <w:gridCol w:w="829"/>
        <w:gridCol w:w="829"/>
        <w:gridCol w:w="829"/>
        <w:gridCol w:w="829"/>
        <w:gridCol w:w="829"/>
        <w:gridCol w:w="711"/>
      </w:tblGrid>
      <w:tr w:rsidR="0075093C" w:rsidRPr="00DE0AA0" w14:paraId="6F102B75" w14:textId="77777777" w:rsidTr="00DE0AA0">
        <w:trPr>
          <w:trHeight w:val="187"/>
        </w:trPr>
        <w:tc>
          <w:tcPr>
            <w:tcW w:w="1923" w:type="pct"/>
            <w:tcBorders>
              <w:top w:val="nil"/>
              <w:left w:val="nil"/>
              <w:bottom w:val="nil"/>
              <w:right w:val="nil"/>
            </w:tcBorders>
            <w:shd w:val="clear" w:color="000000" w:fill="2F75B5"/>
            <w:noWrap/>
            <w:vAlign w:val="center"/>
            <w:hideMark/>
          </w:tcPr>
          <w:p w14:paraId="49D5EA90" w14:textId="77777777" w:rsidR="0075093C" w:rsidRPr="00DE0AA0" w:rsidRDefault="00513C39" w:rsidP="0075093C">
            <w:pPr>
              <w:spacing w:after="0" w:line="240" w:lineRule="auto"/>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Billing</w:t>
            </w:r>
          </w:p>
        </w:tc>
        <w:tc>
          <w:tcPr>
            <w:tcW w:w="482" w:type="pct"/>
            <w:tcBorders>
              <w:top w:val="nil"/>
              <w:left w:val="nil"/>
              <w:bottom w:val="nil"/>
              <w:right w:val="nil"/>
            </w:tcBorders>
            <w:shd w:val="clear" w:color="000000" w:fill="2F75B5"/>
            <w:noWrap/>
            <w:vAlign w:val="center"/>
            <w:hideMark/>
          </w:tcPr>
          <w:p w14:paraId="2E9484C2"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Unit</w:t>
            </w:r>
          </w:p>
        </w:tc>
        <w:tc>
          <w:tcPr>
            <w:tcW w:w="443" w:type="pct"/>
            <w:tcBorders>
              <w:top w:val="nil"/>
              <w:left w:val="nil"/>
              <w:bottom w:val="nil"/>
              <w:right w:val="nil"/>
            </w:tcBorders>
            <w:shd w:val="clear" w:color="000000" w:fill="2F75B5"/>
            <w:noWrap/>
            <w:vAlign w:val="center"/>
            <w:hideMark/>
          </w:tcPr>
          <w:p w14:paraId="12B5D647"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2017</w:t>
            </w:r>
          </w:p>
        </w:tc>
        <w:tc>
          <w:tcPr>
            <w:tcW w:w="443" w:type="pct"/>
            <w:tcBorders>
              <w:top w:val="nil"/>
              <w:left w:val="nil"/>
              <w:bottom w:val="nil"/>
              <w:right w:val="nil"/>
            </w:tcBorders>
            <w:shd w:val="clear" w:color="000000" w:fill="2F75B5"/>
            <w:noWrap/>
            <w:vAlign w:val="center"/>
            <w:hideMark/>
          </w:tcPr>
          <w:p w14:paraId="64EA266D"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2018</w:t>
            </w:r>
          </w:p>
        </w:tc>
        <w:tc>
          <w:tcPr>
            <w:tcW w:w="443" w:type="pct"/>
            <w:tcBorders>
              <w:top w:val="nil"/>
              <w:left w:val="nil"/>
              <w:bottom w:val="nil"/>
              <w:right w:val="nil"/>
            </w:tcBorders>
            <w:shd w:val="clear" w:color="000000" w:fill="2F75B5"/>
            <w:noWrap/>
            <w:vAlign w:val="center"/>
            <w:hideMark/>
          </w:tcPr>
          <w:p w14:paraId="05D10C20"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2019</w:t>
            </w:r>
          </w:p>
        </w:tc>
        <w:tc>
          <w:tcPr>
            <w:tcW w:w="443" w:type="pct"/>
            <w:tcBorders>
              <w:top w:val="nil"/>
              <w:left w:val="nil"/>
              <w:bottom w:val="nil"/>
              <w:right w:val="nil"/>
            </w:tcBorders>
            <w:shd w:val="clear" w:color="000000" w:fill="2F75B5"/>
            <w:noWrap/>
            <w:vAlign w:val="center"/>
            <w:hideMark/>
          </w:tcPr>
          <w:p w14:paraId="3FCAEA03"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2020</w:t>
            </w:r>
          </w:p>
        </w:tc>
        <w:tc>
          <w:tcPr>
            <w:tcW w:w="443" w:type="pct"/>
            <w:tcBorders>
              <w:top w:val="nil"/>
              <w:left w:val="nil"/>
              <w:bottom w:val="nil"/>
              <w:right w:val="nil"/>
            </w:tcBorders>
            <w:shd w:val="clear" w:color="000000" w:fill="FFC000"/>
            <w:noWrap/>
            <w:vAlign w:val="center"/>
            <w:hideMark/>
          </w:tcPr>
          <w:p w14:paraId="66804C61" w14:textId="77777777" w:rsidR="0075093C" w:rsidRPr="00DE0AA0" w:rsidRDefault="0075093C" w:rsidP="0075093C">
            <w:pPr>
              <w:spacing w:after="0" w:line="240" w:lineRule="auto"/>
              <w:jc w:val="center"/>
              <w:rPr>
                <w:rFonts w:eastAsia="Times New Roman" w:cs="Calibri"/>
                <w:b/>
                <w:bCs/>
                <w:color w:val="FFFFFF"/>
                <w:sz w:val="20"/>
                <w:szCs w:val="20"/>
                <w:lang w:val="en-GB" w:eastAsia="en-GB"/>
              </w:rPr>
            </w:pPr>
            <w:r w:rsidRPr="00DE0AA0">
              <w:rPr>
                <w:rFonts w:eastAsia="Times New Roman" w:cs="Calibri"/>
                <w:b/>
                <w:bCs/>
                <w:color w:val="FFFFFF"/>
                <w:sz w:val="20"/>
                <w:szCs w:val="20"/>
                <w:lang w:val="en-GB" w:eastAsia="en-GB"/>
              </w:rPr>
              <w:t>2021*</w:t>
            </w:r>
          </w:p>
        </w:tc>
        <w:tc>
          <w:tcPr>
            <w:tcW w:w="380" w:type="pct"/>
            <w:tcBorders>
              <w:top w:val="nil"/>
              <w:left w:val="nil"/>
              <w:bottom w:val="nil"/>
              <w:right w:val="nil"/>
            </w:tcBorders>
            <w:shd w:val="clear" w:color="000000" w:fill="2F75B5"/>
            <w:noWrap/>
            <w:vAlign w:val="center"/>
            <w:hideMark/>
          </w:tcPr>
          <w:p w14:paraId="62FF1687"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Total</w:t>
            </w:r>
          </w:p>
        </w:tc>
      </w:tr>
      <w:tr w:rsidR="0075093C" w:rsidRPr="00DE0AA0" w14:paraId="4DC1EA2D" w14:textId="77777777" w:rsidTr="00DE0AA0">
        <w:trPr>
          <w:trHeight w:val="187"/>
        </w:trPr>
        <w:tc>
          <w:tcPr>
            <w:tcW w:w="1923" w:type="pct"/>
            <w:tcBorders>
              <w:top w:val="nil"/>
              <w:left w:val="nil"/>
              <w:bottom w:val="nil"/>
              <w:right w:val="nil"/>
            </w:tcBorders>
            <w:shd w:val="clear" w:color="000000" w:fill="FFFFFF"/>
            <w:noWrap/>
            <w:vAlign w:val="center"/>
            <w:hideMark/>
          </w:tcPr>
          <w:p w14:paraId="5A600F5A" w14:textId="77777777" w:rsidR="0075093C" w:rsidRPr="00DE0AA0" w:rsidRDefault="00513C39" w:rsidP="0075093C">
            <w:pPr>
              <w:pStyle w:val="ListParagraph"/>
              <w:numPr>
                <w:ilvl w:val="0"/>
                <w:numId w:val="14"/>
              </w:numPr>
              <w:spacing w:after="0" w:line="240" w:lineRule="auto"/>
              <w:ind w:left="249" w:hanging="270"/>
              <w:jc w:val="left"/>
              <w:rPr>
                <w:rFonts w:asciiTheme="minorHAnsi" w:hAnsiTheme="minorHAnsi" w:cs="Calibri"/>
                <w:color w:val="000000"/>
                <w:sz w:val="20"/>
                <w:szCs w:val="20"/>
                <w:lang w:eastAsia="en-GB"/>
              </w:rPr>
            </w:pPr>
            <w:r w:rsidRPr="00DE0AA0">
              <w:rPr>
                <w:rFonts w:asciiTheme="minorHAnsi" w:hAnsiTheme="minorHAnsi" w:cs="Calibri"/>
                <w:color w:val="000000"/>
                <w:sz w:val="20"/>
                <w:szCs w:val="20"/>
                <w:lang w:eastAsia="en-GB"/>
              </w:rPr>
              <w:t>Billing of energy</w:t>
            </w:r>
          </w:p>
        </w:tc>
        <w:tc>
          <w:tcPr>
            <w:tcW w:w="482" w:type="pct"/>
            <w:tcBorders>
              <w:top w:val="nil"/>
              <w:left w:val="nil"/>
              <w:bottom w:val="nil"/>
              <w:right w:val="nil"/>
            </w:tcBorders>
            <w:shd w:val="clear" w:color="000000" w:fill="FFFFFF"/>
            <w:noWrap/>
            <w:vAlign w:val="center"/>
            <w:hideMark/>
          </w:tcPr>
          <w:p w14:paraId="3239E69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7250AC43"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270.4</w:t>
            </w:r>
          </w:p>
        </w:tc>
        <w:tc>
          <w:tcPr>
            <w:tcW w:w="443" w:type="pct"/>
            <w:tcBorders>
              <w:top w:val="nil"/>
              <w:left w:val="nil"/>
              <w:bottom w:val="nil"/>
              <w:right w:val="nil"/>
            </w:tcBorders>
            <w:shd w:val="clear" w:color="auto" w:fill="auto"/>
            <w:noWrap/>
            <w:vAlign w:val="center"/>
            <w:hideMark/>
          </w:tcPr>
          <w:p w14:paraId="1BED6C05"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263.5</w:t>
            </w:r>
          </w:p>
        </w:tc>
        <w:tc>
          <w:tcPr>
            <w:tcW w:w="443" w:type="pct"/>
            <w:tcBorders>
              <w:top w:val="nil"/>
              <w:left w:val="nil"/>
              <w:bottom w:val="nil"/>
              <w:right w:val="nil"/>
            </w:tcBorders>
            <w:shd w:val="clear" w:color="auto" w:fill="auto"/>
            <w:noWrap/>
            <w:vAlign w:val="center"/>
            <w:hideMark/>
          </w:tcPr>
          <w:p w14:paraId="7E55C205"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278.2</w:t>
            </w:r>
          </w:p>
        </w:tc>
        <w:tc>
          <w:tcPr>
            <w:tcW w:w="443" w:type="pct"/>
            <w:tcBorders>
              <w:top w:val="nil"/>
              <w:left w:val="nil"/>
              <w:bottom w:val="nil"/>
              <w:right w:val="nil"/>
            </w:tcBorders>
            <w:shd w:val="clear" w:color="auto" w:fill="auto"/>
            <w:noWrap/>
            <w:vAlign w:val="center"/>
            <w:hideMark/>
          </w:tcPr>
          <w:p w14:paraId="3B014196"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289.7</w:t>
            </w:r>
          </w:p>
        </w:tc>
        <w:tc>
          <w:tcPr>
            <w:tcW w:w="443" w:type="pct"/>
            <w:tcBorders>
              <w:top w:val="nil"/>
              <w:left w:val="nil"/>
              <w:bottom w:val="nil"/>
              <w:right w:val="nil"/>
            </w:tcBorders>
            <w:shd w:val="clear" w:color="auto" w:fill="auto"/>
            <w:noWrap/>
            <w:vAlign w:val="center"/>
            <w:hideMark/>
          </w:tcPr>
          <w:p w14:paraId="3A3DF66D"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326.1</w:t>
            </w:r>
          </w:p>
        </w:tc>
        <w:tc>
          <w:tcPr>
            <w:tcW w:w="380" w:type="pct"/>
            <w:tcBorders>
              <w:top w:val="nil"/>
              <w:left w:val="nil"/>
              <w:bottom w:val="nil"/>
              <w:right w:val="nil"/>
            </w:tcBorders>
            <w:shd w:val="clear" w:color="auto" w:fill="auto"/>
            <w:noWrap/>
            <w:vAlign w:val="center"/>
            <w:hideMark/>
          </w:tcPr>
          <w:p w14:paraId="762392C1"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1,428</w:t>
            </w:r>
          </w:p>
        </w:tc>
      </w:tr>
      <w:tr w:rsidR="0075093C" w:rsidRPr="00DE0AA0" w14:paraId="3F4B9955" w14:textId="77777777" w:rsidTr="00DE0AA0">
        <w:trPr>
          <w:trHeight w:val="187"/>
        </w:trPr>
        <w:tc>
          <w:tcPr>
            <w:tcW w:w="1923" w:type="pct"/>
            <w:tcBorders>
              <w:top w:val="nil"/>
              <w:left w:val="nil"/>
              <w:bottom w:val="nil"/>
              <w:right w:val="nil"/>
            </w:tcBorders>
            <w:shd w:val="clear" w:color="000000" w:fill="FFFFFF"/>
            <w:noWrap/>
            <w:vAlign w:val="center"/>
            <w:hideMark/>
          </w:tcPr>
          <w:p w14:paraId="2341A820" w14:textId="77777777" w:rsidR="0075093C" w:rsidRPr="00DE0AA0" w:rsidRDefault="00513C39"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Billing of services</w:t>
            </w:r>
          </w:p>
        </w:tc>
        <w:tc>
          <w:tcPr>
            <w:tcW w:w="482" w:type="pct"/>
            <w:tcBorders>
              <w:top w:val="nil"/>
              <w:left w:val="nil"/>
              <w:bottom w:val="nil"/>
              <w:right w:val="nil"/>
            </w:tcBorders>
            <w:shd w:val="clear" w:color="000000" w:fill="FFFFFF"/>
            <w:noWrap/>
            <w:hideMark/>
          </w:tcPr>
          <w:p w14:paraId="28DB9D0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0C24FC3A"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2.24</w:t>
            </w:r>
          </w:p>
        </w:tc>
        <w:tc>
          <w:tcPr>
            <w:tcW w:w="443" w:type="pct"/>
            <w:tcBorders>
              <w:top w:val="nil"/>
              <w:left w:val="nil"/>
              <w:bottom w:val="nil"/>
              <w:right w:val="nil"/>
            </w:tcBorders>
            <w:shd w:val="clear" w:color="auto" w:fill="auto"/>
            <w:noWrap/>
            <w:vAlign w:val="center"/>
            <w:hideMark/>
          </w:tcPr>
          <w:p w14:paraId="01ED0442"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2.20</w:t>
            </w:r>
          </w:p>
        </w:tc>
        <w:tc>
          <w:tcPr>
            <w:tcW w:w="443" w:type="pct"/>
            <w:tcBorders>
              <w:top w:val="nil"/>
              <w:left w:val="nil"/>
              <w:bottom w:val="nil"/>
              <w:right w:val="nil"/>
            </w:tcBorders>
            <w:shd w:val="clear" w:color="auto" w:fill="auto"/>
            <w:noWrap/>
            <w:vAlign w:val="center"/>
            <w:hideMark/>
          </w:tcPr>
          <w:p w14:paraId="7CC8FA8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2.04</w:t>
            </w:r>
          </w:p>
        </w:tc>
        <w:tc>
          <w:tcPr>
            <w:tcW w:w="443" w:type="pct"/>
            <w:tcBorders>
              <w:top w:val="nil"/>
              <w:left w:val="nil"/>
              <w:bottom w:val="nil"/>
              <w:right w:val="nil"/>
            </w:tcBorders>
            <w:shd w:val="clear" w:color="auto" w:fill="auto"/>
            <w:noWrap/>
            <w:vAlign w:val="center"/>
            <w:hideMark/>
          </w:tcPr>
          <w:p w14:paraId="453F900B"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1.77</w:t>
            </w:r>
          </w:p>
        </w:tc>
        <w:tc>
          <w:tcPr>
            <w:tcW w:w="443" w:type="pct"/>
            <w:tcBorders>
              <w:top w:val="nil"/>
              <w:left w:val="nil"/>
              <w:bottom w:val="nil"/>
              <w:right w:val="nil"/>
            </w:tcBorders>
            <w:shd w:val="clear" w:color="auto" w:fill="auto"/>
            <w:noWrap/>
            <w:vAlign w:val="center"/>
            <w:hideMark/>
          </w:tcPr>
          <w:p w14:paraId="3285CAB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2.08</w:t>
            </w:r>
          </w:p>
        </w:tc>
        <w:tc>
          <w:tcPr>
            <w:tcW w:w="380" w:type="pct"/>
            <w:tcBorders>
              <w:top w:val="nil"/>
              <w:left w:val="nil"/>
              <w:bottom w:val="nil"/>
              <w:right w:val="nil"/>
            </w:tcBorders>
            <w:shd w:val="clear" w:color="auto" w:fill="auto"/>
            <w:noWrap/>
            <w:vAlign w:val="center"/>
            <w:hideMark/>
          </w:tcPr>
          <w:p w14:paraId="51BF9F35"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10</w:t>
            </w:r>
          </w:p>
        </w:tc>
      </w:tr>
      <w:tr w:rsidR="0075093C" w:rsidRPr="00DE0AA0" w14:paraId="7A32C5B4" w14:textId="77777777" w:rsidTr="00DE0AA0">
        <w:trPr>
          <w:trHeight w:val="187"/>
        </w:trPr>
        <w:tc>
          <w:tcPr>
            <w:tcW w:w="1923" w:type="pct"/>
            <w:tcBorders>
              <w:top w:val="nil"/>
              <w:left w:val="nil"/>
              <w:bottom w:val="single" w:sz="4" w:space="0" w:color="auto"/>
              <w:right w:val="nil"/>
            </w:tcBorders>
            <w:shd w:val="clear" w:color="000000" w:fill="FFFFFF"/>
            <w:noWrap/>
            <w:vAlign w:val="center"/>
            <w:hideMark/>
          </w:tcPr>
          <w:p w14:paraId="52462CFE" w14:textId="77777777" w:rsidR="0075093C" w:rsidRPr="00DE0AA0" w:rsidRDefault="00513C39"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Total billing</w:t>
            </w:r>
          </w:p>
        </w:tc>
        <w:tc>
          <w:tcPr>
            <w:tcW w:w="482" w:type="pct"/>
            <w:tcBorders>
              <w:top w:val="nil"/>
              <w:left w:val="nil"/>
              <w:bottom w:val="single" w:sz="4" w:space="0" w:color="auto"/>
              <w:right w:val="nil"/>
            </w:tcBorders>
            <w:shd w:val="clear" w:color="000000" w:fill="FFFFFF"/>
            <w:noWrap/>
            <w:hideMark/>
          </w:tcPr>
          <w:p w14:paraId="6938E151"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single" w:sz="4" w:space="0" w:color="auto"/>
              <w:right w:val="nil"/>
            </w:tcBorders>
            <w:shd w:val="clear" w:color="000000" w:fill="FFFFFF"/>
            <w:noWrap/>
            <w:vAlign w:val="center"/>
            <w:hideMark/>
          </w:tcPr>
          <w:p w14:paraId="4628C07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273</w:t>
            </w:r>
          </w:p>
        </w:tc>
        <w:tc>
          <w:tcPr>
            <w:tcW w:w="443" w:type="pct"/>
            <w:tcBorders>
              <w:top w:val="nil"/>
              <w:left w:val="nil"/>
              <w:bottom w:val="single" w:sz="4" w:space="0" w:color="auto"/>
              <w:right w:val="nil"/>
            </w:tcBorders>
            <w:shd w:val="clear" w:color="000000" w:fill="FFFFFF"/>
            <w:noWrap/>
            <w:vAlign w:val="center"/>
            <w:hideMark/>
          </w:tcPr>
          <w:p w14:paraId="246D29A5"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266</w:t>
            </w:r>
          </w:p>
        </w:tc>
        <w:tc>
          <w:tcPr>
            <w:tcW w:w="443" w:type="pct"/>
            <w:tcBorders>
              <w:top w:val="nil"/>
              <w:left w:val="nil"/>
              <w:bottom w:val="single" w:sz="4" w:space="0" w:color="auto"/>
              <w:right w:val="nil"/>
            </w:tcBorders>
            <w:shd w:val="clear" w:color="000000" w:fill="FFFFFF"/>
            <w:noWrap/>
            <w:vAlign w:val="center"/>
            <w:hideMark/>
          </w:tcPr>
          <w:p w14:paraId="0AE35531"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280</w:t>
            </w:r>
          </w:p>
        </w:tc>
        <w:tc>
          <w:tcPr>
            <w:tcW w:w="443" w:type="pct"/>
            <w:tcBorders>
              <w:top w:val="nil"/>
              <w:left w:val="nil"/>
              <w:bottom w:val="single" w:sz="4" w:space="0" w:color="auto"/>
              <w:right w:val="nil"/>
            </w:tcBorders>
            <w:shd w:val="clear" w:color="000000" w:fill="FFFFFF"/>
            <w:noWrap/>
            <w:vAlign w:val="center"/>
            <w:hideMark/>
          </w:tcPr>
          <w:p w14:paraId="4E47FFC2"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291</w:t>
            </w:r>
          </w:p>
        </w:tc>
        <w:tc>
          <w:tcPr>
            <w:tcW w:w="443" w:type="pct"/>
            <w:tcBorders>
              <w:top w:val="nil"/>
              <w:left w:val="nil"/>
              <w:bottom w:val="single" w:sz="4" w:space="0" w:color="auto"/>
              <w:right w:val="nil"/>
            </w:tcBorders>
            <w:shd w:val="clear" w:color="000000" w:fill="FFFFFF"/>
            <w:noWrap/>
            <w:vAlign w:val="center"/>
            <w:hideMark/>
          </w:tcPr>
          <w:p w14:paraId="3B2B8FD7"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328</w:t>
            </w:r>
          </w:p>
        </w:tc>
        <w:tc>
          <w:tcPr>
            <w:tcW w:w="380" w:type="pct"/>
            <w:tcBorders>
              <w:top w:val="nil"/>
              <w:left w:val="nil"/>
              <w:bottom w:val="single" w:sz="4" w:space="0" w:color="auto"/>
              <w:right w:val="nil"/>
            </w:tcBorders>
            <w:shd w:val="clear" w:color="000000" w:fill="FFFFFF"/>
            <w:noWrap/>
            <w:vAlign w:val="center"/>
            <w:hideMark/>
          </w:tcPr>
          <w:p w14:paraId="113A0732"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1,438</w:t>
            </w:r>
          </w:p>
        </w:tc>
      </w:tr>
      <w:tr w:rsidR="0075093C" w:rsidRPr="00DE0AA0" w14:paraId="50E52333" w14:textId="77777777" w:rsidTr="00DE0AA0">
        <w:trPr>
          <w:trHeight w:val="187"/>
        </w:trPr>
        <w:tc>
          <w:tcPr>
            <w:tcW w:w="1923" w:type="pct"/>
            <w:tcBorders>
              <w:top w:val="nil"/>
              <w:left w:val="nil"/>
              <w:bottom w:val="nil"/>
              <w:right w:val="nil"/>
            </w:tcBorders>
            <w:shd w:val="clear" w:color="000000" w:fill="FFFFFF"/>
            <w:noWrap/>
            <w:vAlign w:val="center"/>
            <w:hideMark/>
          </w:tcPr>
          <w:p w14:paraId="08D7819B" w14:textId="77777777" w:rsidR="0075093C" w:rsidRPr="00DE0AA0" w:rsidRDefault="0075093C" w:rsidP="0075093C">
            <w:pPr>
              <w:spacing w:after="0" w:line="240" w:lineRule="auto"/>
              <w:rPr>
                <w:rFonts w:eastAsia="Times New Roman" w:cs="Calibri"/>
                <w:color w:val="000000"/>
                <w:sz w:val="20"/>
                <w:szCs w:val="20"/>
                <w:lang w:val="en-GB" w:eastAsia="en-GB"/>
              </w:rPr>
            </w:pPr>
          </w:p>
        </w:tc>
        <w:tc>
          <w:tcPr>
            <w:tcW w:w="482" w:type="pct"/>
            <w:tcBorders>
              <w:top w:val="nil"/>
              <w:left w:val="nil"/>
              <w:bottom w:val="nil"/>
              <w:right w:val="nil"/>
            </w:tcBorders>
            <w:shd w:val="clear" w:color="auto" w:fill="auto"/>
            <w:noWrap/>
            <w:vAlign w:val="center"/>
            <w:hideMark/>
          </w:tcPr>
          <w:p w14:paraId="4E93CA7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p>
        </w:tc>
        <w:tc>
          <w:tcPr>
            <w:tcW w:w="443" w:type="pct"/>
            <w:tcBorders>
              <w:top w:val="nil"/>
              <w:left w:val="nil"/>
              <w:bottom w:val="nil"/>
              <w:right w:val="nil"/>
            </w:tcBorders>
            <w:shd w:val="clear" w:color="auto" w:fill="auto"/>
            <w:noWrap/>
            <w:vAlign w:val="center"/>
            <w:hideMark/>
          </w:tcPr>
          <w:p w14:paraId="16CBD336" w14:textId="77777777" w:rsidR="0075093C" w:rsidRPr="00DE0AA0" w:rsidRDefault="0075093C" w:rsidP="0075093C">
            <w:pPr>
              <w:spacing w:after="0" w:line="240" w:lineRule="auto"/>
              <w:jc w:val="center"/>
              <w:rPr>
                <w:rFonts w:eastAsia="Times New Roman" w:cs="Times New Roman"/>
                <w:sz w:val="20"/>
                <w:szCs w:val="20"/>
                <w:lang w:val="en-GB" w:eastAsia="en-GB"/>
              </w:rPr>
            </w:pPr>
          </w:p>
        </w:tc>
        <w:tc>
          <w:tcPr>
            <w:tcW w:w="443" w:type="pct"/>
            <w:tcBorders>
              <w:top w:val="nil"/>
              <w:left w:val="nil"/>
              <w:bottom w:val="nil"/>
              <w:right w:val="nil"/>
            </w:tcBorders>
            <w:shd w:val="clear" w:color="auto" w:fill="auto"/>
            <w:noWrap/>
            <w:vAlign w:val="center"/>
            <w:hideMark/>
          </w:tcPr>
          <w:p w14:paraId="24728221" w14:textId="77777777" w:rsidR="0075093C" w:rsidRPr="00DE0AA0" w:rsidRDefault="0075093C" w:rsidP="0075093C">
            <w:pPr>
              <w:spacing w:after="0" w:line="240" w:lineRule="auto"/>
              <w:jc w:val="center"/>
              <w:rPr>
                <w:rFonts w:eastAsia="Times New Roman" w:cs="Times New Roman"/>
                <w:sz w:val="20"/>
                <w:szCs w:val="20"/>
                <w:lang w:val="en-GB" w:eastAsia="en-GB"/>
              </w:rPr>
            </w:pPr>
          </w:p>
        </w:tc>
        <w:tc>
          <w:tcPr>
            <w:tcW w:w="443" w:type="pct"/>
            <w:tcBorders>
              <w:top w:val="nil"/>
              <w:left w:val="nil"/>
              <w:bottom w:val="nil"/>
              <w:right w:val="nil"/>
            </w:tcBorders>
            <w:shd w:val="clear" w:color="auto" w:fill="auto"/>
            <w:noWrap/>
            <w:vAlign w:val="center"/>
            <w:hideMark/>
          </w:tcPr>
          <w:p w14:paraId="57F6F8B7" w14:textId="77777777" w:rsidR="0075093C" w:rsidRPr="00DE0AA0" w:rsidRDefault="0075093C" w:rsidP="0075093C">
            <w:pPr>
              <w:spacing w:after="0" w:line="240" w:lineRule="auto"/>
              <w:jc w:val="center"/>
              <w:rPr>
                <w:rFonts w:eastAsia="Times New Roman" w:cs="Times New Roman"/>
                <w:sz w:val="20"/>
                <w:szCs w:val="20"/>
                <w:lang w:val="en-GB" w:eastAsia="en-GB"/>
              </w:rPr>
            </w:pPr>
          </w:p>
        </w:tc>
        <w:tc>
          <w:tcPr>
            <w:tcW w:w="443" w:type="pct"/>
            <w:tcBorders>
              <w:top w:val="nil"/>
              <w:left w:val="nil"/>
              <w:bottom w:val="nil"/>
              <w:right w:val="nil"/>
            </w:tcBorders>
            <w:shd w:val="clear" w:color="auto" w:fill="auto"/>
            <w:noWrap/>
            <w:vAlign w:val="center"/>
            <w:hideMark/>
          </w:tcPr>
          <w:p w14:paraId="38B05E52" w14:textId="77777777" w:rsidR="0075093C" w:rsidRPr="00DE0AA0" w:rsidRDefault="0075093C" w:rsidP="0075093C">
            <w:pPr>
              <w:spacing w:after="0" w:line="240" w:lineRule="auto"/>
              <w:jc w:val="center"/>
              <w:rPr>
                <w:rFonts w:eastAsia="Times New Roman" w:cs="Times New Roman"/>
                <w:sz w:val="20"/>
                <w:szCs w:val="20"/>
                <w:lang w:val="en-GB" w:eastAsia="en-GB"/>
              </w:rPr>
            </w:pPr>
          </w:p>
        </w:tc>
        <w:tc>
          <w:tcPr>
            <w:tcW w:w="443" w:type="pct"/>
            <w:tcBorders>
              <w:top w:val="nil"/>
              <w:left w:val="nil"/>
              <w:bottom w:val="nil"/>
              <w:right w:val="nil"/>
            </w:tcBorders>
            <w:shd w:val="clear" w:color="auto" w:fill="auto"/>
            <w:noWrap/>
            <w:vAlign w:val="center"/>
            <w:hideMark/>
          </w:tcPr>
          <w:p w14:paraId="611F4176" w14:textId="77777777" w:rsidR="0075093C" w:rsidRPr="00DE0AA0" w:rsidRDefault="0075093C" w:rsidP="0075093C">
            <w:pPr>
              <w:spacing w:after="0" w:line="240" w:lineRule="auto"/>
              <w:jc w:val="center"/>
              <w:rPr>
                <w:rFonts w:eastAsia="Times New Roman" w:cs="Times New Roman"/>
                <w:sz w:val="20"/>
                <w:szCs w:val="20"/>
                <w:lang w:val="en-GB" w:eastAsia="en-GB"/>
              </w:rPr>
            </w:pPr>
          </w:p>
        </w:tc>
        <w:tc>
          <w:tcPr>
            <w:tcW w:w="380" w:type="pct"/>
            <w:tcBorders>
              <w:top w:val="nil"/>
              <w:left w:val="nil"/>
              <w:bottom w:val="nil"/>
              <w:right w:val="nil"/>
            </w:tcBorders>
            <w:shd w:val="clear" w:color="auto" w:fill="auto"/>
            <w:noWrap/>
            <w:vAlign w:val="center"/>
            <w:hideMark/>
          </w:tcPr>
          <w:p w14:paraId="071F2543" w14:textId="77777777" w:rsidR="0075093C" w:rsidRPr="00DE0AA0" w:rsidRDefault="0075093C" w:rsidP="0075093C">
            <w:pPr>
              <w:spacing w:after="0" w:line="240" w:lineRule="auto"/>
              <w:jc w:val="center"/>
              <w:rPr>
                <w:rFonts w:eastAsia="Times New Roman" w:cs="Times New Roman"/>
                <w:sz w:val="20"/>
                <w:szCs w:val="20"/>
                <w:lang w:val="en-GB" w:eastAsia="en-GB"/>
              </w:rPr>
            </w:pPr>
          </w:p>
        </w:tc>
      </w:tr>
      <w:tr w:rsidR="0075093C" w:rsidRPr="00DE0AA0" w14:paraId="799677B8" w14:textId="77777777" w:rsidTr="00DE0AA0">
        <w:trPr>
          <w:trHeight w:val="187"/>
        </w:trPr>
        <w:tc>
          <w:tcPr>
            <w:tcW w:w="1923" w:type="pct"/>
            <w:tcBorders>
              <w:top w:val="nil"/>
              <w:left w:val="nil"/>
              <w:bottom w:val="nil"/>
              <w:right w:val="nil"/>
            </w:tcBorders>
            <w:shd w:val="clear" w:color="000000" w:fill="2F75B5"/>
            <w:noWrap/>
            <w:vAlign w:val="center"/>
            <w:hideMark/>
          </w:tcPr>
          <w:p w14:paraId="01844DA6" w14:textId="77777777" w:rsidR="0075093C" w:rsidRPr="00DE0AA0" w:rsidRDefault="00AB1006" w:rsidP="0075093C">
            <w:pPr>
              <w:spacing w:after="0" w:line="240" w:lineRule="auto"/>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Collection</w:t>
            </w:r>
          </w:p>
        </w:tc>
        <w:tc>
          <w:tcPr>
            <w:tcW w:w="482" w:type="pct"/>
            <w:tcBorders>
              <w:top w:val="nil"/>
              <w:left w:val="nil"/>
              <w:bottom w:val="nil"/>
              <w:right w:val="nil"/>
            </w:tcBorders>
            <w:shd w:val="clear" w:color="000000" w:fill="2F75B5"/>
            <w:noWrap/>
            <w:vAlign w:val="center"/>
            <w:hideMark/>
          </w:tcPr>
          <w:p w14:paraId="4BA37EEB"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Unit</w:t>
            </w:r>
          </w:p>
        </w:tc>
        <w:tc>
          <w:tcPr>
            <w:tcW w:w="443" w:type="pct"/>
            <w:tcBorders>
              <w:top w:val="nil"/>
              <w:left w:val="nil"/>
              <w:bottom w:val="nil"/>
              <w:right w:val="nil"/>
            </w:tcBorders>
            <w:shd w:val="clear" w:color="000000" w:fill="2F75B5"/>
            <w:noWrap/>
            <w:vAlign w:val="center"/>
            <w:hideMark/>
          </w:tcPr>
          <w:p w14:paraId="5A48DE41"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2017</w:t>
            </w:r>
          </w:p>
        </w:tc>
        <w:tc>
          <w:tcPr>
            <w:tcW w:w="443" w:type="pct"/>
            <w:tcBorders>
              <w:top w:val="nil"/>
              <w:left w:val="nil"/>
              <w:bottom w:val="nil"/>
              <w:right w:val="nil"/>
            </w:tcBorders>
            <w:shd w:val="clear" w:color="000000" w:fill="2F75B5"/>
            <w:noWrap/>
            <w:vAlign w:val="center"/>
            <w:hideMark/>
          </w:tcPr>
          <w:p w14:paraId="38834399"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2018</w:t>
            </w:r>
          </w:p>
        </w:tc>
        <w:tc>
          <w:tcPr>
            <w:tcW w:w="443" w:type="pct"/>
            <w:tcBorders>
              <w:top w:val="nil"/>
              <w:left w:val="nil"/>
              <w:bottom w:val="nil"/>
              <w:right w:val="nil"/>
            </w:tcBorders>
            <w:shd w:val="clear" w:color="000000" w:fill="2F75B5"/>
            <w:noWrap/>
            <w:vAlign w:val="center"/>
            <w:hideMark/>
          </w:tcPr>
          <w:p w14:paraId="1EC51236"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2019</w:t>
            </w:r>
          </w:p>
        </w:tc>
        <w:tc>
          <w:tcPr>
            <w:tcW w:w="443" w:type="pct"/>
            <w:tcBorders>
              <w:top w:val="nil"/>
              <w:left w:val="nil"/>
              <w:bottom w:val="nil"/>
              <w:right w:val="nil"/>
            </w:tcBorders>
            <w:shd w:val="clear" w:color="000000" w:fill="2F75B5"/>
            <w:noWrap/>
            <w:vAlign w:val="center"/>
            <w:hideMark/>
          </w:tcPr>
          <w:p w14:paraId="09585BFD"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2020</w:t>
            </w:r>
          </w:p>
        </w:tc>
        <w:tc>
          <w:tcPr>
            <w:tcW w:w="443" w:type="pct"/>
            <w:tcBorders>
              <w:top w:val="nil"/>
              <w:left w:val="nil"/>
              <w:bottom w:val="nil"/>
              <w:right w:val="nil"/>
            </w:tcBorders>
            <w:shd w:val="clear" w:color="000000" w:fill="FFC000"/>
            <w:noWrap/>
            <w:vAlign w:val="center"/>
            <w:hideMark/>
          </w:tcPr>
          <w:p w14:paraId="1DCDBF7F" w14:textId="77777777" w:rsidR="0075093C" w:rsidRPr="00DE0AA0" w:rsidRDefault="0075093C" w:rsidP="0075093C">
            <w:pPr>
              <w:spacing w:after="0" w:line="240" w:lineRule="auto"/>
              <w:jc w:val="center"/>
              <w:rPr>
                <w:rFonts w:eastAsia="Times New Roman" w:cs="Calibri"/>
                <w:b/>
                <w:bCs/>
                <w:color w:val="FFFFFF"/>
                <w:sz w:val="20"/>
                <w:szCs w:val="20"/>
                <w:lang w:val="en-GB" w:eastAsia="en-GB"/>
              </w:rPr>
            </w:pPr>
            <w:r w:rsidRPr="00DE0AA0">
              <w:rPr>
                <w:rFonts w:eastAsia="Times New Roman" w:cs="Calibri"/>
                <w:b/>
                <w:bCs/>
                <w:color w:val="FFFFFF"/>
                <w:sz w:val="20"/>
                <w:szCs w:val="20"/>
                <w:lang w:val="en-GB" w:eastAsia="en-GB"/>
              </w:rPr>
              <w:t>2021*</w:t>
            </w:r>
          </w:p>
        </w:tc>
        <w:tc>
          <w:tcPr>
            <w:tcW w:w="380" w:type="pct"/>
            <w:tcBorders>
              <w:top w:val="nil"/>
              <w:left w:val="nil"/>
              <w:bottom w:val="nil"/>
              <w:right w:val="nil"/>
            </w:tcBorders>
            <w:shd w:val="clear" w:color="000000" w:fill="2F75B5"/>
            <w:noWrap/>
            <w:vAlign w:val="center"/>
            <w:hideMark/>
          </w:tcPr>
          <w:p w14:paraId="793822A8" w14:textId="77777777" w:rsidR="0075093C" w:rsidRPr="00DE0AA0" w:rsidRDefault="0075093C" w:rsidP="0075093C">
            <w:pPr>
              <w:spacing w:after="0" w:line="240" w:lineRule="auto"/>
              <w:jc w:val="center"/>
              <w:rPr>
                <w:rFonts w:eastAsia="Times New Roman" w:cs="Calibri"/>
                <w:b/>
                <w:bCs/>
                <w:color w:val="DDEBF7"/>
                <w:sz w:val="20"/>
                <w:szCs w:val="20"/>
                <w:lang w:val="en-GB" w:eastAsia="en-GB"/>
              </w:rPr>
            </w:pPr>
            <w:r w:rsidRPr="00DE0AA0">
              <w:rPr>
                <w:rFonts w:eastAsia="Times New Roman" w:cs="Calibri"/>
                <w:b/>
                <w:bCs/>
                <w:color w:val="DDEBF7"/>
                <w:sz w:val="20"/>
                <w:szCs w:val="20"/>
                <w:lang w:val="en-GB" w:eastAsia="en-GB"/>
              </w:rPr>
              <w:t>Total</w:t>
            </w:r>
          </w:p>
        </w:tc>
      </w:tr>
      <w:tr w:rsidR="0075093C" w:rsidRPr="00DE0AA0" w14:paraId="58770AB9" w14:textId="77777777" w:rsidTr="00DE0AA0">
        <w:trPr>
          <w:trHeight w:val="187"/>
        </w:trPr>
        <w:tc>
          <w:tcPr>
            <w:tcW w:w="1923" w:type="pct"/>
            <w:tcBorders>
              <w:top w:val="nil"/>
              <w:left w:val="nil"/>
              <w:bottom w:val="nil"/>
              <w:right w:val="nil"/>
            </w:tcBorders>
            <w:shd w:val="clear" w:color="000000" w:fill="FFFFFF"/>
            <w:noWrap/>
            <w:vAlign w:val="center"/>
            <w:hideMark/>
          </w:tcPr>
          <w:p w14:paraId="1C7BD53E" w14:textId="77777777" w:rsidR="0075093C" w:rsidRPr="00DE0AA0" w:rsidRDefault="0075093C" w:rsidP="000607C5">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 xml:space="preserve">b) </w:t>
            </w:r>
            <w:r w:rsidR="000607C5" w:rsidRPr="00DE0AA0">
              <w:rPr>
                <w:rFonts w:eastAsia="Times New Roman" w:cs="Calibri"/>
                <w:color w:val="000000"/>
                <w:sz w:val="20"/>
                <w:szCs w:val="20"/>
                <w:lang w:val="en-GB" w:eastAsia="en-GB"/>
              </w:rPr>
              <w:t>Collection for billed energy</w:t>
            </w:r>
          </w:p>
        </w:tc>
        <w:tc>
          <w:tcPr>
            <w:tcW w:w="482" w:type="pct"/>
            <w:tcBorders>
              <w:top w:val="nil"/>
              <w:left w:val="nil"/>
              <w:bottom w:val="nil"/>
              <w:right w:val="nil"/>
            </w:tcBorders>
            <w:shd w:val="clear" w:color="000000" w:fill="FFFFFF"/>
            <w:noWrap/>
            <w:hideMark/>
          </w:tcPr>
          <w:p w14:paraId="55B067B1"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6B86C5AB"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256.2</w:t>
            </w:r>
          </w:p>
        </w:tc>
        <w:tc>
          <w:tcPr>
            <w:tcW w:w="443" w:type="pct"/>
            <w:tcBorders>
              <w:top w:val="nil"/>
              <w:left w:val="nil"/>
              <w:bottom w:val="nil"/>
              <w:right w:val="nil"/>
            </w:tcBorders>
            <w:shd w:val="clear" w:color="auto" w:fill="auto"/>
            <w:noWrap/>
            <w:vAlign w:val="center"/>
            <w:hideMark/>
          </w:tcPr>
          <w:p w14:paraId="2C5A1F31"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249.</w:t>
            </w:r>
            <w:r w:rsidR="0075093C" w:rsidRPr="00DE0AA0">
              <w:rPr>
                <w:rFonts w:eastAsia="Times New Roman" w:cs="Calibri"/>
                <w:color w:val="000000"/>
                <w:sz w:val="20"/>
                <w:szCs w:val="20"/>
                <w:lang w:val="en-GB" w:eastAsia="en-GB"/>
              </w:rPr>
              <w:t>9</w:t>
            </w:r>
          </w:p>
        </w:tc>
        <w:tc>
          <w:tcPr>
            <w:tcW w:w="443" w:type="pct"/>
            <w:tcBorders>
              <w:top w:val="nil"/>
              <w:left w:val="nil"/>
              <w:bottom w:val="nil"/>
              <w:right w:val="nil"/>
            </w:tcBorders>
            <w:shd w:val="clear" w:color="auto" w:fill="auto"/>
            <w:noWrap/>
            <w:vAlign w:val="center"/>
            <w:hideMark/>
          </w:tcPr>
          <w:p w14:paraId="186B6E33" w14:textId="77777777" w:rsidR="0075093C" w:rsidRPr="00DE0AA0" w:rsidRDefault="0075093C" w:rsidP="00D35310">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266.9</w:t>
            </w:r>
          </w:p>
        </w:tc>
        <w:tc>
          <w:tcPr>
            <w:tcW w:w="443" w:type="pct"/>
            <w:tcBorders>
              <w:top w:val="nil"/>
              <w:left w:val="nil"/>
              <w:bottom w:val="nil"/>
              <w:right w:val="nil"/>
            </w:tcBorders>
            <w:shd w:val="clear" w:color="auto" w:fill="auto"/>
            <w:noWrap/>
            <w:vAlign w:val="center"/>
            <w:hideMark/>
          </w:tcPr>
          <w:p w14:paraId="6C6F545F"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264.1</w:t>
            </w:r>
          </w:p>
        </w:tc>
        <w:tc>
          <w:tcPr>
            <w:tcW w:w="443" w:type="pct"/>
            <w:tcBorders>
              <w:top w:val="nil"/>
              <w:left w:val="nil"/>
              <w:bottom w:val="nil"/>
              <w:right w:val="nil"/>
            </w:tcBorders>
            <w:shd w:val="clear" w:color="auto" w:fill="auto"/>
            <w:noWrap/>
            <w:vAlign w:val="center"/>
            <w:hideMark/>
          </w:tcPr>
          <w:p w14:paraId="0604A30C" w14:textId="77777777" w:rsidR="0075093C" w:rsidRPr="00DE0AA0" w:rsidRDefault="00D35310"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315.8</w:t>
            </w:r>
          </w:p>
        </w:tc>
        <w:tc>
          <w:tcPr>
            <w:tcW w:w="380" w:type="pct"/>
            <w:tcBorders>
              <w:top w:val="nil"/>
              <w:left w:val="nil"/>
              <w:bottom w:val="nil"/>
              <w:right w:val="nil"/>
            </w:tcBorders>
            <w:shd w:val="clear" w:color="auto" w:fill="auto"/>
            <w:noWrap/>
            <w:vAlign w:val="center"/>
            <w:hideMark/>
          </w:tcPr>
          <w:p w14:paraId="7AEFB17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1,353</w:t>
            </w:r>
          </w:p>
        </w:tc>
      </w:tr>
      <w:tr w:rsidR="0075093C" w:rsidRPr="00DE0AA0" w14:paraId="0A277DF8" w14:textId="77777777" w:rsidTr="00DE0AA0">
        <w:trPr>
          <w:trHeight w:val="187"/>
        </w:trPr>
        <w:tc>
          <w:tcPr>
            <w:tcW w:w="1923" w:type="pct"/>
            <w:tcBorders>
              <w:top w:val="nil"/>
              <w:left w:val="nil"/>
              <w:bottom w:val="nil"/>
              <w:right w:val="nil"/>
            </w:tcBorders>
            <w:shd w:val="clear" w:color="000000" w:fill="FFFFFF"/>
            <w:noWrap/>
            <w:vAlign w:val="center"/>
            <w:hideMark/>
          </w:tcPr>
          <w:p w14:paraId="69E350EB" w14:textId="77777777" w:rsidR="0075093C" w:rsidRPr="00DE0AA0" w:rsidRDefault="000607C5"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Prepayments</w:t>
            </w:r>
            <w:r w:rsidR="0075093C" w:rsidRPr="00DE0AA0">
              <w:rPr>
                <w:rFonts w:eastAsia="Times New Roman" w:cs="Calibri"/>
                <w:color w:val="000000"/>
                <w:sz w:val="20"/>
                <w:szCs w:val="20"/>
                <w:lang w:val="en-GB" w:eastAsia="en-GB"/>
              </w:rPr>
              <w:t>**</w:t>
            </w:r>
          </w:p>
        </w:tc>
        <w:tc>
          <w:tcPr>
            <w:tcW w:w="482" w:type="pct"/>
            <w:tcBorders>
              <w:top w:val="nil"/>
              <w:left w:val="nil"/>
              <w:bottom w:val="nil"/>
              <w:right w:val="nil"/>
            </w:tcBorders>
            <w:shd w:val="clear" w:color="000000" w:fill="FFFFFF"/>
            <w:noWrap/>
            <w:hideMark/>
          </w:tcPr>
          <w:p w14:paraId="50A42EE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45A8EE9F"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3.51</w:t>
            </w:r>
          </w:p>
        </w:tc>
        <w:tc>
          <w:tcPr>
            <w:tcW w:w="443" w:type="pct"/>
            <w:tcBorders>
              <w:top w:val="nil"/>
              <w:left w:val="nil"/>
              <w:bottom w:val="nil"/>
              <w:right w:val="nil"/>
            </w:tcBorders>
            <w:shd w:val="clear" w:color="auto" w:fill="auto"/>
            <w:noWrap/>
            <w:vAlign w:val="center"/>
            <w:hideMark/>
          </w:tcPr>
          <w:p w14:paraId="7CD73043"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4.22</w:t>
            </w:r>
          </w:p>
        </w:tc>
        <w:tc>
          <w:tcPr>
            <w:tcW w:w="443" w:type="pct"/>
            <w:tcBorders>
              <w:top w:val="nil"/>
              <w:left w:val="nil"/>
              <w:bottom w:val="nil"/>
              <w:right w:val="nil"/>
            </w:tcBorders>
            <w:shd w:val="clear" w:color="auto" w:fill="auto"/>
            <w:noWrap/>
            <w:vAlign w:val="center"/>
            <w:hideMark/>
          </w:tcPr>
          <w:p w14:paraId="666366C2"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2.68</w:t>
            </w:r>
          </w:p>
        </w:tc>
        <w:tc>
          <w:tcPr>
            <w:tcW w:w="443" w:type="pct"/>
            <w:tcBorders>
              <w:top w:val="nil"/>
              <w:left w:val="nil"/>
              <w:bottom w:val="nil"/>
              <w:right w:val="nil"/>
            </w:tcBorders>
            <w:shd w:val="clear" w:color="auto" w:fill="auto"/>
            <w:noWrap/>
            <w:vAlign w:val="center"/>
            <w:hideMark/>
          </w:tcPr>
          <w:p w14:paraId="0E6A1A63"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8.37</w:t>
            </w:r>
          </w:p>
        </w:tc>
        <w:tc>
          <w:tcPr>
            <w:tcW w:w="443" w:type="pct"/>
            <w:tcBorders>
              <w:top w:val="nil"/>
              <w:left w:val="nil"/>
              <w:bottom w:val="nil"/>
              <w:right w:val="nil"/>
            </w:tcBorders>
            <w:shd w:val="clear" w:color="auto" w:fill="auto"/>
            <w:noWrap/>
            <w:vAlign w:val="center"/>
            <w:hideMark/>
          </w:tcPr>
          <w:p w14:paraId="17830FC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5.63</w:t>
            </w:r>
          </w:p>
        </w:tc>
        <w:tc>
          <w:tcPr>
            <w:tcW w:w="380" w:type="pct"/>
            <w:tcBorders>
              <w:top w:val="nil"/>
              <w:left w:val="nil"/>
              <w:bottom w:val="nil"/>
              <w:right w:val="nil"/>
            </w:tcBorders>
            <w:shd w:val="clear" w:color="auto" w:fill="auto"/>
            <w:noWrap/>
            <w:vAlign w:val="center"/>
            <w:hideMark/>
          </w:tcPr>
          <w:p w14:paraId="19FFECA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24</w:t>
            </w:r>
          </w:p>
        </w:tc>
      </w:tr>
      <w:tr w:rsidR="0075093C" w:rsidRPr="00DE0AA0" w14:paraId="74072697" w14:textId="77777777" w:rsidTr="00DE0AA0">
        <w:trPr>
          <w:trHeight w:val="187"/>
        </w:trPr>
        <w:tc>
          <w:tcPr>
            <w:tcW w:w="1923" w:type="pct"/>
            <w:tcBorders>
              <w:top w:val="nil"/>
              <w:left w:val="nil"/>
              <w:bottom w:val="nil"/>
              <w:right w:val="nil"/>
            </w:tcBorders>
            <w:shd w:val="clear" w:color="000000" w:fill="FFFFFF"/>
            <w:noWrap/>
            <w:vAlign w:val="center"/>
            <w:hideMark/>
          </w:tcPr>
          <w:p w14:paraId="281853C2" w14:textId="77777777" w:rsidR="0075093C" w:rsidRPr="00DE0AA0" w:rsidRDefault="0075093C" w:rsidP="000607C5">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c</w:t>
            </w:r>
            <w:r w:rsidRPr="009F444E">
              <w:rPr>
                <w:rFonts w:eastAsia="Times New Roman" w:cs="Calibri"/>
                <w:color w:val="000000"/>
                <w:sz w:val="20"/>
                <w:szCs w:val="20"/>
                <w:lang w:val="en-GB" w:eastAsia="en-GB"/>
              </w:rPr>
              <w:t xml:space="preserve">) </w:t>
            </w:r>
            <w:r w:rsidR="00880207" w:rsidRPr="00882C92">
              <w:rPr>
                <w:rFonts w:eastAsia="Times New Roman" w:cs="Calibri"/>
                <w:color w:val="000000"/>
                <w:sz w:val="20"/>
                <w:szCs w:val="20"/>
                <w:lang w:val="en-GB" w:eastAsia="en-GB"/>
              </w:rPr>
              <w:t>Bailiff</w:t>
            </w:r>
          </w:p>
        </w:tc>
        <w:tc>
          <w:tcPr>
            <w:tcW w:w="482" w:type="pct"/>
            <w:tcBorders>
              <w:top w:val="nil"/>
              <w:left w:val="nil"/>
              <w:bottom w:val="nil"/>
              <w:right w:val="nil"/>
            </w:tcBorders>
            <w:shd w:val="clear" w:color="000000" w:fill="FFFFFF"/>
            <w:noWrap/>
            <w:hideMark/>
          </w:tcPr>
          <w:p w14:paraId="485209F3"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0E548C4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0.65</w:t>
            </w:r>
          </w:p>
        </w:tc>
        <w:tc>
          <w:tcPr>
            <w:tcW w:w="443" w:type="pct"/>
            <w:tcBorders>
              <w:top w:val="nil"/>
              <w:left w:val="nil"/>
              <w:bottom w:val="nil"/>
              <w:right w:val="nil"/>
            </w:tcBorders>
            <w:shd w:val="clear" w:color="auto" w:fill="auto"/>
            <w:noWrap/>
            <w:vAlign w:val="center"/>
            <w:hideMark/>
          </w:tcPr>
          <w:p w14:paraId="5C95D023"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2.67</w:t>
            </w:r>
          </w:p>
        </w:tc>
        <w:tc>
          <w:tcPr>
            <w:tcW w:w="443" w:type="pct"/>
            <w:tcBorders>
              <w:top w:val="nil"/>
              <w:left w:val="nil"/>
              <w:bottom w:val="nil"/>
              <w:right w:val="nil"/>
            </w:tcBorders>
            <w:shd w:val="clear" w:color="auto" w:fill="auto"/>
            <w:noWrap/>
            <w:vAlign w:val="center"/>
            <w:hideMark/>
          </w:tcPr>
          <w:p w14:paraId="7A5EBAD5"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3.90</w:t>
            </w:r>
          </w:p>
        </w:tc>
        <w:tc>
          <w:tcPr>
            <w:tcW w:w="443" w:type="pct"/>
            <w:tcBorders>
              <w:top w:val="nil"/>
              <w:left w:val="nil"/>
              <w:bottom w:val="nil"/>
              <w:right w:val="nil"/>
            </w:tcBorders>
            <w:shd w:val="clear" w:color="auto" w:fill="auto"/>
            <w:noWrap/>
            <w:vAlign w:val="center"/>
            <w:hideMark/>
          </w:tcPr>
          <w:p w14:paraId="1F3281B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2.02</w:t>
            </w:r>
          </w:p>
        </w:tc>
        <w:tc>
          <w:tcPr>
            <w:tcW w:w="443" w:type="pct"/>
            <w:tcBorders>
              <w:top w:val="nil"/>
              <w:left w:val="nil"/>
              <w:bottom w:val="nil"/>
              <w:right w:val="nil"/>
            </w:tcBorders>
            <w:shd w:val="clear" w:color="auto" w:fill="auto"/>
            <w:noWrap/>
            <w:vAlign w:val="center"/>
            <w:hideMark/>
          </w:tcPr>
          <w:p w14:paraId="6FA6A7D6"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2.77</w:t>
            </w:r>
          </w:p>
        </w:tc>
        <w:tc>
          <w:tcPr>
            <w:tcW w:w="380" w:type="pct"/>
            <w:tcBorders>
              <w:top w:val="nil"/>
              <w:left w:val="nil"/>
              <w:bottom w:val="nil"/>
              <w:right w:val="nil"/>
            </w:tcBorders>
            <w:shd w:val="clear" w:color="auto" w:fill="auto"/>
            <w:noWrap/>
            <w:vAlign w:val="center"/>
            <w:hideMark/>
          </w:tcPr>
          <w:p w14:paraId="6781A796"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12</w:t>
            </w:r>
          </w:p>
        </w:tc>
      </w:tr>
      <w:tr w:rsidR="0075093C" w:rsidRPr="00DE0AA0" w14:paraId="6F5CE1F4" w14:textId="77777777" w:rsidTr="00DE0AA0">
        <w:trPr>
          <w:trHeight w:val="187"/>
        </w:trPr>
        <w:tc>
          <w:tcPr>
            <w:tcW w:w="1923" w:type="pct"/>
            <w:tcBorders>
              <w:top w:val="nil"/>
              <w:left w:val="nil"/>
              <w:bottom w:val="nil"/>
              <w:right w:val="nil"/>
            </w:tcBorders>
            <w:shd w:val="clear" w:color="000000" w:fill="FFFFFF"/>
            <w:noWrap/>
            <w:vAlign w:val="center"/>
            <w:hideMark/>
          </w:tcPr>
          <w:p w14:paraId="51606DC9" w14:textId="77777777" w:rsidR="0075093C" w:rsidRPr="00DE0AA0" w:rsidRDefault="00C4461A"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Services</w:t>
            </w:r>
          </w:p>
        </w:tc>
        <w:tc>
          <w:tcPr>
            <w:tcW w:w="482" w:type="pct"/>
            <w:tcBorders>
              <w:top w:val="nil"/>
              <w:left w:val="nil"/>
              <w:bottom w:val="nil"/>
              <w:right w:val="nil"/>
            </w:tcBorders>
            <w:shd w:val="clear" w:color="000000" w:fill="FFFFFF"/>
            <w:noWrap/>
            <w:hideMark/>
          </w:tcPr>
          <w:p w14:paraId="7B608677"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41138A4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2.14</w:t>
            </w:r>
          </w:p>
        </w:tc>
        <w:tc>
          <w:tcPr>
            <w:tcW w:w="443" w:type="pct"/>
            <w:tcBorders>
              <w:top w:val="nil"/>
              <w:left w:val="nil"/>
              <w:bottom w:val="nil"/>
              <w:right w:val="nil"/>
            </w:tcBorders>
            <w:shd w:val="clear" w:color="auto" w:fill="auto"/>
            <w:noWrap/>
            <w:vAlign w:val="center"/>
            <w:hideMark/>
          </w:tcPr>
          <w:p w14:paraId="25AB9F61"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2.27</w:t>
            </w:r>
          </w:p>
        </w:tc>
        <w:tc>
          <w:tcPr>
            <w:tcW w:w="443" w:type="pct"/>
            <w:tcBorders>
              <w:top w:val="nil"/>
              <w:left w:val="nil"/>
              <w:bottom w:val="nil"/>
              <w:right w:val="nil"/>
            </w:tcBorders>
            <w:shd w:val="clear" w:color="auto" w:fill="auto"/>
            <w:noWrap/>
            <w:vAlign w:val="center"/>
            <w:hideMark/>
          </w:tcPr>
          <w:p w14:paraId="440E15D1"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2.14</w:t>
            </w:r>
          </w:p>
        </w:tc>
        <w:tc>
          <w:tcPr>
            <w:tcW w:w="443" w:type="pct"/>
            <w:tcBorders>
              <w:top w:val="nil"/>
              <w:left w:val="nil"/>
              <w:bottom w:val="nil"/>
              <w:right w:val="nil"/>
            </w:tcBorders>
            <w:shd w:val="clear" w:color="auto" w:fill="auto"/>
            <w:noWrap/>
            <w:vAlign w:val="center"/>
            <w:hideMark/>
          </w:tcPr>
          <w:p w14:paraId="6B67DB0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1.31</w:t>
            </w:r>
          </w:p>
        </w:tc>
        <w:tc>
          <w:tcPr>
            <w:tcW w:w="443" w:type="pct"/>
            <w:tcBorders>
              <w:top w:val="nil"/>
              <w:left w:val="nil"/>
              <w:bottom w:val="nil"/>
              <w:right w:val="nil"/>
            </w:tcBorders>
            <w:shd w:val="clear" w:color="auto" w:fill="auto"/>
            <w:noWrap/>
            <w:vAlign w:val="center"/>
            <w:hideMark/>
          </w:tcPr>
          <w:p w14:paraId="0A49744F"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2.17</w:t>
            </w:r>
          </w:p>
        </w:tc>
        <w:tc>
          <w:tcPr>
            <w:tcW w:w="380" w:type="pct"/>
            <w:tcBorders>
              <w:top w:val="nil"/>
              <w:left w:val="nil"/>
              <w:bottom w:val="nil"/>
              <w:right w:val="nil"/>
            </w:tcBorders>
            <w:shd w:val="clear" w:color="auto" w:fill="auto"/>
            <w:noWrap/>
            <w:vAlign w:val="center"/>
            <w:hideMark/>
          </w:tcPr>
          <w:p w14:paraId="3EFF9DF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10</w:t>
            </w:r>
          </w:p>
        </w:tc>
      </w:tr>
      <w:tr w:rsidR="0075093C" w:rsidRPr="00DE0AA0" w14:paraId="334B05E5" w14:textId="77777777" w:rsidTr="00DE0AA0">
        <w:trPr>
          <w:trHeight w:val="187"/>
        </w:trPr>
        <w:tc>
          <w:tcPr>
            <w:tcW w:w="1923" w:type="pct"/>
            <w:tcBorders>
              <w:top w:val="nil"/>
              <w:left w:val="nil"/>
              <w:bottom w:val="nil"/>
              <w:right w:val="nil"/>
            </w:tcBorders>
            <w:shd w:val="clear" w:color="000000" w:fill="FFFFFF"/>
            <w:noWrap/>
            <w:vAlign w:val="center"/>
            <w:hideMark/>
          </w:tcPr>
          <w:p w14:paraId="59552ED2" w14:textId="77777777" w:rsidR="0075093C" w:rsidRPr="00DE0AA0" w:rsidRDefault="00880207"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Revenues from collection of debts</w:t>
            </w:r>
            <w:r w:rsidR="0075093C" w:rsidRPr="00DE0AA0">
              <w:rPr>
                <w:rFonts w:eastAsia="Times New Roman" w:cs="Calibri"/>
                <w:color w:val="000000"/>
                <w:sz w:val="20"/>
                <w:szCs w:val="20"/>
                <w:lang w:val="en-GB" w:eastAsia="en-GB"/>
              </w:rPr>
              <w:t>-KEK</w:t>
            </w:r>
          </w:p>
        </w:tc>
        <w:tc>
          <w:tcPr>
            <w:tcW w:w="482" w:type="pct"/>
            <w:tcBorders>
              <w:top w:val="nil"/>
              <w:left w:val="nil"/>
              <w:bottom w:val="nil"/>
              <w:right w:val="nil"/>
            </w:tcBorders>
            <w:shd w:val="clear" w:color="000000" w:fill="FFFFFF"/>
            <w:noWrap/>
            <w:hideMark/>
          </w:tcPr>
          <w:p w14:paraId="33F21EC2"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6A92C49A"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0.49</w:t>
            </w:r>
          </w:p>
        </w:tc>
        <w:tc>
          <w:tcPr>
            <w:tcW w:w="443" w:type="pct"/>
            <w:tcBorders>
              <w:top w:val="nil"/>
              <w:left w:val="nil"/>
              <w:bottom w:val="nil"/>
              <w:right w:val="nil"/>
            </w:tcBorders>
            <w:shd w:val="clear" w:color="auto" w:fill="auto"/>
            <w:noWrap/>
            <w:vAlign w:val="center"/>
            <w:hideMark/>
          </w:tcPr>
          <w:p w14:paraId="1B8D36C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0.15</w:t>
            </w:r>
          </w:p>
        </w:tc>
        <w:tc>
          <w:tcPr>
            <w:tcW w:w="443" w:type="pct"/>
            <w:tcBorders>
              <w:top w:val="nil"/>
              <w:left w:val="nil"/>
              <w:bottom w:val="nil"/>
              <w:right w:val="nil"/>
            </w:tcBorders>
            <w:shd w:val="clear" w:color="auto" w:fill="auto"/>
            <w:noWrap/>
            <w:vAlign w:val="center"/>
            <w:hideMark/>
          </w:tcPr>
          <w:p w14:paraId="137AC97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0.00</w:t>
            </w:r>
          </w:p>
        </w:tc>
        <w:tc>
          <w:tcPr>
            <w:tcW w:w="443" w:type="pct"/>
            <w:tcBorders>
              <w:top w:val="nil"/>
              <w:left w:val="nil"/>
              <w:bottom w:val="nil"/>
              <w:right w:val="nil"/>
            </w:tcBorders>
            <w:shd w:val="clear" w:color="auto" w:fill="auto"/>
            <w:noWrap/>
            <w:vAlign w:val="center"/>
            <w:hideMark/>
          </w:tcPr>
          <w:p w14:paraId="68904A13"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0.00</w:t>
            </w:r>
          </w:p>
        </w:tc>
        <w:tc>
          <w:tcPr>
            <w:tcW w:w="443" w:type="pct"/>
            <w:tcBorders>
              <w:top w:val="nil"/>
              <w:left w:val="nil"/>
              <w:bottom w:val="nil"/>
              <w:right w:val="nil"/>
            </w:tcBorders>
            <w:shd w:val="clear" w:color="auto" w:fill="auto"/>
            <w:noWrap/>
            <w:vAlign w:val="center"/>
            <w:hideMark/>
          </w:tcPr>
          <w:p w14:paraId="0276A54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0.04</w:t>
            </w:r>
          </w:p>
        </w:tc>
        <w:tc>
          <w:tcPr>
            <w:tcW w:w="380" w:type="pct"/>
            <w:tcBorders>
              <w:top w:val="nil"/>
              <w:left w:val="nil"/>
              <w:bottom w:val="nil"/>
              <w:right w:val="nil"/>
            </w:tcBorders>
            <w:shd w:val="clear" w:color="auto" w:fill="auto"/>
            <w:noWrap/>
            <w:vAlign w:val="center"/>
            <w:hideMark/>
          </w:tcPr>
          <w:p w14:paraId="1CB0521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w:t>
            </w:r>
          </w:p>
        </w:tc>
      </w:tr>
      <w:tr w:rsidR="0075093C" w:rsidRPr="00DE0AA0" w14:paraId="412693DD" w14:textId="77777777" w:rsidTr="00DE0AA0">
        <w:trPr>
          <w:trHeight w:val="187"/>
        </w:trPr>
        <w:tc>
          <w:tcPr>
            <w:tcW w:w="1923" w:type="pct"/>
            <w:tcBorders>
              <w:top w:val="nil"/>
              <w:left w:val="nil"/>
              <w:bottom w:val="nil"/>
              <w:right w:val="nil"/>
            </w:tcBorders>
            <w:shd w:val="clear" w:color="000000" w:fill="FFFFFF"/>
            <w:noWrap/>
            <w:vAlign w:val="center"/>
            <w:hideMark/>
          </w:tcPr>
          <w:p w14:paraId="602DE720" w14:textId="77777777" w:rsidR="0075093C" w:rsidRPr="00DE0AA0" w:rsidRDefault="0075093C" w:rsidP="00880207">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 xml:space="preserve">KEK – </w:t>
            </w:r>
            <w:r w:rsidR="00880207" w:rsidRPr="00DE0AA0">
              <w:rPr>
                <w:rFonts w:eastAsia="Times New Roman" w:cs="Calibri"/>
                <w:color w:val="000000"/>
                <w:sz w:val="20"/>
                <w:szCs w:val="20"/>
                <w:lang w:val="en-GB" w:eastAsia="en-GB"/>
              </w:rPr>
              <w:t>Agreement</w:t>
            </w:r>
          </w:p>
        </w:tc>
        <w:tc>
          <w:tcPr>
            <w:tcW w:w="482" w:type="pct"/>
            <w:tcBorders>
              <w:top w:val="nil"/>
              <w:left w:val="nil"/>
              <w:bottom w:val="nil"/>
              <w:right w:val="nil"/>
            </w:tcBorders>
            <w:shd w:val="clear" w:color="000000" w:fill="FFFFFF"/>
            <w:noWrap/>
            <w:hideMark/>
          </w:tcPr>
          <w:p w14:paraId="5C0894A9"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nil"/>
              <w:right w:val="nil"/>
            </w:tcBorders>
            <w:shd w:val="clear" w:color="auto" w:fill="auto"/>
            <w:noWrap/>
            <w:vAlign w:val="center"/>
            <w:hideMark/>
          </w:tcPr>
          <w:p w14:paraId="503BEFA9"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3.81</w:t>
            </w:r>
          </w:p>
        </w:tc>
        <w:tc>
          <w:tcPr>
            <w:tcW w:w="443" w:type="pct"/>
            <w:tcBorders>
              <w:top w:val="nil"/>
              <w:left w:val="nil"/>
              <w:bottom w:val="nil"/>
              <w:right w:val="nil"/>
            </w:tcBorders>
            <w:shd w:val="clear" w:color="auto" w:fill="auto"/>
            <w:noWrap/>
            <w:vAlign w:val="center"/>
            <w:hideMark/>
          </w:tcPr>
          <w:p w14:paraId="2665FF3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1.29</w:t>
            </w:r>
          </w:p>
        </w:tc>
        <w:tc>
          <w:tcPr>
            <w:tcW w:w="443" w:type="pct"/>
            <w:tcBorders>
              <w:top w:val="nil"/>
              <w:left w:val="nil"/>
              <w:bottom w:val="nil"/>
              <w:right w:val="nil"/>
            </w:tcBorders>
            <w:shd w:val="clear" w:color="auto" w:fill="auto"/>
            <w:noWrap/>
            <w:vAlign w:val="center"/>
            <w:hideMark/>
          </w:tcPr>
          <w:p w14:paraId="31FB9148"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1.09</w:t>
            </w:r>
          </w:p>
        </w:tc>
        <w:tc>
          <w:tcPr>
            <w:tcW w:w="443" w:type="pct"/>
            <w:tcBorders>
              <w:top w:val="nil"/>
              <w:left w:val="nil"/>
              <w:bottom w:val="nil"/>
              <w:right w:val="nil"/>
            </w:tcBorders>
            <w:shd w:val="clear" w:color="auto" w:fill="auto"/>
            <w:noWrap/>
            <w:vAlign w:val="center"/>
            <w:hideMark/>
          </w:tcPr>
          <w:p w14:paraId="1B013D8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0.39</w:t>
            </w:r>
          </w:p>
        </w:tc>
        <w:tc>
          <w:tcPr>
            <w:tcW w:w="443" w:type="pct"/>
            <w:tcBorders>
              <w:top w:val="nil"/>
              <w:left w:val="nil"/>
              <w:bottom w:val="nil"/>
              <w:right w:val="nil"/>
            </w:tcBorders>
            <w:shd w:val="clear" w:color="auto" w:fill="auto"/>
            <w:noWrap/>
            <w:vAlign w:val="center"/>
            <w:hideMark/>
          </w:tcPr>
          <w:p w14:paraId="19A1B9F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0.40</w:t>
            </w:r>
          </w:p>
        </w:tc>
        <w:tc>
          <w:tcPr>
            <w:tcW w:w="380" w:type="pct"/>
            <w:tcBorders>
              <w:top w:val="nil"/>
              <w:left w:val="nil"/>
              <w:bottom w:val="nil"/>
              <w:right w:val="nil"/>
            </w:tcBorders>
            <w:shd w:val="clear" w:color="auto" w:fill="auto"/>
            <w:noWrap/>
            <w:vAlign w:val="center"/>
            <w:hideMark/>
          </w:tcPr>
          <w:p w14:paraId="6C66DC8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7</w:t>
            </w:r>
          </w:p>
        </w:tc>
      </w:tr>
      <w:tr w:rsidR="0075093C" w:rsidRPr="00DE0AA0" w14:paraId="427D387D" w14:textId="77777777" w:rsidTr="00DE0AA0">
        <w:trPr>
          <w:trHeight w:val="187"/>
        </w:trPr>
        <w:tc>
          <w:tcPr>
            <w:tcW w:w="1923" w:type="pct"/>
            <w:tcBorders>
              <w:top w:val="nil"/>
              <w:left w:val="nil"/>
              <w:bottom w:val="single" w:sz="4" w:space="0" w:color="FFFFFF" w:themeColor="background1"/>
              <w:right w:val="nil"/>
            </w:tcBorders>
            <w:shd w:val="clear" w:color="000000" w:fill="FFFFFF"/>
            <w:noWrap/>
            <w:vAlign w:val="center"/>
            <w:hideMark/>
          </w:tcPr>
          <w:p w14:paraId="00034BF2" w14:textId="77777777" w:rsidR="0075093C" w:rsidRPr="00DE0AA0" w:rsidRDefault="00880207"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Total</w:t>
            </w:r>
          </w:p>
        </w:tc>
        <w:tc>
          <w:tcPr>
            <w:tcW w:w="482" w:type="pct"/>
            <w:tcBorders>
              <w:top w:val="nil"/>
              <w:left w:val="nil"/>
              <w:bottom w:val="single" w:sz="4" w:space="0" w:color="FFFFFF" w:themeColor="background1"/>
              <w:right w:val="nil"/>
            </w:tcBorders>
            <w:shd w:val="clear" w:color="000000" w:fill="FFFFFF"/>
            <w:noWrap/>
            <w:hideMark/>
          </w:tcPr>
          <w:p w14:paraId="19854168"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nil"/>
              <w:left w:val="nil"/>
              <w:bottom w:val="single" w:sz="4" w:space="0" w:color="FFFFFF" w:themeColor="background1"/>
              <w:right w:val="nil"/>
            </w:tcBorders>
            <w:shd w:val="clear" w:color="000000" w:fill="FFFFFF"/>
            <w:noWrap/>
            <w:vAlign w:val="center"/>
            <w:hideMark/>
          </w:tcPr>
          <w:p w14:paraId="282AF8F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267</w:t>
            </w:r>
          </w:p>
        </w:tc>
        <w:tc>
          <w:tcPr>
            <w:tcW w:w="443" w:type="pct"/>
            <w:tcBorders>
              <w:top w:val="nil"/>
              <w:left w:val="nil"/>
              <w:bottom w:val="single" w:sz="4" w:space="0" w:color="FFFFFF" w:themeColor="background1"/>
              <w:right w:val="nil"/>
            </w:tcBorders>
            <w:shd w:val="clear" w:color="000000" w:fill="FFFFFF"/>
            <w:noWrap/>
            <w:vAlign w:val="center"/>
            <w:hideMark/>
          </w:tcPr>
          <w:p w14:paraId="139EF125"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260</w:t>
            </w:r>
          </w:p>
        </w:tc>
        <w:tc>
          <w:tcPr>
            <w:tcW w:w="443" w:type="pct"/>
            <w:tcBorders>
              <w:top w:val="nil"/>
              <w:left w:val="nil"/>
              <w:bottom w:val="single" w:sz="4" w:space="0" w:color="FFFFFF" w:themeColor="background1"/>
              <w:right w:val="nil"/>
            </w:tcBorders>
            <w:shd w:val="clear" w:color="000000" w:fill="FFFFFF"/>
            <w:noWrap/>
            <w:vAlign w:val="center"/>
            <w:hideMark/>
          </w:tcPr>
          <w:p w14:paraId="5395D18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277</w:t>
            </w:r>
          </w:p>
        </w:tc>
        <w:tc>
          <w:tcPr>
            <w:tcW w:w="443" w:type="pct"/>
            <w:tcBorders>
              <w:top w:val="nil"/>
              <w:left w:val="nil"/>
              <w:bottom w:val="single" w:sz="4" w:space="0" w:color="FFFFFF" w:themeColor="background1"/>
              <w:right w:val="nil"/>
            </w:tcBorders>
            <w:shd w:val="clear" w:color="000000" w:fill="FFFFFF"/>
            <w:noWrap/>
            <w:vAlign w:val="center"/>
            <w:hideMark/>
          </w:tcPr>
          <w:p w14:paraId="3592EE69"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276</w:t>
            </w:r>
          </w:p>
        </w:tc>
        <w:tc>
          <w:tcPr>
            <w:tcW w:w="443" w:type="pct"/>
            <w:tcBorders>
              <w:top w:val="nil"/>
              <w:left w:val="nil"/>
              <w:bottom w:val="single" w:sz="4" w:space="0" w:color="FFFFFF" w:themeColor="background1"/>
              <w:right w:val="nil"/>
            </w:tcBorders>
            <w:shd w:val="clear" w:color="000000" w:fill="FFFFFF"/>
            <w:noWrap/>
            <w:vAlign w:val="center"/>
            <w:hideMark/>
          </w:tcPr>
          <w:p w14:paraId="60D0F847"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327</w:t>
            </w:r>
          </w:p>
        </w:tc>
        <w:tc>
          <w:tcPr>
            <w:tcW w:w="380" w:type="pct"/>
            <w:tcBorders>
              <w:top w:val="nil"/>
              <w:left w:val="nil"/>
              <w:bottom w:val="single" w:sz="4" w:space="0" w:color="FFFFFF" w:themeColor="background1"/>
              <w:right w:val="nil"/>
            </w:tcBorders>
            <w:shd w:val="clear" w:color="000000" w:fill="FFFFFF"/>
            <w:noWrap/>
            <w:vAlign w:val="center"/>
            <w:hideMark/>
          </w:tcPr>
          <w:p w14:paraId="4BD1963B"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1,407</w:t>
            </w:r>
          </w:p>
        </w:tc>
      </w:tr>
      <w:tr w:rsidR="0075093C" w:rsidRPr="00DE0AA0" w14:paraId="466D3855" w14:textId="77777777" w:rsidTr="00DE0AA0">
        <w:trPr>
          <w:trHeight w:val="187"/>
        </w:trPr>
        <w:tc>
          <w:tcPr>
            <w:tcW w:w="19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58ECF231" w14:textId="77777777" w:rsidR="0075093C" w:rsidRPr="00DE0AA0" w:rsidRDefault="00880207"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Non-collection rate</w:t>
            </w:r>
            <w:r w:rsidR="0075093C" w:rsidRPr="00DE0AA0">
              <w:rPr>
                <w:rFonts w:eastAsia="Times New Roman" w:cs="Calibri"/>
                <w:color w:val="000000"/>
                <w:sz w:val="20"/>
                <w:szCs w:val="20"/>
                <w:lang w:val="en-GB" w:eastAsia="en-GB"/>
              </w:rPr>
              <w:t xml:space="preserve"> (b+c)/a</w:t>
            </w: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1514396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43EA60E8"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5.0</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11948B3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4.1</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0AAE464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2.7</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5ACBD91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8.1</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5953BDB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2.3</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7CA0F894"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4.4</w:t>
            </w:r>
          </w:p>
        </w:tc>
      </w:tr>
      <w:tr w:rsidR="0075093C" w:rsidRPr="00DE0AA0" w14:paraId="0FCD6052" w14:textId="77777777" w:rsidTr="00DE0AA0">
        <w:trPr>
          <w:trHeight w:val="187"/>
        </w:trPr>
        <w:tc>
          <w:tcPr>
            <w:tcW w:w="19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6716E460" w14:textId="77777777" w:rsidR="0075093C" w:rsidRPr="00DE0AA0" w:rsidRDefault="0075093C" w:rsidP="00D65AC0">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 xml:space="preserve">d) </w:t>
            </w:r>
            <w:r w:rsidR="00D65AC0" w:rsidRPr="00DE0AA0">
              <w:rPr>
                <w:rFonts w:eastAsia="Times New Roman" w:cs="Calibri"/>
                <w:color w:val="000000"/>
                <w:sz w:val="20"/>
                <w:szCs w:val="20"/>
                <w:lang w:val="en-GB" w:eastAsia="en-GB"/>
              </w:rPr>
              <w:t>Discounted A/R</w:t>
            </w: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74442C5C"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mil€</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7666BE6E"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4.0</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5EA46949"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5.4</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646801F0"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2.3</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051F4E06"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8.6</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1D00FCFF"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3.3</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14:paraId="49F67AAF" w14:textId="77777777" w:rsidR="0075093C" w:rsidRPr="00DE0AA0" w:rsidRDefault="003A3FAA"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23.7</w:t>
            </w:r>
          </w:p>
        </w:tc>
      </w:tr>
      <w:tr w:rsidR="0075093C" w:rsidRPr="00DE0AA0" w14:paraId="4691E2FF" w14:textId="77777777" w:rsidTr="00DE0AA0">
        <w:trPr>
          <w:trHeight w:val="187"/>
        </w:trPr>
        <w:tc>
          <w:tcPr>
            <w:tcW w:w="19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54F4EDF9" w14:textId="77777777" w:rsidR="0075093C" w:rsidRPr="00DE0AA0" w:rsidRDefault="00D65AC0" w:rsidP="0075093C">
            <w:pPr>
              <w:spacing w:after="0" w:line="240" w:lineRule="auto"/>
              <w:rPr>
                <w:rFonts w:eastAsia="Times New Roman" w:cs="Calibri"/>
                <w:color w:val="000000"/>
                <w:sz w:val="20"/>
                <w:szCs w:val="20"/>
                <w:lang w:val="en-GB" w:eastAsia="en-GB"/>
              </w:rPr>
            </w:pPr>
            <w:r w:rsidRPr="00DE0AA0">
              <w:rPr>
                <w:rFonts w:eastAsia="Times New Roman" w:cs="Calibri"/>
                <w:color w:val="000000"/>
                <w:sz w:val="20"/>
                <w:szCs w:val="20"/>
                <w:lang w:val="en-GB" w:eastAsia="en-GB"/>
              </w:rPr>
              <w:t xml:space="preserve">Discounted </w:t>
            </w:r>
            <w:r w:rsidR="0075093C" w:rsidRPr="00DE0AA0">
              <w:rPr>
                <w:rFonts w:eastAsia="Times New Roman" w:cs="Calibri"/>
                <w:color w:val="000000"/>
                <w:sz w:val="20"/>
                <w:szCs w:val="20"/>
                <w:lang w:val="en-GB" w:eastAsia="en-GB"/>
              </w:rPr>
              <w:t xml:space="preserve"> </w:t>
            </w:r>
            <w:r w:rsidRPr="00DE0AA0">
              <w:rPr>
                <w:rFonts w:eastAsia="Times New Roman" w:cs="Calibri"/>
                <w:color w:val="000000"/>
                <w:sz w:val="20"/>
                <w:szCs w:val="20"/>
                <w:lang w:val="en-GB" w:eastAsia="en-GB"/>
              </w:rPr>
              <w:t>A</w:t>
            </w:r>
            <w:r w:rsidR="0075093C" w:rsidRPr="00DE0AA0">
              <w:rPr>
                <w:rFonts w:eastAsia="Times New Roman" w:cs="Calibri"/>
                <w:color w:val="000000"/>
                <w:sz w:val="20"/>
                <w:szCs w:val="20"/>
                <w:lang w:val="en-GB" w:eastAsia="en-GB"/>
              </w:rPr>
              <w:t>/</w:t>
            </w:r>
            <w:r w:rsidRPr="00DE0AA0">
              <w:rPr>
                <w:rFonts w:eastAsia="Times New Roman" w:cs="Calibri"/>
                <w:color w:val="000000"/>
                <w:sz w:val="20"/>
                <w:szCs w:val="20"/>
                <w:lang w:val="en-GB" w:eastAsia="en-GB"/>
              </w:rPr>
              <w:t>R</w:t>
            </w:r>
            <w:r w:rsidR="0075093C" w:rsidRPr="00DE0AA0">
              <w:rPr>
                <w:rFonts w:eastAsia="Times New Roman" w:cs="Calibri"/>
                <w:color w:val="000000"/>
                <w:sz w:val="20"/>
                <w:szCs w:val="20"/>
                <w:lang w:val="en-GB" w:eastAsia="en-GB"/>
              </w:rPr>
              <w:t xml:space="preserve"> d/a</w:t>
            </w: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535A4E89"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4A83B8E2"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1.5</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3A588B25"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2.1</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71DEEA7F"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0.8</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0FD70519"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3.0</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46EB4668" w14:textId="77777777" w:rsidR="0075093C" w:rsidRPr="00DE0AA0" w:rsidRDefault="0075093C"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1.0</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14:paraId="4AF8D1B5" w14:textId="77777777" w:rsidR="0075093C" w:rsidRPr="00DE0AA0" w:rsidRDefault="003A3FAA" w:rsidP="0075093C">
            <w:pPr>
              <w:spacing w:after="0" w:line="240" w:lineRule="auto"/>
              <w:jc w:val="center"/>
              <w:rPr>
                <w:rFonts w:eastAsia="Times New Roman" w:cs="Calibri"/>
                <w:color w:val="000000"/>
                <w:sz w:val="20"/>
                <w:szCs w:val="20"/>
                <w:lang w:val="en-GB" w:eastAsia="en-GB"/>
              </w:rPr>
            </w:pPr>
            <w:r w:rsidRPr="00DE0AA0">
              <w:rPr>
                <w:rFonts w:eastAsia="Times New Roman" w:cs="Calibri"/>
                <w:color w:val="000000"/>
                <w:sz w:val="20"/>
                <w:szCs w:val="20"/>
                <w:lang w:val="en-GB" w:eastAsia="en-GB"/>
              </w:rPr>
              <w:t>1.7</w:t>
            </w:r>
          </w:p>
        </w:tc>
      </w:tr>
    </w:tbl>
    <w:p w14:paraId="65BE2D19" w14:textId="77777777" w:rsidR="0075093C" w:rsidRPr="00DE0AA0" w:rsidRDefault="001D27F1" w:rsidP="001D27F1">
      <w:pPr>
        <w:rPr>
          <w:i/>
          <w:lang w:val="en-GB"/>
        </w:rPr>
      </w:pPr>
      <w:r w:rsidRPr="00DE0AA0">
        <w:rPr>
          <w:i/>
          <w:lang w:val="en-GB"/>
        </w:rPr>
        <w:t>*</w:t>
      </w:r>
      <w:r w:rsidR="00D65AC0" w:rsidRPr="00DE0AA0">
        <w:rPr>
          <w:i/>
          <w:lang w:val="en-GB"/>
        </w:rPr>
        <w:t>The data is for the period January-August</w:t>
      </w:r>
      <w:r w:rsidRPr="00DE0AA0">
        <w:rPr>
          <w:i/>
          <w:lang w:val="en-GB"/>
        </w:rPr>
        <w:t xml:space="preserve"> 2021</w:t>
      </w:r>
    </w:p>
    <w:p w14:paraId="4BD4F777" w14:textId="77777777" w:rsidR="0075093C" w:rsidRPr="00DE0AA0" w:rsidRDefault="00A242FD" w:rsidP="00334F76">
      <w:pPr>
        <w:pStyle w:val="Heading4"/>
        <w:spacing w:after="240"/>
        <w:rPr>
          <w:lang w:val="en-GB"/>
        </w:rPr>
      </w:pPr>
      <w:bookmarkStart w:id="11" w:name="_Toc89262429"/>
      <w:r w:rsidRPr="00DE0AA0">
        <w:rPr>
          <w:lang w:val="en-GB"/>
        </w:rPr>
        <w:t>Analysis of the evaluation of deregulation</w:t>
      </w:r>
      <w:bookmarkEnd w:id="11"/>
    </w:p>
    <w:p w14:paraId="442672D6" w14:textId="77777777" w:rsidR="0075093C" w:rsidRPr="00DE0AA0" w:rsidRDefault="00BE4A7E" w:rsidP="009277F3">
      <w:pPr>
        <w:jc w:val="both"/>
        <w:rPr>
          <w:lang w:val="en-GB"/>
        </w:rPr>
      </w:pPr>
      <w:r w:rsidRPr="00DE0AA0">
        <w:rPr>
          <w:lang w:val="en-GB"/>
        </w:rPr>
        <w:t xml:space="preserve">It is reasonable to expect that the exit of larger and regular paying customers to the open market will lead to an increase in the rate of bad debts for </w:t>
      </w:r>
      <w:r w:rsidR="00CA7877" w:rsidRPr="00DE0AA0">
        <w:rPr>
          <w:lang w:val="en-GB"/>
        </w:rPr>
        <w:t>USS</w:t>
      </w:r>
      <w:r w:rsidRPr="00DE0AA0">
        <w:rPr>
          <w:lang w:val="en-GB"/>
        </w:rPr>
        <w:t xml:space="preserve">, as the composition of customer categories changes. However, </w:t>
      </w:r>
      <w:r w:rsidR="000B4A67" w:rsidRPr="00DE0AA0">
        <w:rPr>
          <w:lang w:val="en-GB"/>
        </w:rPr>
        <w:t xml:space="preserve">it is difficult to ascertain the </w:t>
      </w:r>
      <w:r w:rsidRPr="00DE0AA0">
        <w:rPr>
          <w:lang w:val="en-GB"/>
        </w:rPr>
        <w:t xml:space="preserve">magnitude of this impact. The calculations provided by KESCO do not explain the </w:t>
      </w:r>
      <w:r w:rsidR="000B4A67" w:rsidRPr="00DE0AA0">
        <w:rPr>
          <w:lang w:val="en-GB"/>
        </w:rPr>
        <w:t>fundamental</w:t>
      </w:r>
      <w:r w:rsidRPr="00DE0AA0">
        <w:rPr>
          <w:lang w:val="en-GB"/>
        </w:rPr>
        <w:t xml:space="preserve"> assumptions </w:t>
      </w:r>
      <w:r w:rsidR="00D51F06" w:rsidRPr="00DE0AA0">
        <w:rPr>
          <w:lang w:val="en-GB"/>
        </w:rPr>
        <w:t>therefore</w:t>
      </w:r>
      <w:r w:rsidRPr="00DE0AA0">
        <w:rPr>
          <w:lang w:val="en-GB"/>
        </w:rPr>
        <w:t xml:space="preserve"> cannot be verified. They also show that the impact of deregulation decreases over time, </w:t>
      </w:r>
      <w:r w:rsidR="0069595C" w:rsidRPr="00DE0AA0">
        <w:rPr>
          <w:lang w:val="en-GB"/>
        </w:rPr>
        <w:t>whereas the increase of the level of customers switching</w:t>
      </w:r>
      <w:r w:rsidRPr="00DE0AA0">
        <w:rPr>
          <w:lang w:val="en-GB"/>
        </w:rPr>
        <w:t xml:space="preserve"> would intuitively lead to an increasing impact on bad debt levels.</w:t>
      </w:r>
    </w:p>
    <w:p w14:paraId="12105715" w14:textId="77777777" w:rsidR="0075093C" w:rsidRPr="00DE0AA0" w:rsidRDefault="00E7088F" w:rsidP="009277F3">
      <w:pPr>
        <w:jc w:val="both"/>
        <w:rPr>
          <w:lang w:val="en-GB"/>
        </w:rPr>
      </w:pPr>
      <w:r w:rsidRPr="00DE0AA0">
        <w:rPr>
          <w:lang w:val="en-GB"/>
        </w:rPr>
        <w:t xml:space="preserve">In an </w:t>
      </w:r>
      <w:r w:rsidR="00264BE9" w:rsidRPr="00DE0AA0">
        <w:rPr>
          <w:lang w:val="en-GB"/>
        </w:rPr>
        <w:t>effort</w:t>
      </w:r>
      <w:r w:rsidRPr="00DE0AA0">
        <w:rPr>
          <w:lang w:val="en-GB"/>
        </w:rPr>
        <w:t xml:space="preserve"> to approximate the effect of customer deregulation, in line with ERO's latest Guideline on Liberalization of Electricity Market, ERO </w:t>
      </w:r>
      <w:r w:rsidR="00264BE9" w:rsidRPr="00DE0AA0">
        <w:rPr>
          <w:lang w:val="en-GB"/>
        </w:rPr>
        <w:t xml:space="preserve">required </w:t>
      </w:r>
      <w:r w:rsidR="005C09B5" w:rsidRPr="00DE0AA0">
        <w:rPr>
          <w:lang w:val="en-GB"/>
        </w:rPr>
        <w:t>from KESCO</w:t>
      </w:r>
      <w:r w:rsidRPr="00DE0AA0">
        <w:rPr>
          <w:lang w:val="en-GB"/>
        </w:rPr>
        <w:t xml:space="preserve"> to provide data on billing and collection rates for voltage levels (35 kV, 10 kV and 0.4 kV).</w:t>
      </w:r>
    </w:p>
    <w:p w14:paraId="17E98438" w14:textId="77777777" w:rsidR="0075093C" w:rsidRPr="00DE0AA0" w:rsidRDefault="005C09B5" w:rsidP="009277F3">
      <w:pPr>
        <w:jc w:val="both"/>
        <w:rPr>
          <w:lang w:val="en-GB"/>
        </w:rPr>
      </w:pPr>
      <w:r w:rsidRPr="00DE0AA0">
        <w:rPr>
          <w:lang w:val="en-GB"/>
        </w:rPr>
        <w:t xml:space="preserve">An accurate calculation of the impact of deregulation on collection rate of USS would require, among others, an identification of the number of customers connected to the 35 kV and 10 kV networks which qualify for the criteria referred to in Article 37.2 of the Law </w:t>
      </w:r>
      <w:r w:rsidR="004E7859" w:rsidRPr="00DE0AA0">
        <w:rPr>
          <w:lang w:val="en-GB"/>
        </w:rPr>
        <w:t>on Electricity</w:t>
      </w:r>
      <w:r w:rsidRPr="00DE0AA0">
        <w:rPr>
          <w:lang w:val="en-GB"/>
        </w:rPr>
        <w:t xml:space="preserve">. </w:t>
      </w:r>
      <w:r w:rsidR="009C0E16" w:rsidRPr="00DE0AA0">
        <w:rPr>
          <w:lang w:val="en-GB"/>
        </w:rPr>
        <w:t xml:space="preserve">Due to the lack of </w:t>
      </w:r>
      <w:r w:rsidRPr="00DE0AA0">
        <w:rPr>
          <w:lang w:val="en-GB"/>
        </w:rPr>
        <w:t>such data, for the purpose</w:t>
      </w:r>
      <w:r w:rsidR="004E7859" w:rsidRPr="00DE0AA0">
        <w:rPr>
          <w:lang w:val="en-GB"/>
        </w:rPr>
        <w:t>s</w:t>
      </w:r>
      <w:r w:rsidRPr="00DE0AA0">
        <w:rPr>
          <w:lang w:val="en-GB"/>
        </w:rPr>
        <w:t xml:space="preserve"> of this review, ERO has assumed that none of the customers at the 35 kV and 10 kV levels </w:t>
      </w:r>
      <w:r w:rsidR="00F948C5" w:rsidRPr="00DE0AA0">
        <w:rPr>
          <w:lang w:val="en-GB"/>
        </w:rPr>
        <w:t>fulfil</w:t>
      </w:r>
      <w:r w:rsidRPr="00DE0AA0">
        <w:rPr>
          <w:lang w:val="en-GB"/>
        </w:rPr>
        <w:t xml:space="preserve"> these criteria and - therefore </w:t>
      </w:r>
      <w:r w:rsidR="00EA3868" w:rsidRPr="00DE0AA0">
        <w:rPr>
          <w:lang w:val="en-GB"/>
        </w:rPr>
        <w:t>–</w:t>
      </w:r>
      <w:r w:rsidRPr="00DE0AA0">
        <w:rPr>
          <w:lang w:val="en-GB"/>
        </w:rPr>
        <w:t xml:space="preserve"> </w:t>
      </w:r>
      <w:r w:rsidR="00EA3868" w:rsidRPr="00DE0AA0">
        <w:rPr>
          <w:lang w:val="en-GB"/>
        </w:rPr>
        <w:t>are all</w:t>
      </w:r>
      <w:r w:rsidRPr="00DE0AA0">
        <w:rPr>
          <w:lang w:val="en-GB"/>
        </w:rPr>
        <w:t xml:space="preserve"> subject to deregulation. The calculation of the resulting collection rates and the </w:t>
      </w:r>
      <w:r w:rsidR="00DC5EE1" w:rsidRPr="00DE0AA0">
        <w:rPr>
          <w:lang w:val="en-GB"/>
        </w:rPr>
        <w:t>changes in percentage points</w:t>
      </w:r>
      <w:r w:rsidRPr="00DE0AA0">
        <w:rPr>
          <w:lang w:val="en-GB"/>
        </w:rPr>
        <w:t xml:space="preserve"> from the 2019 levels are presented in Table 4, below.</w:t>
      </w:r>
    </w:p>
    <w:p w14:paraId="748205AC" w14:textId="77777777" w:rsidR="00820A8B" w:rsidRPr="00DE0AA0" w:rsidRDefault="00820A8B" w:rsidP="009277F3">
      <w:pPr>
        <w:jc w:val="both"/>
        <w:rPr>
          <w:lang w:val="en-GB"/>
        </w:rPr>
      </w:pPr>
    </w:p>
    <w:p w14:paraId="3B209391" w14:textId="77777777" w:rsidR="00820A8B" w:rsidRPr="00DE0AA0" w:rsidRDefault="00820A8B" w:rsidP="009277F3">
      <w:pPr>
        <w:jc w:val="both"/>
        <w:rPr>
          <w:lang w:val="en-GB"/>
        </w:rPr>
      </w:pPr>
    </w:p>
    <w:p w14:paraId="6BC9F3B8" w14:textId="77777777" w:rsidR="0075093C" w:rsidRPr="00DE0AA0" w:rsidRDefault="00585593" w:rsidP="0075093C">
      <w:pPr>
        <w:pStyle w:val="Caption"/>
      </w:pPr>
      <w:r w:rsidRPr="00DE0AA0">
        <w:lastRenderedPageBreak/>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5</w:t>
      </w:r>
      <w:r w:rsidR="0075093C" w:rsidRPr="00DE0AA0">
        <w:fldChar w:fldCharType="end"/>
      </w:r>
      <w:r w:rsidR="0075093C" w:rsidRPr="00DE0AA0">
        <w:t xml:space="preserve"> Ef</w:t>
      </w:r>
      <w:r w:rsidRPr="00DE0AA0">
        <w:t xml:space="preserve">fects of deregulation on </w:t>
      </w:r>
      <w:r w:rsidR="00EF478F" w:rsidRPr="00DE0AA0">
        <w:t>collection rates</w:t>
      </w:r>
    </w:p>
    <w:tbl>
      <w:tblPr>
        <w:tblW w:w="5000" w:type="pct"/>
        <w:tblLook w:val="04A0" w:firstRow="1" w:lastRow="0" w:firstColumn="1" w:lastColumn="0" w:noHBand="0" w:noVBand="1"/>
      </w:tblPr>
      <w:tblGrid>
        <w:gridCol w:w="6610"/>
        <w:gridCol w:w="1131"/>
        <w:gridCol w:w="1619"/>
      </w:tblGrid>
      <w:tr w:rsidR="0075093C" w:rsidRPr="00DE0AA0" w14:paraId="222216DF" w14:textId="77777777" w:rsidTr="00DE0AA0">
        <w:trPr>
          <w:trHeight w:val="408"/>
        </w:trPr>
        <w:tc>
          <w:tcPr>
            <w:tcW w:w="3530" w:type="pct"/>
            <w:vMerge w:val="restart"/>
            <w:tcBorders>
              <w:top w:val="nil"/>
              <w:left w:val="nil"/>
              <w:bottom w:val="nil"/>
              <w:right w:val="nil"/>
            </w:tcBorders>
            <w:shd w:val="clear" w:color="000000" w:fill="1F4E78"/>
            <w:noWrap/>
            <w:vAlign w:val="center"/>
            <w:hideMark/>
          </w:tcPr>
          <w:p w14:paraId="3D97D613" w14:textId="77777777" w:rsidR="0075093C" w:rsidRPr="00DE0AA0" w:rsidRDefault="00EF478F" w:rsidP="00EF478F">
            <w:pPr>
              <w:spacing w:after="0" w:line="240" w:lineRule="auto"/>
              <w:rPr>
                <w:rFonts w:ascii="Calibri (Body)" w:eastAsia="Times New Roman" w:hAnsi="Calibri (Body)" w:cs="Times New Roman"/>
                <w:color w:val="FFFFFF"/>
                <w:sz w:val="20"/>
                <w:szCs w:val="20"/>
                <w:lang w:val="en-GB"/>
              </w:rPr>
            </w:pPr>
            <w:r w:rsidRPr="00DE0AA0">
              <w:rPr>
                <w:rFonts w:ascii="Calibri (Body)" w:eastAsia="Times New Roman" w:hAnsi="Calibri (Body)" w:cs="Times New Roman"/>
                <w:color w:val="FFFFFF"/>
                <w:sz w:val="20"/>
                <w:szCs w:val="20"/>
                <w:lang w:val="en-GB"/>
              </w:rPr>
              <w:t>The effect of deregulation</w:t>
            </w:r>
            <w:r w:rsidR="0075093C" w:rsidRPr="00DE0AA0">
              <w:rPr>
                <w:rFonts w:ascii="Calibri (Body)" w:eastAsia="Times New Roman" w:hAnsi="Calibri (Body)" w:cs="Times New Roman"/>
                <w:color w:val="FFFFFF"/>
                <w:sz w:val="20"/>
                <w:szCs w:val="20"/>
                <w:lang w:val="en-GB"/>
              </w:rPr>
              <w:t xml:space="preserve"> (</w:t>
            </w:r>
            <w:r w:rsidRPr="00DE0AA0">
              <w:rPr>
                <w:rFonts w:ascii="Calibri (Body)" w:eastAsia="Times New Roman" w:hAnsi="Calibri (Body)" w:cs="Times New Roman"/>
                <w:color w:val="FFFFFF"/>
                <w:sz w:val="20"/>
                <w:szCs w:val="20"/>
                <w:lang w:val="en-GB"/>
              </w:rPr>
              <w:t>Data of 2019</w:t>
            </w:r>
            <w:r w:rsidR="0075093C" w:rsidRPr="00DE0AA0">
              <w:rPr>
                <w:rFonts w:ascii="Calibri (Body)" w:eastAsia="Times New Roman" w:hAnsi="Calibri (Body)" w:cs="Times New Roman"/>
                <w:color w:val="FFFFFF"/>
                <w:sz w:val="20"/>
                <w:szCs w:val="20"/>
                <w:lang w:val="en-GB"/>
              </w:rPr>
              <w:t>)</w:t>
            </w:r>
          </w:p>
        </w:tc>
        <w:tc>
          <w:tcPr>
            <w:tcW w:w="604" w:type="pct"/>
            <w:vMerge w:val="restart"/>
            <w:tcBorders>
              <w:top w:val="nil"/>
              <w:left w:val="nil"/>
              <w:bottom w:val="nil"/>
              <w:right w:val="nil"/>
            </w:tcBorders>
            <w:shd w:val="clear" w:color="000000" w:fill="1F4E78"/>
            <w:vAlign w:val="center"/>
            <w:hideMark/>
          </w:tcPr>
          <w:p w14:paraId="04FC770A" w14:textId="77777777" w:rsidR="0075093C" w:rsidRPr="00DE0AA0" w:rsidRDefault="00EF478F" w:rsidP="00EF478F">
            <w:pPr>
              <w:spacing w:after="0" w:line="240" w:lineRule="auto"/>
              <w:jc w:val="center"/>
              <w:rPr>
                <w:rFonts w:ascii="Calibri (Body)" w:eastAsia="Times New Roman" w:hAnsi="Calibri (Body)" w:cs="Times New Roman"/>
                <w:color w:val="FFFFFF"/>
                <w:sz w:val="20"/>
                <w:szCs w:val="20"/>
                <w:lang w:val="en-GB"/>
              </w:rPr>
            </w:pPr>
            <w:r w:rsidRPr="00DE0AA0">
              <w:rPr>
                <w:rFonts w:ascii="Calibri (Body)" w:eastAsia="Times New Roman" w:hAnsi="Calibri (Body)" w:cs="Times New Roman"/>
                <w:color w:val="FFFFFF"/>
                <w:sz w:val="20"/>
                <w:szCs w:val="20"/>
                <w:lang w:val="en-GB"/>
              </w:rPr>
              <w:t>Collection</w:t>
            </w:r>
            <w:r w:rsidR="0075093C" w:rsidRPr="00DE0AA0">
              <w:rPr>
                <w:rFonts w:ascii="Calibri (Body)" w:eastAsia="Times New Roman" w:hAnsi="Calibri (Body)" w:cs="Times New Roman"/>
                <w:color w:val="FFFFFF"/>
                <w:sz w:val="20"/>
                <w:szCs w:val="20"/>
                <w:lang w:val="en-GB"/>
              </w:rPr>
              <w:t xml:space="preserve"> </w:t>
            </w:r>
            <w:r w:rsidRPr="00DE0AA0">
              <w:rPr>
                <w:rFonts w:ascii="Calibri (Body)" w:eastAsia="Times New Roman" w:hAnsi="Calibri (Body)" w:cs="Times New Roman"/>
                <w:color w:val="FFFFFF"/>
                <w:sz w:val="20"/>
                <w:szCs w:val="20"/>
                <w:lang w:val="en-GB"/>
              </w:rPr>
              <w:t>Rate</w:t>
            </w:r>
          </w:p>
        </w:tc>
        <w:tc>
          <w:tcPr>
            <w:tcW w:w="865" w:type="pct"/>
            <w:vMerge w:val="restart"/>
            <w:tcBorders>
              <w:top w:val="nil"/>
              <w:left w:val="nil"/>
              <w:bottom w:val="nil"/>
              <w:right w:val="nil"/>
            </w:tcBorders>
            <w:shd w:val="clear" w:color="000000" w:fill="1F4E78"/>
            <w:vAlign w:val="center"/>
            <w:hideMark/>
          </w:tcPr>
          <w:p w14:paraId="646F6FD4" w14:textId="7173AA21" w:rsidR="0075093C" w:rsidRPr="00DE0AA0" w:rsidRDefault="00B44B95" w:rsidP="0075093C">
            <w:pPr>
              <w:spacing w:after="0" w:line="240" w:lineRule="auto"/>
              <w:jc w:val="center"/>
              <w:rPr>
                <w:rFonts w:ascii="Calibri (Body)" w:eastAsia="Times New Roman" w:hAnsi="Calibri (Body)" w:cs="Times New Roman"/>
                <w:color w:val="FFFFFF"/>
                <w:sz w:val="20"/>
                <w:szCs w:val="20"/>
                <w:lang w:val="en-GB"/>
              </w:rPr>
            </w:pPr>
            <w:r>
              <w:rPr>
                <w:rFonts w:ascii="Calibri (Body)" w:eastAsia="Times New Roman" w:hAnsi="Calibri (Body)" w:cs="Times New Roman"/>
                <w:color w:val="FFFFFF"/>
                <w:sz w:val="20"/>
                <w:szCs w:val="20"/>
                <w:lang w:val="en-GB"/>
              </w:rPr>
              <w:t>D</w:t>
            </w:r>
            <w:r w:rsidR="00EF478F" w:rsidRPr="00DE0AA0">
              <w:rPr>
                <w:rFonts w:ascii="Calibri (Body)" w:eastAsia="Times New Roman" w:hAnsi="Calibri (Body)" w:cs="Times New Roman"/>
                <w:color w:val="FFFFFF"/>
                <w:sz w:val="20"/>
                <w:szCs w:val="20"/>
                <w:lang w:val="en-GB"/>
              </w:rPr>
              <w:t xml:space="preserve">ifference in </w:t>
            </w:r>
            <w:r w:rsidR="0075093C" w:rsidRPr="00DE0AA0">
              <w:rPr>
                <w:rFonts w:ascii="Calibri (Body)" w:eastAsia="Times New Roman" w:hAnsi="Calibri (Body)" w:cs="Times New Roman"/>
                <w:color w:val="FFFFFF"/>
                <w:sz w:val="20"/>
                <w:szCs w:val="20"/>
                <w:lang w:val="en-GB"/>
              </w:rPr>
              <w:t>%</w:t>
            </w:r>
            <w:r w:rsidR="00EF478F" w:rsidRPr="00DE0AA0">
              <w:rPr>
                <w:rFonts w:ascii="Calibri (Body)" w:eastAsia="Times New Roman" w:hAnsi="Calibri (Body)" w:cs="Times New Roman"/>
                <w:color w:val="FFFFFF"/>
                <w:sz w:val="20"/>
                <w:szCs w:val="20"/>
                <w:lang w:val="en-GB"/>
              </w:rPr>
              <w:t xml:space="preserve"> points</w:t>
            </w:r>
          </w:p>
        </w:tc>
      </w:tr>
      <w:tr w:rsidR="0075093C" w:rsidRPr="00DE0AA0" w14:paraId="219977C7" w14:textId="77777777" w:rsidTr="00DE0AA0">
        <w:trPr>
          <w:trHeight w:val="408"/>
        </w:trPr>
        <w:tc>
          <w:tcPr>
            <w:tcW w:w="3530" w:type="pct"/>
            <w:vMerge/>
            <w:tcBorders>
              <w:top w:val="nil"/>
              <w:left w:val="nil"/>
              <w:right w:val="nil"/>
            </w:tcBorders>
            <w:vAlign w:val="center"/>
            <w:hideMark/>
          </w:tcPr>
          <w:p w14:paraId="10D43059" w14:textId="77777777" w:rsidR="0075093C" w:rsidRPr="00DE0AA0" w:rsidRDefault="0075093C" w:rsidP="0075093C">
            <w:pPr>
              <w:spacing w:after="0" w:line="240" w:lineRule="auto"/>
              <w:rPr>
                <w:rFonts w:ascii="Calibri (Body)" w:eastAsia="Times New Roman" w:hAnsi="Calibri (Body)" w:cs="Times New Roman"/>
                <w:color w:val="FFFFFF"/>
                <w:sz w:val="20"/>
                <w:szCs w:val="20"/>
                <w:lang w:val="en-GB"/>
              </w:rPr>
            </w:pPr>
          </w:p>
        </w:tc>
        <w:tc>
          <w:tcPr>
            <w:tcW w:w="604" w:type="pct"/>
            <w:vMerge/>
            <w:tcBorders>
              <w:top w:val="nil"/>
              <w:left w:val="nil"/>
              <w:right w:val="nil"/>
            </w:tcBorders>
            <w:vAlign w:val="center"/>
            <w:hideMark/>
          </w:tcPr>
          <w:p w14:paraId="374F76D0" w14:textId="77777777" w:rsidR="0075093C" w:rsidRPr="00DE0AA0" w:rsidRDefault="0075093C" w:rsidP="0075093C">
            <w:pPr>
              <w:spacing w:after="0" w:line="240" w:lineRule="auto"/>
              <w:rPr>
                <w:rFonts w:ascii="Calibri (Body)" w:eastAsia="Times New Roman" w:hAnsi="Calibri (Body)" w:cs="Times New Roman"/>
                <w:color w:val="FFFFFF"/>
                <w:sz w:val="20"/>
                <w:szCs w:val="20"/>
                <w:lang w:val="en-GB"/>
              </w:rPr>
            </w:pPr>
          </w:p>
        </w:tc>
        <w:tc>
          <w:tcPr>
            <w:tcW w:w="865" w:type="pct"/>
            <w:vMerge/>
            <w:tcBorders>
              <w:top w:val="nil"/>
              <w:left w:val="nil"/>
              <w:right w:val="nil"/>
            </w:tcBorders>
            <w:vAlign w:val="center"/>
            <w:hideMark/>
          </w:tcPr>
          <w:p w14:paraId="7E8DD10A" w14:textId="77777777" w:rsidR="0075093C" w:rsidRPr="00DE0AA0" w:rsidRDefault="0075093C" w:rsidP="0075093C">
            <w:pPr>
              <w:spacing w:after="0" w:line="240" w:lineRule="auto"/>
              <w:rPr>
                <w:rFonts w:ascii="Calibri (Body)" w:eastAsia="Times New Roman" w:hAnsi="Calibri (Body)" w:cs="Times New Roman"/>
                <w:color w:val="FFFFFF"/>
                <w:sz w:val="20"/>
                <w:szCs w:val="20"/>
                <w:lang w:val="en-GB"/>
              </w:rPr>
            </w:pPr>
          </w:p>
        </w:tc>
      </w:tr>
      <w:tr w:rsidR="0075093C" w:rsidRPr="00DE0AA0" w14:paraId="2A27677D" w14:textId="77777777" w:rsidTr="00DE0AA0">
        <w:trPr>
          <w:trHeight w:val="360"/>
        </w:trPr>
        <w:tc>
          <w:tcPr>
            <w:tcW w:w="3530" w:type="pct"/>
            <w:tcBorders>
              <w:top w:val="nil"/>
              <w:left w:val="nil"/>
              <w:bottom w:val="single" w:sz="4" w:space="0" w:color="auto"/>
              <w:right w:val="nil"/>
            </w:tcBorders>
            <w:shd w:val="clear" w:color="auto" w:fill="auto"/>
            <w:noWrap/>
            <w:vAlign w:val="bottom"/>
            <w:hideMark/>
          </w:tcPr>
          <w:p w14:paraId="1794CC9C" w14:textId="77777777" w:rsidR="0075093C" w:rsidRPr="00DE0AA0" w:rsidRDefault="00EF478F" w:rsidP="00EF478F">
            <w:pPr>
              <w:spacing w:after="0" w:line="240" w:lineRule="auto"/>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 xml:space="preserve">Average </w:t>
            </w:r>
            <w:r w:rsidR="0075093C" w:rsidRPr="00DE0AA0">
              <w:rPr>
                <w:rFonts w:ascii="Calibri (Body)" w:eastAsia="Times New Roman" w:hAnsi="Calibri (Body)" w:cs="Times New Roman"/>
                <w:color w:val="000000"/>
                <w:sz w:val="20"/>
                <w:szCs w:val="20"/>
                <w:lang w:val="en-GB"/>
              </w:rPr>
              <w:t xml:space="preserve">35, 10 </w:t>
            </w:r>
            <w:r w:rsidRPr="00DE0AA0">
              <w:rPr>
                <w:rFonts w:ascii="Calibri (Body)" w:eastAsia="Times New Roman" w:hAnsi="Calibri (Body)" w:cs="Times New Roman"/>
                <w:color w:val="000000"/>
                <w:sz w:val="20"/>
                <w:szCs w:val="20"/>
                <w:lang w:val="en-GB"/>
              </w:rPr>
              <w:t xml:space="preserve">and </w:t>
            </w:r>
            <w:r w:rsidR="0075093C" w:rsidRPr="00DE0AA0">
              <w:rPr>
                <w:rFonts w:ascii="Calibri (Body)" w:eastAsia="Times New Roman" w:hAnsi="Calibri (Body)" w:cs="Times New Roman"/>
                <w:color w:val="000000"/>
                <w:sz w:val="20"/>
                <w:szCs w:val="20"/>
                <w:lang w:val="en-GB"/>
              </w:rPr>
              <w:t>0.4 kV</w:t>
            </w:r>
          </w:p>
        </w:tc>
        <w:tc>
          <w:tcPr>
            <w:tcW w:w="604" w:type="pct"/>
            <w:tcBorders>
              <w:top w:val="nil"/>
              <w:left w:val="nil"/>
              <w:bottom w:val="single" w:sz="4" w:space="0" w:color="auto"/>
              <w:right w:val="nil"/>
            </w:tcBorders>
            <w:shd w:val="clear" w:color="auto" w:fill="auto"/>
            <w:noWrap/>
            <w:vAlign w:val="bottom"/>
            <w:hideMark/>
          </w:tcPr>
          <w:p w14:paraId="427A42CE" w14:textId="77777777" w:rsidR="0075093C" w:rsidRPr="00DE0AA0" w:rsidRDefault="0075093C" w:rsidP="0075093C">
            <w:pPr>
              <w:spacing w:after="0" w:line="240" w:lineRule="auto"/>
              <w:jc w:val="center"/>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98.31%</w:t>
            </w:r>
          </w:p>
        </w:tc>
        <w:tc>
          <w:tcPr>
            <w:tcW w:w="865" w:type="pct"/>
            <w:tcBorders>
              <w:top w:val="nil"/>
              <w:left w:val="nil"/>
              <w:bottom w:val="single" w:sz="4" w:space="0" w:color="auto"/>
              <w:right w:val="nil"/>
            </w:tcBorders>
            <w:shd w:val="clear" w:color="auto" w:fill="auto"/>
            <w:noWrap/>
            <w:vAlign w:val="bottom"/>
            <w:hideMark/>
          </w:tcPr>
          <w:p w14:paraId="6761B346" w14:textId="77777777" w:rsidR="0075093C" w:rsidRPr="00DE0AA0" w:rsidRDefault="0075093C" w:rsidP="0075093C">
            <w:pPr>
              <w:spacing w:after="0" w:line="240" w:lineRule="auto"/>
              <w:jc w:val="center"/>
              <w:rPr>
                <w:rFonts w:ascii="Calibri (Body)" w:eastAsia="Times New Roman" w:hAnsi="Calibri (Body)" w:cs="Times New Roman"/>
                <w:color w:val="000000"/>
                <w:sz w:val="20"/>
                <w:szCs w:val="20"/>
                <w:lang w:val="en-GB"/>
              </w:rPr>
            </w:pPr>
          </w:p>
        </w:tc>
      </w:tr>
      <w:tr w:rsidR="0075093C" w:rsidRPr="00DE0AA0" w14:paraId="73CD826A" w14:textId="77777777" w:rsidTr="00DE0AA0">
        <w:trPr>
          <w:trHeight w:val="360"/>
        </w:trPr>
        <w:tc>
          <w:tcPr>
            <w:tcW w:w="3530" w:type="pct"/>
            <w:tcBorders>
              <w:top w:val="single" w:sz="4" w:space="0" w:color="auto"/>
              <w:left w:val="nil"/>
              <w:bottom w:val="single" w:sz="4" w:space="0" w:color="auto"/>
              <w:right w:val="nil"/>
            </w:tcBorders>
            <w:shd w:val="clear" w:color="auto" w:fill="auto"/>
            <w:noWrap/>
            <w:vAlign w:val="bottom"/>
            <w:hideMark/>
          </w:tcPr>
          <w:p w14:paraId="44B9DED5" w14:textId="77777777" w:rsidR="0075093C" w:rsidRPr="00DE0AA0" w:rsidRDefault="00EA7BD3" w:rsidP="00EA7BD3">
            <w:pPr>
              <w:spacing w:after="0" w:line="240" w:lineRule="auto"/>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 xml:space="preserve">Average </w:t>
            </w:r>
            <w:r w:rsidR="0075093C" w:rsidRPr="00DE0AA0">
              <w:rPr>
                <w:rFonts w:ascii="Calibri (Body)" w:eastAsia="Times New Roman" w:hAnsi="Calibri (Body)" w:cs="Times New Roman"/>
                <w:color w:val="000000"/>
                <w:sz w:val="20"/>
                <w:szCs w:val="20"/>
                <w:lang w:val="en-GB"/>
              </w:rPr>
              <w:t xml:space="preserve">10 </w:t>
            </w:r>
            <w:r w:rsidRPr="00DE0AA0">
              <w:rPr>
                <w:rFonts w:ascii="Calibri (Body)" w:eastAsia="Times New Roman" w:hAnsi="Calibri (Body)" w:cs="Times New Roman"/>
                <w:color w:val="000000"/>
                <w:sz w:val="20"/>
                <w:szCs w:val="20"/>
                <w:lang w:val="en-GB"/>
              </w:rPr>
              <w:t xml:space="preserve">and </w:t>
            </w:r>
            <w:r w:rsidR="0075093C" w:rsidRPr="00DE0AA0">
              <w:rPr>
                <w:rFonts w:ascii="Calibri (Body)" w:eastAsia="Times New Roman" w:hAnsi="Calibri (Body)" w:cs="Times New Roman"/>
                <w:color w:val="000000"/>
                <w:sz w:val="20"/>
                <w:szCs w:val="20"/>
                <w:lang w:val="en-GB"/>
              </w:rPr>
              <w:t>0.4 kV</w:t>
            </w:r>
          </w:p>
        </w:tc>
        <w:tc>
          <w:tcPr>
            <w:tcW w:w="604" w:type="pct"/>
            <w:tcBorders>
              <w:top w:val="single" w:sz="4" w:space="0" w:color="auto"/>
              <w:left w:val="nil"/>
              <w:bottom w:val="single" w:sz="4" w:space="0" w:color="auto"/>
              <w:right w:val="nil"/>
            </w:tcBorders>
            <w:shd w:val="clear" w:color="auto" w:fill="auto"/>
            <w:noWrap/>
            <w:vAlign w:val="bottom"/>
            <w:hideMark/>
          </w:tcPr>
          <w:p w14:paraId="29A6629A" w14:textId="77777777" w:rsidR="0075093C" w:rsidRPr="00DE0AA0" w:rsidRDefault="0075093C" w:rsidP="0075093C">
            <w:pPr>
              <w:spacing w:after="0" w:line="240" w:lineRule="auto"/>
              <w:jc w:val="center"/>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98.30%</w:t>
            </w:r>
          </w:p>
        </w:tc>
        <w:tc>
          <w:tcPr>
            <w:tcW w:w="865" w:type="pct"/>
            <w:tcBorders>
              <w:top w:val="single" w:sz="4" w:space="0" w:color="auto"/>
              <w:left w:val="nil"/>
              <w:bottom w:val="single" w:sz="4" w:space="0" w:color="auto"/>
              <w:right w:val="nil"/>
            </w:tcBorders>
            <w:shd w:val="clear" w:color="auto" w:fill="auto"/>
            <w:noWrap/>
            <w:vAlign w:val="bottom"/>
            <w:hideMark/>
          </w:tcPr>
          <w:p w14:paraId="6F2183E3" w14:textId="77777777" w:rsidR="0075093C" w:rsidRPr="00DE0AA0" w:rsidRDefault="0075093C" w:rsidP="0075093C">
            <w:pPr>
              <w:spacing w:after="0" w:line="240" w:lineRule="auto"/>
              <w:jc w:val="center"/>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0.01%</w:t>
            </w:r>
          </w:p>
        </w:tc>
      </w:tr>
      <w:tr w:rsidR="0075093C" w:rsidRPr="00DE0AA0" w14:paraId="72D5B93F" w14:textId="77777777" w:rsidTr="00DE0AA0">
        <w:trPr>
          <w:trHeight w:val="360"/>
        </w:trPr>
        <w:tc>
          <w:tcPr>
            <w:tcW w:w="3530" w:type="pct"/>
            <w:tcBorders>
              <w:top w:val="single" w:sz="4" w:space="0" w:color="auto"/>
              <w:left w:val="nil"/>
              <w:bottom w:val="single" w:sz="4" w:space="0" w:color="auto"/>
              <w:right w:val="nil"/>
            </w:tcBorders>
            <w:shd w:val="clear" w:color="auto" w:fill="auto"/>
            <w:noWrap/>
            <w:vAlign w:val="bottom"/>
            <w:hideMark/>
          </w:tcPr>
          <w:p w14:paraId="2E110C87" w14:textId="77777777" w:rsidR="0075093C" w:rsidRPr="00DE0AA0" w:rsidRDefault="00180D03" w:rsidP="0075093C">
            <w:pPr>
              <w:spacing w:after="0" w:line="240" w:lineRule="auto"/>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 xml:space="preserve">Average </w:t>
            </w:r>
            <w:r w:rsidR="0075093C" w:rsidRPr="00DE0AA0">
              <w:rPr>
                <w:rFonts w:ascii="Calibri (Body)" w:eastAsia="Times New Roman" w:hAnsi="Calibri (Body)" w:cs="Times New Roman"/>
                <w:color w:val="000000"/>
                <w:sz w:val="20"/>
                <w:szCs w:val="20"/>
                <w:lang w:val="en-GB"/>
              </w:rPr>
              <w:t>0.4 kV</w:t>
            </w:r>
          </w:p>
        </w:tc>
        <w:tc>
          <w:tcPr>
            <w:tcW w:w="604" w:type="pct"/>
            <w:tcBorders>
              <w:top w:val="single" w:sz="4" w:space="0" w:color="auto"/>
              <w:left w:val="nil"/>
              <w:bottom w:val="single" w:sz="4" w:space="0" w:color="auto"/>
              <w:right w:val="nil"/>
            </w:tcBorders>
            <w:shd w:val="clear" w:color="auto" w:fill="auto"/>
            <w:noWrap/>
            <w:vAlign w:val="bottom"/>
            <w:hideMark/>
          </w:tcPr>
          <w:p w14:paraId="5F1A5FCC" w14:textId="77777777" w:rsidR="0075093C" w:rsidRPr="00DE0AA0" w:rsidRDefault="0075093C" w:rsidP="0075093C">
            <w:pPr>
              <w:spacing w:after="0" w:line="240" w:lineRule="auto"/>
              <w:jc w:val="center"/>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98.16%</w:t>
            </w:r>
          </w:p>
        </w:tc>
        <w:tc>
          <w:tcPr>
            <w:tcW w:w="865" w:type="pct"/>
            <w:tcBorders>
              <w:top w:val="single" w:sz="4" w:space="0" w:color="auto"/>
              <w:left w:val="nil"/>
              <w:bottom w:val="single" w:sz="4" w:space="0" w:color="auto"/>
              <w:right w:val="nil"/>
            </w:tcBorders>
            <w:shd w:val="clear" w:color="auto" w:fill="auto"/>
            <w:noWrap/>
            <w:vAlign w:val="bottom"/>
            <w:hideMark/>
          </w:tcPr>
          <w:p w14:paraId="11D9FD43" w14:textId="77777777" w:rsidR="0075093C" w:rsidRPr="00DE0AA0" w:rsidRDefault="0075093C" w:rsidP="0075093C">
            <w:pPr>
              <w:spacing w:after="0" w:line="240" w:lineRule="auto"/>
              <w:jc w:val="center"/>
              <w:rPr>
                <w:rFonts w:ascii="Calibri (Body)" w:eastAsia="Times New Roman" w:hAnsi="Calibri (Body)" w:cs="Times New Roman"/>
                <w:color w:val="000000"/>
                <w:sz w:val="20"/>
                <w:szCs w:val="20"/>
                <w:lang w:val="en-GB"/>
              </w:rPr>
            </w:pPr>
            <w:r w:rsidRPr="00DE0AA0">
              <w:rPr>
                <w:rFonts w:ascii="Calibri (Body)" w:eastAsia="Times New Roman" w:hAnsi="Calibri (Body)" w:cs="Times New Roman"/>
                <w:color w:val="000000"/>
                <w:sz w:val="20"/>
                <w:szCs w:val="20"/>
                <w:lang w:val="en-GB"/>
              </w:rPr>
              <w:t>0.15%</w:t>
            </w:r>
          </w:p>
        </w:tc>
      </w:tr>
    </w:tbl>
    <w:p w14:paraId="0C3091C9" w14:textId="77777777" w:rsidR="0075093C" w:rsidRPr="00DE0AA0" w:rsidRDefault="0067179D" w:rsidP="0075093C">
      <w:pPr>
        <w:rPr>
          <w:color w:val="A5A5A5" w:themeColor="accent3"/>
          <w:sz w:val="18"/>
          <w:szCs w:val="18"/>
          <w:lang w:val="en-GB"/>
        </w:rPr>
      </w:pPr>
      <w:r w:rsidRPr="00DE0AA0">
        <w:rPr>
          <w:color w:val="A5A5A5" w:themeColor="accent3"/>
          <w:sz w:val="18"/>
          <w:szCs w:val="18"/>
          <w:lang w:val="en-GB"/>
        </w:rPr>
        <w:t>Source</w:t>
      </w:r>
      <w:r w:rsidR="0075093C" w:rsidRPr="00DE0AA0">
        <w:rPr>
          <w:color w:val="A5A5A5" w:themeColor="accent3"/>
          <w:sz w:val="18"/>
          <w:szCs w:val="18"/>
          <w:lang w:val="en-GB"/>
        </w:rPr>
        <w:t xml:space="preserve">: </w:t>
      </w:r>
      <w:r w:rsidRPr="00DE0AA0">
        <w:rPr>
          <w:color w:val="A5A5A5" w:themeColor="accent3"/>
          <w:sz w:val="18"/>
          <w:szCs w:val="18"/>
          <w:lang w:val="en-GB"/>
        </w:rPr>
        <w:t>Calculation of ERO based on KESCO’s revenues</w:t>
      </w:r>
    </w:p>
    <w:p w14:paraId="3E559513" w14:textId="77777777" w:rsidR="0075093C" w:rsidRPr="00DE0AA0" w:rsidRDefault="00D0667B" w:rsidP="009277F3">
      <w:pPr>
        <w:jc w:val="both"/>
        <w:rPr>
          <w:lang w:val="en-GB"/>
        </w:rPr>
      </w:pPr>
      <w:r w:rsidRPr="00DE0AA0">
        <w:rPr>
          <w:lang w:val="en-GB"/>
        </w:rPr>
        <w:t xml:space="preserve">The </w:t>
      </w:r>
      <w:r w:rsidR="00896B00" w:rsidRPr="00DE0AA0">
        <w:rPr>
          <w:lang w:val="en-GB"/>
        </w:rPr>
        <w:t>actual</w:t>
      </w:r>
      <w:r w:rsidRPr="00DE0AA0">
        <w:rPr>
          <w:lang w:val="en-GB"/>
        </w:rPr>
        <w:t xml:space="preserve"> average collection rate, including all customers of universal supply, in 2019 was 98.3%. The weighted average collection rate for 10kV and 0.4 kV customers decreases by 0.01% pp after 35 kV customers are deregulated. The collection rate is reduced by 0.15% pp with the deregulation of 35kV and 10kV customers. These calculations suggest that KESCO</w:t>
      </w:r>
      <w:r w:rsidR="004E460B" w:rsidRPr="00DE0AA0">
        <w:rPr>
          <w:lang w:val="en-GB"/>
        </w:rPr>
        <w:t>’s</w:t>
      </w:r>
      <w:r w:rsidRPr="00DE0AA0">
        <w:rPr>
          <w:lang w:val="en-GB"/>
        </w:rPr>
        <w:t xml:space="preserve"> forecasts of 0.5% for the first year seem to overestimate the impact that the deregulation will have on c</w:t>
      </w:r>
      <w:r w:rsidR="001836FC" w:rsidRPr="00DE0AA0">
        <w:rPr>
          <w:lang w:val="en-GB"/>
        </w:rPr>
        <w:t>ustomers</w:t>
      </w:r>
      <w:r w:rsidRPr="00DE0AA0">
        <w:rPr>
          <w:lang w:val="en-GB"/>
        </w:rPr>
        <w:t>.</w:t>
      </w:r>
    </w:p>
    <w:p w14:paraId="7444D78F" w14:textId="77777777" w:rsidR="0075093C" w:rsidRPr="00DE0AA0" w:rsidRDefault="003B6D1F" w:rsidP="009277F3">
      <w:pPr>
        <w:jc w:val="both"/>
        <w:rPr>
          <w:lang w:val="en-GB"/>
        </w:rPr>
      </w:pPr>
      <w:r w:rsidRPr="00DE0AA0">
        <w:rPr>
          <w:lang w:val="en-GB"/>
        </w:rPr>
        <w:t xml:space="preserve">The following table presents ERO's proposals </w:t>
      </w:r>
      <w:r w:rsidR="001D2F6F" w:rsidRPr="00DE0AA0">
        <w:rPr>
          <w:lang w:val="en-GB"/>
        </w:rPr>
        <w:t>on</w:t>
      </w:r>
      <w:r w:rsidRPr="00DE0AA0">
        <w:rPr>
          <w:lang w:val="en-GB"/>
        </w:rPr>
        <w:t xml:space="preserve"> allowing bad debt for USS</w:t>
      </w:r>
      <w:r w:rsidR="00C543C5" w:rsidRPr="00DE0AA0">
        <w:rPr>
          <w:lang w:val="en-GB"/>
        </w:rPr>
        <w:t>,</w:t>
      </w:r>
      <w:r w:rsidRPr="00DE0AA0">
        <w:rPr>
          <w:lang w:val="en-GB"/>
        </w:rPr>
        <w:t xml:space="preserve"> on annual basis</w:t>
      </w:r>
      <w:r w:rsidR="00A02F29">
        <w:rPr>
          <w:lang w:val="en-GB"/>
        </w:rPr>
        <w:t>,</w:t>
      </w:r>
      <w:r w:rsidRPr="00DE0AA0">
        <w:rPr>
          <w:lang w:val="en-GB"/>
        </w:rPr>
        <w:t xml:space="preserve"> for the next tariff period (2022-2024):</w:t>
      </w:r>
    </w:p>
    <w:p w14:paraId="100E8B1A" w14:textId="77777777" w:rsidR="0075093C" w:rsidRPr="00DE0AA0" w:rsidRDefault="0075093C" w:rsidP="0075093C">
      <w:pPr>
        <w:pStyle w:val="Caption"/>
      </w:pPr>
      <w:r w:rsidRPr="00DE0AA0">
        <w:t>Tab</w:t>
      </w:r>
      <w:r w:rsidR="00A95E2D" w:rsidRPr="00DE0AA0">
        <w:t>le</w:t>
      </w:r>
      <w:r w:rsidRPr="00DE0AA0">
        <w:t xml:space="preserve">  </w:t>
      </w:r>
      <w:r w:rsidRPr="00DE0AA0">
        <w:fldChar w:fldCharType="begin"/>
      </w:r>
      <w:r w:rsidRPr="00DE0AA0">
        <w:instrText xml:space="preserve"> SEQ Tabela_ \* ARABIC </w:instrText>
      </w:r>
      <w:r w:rsidRPr="00DE0AA0">
        <w:fldChar w:fldCharType="separate"/>
      </w:r>
      <w:r w:rsidR="00701D2D" w:rsidRPr="00DE0AA0">
        <w:t>6</w:t>
      </w:r>
      <w:r w:rsidRPr="00DE0AA0">
        <w:fldChar w:fldCharType="end"/>
      </w:r>
      <w:r w:rsidRPr="00DE0AA0">
        <w:t xml:space="preserve"> </w:t>
      </w:r>
      <w:r w:rsidR="00A95E2D" w:rsidRPr="00DE0AA0">
        <w:t>Calculation of bad debt</w:t>
      </w:r>
    </w:p>
    <w:tbl>
      <w:tblPr>
        <w:tblW w:w="5000" w:type="pct"/>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6117"/>
        <w:gridCol w:w="1260"/>
        <w:gridCol w:w="718"/>
        <w:gridCol w:w="720"/>
        <w:gridCol w:w="535"/>
      </w:tblGrid>
      <w:tr w:rsidR="000B28B9" w:rsidRPr="00DE0AA0" w14:paraId="25632869" w14:textId="77777777" w:rsidTr="00DE0AA0">
        <w:trPr>
          <w:trHeight w:val="300"/>
        </w:trPr>
        <w:tc>
          <w:tcPr>
            <w:tcW w:w="3271" w:type="pct"/>
            <w:vMerge w:val="restart"/>
            <w:shd w:val="clear" w:color="auto" w:fill="1F3864" w:themeFill="accent5" w:themeFillShade="80"/>
            <w:noWrap/>
            <w:vAlign w:val="center"/>
          </w:tcPr>
          <w:p w14:paraId="18FB2B8E" w14:textId="77777777" w:rsidR="00524471" w:rsidRPr="00DE0AA0" w:rsidRDefault="00A95E2D" w:rsidP="0075093C">
            <w:pPr>
              <w:keepNext/>
              <w:spacing w:after="0"/>
              <w:ind w:left="270"/>
              <w:rPr>
                <w:b/>
                <w:lang w:val="en-GB"/>
              </w:rPr>
            </w:pPr>
            <w:r w:rsidRPr="00DE0AA0">
              <w:rPr>
                <w:b/>
                <w:lang w:val="en-GB"/>
              </w:rPr>
              <w:t>Bad debt components</w:t>
            </w:r>
          </w:p>
        </w:tc>
        <w:tc>
          <w:tcPr>
            <w:tcW w:w="674" w:type="pct"/>
            <w:vMerge w:val="restart"/>
            <w:shd w:val="clear" w:color="auto" w:fill="1F3864" w:themeFill="accent5" w:themeFillShade="80"/>
            <w:vAlign w:val="center"/>
          </w:tcPr>
          <w:p w14:paraId="76C2A885" w14:textId="77777777" w:rsidR="00524471" w:rsidRPr="00DE0AA0" w:rsidRDefault="00A95E2D" w:rsidP="0075093C">
            <w:pPr>
              <w:keepNext/>
              <w:spacing w:after="0"/>
              <w:jc w:val="center"/>
              <w:rPr>
                <w:b/>
                <w:lang w:val="en-GB"/>
              </w:rPr>
            </w:pPr>
            <w:r w:rsidRPr="00DE0AA0">
              <w:rPr>
                <w:b/>
                <w:lang w:val="en-GB"/>
              </w:rPr>
              <w:t>Analysis</w:t>
            </w:r>
          </w:p>
        </w:tc>
        <w:tc>
          <w:tcPr>
            <w:tcW w:w="1055" w:type="pct"/>
            <w:gridSpan w:val="3"/>
            <w:shd w:val="clear" w:color="auto" w:fill="1F3864" w:themeFill="accent5" w:themeFillShade="80"/>
            <w:vAlign w:val="center"/>
          </w:tcPr>
          <w:p w14:paraId="24C7F087" w14:textId="77777777" w:rsidR="00524471" w:rsidRPr="00DE0AA0" w:rsidRDefault="00A95E2D" w:rsidP="00A95E2D">
            <w:pPr>
              <w:keepNext/>
              <w:spacing w:after="0"/>
              <w:jc w:val="center"/>
              <w:rPr>
                <w:b/>
                <w:lang w:val="en-GB"/>
              </w:rPr>
            </w:pPr>
            <w:r w:rsidRPr="00DE0AA0">
              <w:rPr>
                <w:b/>
                <w:lang w:val="en-GB"/>
              </w:rPr>
              <w:t>ERO’s</w:t>
            </w:r>
            <w:r w:rsidRPr="00DE0AA0">
              <w:rPr>
                <w:b/>
                <w:lang w:val="en-GB"/>
              </w:rPr>
              <w:br/>
            </w:r>
            <w:r w:rsidR="00524471" w:rsidRPr="00DE0AA0">
              <w:rPr>
                <w:b/>
                <w:lang w:val="en-GB"/>
              </w:rPr>
              <w:t xml:space="preserve"> </w:t>
            </w:r>
            <w:r w:rsidRPr="00DE0AA0">
              <w:rPr>
                <w:b/>
                <w:lang w:val="en-GB"/>
              </w:rPr>
              <w:t>Proposal</w:t>
            </w:r>
          </w:p>
        </w:tc>
      </w:tr>
      <w:tr w:rsidR="000B28B9" w:rsidRPr="00DE0AA0" w14:paraId="291927C6" w14:textId="77777777" w:rsidTr="00DE0AA0">
        <w:trPr>
          <w:trHeight w:val="70"/>
        </w:trPr>
        <w:tc>
          <w:tcPr>
            <w:tcW w:w="3271" w:type="pct"/>
            <w:vMerge/>
            <w:shd w:val="clear" w:color="auto" w:fill="1F3864" w:themeFill="accent5" w:themeFillShade="80"/>
            <w:noWrap/>
            <w:vAlign w:val="center"/>
            <w:hideMark/>
          </w:tcPr>
          <w:p w14:paraId="681214EA" w14:textId="77777777" w:rsidR="00524471" w:rsidRPr="00DE0AA0" w:rsidRDefault="00524471" w:rsidP="0075093C">
            <w:pPr>
              <w:keepNext/>
              <w:spacing w:after="0"/>
              <w:ind w:left="270"/>
              <w:rPr>
                <w:b/>
                <w:lang w:val="en-GB"/>
              </w:rPr>
            </w:pPr>
          </w:p>
        </w:tc>
        <w:tc>
          <w:tcPr>
            <w:tcW w:w="674" w:type="pct"/>
            <w:vMerge/>
            <w:shd w:val="clear" w:color="auto" w:fill="1F3864" w:themeFill="accent5" w:themeFillShade="80"/>
            <w:vAlign w:val="center"/>
          </w:tcPr>
          <w:p w14:paraId="18B94DDF" w14:textId="77777777" w:rsidR="00524471" w:rsidRPr="00DE0AA0" w:rsidRDefault="00524471" w:rsidP="0075093C">
            <w:pPr>
              <w:keepNext/>
              <w:spacing w:after="0"/>
              <w:jc w:val="center"/>
              <w:rPr>
                <w:b/>
                <w:lang w:val="en-GB"/>
              </w:rPr>
            </w:pPr>
          </w:p>
        </w:tc>
        <w:tc>
          <w:tcPr>
            <w:tcW w:w="384" w:type="pct"/>
            <w:shd w:val="clear" w:color="auto" w:fill="1F3864" w:themeFill="accent5" w:themeFillShade="80"/>
            <w:vAlign w:val="center"/>
          </w:tcPr>
          <w:p w14:paraId="17ED16F7" w14:textId="77777777" w:rsidR="00524471" w:rsidRPr="00DE0AA0" w:rsidRDefault="00524471" w:rsidP="0075093C">
            <w:pPr>
              <w:keepNext/>
              <w:spacing w:after="0"/>
              <w:jc w:val="center"/>
              <w:rPr>
                <w:b/>
                <w:lang w:val="en-GB"/>
              </w:rPr>
            </w:pPr>
            <w:r w:rsidRPr="00DE0AA0">
              <w:rPr>
                <w:b/>
                <w:lang w:val="en-GB"/>
              </w:rPr>
              <w:t>2022</w:t>
            </w:r>
          </w:p>
        </w:tc>
        <w:tc>
          <w:tcPr>
            <w:tcW w:w="385" w:type="pct"/>
            <w:shd w:val="clear" w:color="auto" w:fill="1F3864" w:themeFill="accent5" w:themeFillShade="80"/>
            <w:noWrap/>
            <w:vAlign w:val="center"/>
            <w:hideMark/>
          </w:tcPr>
          <w:p w14:paraId="7D96C8FC" w14:textId="77777777" w:rsidR="00524471" w:rsidRPr="00DE0AA0" w:rsidRDefault="00524471" w:rsidP="0075093C">
            <w:pPr>
              <w:keepNext/>
              <w:spacing w:after="0"/>
              <w:jc w:val="center"/>
              <w:rPr>
                <w:b/>
                <w:lang w:val="en-GB"/>
              </w:rPr>
            </w:pPr>
            <w:r w:rsidRPr="00DE0AA0">
              <w:rPr>
                <w:b/>
                <w:lang w:val="en-GB"/>
              </w:rPr>
              <w:t>2023</w:t>
            </w:r>
          </w:p>
        </w:tc>
        <w:tc>
          <w:tcPr>
            <w:tcW w:w="286" w:type="pct"/>
            <w:shd w:val="clear" w:color="auto" w:fill="1F3864" w:themeFill="accent5" w:themeFillShade="80"/>
            <w:vAlign w:val="center"/>
          </w:tcPr>
          <w:p w14:paraId="1CA961C9" w14:textId="77777777" w:rsidR="00524471" w:rsidRPr="00DE0AA0" w:rsidRDefault="00524471" w:rsidP="0075093C">
            <w:pPr>
              <w:keepNext/>
              <w:spacing w:after="0"/>
              <w:jc w:val="center"/>
              <w:rPr>
                <w:b/>
                <w:lang w:val="en-GB"/>
              </w:rPr>
            </w:pPr>
            <w:r w:rsidRPr="00DE0AA0">
              <w:rPr>
                <w:b/>
                <w:lang w:val="en-GB"/>
              </w:rPr>
              <w:t>2024</w:t>
            </w:r>
          </w:p>
        </w:tc>
      </w:tr>
      <w:tr w:rsidR="000B28B9" w:rsidRPr="00DE0AA0" w14:paraId="131AEDB2" w14:textId="77777777" w:rsidTr="00DE0AA0">
        <w:trPr>
          <w:trHeight w:val="288"/>
        </w:trPr>
        <w:tc>
          <w:tcPr>
            <w:tcW w:w="3271" w:type="pct"/>
            <w:shd w:val="clear" w:color="auto" w:fill="auto"/>
            <w:noWrap/>
            <w:tcMar>
              <w:top w:w="0" w:type="dxa"/>
              <w:left w:w="180" w:type="dxa"/>
              <w:bottom w:w="0" w:type="dxa"/>
              <w:right w:w="0" w:type="dxa"/>
            </w:tcMar>
            <w:vAlign w:val="bottom"/>
            <w:hideMark/>
          </w:tcPr>
          <w:p w14:paraId="4517A2E8" w14:textId="77777777" w:rsidR="0075093C" w:rsidRPr="00DE0AA0" w:rsidRDefault="0075093C" w:rsidP="00A95E2D">
            <w:pPr>
              <w:spacing w:after="0"/>
              <w:ind w:firstLineChars="100" w:firstLine="220"/>
              <w:rPr>
                <w:rFonts w:ascii="Calibri" w:hAnsi="Calibri" w:cs="Calibri"/>
                <w:color w:val="000000"/>
                <w:lang w:val="en-GB"/>
              </w:rPr>
            </w:pPr>
            <w:r w:rsidRPr="00DE0AA0">
              <w:rPr>
                <w:rFonts w:ascii="Calibri" w:hAnsi="Calibri" w:cs="Calibri"/>
                <w:color w:val="000000"/>
                <w:lang w:val="en-GB"/>
              </w:rPr>
              <w:t xml:space="preserve"> a. </w:t>
            </w:r>
            <w:r w:rsidR="00A95E2D" w:rsidRPr="00DE0AA0">
              <w:rPr>
                <w:rFonts w:ascii="Calibri" w:hAnsi="Calibri" w:cs="Calibri"/>
                <w:color w:val="000000"/>
                <w:lang w:val="en-GB"/>
              </w:rPr>
              <w:t>A</w:t>
            </w:r>
            <w:r w:rsidRPr="00DE0AA0">
              <w:rPr>
                <w:rFonts w:ascii="Calibri" w:hAnsi="Calibri" w:cs="Calibri"/>
                <w:color w:val="000000"/>
                <w:lang w:val="en-GB"/>
              </w:rPr>
              <w:t>/</w:t>
            </w:r>
            <w:r w:rsidR="00A95E2D" w:rsidRPr="00DE0AA0">
              <w:rPr>
                <w:rFonts w:ascii="Calibri" w:hAnsi="Calibri" w:cs="Calibri"/>
                <w:color w:val="000000"/>
                <w:lang w:val="en-GB"/>
              </w:rPr>
              <w:t>R Discounted for the years</w:t>
            </w:r>
            <w:r w:rsidRPr="00DE0AA0">
              <w:rPr>
                <w:rFonts w:ascii="Calibri" w:hAnsi="Calibri" w:cs="Calibri"/>
                <w:color w:val="000000"/>
                <w:lang w:val="en-GB"/>
              </w:rPr>
              <w:t xml:space="preserve"> 2020-2021 </w:t>
            </w:r>
          </w:p>
        </w:tc>
        <w:tc>
          <w:tcPr>
            <w:tcW w:w="674" w:type="pct"/>
            <w:vAlign w:val="bottom"/>
          </w:tcPr>
          <w:p w14:paraId="36D17F2A" w14:textId="77777777" w:rsidR="0075093C" w:rsidRPr="00DE0AA0" w:rsidRDefault="0075093C" w:rsidP="0075093C">
            <w:pPr>
              <w:spacing w:after="0"/>
              <w:jc w:val="center"/>
              <w:rPr>
                <w:rFonts w:ascii="Calibri" w:hAnsi="Calibri" w:cs="Calibri"/>
                <w:color w:val="000000"/>
                <w:lang w:val="en-GB"/>
              </w:rPr>
            </w:pPr>
            <w:r w:rsidRPr="00DE0AA0">
              <w:rPr>
                <w:rFonts w:ascii="Calibri" w:hAnsi="Calibri" w:cs="Calibri"/>
                <w:color w:val="000000"/>
                <w:lang w:val="en-GB"/>
              </w:rPr>
              <w:t>2.21%</w:t>
            </w:r>
          </w:p>
        </w:tc>
        <w:tc>
          <w:tcPr>
            <w:tcW w:w="384" w:type="pct"/>
          </w:tcPr>
          <w:p w14:paraId="1E0842C8" w14:textId="77777777" w:rsidR="0075093C" w:rsidRPr="00DE0AA0" w:rsidRDefault="0075093C" w:rsidP="0075093C">
            <w:pPr>
              <w:spacing w:after="0"/>
              <w:jc w:val="center"/>
              <w:rPr>
                <w:rFonts w:ascii="Calibri" w:hAnsi="Calibri" w:cs="Calibri"/>
                <w:color w:val="000000"/>
                <w:lang w:val="en-GB"/>
              </w:rPr>
            </w:pPr>
          </w:p>
        </w:tc>
        <w:tc>
          <w:tcPr>
            <w:tcW w:w="385" w:type="pct"/>
            <w:shd w:val="clear" w:color="auto" w:fill="auto"/>
            <w:noWrap/>
            <w:vAlign w:val="bottom"/>
          </w:tcPr>
          <w:p w14:paraId="3DF6A1F0" w14:textId="77777777" w:rsidR="0075093C" w:rsidRPr="00DE0AA0" w:rsidRDefault="0075093C" w:rsidP="0075093C">
            <w:pPr>
              <w:spacing w:after="0"/>
              <w:jc w:val="center"/>
              <w:rPr>
                <w:rFonts w:ascii="Calibri" w:hAnsi="Calibri" w:cs="Calibri"/>
                <w:color w:val="000000"/>
                <w:lang w:val="en-GB"/>
              </w:rPr>
            </w:pPr>
          </w:p>
        </w:tc>
        <w:tc>
          <w:tcPr>
            <w:tcW w:w="286" w:type="pct"/>
            <w:vAlign w:val="bottom"/>
          </w:tcPr>
          <w:p w14:paraId="39AF3F44" w14:textId="77777777" w:rsidR="0075093C" w:rsidRPr="00DE0AA0" w:rsidRDefault="0075093C" w:rsidP="0075093C">
            <w:pPr>
              <w:spacing w:after="0"/>
              <w:jc w:val="center"/>
              <w:rPr>
                <w:rFonts w:ascii="Calibri" w:hAnsi="Calibri" w:cs="Calibri"/>
                <w:color w:val="000000"/>
                <w:lang w:val="en-GB"/>
              </w:rPr>
            </w:pPr>
          </w:p>
        </w:tc>
      </w:tr>
      <w:tr w:rsidR="000B28B9" w:rsidRPr="00DE0AA0" w14:paraId="0DD5AB22" w14:textId="77777777" w:rsidTr="00DE0AA0">
        <w:trPr>
          <w:trHeight w:val="288"/>
        </w:trPr>
        <w:tc>
          <w:tcPr>
            <w:tcW w:w="3271" w:type="pct"/>
            <w:shd w:val="clear" w:color="auto" w:fill="auto"/>
            <w:noWrap/>
            <w:vAlign w:val="bottom"/>
            <w:hideMark/>
          </w:tcPr>
          <w:p w14:paraId="0B1D7EEA" w14:textId="77777777" w:rsidR="0075093C" w:rsidRPr="00DE0AA0" w:rsidRDefault="0075093C" w:rsidP="00F5411E">
            <w:pPr>
              <w:spacing w:after="0"/>
              <w:ind w:left="450"/>
              <w:rPr>
                <w:rFonts w:ascii="Calibri" w:hAnsi="Calibri" w:cs="Calibri"/>
                <w:color w:val="000000"/>
                <w:lang w:val="en-GB"/>
              </w:rPr>
            </w:pPr>
            <w:r w:rsidRPr="00DE0AA0">
              <w:rPr>
                <w:rFonts w:ascii="Calibri" w:hAnsi="Calibri" w:cs="Calibri"/>
                <w:color w:val="000000"/>
                <w:lang w:val="en-GB"/>
              </w:rPr>
              <w:t xml:space="preserve">b. </w:t>
            </w:r>
            <w:r w:rsidR="00A95E2D" w:rsidRPr="00DE0AA0">
              <w:rPr>
                <w:rFonts w:ascii="Calibri" w:hAnsi="Calibri" w:cs="Calibri"/>
                <w:color w:val="000000"/>
                <w:lang w:val="en-GB"/>
              </w:rPr>
              <w:t>Impact of customer deregulation</w:t>
            </w:r>
            <w:r w:rsidRPr="00DE0AA0">
              <w:rPr>
                <w:rFonts w:ascii="Calibri" w:hAnsi="Calibri" w:cs="Calibri"/>
                <w:color w:val="000000"/>
                <w:lang w:val="en-GB"/>
              </w:rPr>
              <w:t xml:space="preserve"> (35kV </w:t>
            </w:r>
            <w:r w:rsidR="00F5411E" w:rsidRPr="00DE0AA0">
              <w:rPr>
                <w:rFonts w:ascii="Calibri" w:hAnsi="Calibri" w:cs="Calibri"/>
                <w:color w:val="000000"/>
                <w:lang w:val="en-GB"/>
              </w:rPr>
              <w:t xml:space="preserve">and </w:t>
            </w:r>
            <w:r w:rsidRPr="00DE0AA0">
              <w:rPr>
                <w:rFonts w:ascii="Calibri" w:hAnsi="Calibri" w:cs="Calibri"/>
                <w:color w:val="000000"/>
                <w:lang w:val="en-GB"/>
              </w:rPr>
              <w:t>10kV)</w:t>
            </w:r>
          </w:p>
        </w:tc>
        <w:tc>
          <w:tcPr>
            <w:tcW w:w="674" w:type="pct"/>
            <w:vAlign w:val="bottom"/>
          </w:tcPr>
          <w:p w14:paraId="059A81CC" w14:textId="77777777" w:rsidR="0075093C" w:rsidRPr="00DE0AA0" w:rsidRDefault="0075093C" w:rsidP="0075093C">
            <w:pPr>
              <w:spacing w:after="0"/>
              <w:jc w:val="center"/>
              <w:rPr>
                <w:rFonts w:ascii="Calibri" w:hAnsi="Calibri" w:cs="Calibri"/>
                <w:color w:val="000000"/>
                <w:lang w:val="en-GB"/>
              </w:rPr>
            </w:pPr>
            <w:r w:rsidRPr="00DE0AA0">
              <w:rPr>
                <w:rFonts w:ascii="Calibri" w:hAnsi="Calibri" w:cs="Calibri"/>
                <w:color w:val="000000"/>
                <w:lang w:val="en-GB"/>
              </w:rPr>
              <w:t>0.15%</w:t>
            </w:r>
          </w:p>
        </w:tc>
        <w:tc>
          <w:tcPr>
            <w:tcW w:w="384" w:type="pct"/>
          </w:tcPr>
          <w:p w14:paraId="137217B9" w14:textId="77777777" w:rsidR="0075093C" w:rsidRPr="00DE0AA0" w:rsidRDefault="0075093C" w:rsidP="0075093C">
            <w:pPr>
              <w:spacing w:after="0"/>
              <w:jc w:val="center"/>
              <w:rPr>
                <w:rFonts w:ascii="Calibri" w:hAnsi="Calibri" w:cs="Calibri"/>
                <w:color w:val="000000"/>
                <w:lang w:val="en-GB"/>
              </w:rPr>
            </w:pPr>
          </w:p>
        </w:tc>
        <w:tc>
          <w:tcPr>
            <w:tcW w:w="385" w:type="pct"/>
            <w:shd w:val="clear" w:color="auto" w:fill="auto"/>
            <w:noWrap/>
            <w:vAlign w:val="bottom"/>
          </w:tcPr>
          <w:p w14:paraId="1B04D8EB" w14:textId="77777777" w:rsidR="0075093C" w:rsidRPr="00DE0AA0" w:rsidRDefault="0075093C" w:rsidP="0075093C">
            <w:pPr>
              <w:spacing w:after="0"/>
              <w:jc w:val="center"/>
              <w:rPr>
                <w:rFonts w:ascii="Calibri" w:hAnsi="Calibri" w:cs="Calibri"/>
                <w:color w:val="000000"/>
                <w:lang w:val="en-GB"/>
              </w:rPr>
            </w:pPr>
          </w:p>
        </w:tc>
        <w:tc>
          <w:tcPr>
            <w:tcW w:w="286" w:type="pct"/>
            <w:vAlign w:val="bottom"/>
          </w:tcPr>
          <w:p w14:paraId="24027881" w14:textId="77777777" w:rsidR="0075093C" w:rsidRPr="00DE0AA0" w:rsidRDefault="0075093C" w:rsidP="0075093C">
            <w:pPr>
              <w:spacing w:after="0"/>
              <w:jc w:val="center"/>
              <w:rPr>
                <w:rFonts w:ascii="Calibri" w:hAnsi="Calibri" w:cs="Calibri"/>
                <w:color w:val="000000"/>
                <w:lang w:val="en-GB"/>
              </w:rPr>
            </w:pPr>
          </w:p>
        </w:tc>
      </w:tr>
      <w:tr w:rsidR="000B28B9" w:rsidRPr="00DE0AA0" w14:paraId="74D57721" w14:textId="77777777" w:rsidTr="00DE0AA0">
        <w:trPr>
          <w:trHeight w:val="288"/>
        </w:trPr>
        <w:tc>
          <w:tcPr>
            <w:tcW w:w="3271" w:type="pct"/>
            <w:shd w:val="clear" w:color="auto" w:fill="1F3864" w:themeFill="accent5" w:themeFillShade="80"/>
            <w:noWrap/>
            <w:vAlign w:val="bottom"/>
            <w:hideMark/>
          </w:tcPr>
          <w:p w14:paraId="5912E8A7" w14:textId="77777777" w:rsidR="0075093C" w:rsidRPr="00DE0AA0" w:rsidRDefault="0075093C" w:rsidP="000B28B9">
            <w:pPr>
              <w:spacing w:after="0"/>
              <w:ind w:left="270"/>
              <w:rPr>
                <w:rFonts w:ascii="Calibri" w:hAnsi="Calibri" w:cs="Calibri"/>
                <w:b/>
                <w:bCs/>
                <w:color w:val="DDEBF7"/>
                <w:lang w:val="en-GB"/>
              </w:rPr>
            </w:pPr>
            <w:r w:rsidRPr="00DE0AA0">
              <w:rPr>
                <w:rFonts w:ascii="Calibri" w:hAnsi="Calibri" w:cs="Calibri"/>
                <w:b/>
                <w:bCs/>
                <w:color w:val="DDEBF7"/>
                <w:lang w:val="en-GB"/>
              </w:rPr>
              <w:t xml:space="preserve">c=(a+b) </w:t>
            </w:r>
            <w:r w:rsidR="000B28B9" w:rsidRPr="00DE0AA0">
              <w:rPr>
                <w:rFonts w:ascii="Calibri" w:hAnsi="Calibri" w:cs="Calibri"/>
                <w:b/>
                <w:bCs/>
                <w:color w:val="DDEBF7"/>
                <w:lang w:val="en-GB"/>
              </w:rPr>
              <w:t>Proposal on allowance of bad debt</w:t>
            </w:r>
          </w:p>
        </w:tc>
        <w:tc>
          <w:tcPr>
            <w:tcW w:w="674" w:type="pct"/>
            <w:shd w:val="clear" w:color="auto" w:fill="1F3864" w:themeFill="accent5" w:themeFillShade="80"/>
            <w:vAlign w:val="bottom"/>
          </w:tcPr>
          <w:p w14:paraId="45743C70" w14:textId="77777777" w:rsidR="0075093C" w:rsidRPr="00DE0AA0" w:rsidRDefault="0075093C" w:rsidP="0075093C">
            <w:pPr>
              <w:spacing w:after="0"/>
              <w:jc w:val="center"/>
              <w:rPr>
                <w:rFonts w:ascii="Calibri" w:hAnsi="Calibri" w:cs="Calibri"/>
                <w:b/>
                <w:bCs/>
                <w:color w:val="DDEBF7"/>
                <w:lang w:val="en-GB"/>
              </w:rPr>
            </w:pPr>
            <w:r w:rsidRPr="00DE0AA0">
              <w:rPr>
                <w:rFonts w:ascii="Calibri" w:hAnsi="Calibri" w:cs="Calibri"/>
                <w:b/>
                <w:bCs/>
                <w:color w:val="DDEBF7"/>
                <w:lang w:val="en-GB"/>
              </w:rPr>
              <w:t>2.36 %</w:t>
            </w:r>
          </w:p>
        </w:tc>
        <w:tc>
          <w:tcPr>
            <w:tcW w:w="384" w:type="pct"/>
            <w:shd w:val="clear" w:color="auto" w:fill="1F3864" w:themeFill="accent5" w:themeFillShade="80"/>
          </w:tcPr>
          <w:p w14:paraId="173F7280" w14:textId="77777777" w:rsidR="0075093C" w:rsidRPr="00DE0AA0" w:rsidRDefault="0075093C" w:rsidP="0075093C">
            <w:pPr>
              <w:spacing w:after="0"/>
              <w:jc w:val="center"/>
              <w:rPr>
                <w:rFonts w:ascii="Calibri" w:hAnsi="Calibri" w:cs="Calibri"/>
                <w:b/>
                <w:bCs/>
                <w:color w:val="DDEBF7"/>
                <w:lang w:val="en-GB"/>
              </w:rPr>
            </w:pPr>
            <w:r w:rsidRPr="00DE0AA0">
              <w:rPr>
                <w:rFonts w:ascii="Calibri" w:hAnsi="Calibri" w:cs="Calibri"/>
                <w:b/>
                <w:bCs/>
                <w:color w:val="DDEBF7"/>
                <w:lang w:val="en-GB"/>
              </w:rPr>
              <w:t>2.4%</w:t>
            </w:r>
          </w:p>
        </w:tc>
        <w:tc>
          <w:tcPr>
            <w:tcW w:w="385" w:type="pct"/>
            <w:shd w:val="clear" w:color="auto" w:fill="1F3864" w:themeFill="accent5" w:themeFillShade="80"/>
            <w:noWrap/>
            <w:vAlign w:val="bottom"/>
            <w:hideMark/>
          </w:tcPr>
          <w:p w14:paraId="78185BDC" w14:textId="77777777" w:rsidR="0075093C" w:rsidRPr="00DE0AA0" w:rsidRDefault="0075093C" w:rsidP="0075093C">
            <w:pPr>
              <w:spacing w:after="0"/>
              <w:jc w:val="center"/>
              <w:rPr>
                <w:rFonts w:ascii="Calibri" w:hAnsi="Calibri" w:cs="Calibri"/>
                <w:b/>
                <w:bCs/>
                <w:color w:val="DDEBF7"/>
                <w:lang w:val="en-GB"/>
              </w:rPr>
            </w:pPr>
            <w:r w:rsidRPr="00DE0AA0">
              <w:rPr>
                <w:rFonts w:ascii="Calibri" w:hAnsi="Calibri" w:cs="Calibri"/>
                <w:b/>
                <w:bCs/>
                <w:color w:val="DDEBF7"/>
                <w:lang w:val="en-GB"/>
              </w:rPr>
              <w:t>2.2%</w:t>
            </w:r>
          </w:p>
        </w:tc>
        <w:tc>
          <w:tcPr>
            <w:tcW w:w="286" w:type="pct"/>
            <w:shd w:val="clear" w:color="auto" w:fill="1F3864" w:themeFill="accent5" w:themeFillShade="80"/>
            <w:vAlign w:val="bottom"/>
          </w:tcPr>
          <w:p w14:paraId="5988EC13" w14:textId="77777777" w:rsidR="0075093C" w:rsidRPr="00DE0AA0" w:rsidRDefault="0075093C" w:rsidP="0075093C">
            <w:pPr>
              <w:spacing w:after="0"/>
              <w:jc w:val="center"/>
              <w:rPr>
                <w:rFonts w:ascii="Calibri" w:hAnsi="Calibri" w:cs="Calibri"/>
                <w:b/>
                <w:bCs/>
                <w:color w:val="DDEBF7"/>
                <w:lang w:val="en-GB"/>
              </w:rPr>
            </w:pPr>
            <w:r w:rsidRPr="00DE0AA0">
              <w:rPr>
                <w:rFonts w:ascii="Calibri" w:hAnsi="Calibri" w:cs="Calibri"/>
                <w:b/>
                <w:bCs/>
                <w:color w:val="DDEBF7"/>
                <w:lang w:val="en-GB"/>
              </w:rPr>
              <w:t>2.0%</w:t>
            </w:r>
          </w:p>
        </w:tc>
      </w:tr>
    </w:tbl>
    <w:p w14:paraId="3C483236" w14:textId="77777777" w:rsidR="0075093C" w:rsidRPr="00DE0AA0" w:rsidRDefault="0075093C" w:rsidP="0075093C">
      <w:pPr>
        <w:rPr>
          <w:lang w:val="en-GB"/>
        </w:rPr>
      </w:pPr>
    </w:p>
    <w:p w14:paraId="38BB19F5" w14:textId="77777777" w:rsidR="0075093C" w:rsidRPr="00DE0AA0" w:rsidRDefault="00AA5ED2" w:rsidP="0075093C">
      <w:pPr>
        <w:pStyle w:val="Heading2"/>
        <w:ind w:left="720"/>
      </w:pPr>
      <w:bookmarkStart w:id="12" w:name="_Toc89262430"/>
      <w:r w:rsidRPr="00DE0AA0">
        <w:t>Imbalance sharing factor</w:t>
      </w:r>
      <w:bookmarkEnd w:id="12"/>
    </w:p>
    <w:p w14:paraId="7CDFABC2" w14:textId="77777777" w:rsidR="0075093C" w:rsidRPr="00DE0AA0" w:rsidRDefault="00FD61BA" w:rsidP="009277F3">
      <w:pPr>
        <w:jc w:val="both"/>
        <w:rPr>
          <w:lang w:val="en-GB"/>
        </w:rPr>
      </w:pPr>
      <w:r w:rsidRPr="00DE0AA0">
        <w:rPr>
          <w:lang w:val="en-GB"/>
        </w:rPr>
        <w:t xml:space="preserve">The imbalance sharing factor represents the part of balancing costs that </w:t>
      </w:r>
      <w:r w:rsidR="002C437D" w:rsidRPr="00DE0AA0">
        <w:rPr>
          <w:lang w:val="en-GB"/>
        </w:rPr>
        <w:t xml:space="preserve">USS can </w:t>
      </w:r>
      <w:r w:rsidR="00EC421A" w:rsidRPr="00DE0AA0">
        <w:rPr>
          <w:lang w:val="en-GB"/>
        </w:rPr>
        <w:t>pass on</w:t>
      </w:r>
      <w:r w:rsidRPr="00DE0AA0">
        <w:rPr>
          <w:lang w:val="en-GB"/>
        </w:rPr>
        <w:t xml:space="preserve"> to regulated customers. Balancing costs are those costs incurred by the </w:t>
      </w:r>
      <w:r w:rsidR="002C437D" w:rsidRPr="00DE0AA0">
        <w:rPr>
          <w:lang w:val="en-GB"/>
        </w:rPr>
        <w:t>USS</w:t>
      </w:r>
      <w:r w:rsidRPr="00DE0AA0">
        <w:rPr>
          <w:lang w:val="en-GB"/>
        </w:rPr>
        <w:t xml:space="preserve"> for differences between its </w:t>
      </w:r>
      <w:r w:rsidR="00BD41A7" w:rsidRPr="00DE0AA0">
        <w:rPr>
          <w:lang w:val="en-GB"/>
        </w:rPr>
        <w:t>actual</w:t>
      </w:r>
      <w:r w:rsidRPr="00DE0AA0">
        <w:rPr>
          <w:lang w:val="en-GB"/>
        </w:rPr>
        <w:t xml:space="preserve"> purchases to meet customer demand and forecast levels. In a large and liquid electricity market, suppliers are expected to manage these discrepancies through accurate forecasting and through the buying and selling of energy in the liquid markets (forward market) </w:t>
      </w:r>
      <w:r w:rsidR="00B56B00" w:rsidRPr="00DE0AA0">
        <w:rPr>
          <w:lang w:val="en-GB"/>
        </w:rPr>
        <w:t xml:space="preserve">in order to minimize </w:t>
      </w:r>
      <w:r w:rsidRPr="00DE0AA0">
        <w:rPr>
          <w:lang w:val="en-GB"/>
        </w:rPr>
        <w:t>any remaining imbalances.</w:t>
      </w:r>
    </w:p>
    <w:p w14:paraId="2BCD36ED" w14:textId="77777777" w:rsidR="0075093C" w:rsidRPr="00DE0AA0" w:rsidRDefault="0069766B" w:rsidP="0075093C">
      <w:pPr>
        <w:pStyle w:val="Heading3"/>
      </w:pPr>
      <w:bookmarkStart w:id="13" w:name="_Toc89262431"/>
      <w:r w:rsidRPr="00DE0AA0">
        <w:t>KESCO’s application</w:t>
      </w:r>
      <w:bookmarkEnd w:id="13"/>
    </w:p>
    <w:p w14:paraId="7AC0E8E7" w14:textId="47E021EC" w:rsidR="0075093C" w:rsidRPr="00DE0AA0" w:rsidRDefault="00B112B0" w:rsidP="009277F3">
      <w:pPr>
        <w:jc w:val="both"/>
        <w:rPr>
          <w:lang w:val="en-GB"/>
        </w:rPr>
      </w:pPr>
      <w:r w:rsidRPr="00DE0AA0">
        <w:rPr>
          <w:lang w:val="en-GB"/>
        </w:rPr>
        <w:t xml:space="preserve">In the application, KESCO has presented its position regarding the imbalance sharing factor and the proposal for its level applied </w:t>
      </w:r>
      <w:r w:rsidR="00D465D5" w:rsidRPr="00DE0AA0">
        <w:rPr>
          <w:lang w:val="en-GB"/>
        </w:rPr>
        <w:t>for</w:t>
      </w:r>
      <w:r w:rsidRPr="00DE0AA0">
        <w:rPr>
          <w:lang w:val="en-GB"/>
        </w:rPr>
        <w:t xml:space="preserve"> regulated customers (USS). KESCO emphasizes that there is always uncertainty in forecasting c</w:t>
      </w:r>
      <w:r w:rsidR="00F210EB" w:rsidRPr="00DE0AA0">
        <w:rPr>
          <w:lang w:val="en-GB"/>
        </w:rPr>
        <w:t>ustomer</w:t>
      </w:r>
      <w:r w:rsidRPr="00DE0AA0">
        <w:rPr>
          <w:lang w:val="en-GB"/>
        </w:rPr>
        <w:t xml:space="preserve"> demand, respectively in purchasing the exact amount of energy for this demand. C</w:t>
      </w:r>
      <w:r w:rsidR="00535786" w:rsidRPr="00DE0AA0">
        <w:rPr>
          <w:lang w:val="en-GB"/>
        </w:rPr>
        <w:t>ustome</w:t>
      </w:r>
      <w:r w:rsidRPr="00DE0AA0">
        <w:rPr>
          <w:lang w:val="en-GB"/>
        </w:rPr>
        <w:t xml:space="preserve">r demand varies throughout the year, month and day. If suppliers have purchased less energy than customer demand, they incur additional costs, in addition to the direct costs of purchasing wholesale energy. If suppliers have purchased more energy than customer demand, they may </w:t>
      </w:r>
      <w:r w:rsidR="00E13EBD" w:rsidRPr="00DE0AA0">
        <w:rPr>
          <w:lang w:val="en-GB"/>
        </w:rPr>
        <w:lastRenderedPageBreak/>
        <w:t>receive</w:t>
      </w:r>
      <w:r w:rsidRPr="00DE0AA0">
        <w:rPr>
          <w:lang w:val="en-GB"/>
        </w:rPr>
        <w:t xml:space="preserve"> payment</w:t>
      </w:r>
      <w:r w:rsidR="00E13EBD" w:rsidRPr="00DE0AA0">
        <w:rPr>
          <w:lang w:val="en-GB"/>
        </w:rPr>
        <w:t>s</w:t>
      </w:r>
      <w:r w:rsidRPr="00DE0AA0">
        <w:rPr>
          <w:lang w:val="en-GB"/>
        </w:rPr>
        <w:t xml:space="preserve"> but that may be different and lower </w:t>
      </w:r>
      <w:r w:rsidRPr="00882C92">
        <w:rPr>
          <w:lang w:val="en-GB"/>
        </w:rPr>
        <w:t xml:space="preserve">than their </w:t>
      </w:r>
      <w:r w:rsidR="00E13EBD" w:rsidRPr="00882C92">
        <w:rPr>
          <w:lang w:val="en-GB"/>
        </w:rPr>
        <w:t xml:space="preserve">wholesale sale. </w:t>
      </w:r>
      <w:r w:rsidR="00C44B45" w:rsidRPr="00882C92">
        <w:rPr>
          <w:lang w:val="en-GB"/>
        </w:rPr>
        <w:t>In this</w:t>
      </w:r>
      <w:r w:rsidR="00C44B45" w:rsidRPr="00DE0AA0">
        <w:rPr>
          <w:lang w:val="en-GB"/>
        </w:rPr>
        <w:t xml:space="preserve"> regard, there is a risk of loss and/or gain for suppliers, depending on market conditions. In order to avoid suppliers' exposure to a higher risk, through which suppliers would find it impossible to recover their </w:t>
      </w:r>
      <w:r w:rsidR="00A51AC9" w:rsidRPr="00DE0AA0">
        <w:rPr>
          <w:lang w:val="en-GB"/>
        </w:rPr>
        <w:t>operating costs</w:t>
      </w:r>
      <w:r w:rsidR="00C44B45" w:rsidRPr="00DE0AA0">
        <w:rPr>
          <w:lang w:val="en-GB"/>
        </w:rPr>
        <w:t xml:space="preserve">, Regulators support the supplier by introducing the imbalance sharing factor. By creating a historical trend over the years, suppliers can better forecast and manage these costs, and the Regulator may decide to change the fixed percentage that applies to net imbalance costs (the imbalance </w:t>
      </w:r>
      <w:r w:rsidR="007F31B6" w:rsidRPr="00DE0AA0">
        <w:rPr>
          <w:lang w:val="en-GB"/>
        </w:rPr>
        <w:t>sharing factor</w:t>
      </w:r>
      <w:r w:rsidR="00C44B45" w:rsidRPr="00DE0AA0">
        <w:rPr>
          <w:lang w:val="en-GB"/>
        </w:rPr>
        <w:t>), as</w:t>
      </w:r>
      <w:r w:rsidR="007F31B6" w:rsidRPr="00DE0AA0">
        <w:rPr>
          <w:lang w:val="en-GB"/>
        </w:rPr>
        <w:t xml:space="preserve"> it is assumed that allowing a sharing factor </w:t>
      </w:r>
      <w:r w:rsidR="00C44B45" w:rsidRPr="00DE0AA0">
        <w:rPr>
          <w:lang w:val="en-GB"/>
        </w:rPr>
        <w:t xml:space="preserve">between the supplier and the customers will increase the incentives for the supplier to </w:t>
      </w:r>
      <w:r w:rsidR="003D7775" w:rsidRPr="00DE0AA0">
        <w:rPr>
          <w:lang w:val="en-GB"/>
        </w:rPr>
        <w:t xml:space="preserve">manage its balancing </w:t>
      </w:r>
      <w:r w:rsidR="00C44B45" w:rsidRPr="00DE0AA0">
        <w:rPr>
          <w:lang w:val="en-GB"/>
        </w:rPr>
        <w:t>more accurately.</w:t>
      </w:r>
    </w:p>
    <w:p w14:paraId="55B3D8B5" w14:textId="77777777" w:rsidR="0075093C" w:rsidRPr="00DE0AA0" w:rsidRDefault="001F6565" w:rsidP="009277F3">
      <w:pPr>
        <w:jc w:val="both"/>
        <w:rPr>
          <w:lang w:val="en-GB"/>
        </w:rPr>
      </w:pPr>
      <w:r w:rsidRPr="00DE0AA0">
        <w:rPr>
          <w:lang w:val="en-GB"/>
        </w:rPr>
        <w:t>In its proposal for the imbalance sharing factor</w:t>
      </w:r>
      <w:r w:rsidR="0060792D" w:rsidRPr="00DE0AA0">
        <w:rPr>
          <w:lang w:val="en-GB"/>
        </w:rPr>
        <w:t>,</w:t>
      </w:r>
      <w:r w:rsidRPr="00DE0AA0">
        <w:rPr>
          <w:lang w:val="en-GB"/>
        </w:rPr>
        <w:t xml:space="preserve"> KESCO emphasizes that the limited access to the number and variety of generation sources, and dependence on generating units which are old and inflexible, limits the ability of the system to be balanced and have minimal costs.</w:t>
      </w:r>
    </w:p>
    <w:p w14:paraId="6F8D7C15" w14:textId="77777777" w:rsidR="0075093C" w:rsidRPr="00DE0AA0" w:rsidRDefault="00001B4E" w:rsidP="009277F3">
      <w:pPr>
        <w:jc w:val="both"/>
        <w:rPr>
          <w:lang w:val="en-GB"/>
        </w:rPr>
      </w:pPr>
      <w:r w:rsidRPr="00DE0AA0">
        <w:rPr>
          <w:lang w:val="en-GB"/>
        </w:rPr>
        <w:t>Therefore, taking into account market developments (prosumers, market opening and the possibility of switching suppliers), KESCO believes that the imbalance sharing factor should continue to be applied as 100% at least until the next periodic review.</w:t>
      </w:r>
    </w:p>
    <w:p w14:paraId="21DE13CA" w14:textId="77777777" w:rsidR="0075093C" w:rsidRPr="00DE0AA0" w:rsidRDefault="00B50121" w:rsidP="0075093C">
      <w:pPr>
        <w:pStyle w:val="Heading3"/>
      </w:pPr>
      <w:bookmarkStart w:id="14" w:name="_Toc89262432"/>
      <w:r w:rsidRPr="00DE0AA0">
        <w:t>ERO’s proposal</w:t>
      </w:r>
      <w:bookmarkEnd w:id="14"/>
    </w:p>
    <w:p w14:paraId="5FA9DE0F" w14:textId="77777777" w:rsidR="0075093C" w:rsidRPr="00DE0AA0" w:rsidRDefault="00070DD3" w:rsidP="009277F3">
      <w:pPr>
        <w:jc w:val="both"/>
        <w:rPr>
          <w:lang w:val="en-GB"/>
        </w:rPr>
      </w:pPr>
      <w:r w:rsidRPr="00DE0AA0">
        <w:rPr>
          <w:lang w:val="en-GB"/>
        </w:rPr>
        <w:t xml:space="preserve">Given that no </w:t>
      </w:r>
      <w:r w:rsidR="00456E49" w:rsidRPr="00DE0AA0">
        <w:rPr>
          <w:lang w:val="en-GB"/>
        </w:rPr>
        <w:t xml:space="preserve">significant change is expected in KESCO's ability to manage imbalances before 2023, no change in the imbalance </w:t>
      </w:r>
      <w:r w:rsidR="00D7452E" w:rsidRPr="00DE0AA0">
        <w:rPr>
          <w:lang w:val="en-GB"/>
        </w:rPr>
        <w:t>sharing</w:t>
      </w:r>
      <w:r w:rsidR="00456E49" w:rsidRPr="00DE0AA0">
        <w:rPr>
          <w:lang w:val="en-GB"/>
        </w:rPr>
        <w:t xml:space="preserve"> factor is justified. A reduction after 2023, exposing KESCO to a greater risk of imbalance costs, could be justified if ALPEX is fully operational.</w:t>
      </w:r>
    </w:p>
    <w:p w14:paraId="12B8CFB3" w14:textId="77777777" w:rsidR="0075093C" w:rsidRPr="00DE0AA0" w:rsidRDefault="00E53FCA" w:rsidP="009277F3">
      <w:pPr>
        <w:jc w:val="both"/>
        <w:rPr>
          <w:lang w:val="en-GB"/>
        </w:rPr>
      </w:pPr>
      <w:r w:rsidRPr="00DE0AA0">
        <w:rPr>
          <w:lang w:val="en-GB"/>
        </w:rPr>
        <w:t>On 5 October 2020, the respective TSOs of Kosovo and Albania signed the shareholder</w:t>
      </w:r>
      <w:r w:rsidR="00691BA4" w:rsidRPr="00DE0AA0">
        <w:rPr>
          <w:lang w:val="en-GB"/>
        </w:rPr>
        <w:t>s</w:t>
      </w:r>
      <w:r w:rsidRPr="00DE0AA0">
        <w:rPr>
          <w:lang w:val="en-GB"/>
        </w:rPr>
        <w:t xml:space="preserve"> agreement and the statute to establish a joint energy exchange operator, ALPEX, which will operate a day-ahead market and intra-day electricity</w:t>
      </w:r>
      <w:r w:rsidR="00AD6BDB" w:rsidRPr="00DE0AA0">
        <w:rPr>
          <w:lang w:val="en-GB"/>
        </w:rPr>
        <w:t xml:space="preserve"> market,</w:t>
      </w:r>
      <w:r w:rsidRPr="00DE0AA0">
        <w:rPr>
          <w:lang w:val="en-GB"/>
        </w:rPr>
        <w:t xml:space="preserve"> covering Kosovo and Albania. The establishment of ALPEX is expected to address many of the constraints faced by the electricity market in Kosovo, enabling it to enter a much larger market with a more flexible supply capacity.</w:t>
      </w:r>
    </w:p>
    <w:p w14:paraId="5704CF3B" w14:textId="77777777" w:rsidR="0075093C" w:rsidRPr="00DE0AA0" w:rsidRDefault="00D421AC" w:rsidP="009277F3">
      <w:pPr>
        <w:jc w:val="both"/>
        <w:rPr>
          <w:lang w:val="en-GB"/>
        </w:rPr>
      </w:pPr>
      <w:r w:rsidRPr="00DE0AA0">
        <w:rPr>
          <w:lang w:val="en-GB"/>
        </w:rPr>
        <w:t xml:space="preserve">However, it may take some time for ALPEX to become operational and currently its launch remains unknown, </w:t>
      </w:r>
      <w:r w:rsidR="00F77DA9" w:rsidRPr="00DE0AA0">
        <w:rPr>
          <w:lang w:val="en-GB"/>
        </w:rPr>
        <w:t>also</w:t>
      </w:r>
      <w:r w:rsidRPr="00DE0AA0">
        <w:rPr>
          <w:lang w:val="en-GB"/>
        </w:rPr>
        <w:t xml:space="preserve"> liquidity </w:t>
      </w:r>
      <w:r w:rsidR="00ED1C20" w:rsidRPr="00DE0AA0">
        <w:rPr>
          <w:lang w:val="en-GB"/>
        </w:rPr>
        <w:t xml:space="preserve">and market </w:t>
      </w:r>
      <w:r w:rsidRPr="00DE0AA0">
        <w:rPr>
          <w:lang w:val="en-GB"/>
        </w:rPr>
        <w:t xml:space="preserve">rates are currently unknown. </w:t>
      </w:r>
      <w:r w:rsidR="009154F6" w:rsidRPr="00DE0AA0">
        <w:rPr>
          <w:lang w:val="en-GB"/>
        </w:rPr>
        <w:t>Taking this into account</w:t>
      </w:r>
      <w:r w:rsidRPr="00DE0AA0">
        <w:rPr>
          <w:lang w:val="en-GB"/>
        </w:rPr>
        <w:t>, it is unrealistic to expect KESCO or other market participants to be able to rely on ALPEX to manage low-cost imbalances for the period up to 2023.</w:t>
      </w:r>
    </w:p>
    <w:p w14:paraId="6E8EF607" w14:textId="77777777" w:rsidR="0075093C" w:rsidRPr="00DE0AA0" w:rsidRDefault="00A37BF7" w:rsidP="009277F3">
      <w:pPr>
        <w:jc w:val="both"/>
        <w:rPr>
          <w:lang w:val="en-GB"/>
        </w:rPr>
      </w:pPr>
      <w:r w:rsidRPr="00DE0AA0">
        <w:rPr>
          <w:lang w:val="en-GB"/>
        </w:rPr>
        <w:t xml:space="preserve">However, the electricity market in Kosovo is small and illiquid. Only a small number of generators participate, which are largely inflexible and cannot easily accommodate production, and import contracts continue to face limitations. Given this, the imbalance sharing factor is currently set at 100%, which means that all balancing costs are passed </w:t>
      </w:r>
      <w:r w:rsidR="00EC421A" w:rsidRPr="00DE0AA0">
        <w:rPr>
          <w:lang w:val="en-GB"/>
        </w:rPr>
        <w:t>on to</w:t>
      </w:r>
      <w:r w:rsidRPr="00DE0AA0">
        <w:rPr>
          <w:lang w:val="en-GB"/>
        </w:rPr>
        <w:t xml:space="preserve"> customers (whether positive or negative), given that KESCO has little opportunit</w:t>
      </w:r>
      <w:r w:rsidR="006955A0" w:rsidRPr="00DE0AA0">
        <w:rPr>
          <w:lang w:val="en-GB"/>
        </w:rPr>
        <w:t xml:space="preserve">y to regulate energy purchases </w:t>
      </w:r>
      <w:r w:rsidRPr="00DE0AA0">
        <w:rPr>
          <w:lang w:val="en-GB"/>
        </w:rPr>
        <w:t xml:space="preserve">ahead of time </w:t>
      </w:r>
      <w:r w:rsidR="006955A0" w:rsidRPr="00DE0AA0">
        <w:rPr>
          <w:lang w:val="en-GB"/>
        </w:rPr>
        <w:t xml:space="preserve">in order </w:t>
      </w:r>
      <w:r w:rsidRPr="00DE0AA0">
        <w:rPr>
          <w:lang w:val="en-GB"/>
        </w:rPr>
        <w:t xml:space="preserve">to meet </w:t>
      </w:r>
      <w:r w:rsidR="0066318E" w:rsidRPr="00DE0AA0">
        <w:rPr>
          <w:lang w:val="en-GB"/>
        </w:rPr>
        <w:t xml:space="preserve">the </w:t>
      </w:r>
      <w:r w:rsidRPr="00DE0AA0">
        <w:rPr>
          <w:lang w:val="en-GB"/>
        </w:rPr>
        <w:t>demand.</w:t>
      </w:r>
    </w:p>
    <w:p w14:paraId="7D816473" w14:textId="77777777" w:rsidR="0075093C" w:rsidRPr="00DE0AA0" w:rsidRDefault="00DC6551" w:rsidP="009277F3">
      <w:pPr>
        <w:jc w:val="both"/>
        <w:rPr>
          <w:lang w:val="en-GB"/>
        </w:rPr>
      </w:pPr>
      <w:r w:rsidRPr="00DE0AA0">
        <w:rPr>
          <w:lang w:val="en-GB"/>
        </w:rPr>
        <w:t xml:space="preserve">Based on the explanation related to the current circumstances and expectations for integration in the ALPEX joint market, ERO agrees with KESCO's proposal that the same 100% </w:t>
      </w:r>
      <w:r w:rsidR="001A0EE5" w:rsidRPr="00DE0AA0">
        <w:rPr>
          <w:lang w:val="en-GB"/>
        </w:rPr>
        <w:t xml:space="preserve">sharing </w:t>
      </w:r>
      <w:r w:rsidR="0070275A" w:rsidRPr="00DE0AA0">
        <w:rPr>
          <w:lang w:val="en-GB"/>
        </w:rPr>
        <w:t>factor</w:t>
      </w:r>
      <w:r w:rsidRPr="00DE0AA0">
        <w:rPr>
          <w:lang w:val="en-GB"/>
        </w:rPr>
        <w:t xml:space="preserve"> should be</w:t>
      </w:r>
      <w:r w:rsidR="001A0EE5" w:rsidRPr="00DE0AA0">
        <w:rPr>
          <w:lang w:val="en-GB"/>
        </w:rPr>
        <w:t xml:space="preserve"> maintained for the </w:t>
      </w:r>
      <w:r w:rsidR="00D83C70" w:rsidRPr="00DE0AA0">
        <w:rPr>
          <w:lang w:val="en-GB"/>
        </w:rPr>
        <w:t xml:space="preserve">period </w:t>
      </w:r>
      <w:r w:rsidR="001A0EE5" w:rsidRPr="00DE0AA0">
        <w:rPr>
          <w:lang w:val="en-GB"/>
        </w:rPr>
        <w:t>2022-</w:t>
      </w:r>
      <w:r w:rsidRPr="00DE0AA0">
        <w:rPr>
          <w:lang w:val="en-GB"/>
        </w:rPr>
        <w:t>2024</w:t>
      </w:r>
      <w:r w:rsidR="007E753C" w:rsidRPr="00DE0AA0">
        <w:rPr>
          <w:lang w:val="en-GB"/>
        </w:rPr>
        <w:t xml:space="preserve"> </w:t>
      </w:r>
      <w:r w:rsidRPr="00DE0AA0">
        <w:rPr>
          <w:lang w:val="en-GB"/>
        </w:rPr>
        <w:t xml:space="preserve">given that these circumstances will continue to dominate the </w:t>
      </w:r>
      <w:r w:rsidR="001A0EE5" w:rsidRPr="00DE0AA0">
        <w:rPr>
          <w:lang w:val="en-GB"/>
        </w:rPr>
        <w:t>domestic</w:t>
      </w:r>
      <w:r w:rsidRPr="00DE0AA0">
        <w:rPr>
          <w:lang w:val="en-GB"/>
        </w:rPr>
        <w:t xml:space="preserve"> energy market.</w:t>
      </w:r>
    </w:p>
    <w:p w14:paraId="67F77DFF" w14:textId="77777777" w:rsidR="0075093C" w:rsidRPr="00DE0AA0" w:rsidRDefault="00961ABD" w:rsidP="0075093C">
      <w:pPr>
        <w:pStyle w:val="Heading1"/>
      </w:pPr>
      <w:bookmarkStart w:id="15" w:name="_Toc89262433"/>
      <w:r w:rsidRPr="00DE0AA0">
        <w:lastRenderedPageBreak/>
        <w:t>Op</w:t>
      </w:r>
      <w:r w:rsidR="00FE2E06" w:rsidRPr="00DE0AA0">
        <w:t>erating</w:t>
      </w:r>
      <w:r w:rsidRPr="00DE0AA0">
        <w:t xml:space="preserve"> and maintenance costs</w:t>
      </w:r>
      <w:bookmarkEnd w:id="15"/>
    </w:p>
    <w:p w14:paraId="1CA980F9" w14:textId="7C8229A1" w:rsidR="0075093C" w:rsidRPr="00DE0AA0" w:rsidRDefault="00A111DA" w:rsidP="006C04F5">
      <w:pPr>
        <w:jc w:val="both"/>
        <w:rPr>
          <w:lang w:val="en-GB"/>
        </w:rPr>
      </w:pPr>
      <w:r w:rsidRPr="00DE0AA0">
        <w:rPr>
          <w:lang w:val="en-GB"/>
        </w:rPr>
        <w:t xml:space="preserve">Allowed retail costs of the Universal Service Supplier include operating and maintenance costs, corporate costs, depreciation costs, and other costs beyond </w:t>
      </w:r>
      <w:r w:rsidR="00F86A3C" w:rsidRPr="00DE0AA0">
        <w:rPr>
          <w:lang w:val="en-GB"/>
        </w:rPr>
        <w:t>the control</w:t>
      </w:r>
      <w:r w:rsidR="00376E3E" w:rsidRPr="00DE0AA0">
        <w:rPr>
          <w:lang w:val="en-GB"/>
        </w:rPr>
        <w:t xml:space="preserve"> of the licensee</w:t>
      </w:r>
      <w:r w:rsidRPr="00DE0AA0">
        <w:rPr>
          <w:lang w:val="en-GB"/>
        </w:rPr>
        <w:t xml:space="preserve">. This part of the report presents </w:t>
      </w:r>
      <w:r w:rsidR="00376E3E" w:rsidRPr="00DE0AA0">
        <w:rPr>
          <w:lang w:val="en-GB"/>
        </w:rPr>
        <w:t>the Application</w:t>
      </w:r>
      <w:r w:rsidR="00C764A0" w:rsidRPr="00DE0AA0">
        <w:rPr>
          <w:lang w:val="en-GB"/>
        </w:rPr>
        <w:t xml:space="preserve"> of</w:t>
      </w:r>
      <w:r w:rsidRPr="00DE0AA0">
        <w:rPr>
          <w:lang w:val="en-GB"/>
        </w:rPr>
        <w:t xml:space="preserve"> KESCO-</w:t>
      </w:r>
      <w:r w:rsidR="00C764A0" w:rsidRPr="00DE0AA0">
        <w:rPr>
          <w:lang w:val="en-GB"/>
        </w:rPr>
        <w:t>USS</w:t>
      </w:r>
      <w:r w:rsidRPr="00DE0AA0">
        <w:rPr>
          <w:lang w:val="en-GB"/>
        </w:rPr>
        <w:t xml:space="preserve"> and ERO's proposals for allow</w:t>
      </w:r>
      <w:r w:rsidR="00C764A0" w:rsidRPr="00DE0AA0">
        <w:rPr>
          <w:lang w:val="en-GB"/>
        </w:rPr>
        <w:t xml:space="preserve">ed </w:t>
      </w:r>
      <w:r w:rsidRPr="00DE0AA0">
        <w:rPr>
          <w:lang w:val="en-GB"/>
        </w:rPr>
        <w:t xml:space="preserve">retail costs, as </w:t>
      </w:r>
      <w:r w:rsidR="00376E3E" w:rsidRPr="00DE0AA0">
        <w:rPr>
          <w:lang w:val="en-GB"/>
        </w:rPr>
        <w:t>set</w:t>
      </w:r>
      <w:r w:rsidRPr="00DE0AA0">
        <w:rPr>
          <w:lang w:val="en-GB"/>
        </w:rPr>
        <w:t xml:space="preserve"> in the definition given in Article 14 of the </w:t>
      </w:r>
      <w:r w:rsidR="00C764A0" w:rsidRPr="00DE0AA0">
        <w:rPr>
          <w:lang w:val="en-GB"/>
        </w:rPr>
        <w:t>USS Pricing Rule</w:t>
      </w:r>
      <w:r w:rsidRPr="00DE0AA0">
        <w:rPr>
          <w:lang w:val="en-GB"/>
        </w:rPr>
        <w:t>.</w:t>
      </w:r>
    </w:p>
    <w:p w14:paraId="2DC58210" w14:textId="77777777" w:rsidR="0075093C" w:rsidRPr="00DE0AA0" w:rsidRDefault="009D551A" w:rsidP="0075093C">
      <w:pPr>
        <w:pStyle w:val="Heading2"/>
      </w:pPr>
      <w:bookmarkStart w:id="16" w:name="_Toc89262434"/>
      <w:r w:rsidRPr="00DE0AA0">
        <w:t>KESCO’s application</w:t>
      </w:r>
      <w:bookmarkEnd w:id="16"/>
    </w:p>
    <w:p w14:paraId="0D1B5CBC" w14:textId="28840FF5" w:rsidR="0075093C" w:rsidRPr="00DE0AA0" w:rsidRDefault="00C10C21" w:rsidP="006C04F5">
      <w:pPr>
        <w:jc w:val="both"/>
        <w:rPr>
          <w:lang w:val="en-GB"/>
        </w:rPr>
      </w:pPr>
      <w:r w:rsidRPr="00DE0AA0">
        <w:rPr>
          <w:lang w:val="en-GB"/>
        </w:rPr>
        <w:t xml:space="preserve">Since the functional and legal unbundling of the distribution activity in 2015, the average operating and maintenance costs allowed for the Universal Service Supplier </w:t>
      </w:r>
      <w:r w:rsidR="00DB2808">
        <w:rPr>
          <w:lang w:val="en-GB"/>
        </w:rPr>
        <w:t>have been</w:t>
      </w:r>
      <w:r w:rsidR="00DB2808" w:rsidRPr="00DE0AA0">
        <w:rPr>
          <w:lang w:val="en-GB"/>
        </w:rPr>
        <w:t xml:space="preserve"> </w:t>
      </w:r>
      <w:r w:rsidRPr="00DE0AA0">
        <w:rPr>
          <w:lang w:val="en-GB"/>
        </w:rPr>
        <w:t>€ 5.6 million</w:t>
      </w:r>
      <w:r w:rsidR="00DB2808">
        <w:rPr>
          <w:lang w:val="en-GB"/>
        </w:rPr>
        <w:t xml:space="preserve"> in average</w:t>
      </w:r>
      <w:r w:rsidRPr="00DE0AA0">
        <w:rPr>
          <w:lang w:val="en-GB"/>
        </w:rPr>
        <w:t xml:space="preserve">, which are in line with the </w:t>
      </w:r>
      <w:r w:rsidR="009D3B75" w:rsidRPr="00DE0AA0">
        <w:rPr>
          <w:lang w:val="en-GB"/>
        </w:rPr>
        <w:t>actual</w:t>
      </w:r>
      <w:r w:rsidRPr="00DE0AA0">
        <w:rPr>
          <w:lang w:val="en-GB"/>
        </w:rPr>
        <w:t xml:space="preserve"> average costs incurred by the Universal Service Supplier, as shown in the table below:</w:t>
      </w:r>
    </w:p>
    <w:p w14:paraId="6DC13F42" w14:textId="77777777" w:rsidR="0075093C" w:rsidRPr="00DE0AA0" w:rsidRDefault="00C975DB" w:rsidP="0075093C">
      <w:pPr>
        <w:pStyle w:val="Caption"/>
      </w:pPr>
      <w:r w:rsidRPr="00DE0AA0">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7</w:t>
      </w:r>
      <w:r w:rsidR="0075093C" w:rsidRPr="00DE0AA0">
        <w:fldChar w:fldCharType="end"/>
      </w:r>
      <w:r w:rsidR="0075093C" w:rsidRPr="00DE0AA0">
        <w:t xml:space="preserve"> </w:t>
      </w:r>
      <w:r w:rsidRPr="00DE0AA0">
        <w:t>Actual operating and maintenance costs</w:t>
      </w:r>
      <w:r w:rsidR="0075093C" w:rsidRPr="00DE0AA0">
        <w:t xml:space="preserve"> (2016-2019)</w:t>
      </w:r>
    </w:p>
    <w:tbl>
      <w:tblPr>
        <w:tblW w:w="9360" w:type="dxa"/>
        <w:jc w:val="center"/>
        <w:tblLook w:val="04A0" w:firstRow="1" w:lastRow="0" w:firstColumn="1" w:lastColumn="0" w:noHBand="0" w:noVBand="1"/>
      </w:tblPr>
      <w:tblGrid>
        <w:gridCol w:w="3462"/>
        <w:gridCol w:w="827"/>
        <w:gridCol w:w="827"/>
        <w:gridCol w:w="827"/>
        <w:gridCol w:w="717"/>
        <w:gridCol w:w="110"/>
        <w:gridCol w:w="747"/>
        <w:gridCol w:w="1843"/>
      </w:tblGrid>
      <w:tr w:rsidR="0075093C" w:rsidRPr="00DE0AA0" w14:paraId="74DE33BC" w14:textId="77777777" w:rsidTr="00DE0AA0">
        <w:trPr>
          <w:trHeight w:val="495"/>
          <w:jc w:val="center"/>
        </w:trPr>
        <w:tc>
          <w:tcPr>
            <w:tcW w:w="3462" w:type="dxa"/>
            <w:tcBorders>
              <w:top w:val="nil"/>
              <w:left w:val="nil"/>
              <w:bottom w:val="nil"/>
              <w:right w:val="nil"/>
            </w:tcBorders>
            <w:shd w:val="clear" w:color="000000" w:fill="003366"/>
            <w:noWrap/>
            <w:vAlign w:val="center"/>
            <w:hideMark/>
          </w:tcPr>
          <w:p w14:paraId="29A4B233" w14:textId="77777777" w:rsidR="0075093C" w:rsidRPr="00DE0AA0" w:rsidRDefault="0075093C" w:rsidP="0075093C">
            <w:pPr>
              <w:spacing w:after="0" w:line="240" w:lineRule="auto"/>
              <w:rPr>
                <w:rFonts w:ascii="Calibri" w:eastAsia="Times New Roman" w:hAnsi="Calibri" w:cs="Times New Roman"/>
                <w:color w:val="FFFFFF"/>
                <w:lang w:val="en-GB"/>
              </w:rPr>
            </w:pPr>
            <w:r w:rsidRPr="00DE0AA0">
              <w:rPr>
                <w:rFonts w:ascii="Calibri" w:eastAsia="Times New Roman" w:hAnsi="Calibri" w:cs="Times New Roman"/>
                <w:color w:val="FFFFFF"/>
                <w:lang w:val="en-GB"/>
              </w:rPr>
              <w:t> </w:t>
            </w:r>
          </w:p>
        </w:tc>
        <w:tc>
          <w:tcPr>
            <w:tcW w:w="827" w:type="dxa"/>
            <w:tcBorders>
              <w:top w:val="nil"/>
              <w:left w:val="nil"/>
              <w:bottom w:val="nil"/>
              <w:right w:val="nil"/>
            </w:tcBorders>
            <w:shd w:val="clear" w:color="000000" w:fill="003366"/>
            <w:noWrap/>
            <w:vAlign w:val="center"/>
            <w:hideMark/>
          </w:tcPr>
          <w:p w14:paraId="2E5525AC" w14:textId="77777777" w:rsidR="0075093C" w:rsidRPr="00DE0AA0" w:rsidRDefault="0075093C" w:rsidP="0075093C">
            <w:pPr>
              <w:spacing w:after="0" w:line="240" w:lineRule="auto"/>
              <w:jc w:val="center"/>
              <w:rPr>
                <w:rFonts w:ascii="Calibri" w:eastAsia="Times New Roman" w:hAnsi="Calibri" w:cs="Times New Roman"/>
                <w:color w:val="FFFFFF"/>
                <w:lang w:val="en-GB"/>
              </w:rPr>
            </w:pPr>
            <w:r w:rsidRPr="00DE0AA0">
              <w:rPr>
                <w:rFonts w:ascii="Calibri" w:eastAsia="Times New Roman" w:hAnsi="Calibri" w:cs="Times New Roman"/>
                <w:color w:val="FFFFFF"/>
                <w:lang w:val="en-GB"/>
              </w:rPr>
              <w:t>2017</w:t>
            </w:r>
          </w:p>
        </w:tc>
        <w:tc>
          <w:tcPr>
            <w:tcW w:w="827" w:type="dxa"/>
            <w:tcBorders>
              <w:top w:val="nil"/>
              <w:left w:val="nil"/>
              <w:bottom w:val="nil"/>
              <w:right w:val="nil"/>
            </w:tcBorders>
            <w:shd w:val="clear" w:color="000000" w:fill="003366"/>
            <w:noWrap/>
            <w:vAlign w:val="center"/>
            <w:hideMark/>
          </w:tcPr>
          <w:p w14:paraId="1392F47B" w14:textId="77777777" w:rsidR="0075093C" w:rsidRPr="00DE0AA0" w:rsidRDefault="0075093C" w:rsidP="0075093C">
            <w:pPr>
              <w:spacing w:after="0" w:line="240" w:lineRule="auto"/>
              <w:jc w:val="center"/>
              <w:rPr>
                <w:rFonts w:ascii="Calibri" w:eastAsia="Times New Roman" w:hAnsi="Calibri" w:cs="Times New Roman"/>
                <w:color w:val="FFFFFF"/>
                <w:lang w:val="en-GB"/>
              </w:rPr>
            </w:pPr>
            <w:r w:rsidRPr="00DE0AA0">
              <w:rPr>
                <w:rFonts w:ascii="Calibri" w:eastAsia="Times New Roman" w:hAnsi="Calibri" w:cs="Times New Roman"/>
                <w:color w:val="FFFFFF"/>
                <w:lang w:val="en-GB"/>
              </w:rPr>
              <w:t>2018</w:t>
            </w:r>
          </w:p>
        </w:tc>
        <w:tc>
          <w:tcPr>
            <w:tcW w:w="827" w:type="dxa"/>
            <w:tcBorders>
              <w:top w:val="nil"/>
              <w:left w:val="nil"/>
              <w:bottom w:val="nil"/>
              <w:right w:val="nil"/>
            </w:tcBorders>
            <w:shd w:val="clear" w:color="000000" w:fill="003366"/>
            <w:noWrap/>
            <w:vAlign w:val="center"/>
            <w:hideMark/>
          </w:tcPr>
          <w:p w14:paraId="07B9C09E" w14:textId="77777777" w:rsidR="0075093C" w:rsidRPr="00DE0AA0" w:rsidRDefault="0075093C" w:rsidP="0075093C">
            <w:pPr>
              <w:spacing w:after="0" w:line="240" w:lineRule="auto"/>
              <w:jc w:val="center"/>
              <w:rPr>
                <w:rFonts w:ascii="Calibri" w:eastAsia="Times New Roman" w:hAnsi="Calibri" w:cs="Times New Roman"/>
                <w:color w:val="FFFFFF"/>
                <w:lang w:val="en-GB"/>
              </w:rPr>
            </w:pPr>
            <w:r w:rsidRPr="00DE0AA0">
              <w:rPr>
                <w:rFonts w:ascii="Calibri" w:eastAsia="Times New Roman" w:hAnsi="Calibri" w:cs="Times New Roman"/>
                <w:color w:val="FFFFFF"/>
                <w:lang w:val="en-GB"/>
              </w:rPr>
              <w:t>2019</w:t>
            </w:r>
          </w:p>
        </w:tc>
        <w:tc>
          <w:tcPr>
            <w:tcW w:w="717" w:type="dxa"/>
            <w:tcBorders>
              <w:top w:val="nil"/>
              <w:left w:val="nil"/>
              <w:bottom w:val="nil"/>
              <w:right w:val="nil"/>
            </w:tcBorders>
            <w:shd w:val="clear" w:color="000000" w:fill="003366"/>
            <w:noWrap/>
            <w:vAlign w:val="center"/>
            <w:hideMark/>
          </w:tcPr>
          <w:p w14:paraId="7C1F2E22" w14:textId="77777777" w:rsidR="0075093C" w:rsidRPr="00DE0AA0" w:rsidRDefault="0075093C" w:rsidP="0075093C">
            <w:pPr>
              <w:spacing w:after="0" w:line="240" w:lineRule="auto"/>
              <w:jc w:val="center"/>
              <w:rPr>
                <w:rFonts w:ascii="Calibri" w:eastAsia="Times New Roman" w:hAnsi="Calibri" w:cs="Times New Roman"/>
                <w:color w:val="FFFFFF"/>
                <w:lang w:val="en-GB"/>
              </w:rPr>
            </w:pPr>
            <w:r w:rsidRPr="00DE0AA0">
              <w:rPr>
                <w:rFonts w:ascii="Calibri" w:eastAsia="Times New Roman" w:hAnsi="Calibri" w:cs="Times New Roman"/>
                <w:color w:val="FFFFFF"/>
                <w:lang w:val="en-GB"/>
              </w:rPr>
              <w:t>2020</w:t>
            </w:r>
          </w:p>
        </w:tc>
        <w:tc>
          <w:tcPr>
            <w:tcW w:w="855" w:type="dxa"/>
            <w:gridSpan w:val="2"/>
            <w:tcBorders>
              <w:top w:val="nil"/>
              <w:left w:val="nil"/>
              <w:bottom w:val="nil"/>
              <w:right w:val="nil"/>
            </w:tcBorders>
            <w:shd w:val="clear" w:color="000000" w:fill="003366"/>
            <w:vAlign w:val="center"/>
          </w:tcPr>
          <w:p w14:paraId="5339CC28" w14:textId="77777777" w:rsidR="0075093C" w:rsidRPr="00DE0AA0" w:rsidRDefault="0075093C" w:rsidP="0075093C">
            <w:pPr>
              <w:spacing w:after="0" w:line="240" w:lineRule="auto"/>
              <w:jc w:val="center"/>
              <w:rPr>
                <w:rFonts w:ascii="Calibri" w:eastAsia="Times New Roman" w:hAnsi="Calibri" w:cs="Times New Roman"/>
                <w:color w:val="FFFFFF"/>
                <w:lang w:val="en-GB"/>
              </w:rPr>
            </w:pPr>
            <w:r w:rsidRPr="00DE0AA0">
              <w:rPr>
                <w:rFonts w:ascii="Calibri" w:eastAsia="Times New Roman" w:hAnsi="Calibri" w:cs="Times New Roman"/>
                <w:color w:val="FFFFFF"/>
                <w:lang w:val="en-GB"/>
              </w:rPr>
              <w:t>2021</w:t>
            </w:r>
          </w:p>
        </w:tc>
        <w:tc>
          <w:tcPr>
            <w:tcW w:w="1845" w:type="dxa"/>
            <w:tcBorders>
              <w:top w:val="nil"/>
              <w:left w:val="nil"/>
              <w:bottom w:val="nil"/>
              <w:right w:val="nil"/>
            </w:tcBorders>
            <w:shd w:val="clear" w:color="000000" w:fill="003366"/>
            <w:vAlign w:val="center"/>
          </w:tcPr>
          <w:p w14:paraId="6B59F378" w14:textId="77777777" w:rsidR="0075093C" w:rsidRPr="00DE0AA0" w:rsidRDefault="000A33F3" w:rsidP="0075093C">
            <w:pPr>
              <w:spacing w:after="0" w:line="240" w:lineRule="auto"/>
              <w:jc w:val="center"/>
              <w:rPr>
                <w:rFonts w:ascii="Calibri" w:eastAsia="Times New Roman" w:hAnsi="Calibri" w:cs="Times New Roman"/>
                <w:color w:val="FFFFFF"/>
                <w:lang w:val="en-GB"/>
              </w:rPr>
            </w:pPr>
            <w:r w:rsidRPr="00DE0AA0">
              <w:rPr>
                <w:rFonts w:ascii="Calibri" w:eastAsia="Times New Roman" w:hAnsi="Calibri" w:cs="Times New Roman"/>
                <w:color w:val="FFFFFF"/>
                <w:lang w:val="en-GB"/>
              </w:rPr>
              <w:t>Average</w:t>
            </w:r>
          </w:p>
        </w:tc>
      </w:tr>
      <w:tr w:rsidR="0075093C" w:rsidRPr="00DE0AA0" w14:paraId="60A04218" w14:textId="77777777" w:rsidTr="00DE0AA0">
        <w:trPr>
          <w:trHeight w:val="360"/>
          <w:jc w:val="center"/>
        </w:trPr>
        <w:tc>
          <w:tcPr>
            <w:tcW w:w="3462" w:type="dxa"/>
            <w:tcBorders>
              <w:top w:val="nil"/>
              <w:left w:val="nil"/>
              <w:bottom w:val="nil"/>
              <w:right w:val="nil"/>
            </w:tcBorders>
            <w:shd w:val="clear" w:color="000000" w:fill="FFFFFF"/>
            <w:noWrap/>
            <w:vAlign w:val="center"/>
            <w:hideMark/>
          </w:tcPr>
          <w:p w14:paraId="0B7397EE" w14:textId="77777777" w:rsidR="0075093C" w:rsidRPr="00DE0AA0" w:rsidRDefault="0075041C" w:rsidP="0075093C">
            <w:pPr>
              <w:spacing w:after="0" w:line="240" w:lineRule="auto"/>
              <w:rPr>
                <w:rFonts w:ascii="Calibri" w:eastAsia="Times New Roman" w:hAnsi="Calibri" w:cs="Times New Roman"/>
                <w:color w:val="000000"/>
                <w:lang w:val="en-GB"/>
              </w:rPr>
            </w:pPr>
            <w:r w:rsidRPr="00DE0AA0">
              <w:rPr>
                <w:rFonts w:ascii="Calibri" w:eastAsia="Times New Roman" w:hAnsi="Calibri" w:cs="Times New Roman"/>
                <w:color w:val="000000"/>
                <w:lang w:val="en-GB"/>
              </w:rPr>
              <w:t>Approved</w:t>
            </w:r>
            <w:r w:rsidR="000A33F3" w:rsidRPr="00DE0AA0">
              <w:rPr>
                <w:rFonts w:ascii="Calibri" w:eastAsia="Times New Roman" w:hAnsi="Calibri" w:cs="Times New Roman"/>
                <w:color w:val="000000"/>
                <w:lang w:val="en-GB"/>
              </w:rPr>
              <w:t xml:space="preserve"> expenses</w:t>
            </w:r>
          </w:p>
        </w:tc>
        <w:tc>
          <w:tcPr>
            <w:tcW w:w="827" w:type="dxa"/>
            <w:tcBorders>
              <w:top w:val="nil"/>
              <w:left w:val="nil"/>
              <w:bottom w:val="nil"/>
              <w:right w:val="nil"/>
            </w:tcBorders>
            <w:shd w:val="clear" w:color="000000" w:fill="FFFFFF"/>
            <w:noWrap/>
            <w:vAlign w:val="center"/>
          </w:tcPr>
          <w:p w14:paraId="6C9836D6"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5.79</w:t>
            </w:r>
          </w:p>
        </w:tc>
        <w:tc>
          <w:tcPr>
            <w:tcW w:w="827" w:type="dxa"/>
            <w:tcBorders>
              <w:top w:val="nil"/>
              <w:left w:val="nil"/>
              <w:bottom w:val="nil"/>
              <w:right w:val="nil"/>
            </w:tcBorders>
            <w:shd w:val="clear" w:color="000000" w:fill="FFFFFF"/>
            <w:noWrap/>
            <w:vAlign w:val="center"/>
          </w:tcPr>
          <w:p w14:paraId="267CA47B"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5.96</w:t>
            </w:r>
          </w:p>
        </w:tc>
        <w:tc>
          <w:tcPr>
            <w:tcW w:w="827" w:type="dxa"/>
            <w:tcBorders>
              <w:top w:val="nil"/>
              <w:left w:val="nil"/>
              <w:bottom w:val="nil"/>
              <w:right w:val="nil"/>
            </w:tcBorders>
            <w:shd w:val="clear" w:color="000000" w:fill="FFFFFF"/>
            <w:noWrap/>
            <w:vAlign w:val="center"/>
          </w:tcPr>
          <w:p w14:paraId="16BEDC87"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6.06</w:t>
            </w:r>
          </w:p>
        </w:tc>
        <w:tc>
          <w:tcPr>
            <w:tcW w:w="827" w:type="dxa"/>
            <w:gridSpan w:val="2"/>
            <w:tcBorders>
              <w:top w:val="nil"/>
              <w:left w:val="nil"/>
              <w:bottom w:val="nil"/>
              <w:right w:val="nil"/>
            </w:tcBorders>
            <w:shd w:val="clear" w:color="000000" w:fill="FFFFFF"/>
            <w:noWrap/>
            <w:vAlign w:val="center"/>
          </w:tcPr>
          <w:p w14:paraId="331ED25A"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4.59</w:t>
            </w:r>
          </w:p>
        </w:tc>
        <w:tc>
          <w:tcPr>
            <w:tcW w:w="745" w:type="dxa"/>
            <w:tcBorders>
              <w:top w:val="nil"/>
              <w:left w:val="nil"/>
              <w:bottom w:val="nil"/>
              <w:right w:val="nil"/>
            </w:tcBorders>
            <w:shd w:val="clear" w:color="000000" w:fill="FFFFFF"/>
            <w:vAlign w:val="center"/>
          </w:tcPr>
          <w:p w14:paraId="4078A016"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4.61</w:t>
            </w:r>
          </w:p>
        </w:tc>
        <w:tc>
          <w:tcPr>
            <w:tcW w:w="1845" w:type="dxa"/>
            <w:tcBorders>
              <w:top w:val="nil"/>
              <w:left w:val="nil"/>
              <w:bottom w:val="nil"/>
              <w:right w:val="nil"/>
            </w:tcBorders>
            <w:shd w:val="clear" w:color="000000" w:fill="FFFFFF"/>
            <w:vAlign w:val="center"/>
          </w:tcPr>
          <w:p w14:paraId="6EA23A37"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5.40</w:t>
            </w:r>
          </w:p>
        </w:tc>
      </w:tr>
      <w:tr w:rsidR="0075093C" w:rsidRPr="00DE0AA0" w14:paraId="7F7F4AB9" w14:textId="77777777" w:rsidTr="00DE0AA0">
        <w:trPr>
          <w:trHeight w:val="360"/>
          <w:jc w:val="center"/>
        </w:trPr>
        <w:tc>
          <w:tcPr>
            <w:tcW w:w="3462" w:type="dxa"/>
            <w:tcBorders>
              <w:top w:val="nil"/>
              <w:left w:val="nil"/>
              <w:bottom w:val="nil"/>
              <w:right w:val="nil"/>
            </w:tcBorders>
            <w:shd w:val="clear" w:color="000000" w:fill="FFFFFF"/>
            <w:noWrap/>
            <w:vAlign w:val="center"/>
            <w:hideMark/>
          </w:tcPr>
          <w:p w14:paraId="7F148521" w14:textId="77777777" w:rsidR="0075093C" w:rsidRPr="00DE0AA0" w:rsidRDefault="000A33F3" w:rsidP="0075093C">
            <w:pPr>
              <w:spacing w:after="0" w:line="240" w:lineRule="auto"/>
              <w:rPr>
                <w:rFonts w:ascii="Calibri" w:eastAsia="Times New Roman" w:hAnsi="Calibri" w:cs="Times New Roman"/>
                <w:color w:val="000000"/>
                <w:lang w:val="en-GB"/>
              </w:rPr>
            </w:pPr>
            <w:r w:rsidRPr="00DE0AA0">
              <w:rPr>
                <w:rFonts w:ascii="Calibri" w:eastAsia="Times New Roman" w:hAnsi="Calibri" w:cs="Times New Roman"/>
                <w:color w:val="000000"/>
                <w:lang w:val="en-GB"/>
              </w:rPr>
              <w:t>Actual expenses</w:t>
            </w:r>
          </w:p>
        </w:tc>
        <w:tc>
          <w:tcPr>
            <w:tcW w:w="827" w:type="dxa"/>
            <w:tcBorders>
              <w:top w:val="nil"/>
              <w:left w:val="nil"/>
              <w:bottom w:val="nil"/>
              <w:right w:val="nil"/>
            </w:tcBorders>
            <w:shd w:val="clear" w:color="000000" w:fill="FFFFFF"/>
            <w:noWrap/>
            <w:vAlign w:val="center"/>
            <w:hideMark/>
          </w:tcPr>
          <w:p w14:paraId="51445134"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5.60</w:t>
            </w:r>
          </w:p>
        </w:tc>
        <w:tc>
          <w:tcPr>
            <w:tcW w:w="827" w:type="dxa"/>
            <w:tcBorders>
              <w:top w:val="nil"/>
              <w:left w:val="nil"/>
              <w:bottom w:val="nil"/>
              <w:right w:val="nil"/>
            </w:tcBorders>
            <w:shd w:val="clear" w:color="000000" w:fill="FFFFFF"/>
            <w:noWrap/>
            <w:vAlign w:val="center"/>
            <w:hideMark/>
          </w:tcPr>
          <w:p w14:paraId="44EC0870"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6.14</w:t>
            </w:r>
          </w:p>
        </w:tc>
        <w:tc>
          <w:tcPr>
            <w:tcW w:w="827" w:type="dxa"/>
            <w:tcBorders>
              <w:top w:val="nil"/>
              <w:left w:val="nil"/>
              <w:bottom w:val="nil"/>
              <w:right w:val="nil"/>
            </w:tcBorders>
            <w:shd w:val="clear" w:color="000000" w:fill="FFFFFF"/>
            <w:noWrap/>
            <w:vAlign w:val="center"/>
            <w:hideMark/>
          </w:tcPr>
          <w:p w14:paraId="2E0C94A5"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5.56</w:t>
            </w:r>
          </w:p>
        </w:tc>
        <w:tc>
          <w:tcPr>
            <w:tcW w:w="827" w:type="dxa"/>
            <w:gridSpan w:val="2"/>
            <w:tcBorders>
              <w:top w:val="nil"/>
              <w:left w:val="nil"/>
              <w:bottom w:val="nil"/>
              <w:right w:val="nil"/>
            </w:tcBorders>
            <w:shd w:val="clear" w:color="000000" w:fill="FFFFFF"/>
            <w:noWrap/>
            <w:vAlign w:val="center"/>
            <w:hideMark/>
          </w:tcPr>
          <w:p w14:paraId="33AF3D42"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5.37</w:t>
            </w:r>
          </w:p>
        </w:tc>
        <w:tc>
          <w:tcPr>
            <w:tcW w:w="745" w:type="dxa"/>
            <w:tcBorders>
              <w:top w:val="nil"/>
              <w:left w:val="nil"/>
              <w:bottom w:val="nil"/>
              <w:right w:val="nil"/>
            </w:tcBorders>
            <w:shd w:val="clear" w:color="000000" w:fill="FFFFFF"/>
            <w:vAlign w:val="center"/>
          </w:tcPr>
          <w:p w14:paraId="64CDD31C"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5.33</w:t>
            </w:r>
          </w:p>
        </w:tc>
        <w:tc>
          <w:tcPr>
            <w:tcW w:w="1845" w:type="dxa"/>
            <w:tcBorders>
              <w:top w:val="nil"/>
              <w:left w:val="nil"/>
              <w:bottom w:val="nil"/>
              <w:right w:val="nil"/>
            </w:tcBorders>
            <w:shd w:val="clear" w:color="000000" w:fill="FFFFFF"/>
            <w:vAlign w:val="center"/>
          </w:tcPr>
          <w:p w14:paraId="4728B39C" w14:textId="77777777" w:rsidR="0075093C" w:rsidRPr="00DE0AA0" w:rsidRDefault="0075093C" w:rsidP="0075093C">
            <w:pPr>
              <w:spacing w:after="0" w:line="240" w:lineRule="auto"/>
              <w:jc w:val="center"/>
              <w:rPr>
                <w:rFonts w:ascii="Calibri" w:eastAsia="Times New Roman" w:hAnsi="Calibri" w:cs="Times New Roman"/>
                <w:color w:val="000000"/>
                <w:lang w:val="en-GB"/>
              </w:rPr>
            </w:pPr>
            <w:r w:rsidRPr="00DE0AA0">
              <w:rPr>
                <w:rFonts w:ascii="Calibri" w:eastAsia="Times New Roman" w:hAnsi="Calibri" w:cs="Times New Roman"/>
                <w:color w:val="000000"/>
                <w:lang w:val="en-GB"/>
              </w:rPr>
              <w:t>5.60</w:t>
            </w:r>
          </w:p>
        </w:tc>
      </w:tr>
      <w:tr w:rsidR="0075093C" w:rsidRPr="00DE0AA0" w14:paraId="52EDB90B" w14:textId="77777777" w:rsidTr="00DE0AA0">
        <w:trPr>
          <w:trHeight w:val="360"/>
          <w:jc w:val="center"/>
        </w:trPr>
        <w:tc>
          <w:tcPr>
            <w:tcW w:w="3462" w:type="dxa"/>
            <w:tcBorders>
              <w:top w:val="nil"/>
              <w:left w:val="nil"/>
              <w:bottom w:val="nil"/>
              <w:right w:val="nil"/>
            </w:tcBorders>
            <w:shd w:val="clear" w:color="000000" w:fill="DEEAF6"/>
            <w:noWrap/>
            <w:vAlign w:val="center"/>
            <w:hideMark/>
          </w:tcPr>
          <w:p w14:paraId="5162A05B" w14:textId="77777777" w:rsidR="0075093C" w:rsidRPr="00DE0AA0" w:rsidRDefault="0075093C" w:rsidP="000A33F3">
            <w:pPr>
              <w:spacing w:after="0" w:line="240" w:lineRule="auto"/>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 </w:t>
            </w:r>
            <w:r w:rsidR="000A33F3" w:rsidRPr="00DE0AA0">
              <w:rPr>
                <w:rFonts w:ascii="Calibri" w:eastAsia="Times New Roman" w:hAnsi="Calibri" w:cs="Times New Roman"/>
                <w:b/>
                <w:bCs/>
                <w:color w:val="000000"/>
                <w:lang w:val="en-GB"/>
              </w:rPr>
              <w:t>Difference</w:t>
            </w:r>
          </w:p>
        </w:tc>
        <w:tc>
          <w:tcPr>
            <w:tcW w:w="827" w:type="dxa"/>
            <w:tcBorders>
              <w:top w:val="nil"/>
              <w:left w:val="nil"/>
              <w:bottom w:val="nil"/>
              <w:right w:val="nil"/>
            </w:tcBorders>
            <w:shd w:val="clear" w:color="000000" w:fill="DEEAF6"/>
            <w:noWrap/>
            <w:vAlign w:val="center"/>
          </w:tcPr>
          <w:p w14:paraId="4FAE945B" w14:textId="77777777" w:rsidR="0075093C" w:rsidRPr="00DE0AA0" w:rsidRDefault="0075093C" w:rsidP="0075093C">
            <w:pPr>
              <w:spacing w:after="0" w:line="240" w:lineRule="auto"/>
              <w:jc w:val="center"/>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0.18</w:t>
            </w:r>
          </w:p>
        </w:tc>
        <w:tc>
          <w:tcPr>
            <w:tcW w:w="827" w:type="dxa"/>
            <w:tcBorders>
              <w:top w:val="nil"/>
              <w:left w:val="nil"/>
              <w:bottom w:val="nil"/>
              <w:right w:val="nil"/>
            </w:tcBorders>
            <w:shd w:val="clear" w:color="000000" w:fill="DEEAF6"/>
            <w:noWrap/>
            <w:vAlign w:val="center"/>
          </w:tcPr>
          <w:p w14:paraId="777E43F7" w14:textId="77777777" w:rsidR="0075093C" w:rsidRPr="00DE0AA0" w:rsidRDefault="0075093C" w:rsidP="0075093C">
            <w:pPr>
              <w:spacing w:after="0" w:line="240" w:lineRule="auto"/>
              <w:jc w:val="center"/>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(0.19)</w:t>
            </w:r>
          </w:p>
        </w:tc>
        <w:tc>
          <w:tcPr>
            <w:tcW w:w="827" w:type="dxa"/>
            <w:tcBorders>
              <w:top w:val="nil"/>
              <w:left w:val="nil"/>
              <w:bottom w:val="nil"/>
              <w:right w:val="nil"/>
            </w:tcBorders>
            <w:shd w:val="clear" w:color="000000" w:fill="DEEAF6"/>
            <w:noWrap/>
            <w:vAlign w:val="center"/>
          </w:tcPr>
          <w:p w14:paraId="420263ED" w14:textId="77777777" w:rsidR="0075093C" w:rsidRPr="00DE0AA0" w:rsidRDefault="0075093C" w:rsidP="0075093C">
            <w:pPr>
              <w:spacing w:after="0" w:line="240" w:lineRule="auto"/>
              <w:jc w:val="center"/>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0.50</w:t>
            </w:r>
          </w:p>
        </w:tc>
        <w:tc>
          <w:tcPr>
            <w:tcW w:w="827" w:type="dxa"/>
            <w:gridSpan w:val="2"/>
            <w:tcBorders>
              <w:top w:val="nil"/>
              <w:left w:val="nil"/>
              <w:bottom w:val="nil"/>
              <w:right w:val="nil"/>
            </w:tcBorders>
            <w:shd w:val="clear" w:color="000000" w:fill="DEEAF6"/>
            <w:noWrap/>
            <w:vAlign w:val="center"/>
          </w:tcPr>
          <w:p w14:paraId="70C0450D" w14:textId="77777777" w:rsidR="0075093C" w:rsidRPr="00DE0AA0" w:rsidRDefault="0075093C" w:rsidP="0075093C">
            <w:pPr>
              <w:spacing w:after="0" w:line="240" w:lineRule="auto"/>
              <w:jc w:val="center"/>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(0.77)</w:t>
            </w:r>
          </w:p>
        </w:tc>
        <w:tc>
          <w:tcPr>
            <w:tcW w:w="745" w:type="dxa"/>
            <w:tcBorders>
              <w:top w:val="nil"/>
              <w:left w:val="nil"/>
              <w:bottom w:val="nil"/>
              <w:right w:val="nil"/>
            </w:tcBorders>
            <w:shd w:val="clear" w:color="000000" w:fill="DEEAF6"/>
            <w:vAlign w:val="center"/>
          </w:tcPr>
          <w:p w14:paraId="1B25E847" w14:textId="77777777" w:rsidR="0075093C" w:rsidRPr="00DE0AA0" w:rsidRDefault="0075093C" w:rsidP="0075093C">
            <w:pPr>
              <w:spacing w:after="0" w:line="240" w:lineRule="auto"/>
              <w:jc w:val="center"/>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(0.73)</w:t>
            </w:r>
          </w:p>
        </w:tc>
        <w:tc>
          <w:tcPr>
            <w:tcW w:w="1845" w:type="dxa"/>
            <w:tcBorders>
              <w:top w:val="nil"/>
              <w:left w:val="nil"/>
              <w:bottom w:val="nil"/>
              <w:right w:val="nil"/>
            </w:tcBorders>
            <w:shd w:val="clear" w:color="000000" w:fill="DEEAF6"/>
            <w:vAlign w:val="center"/>
          </w:tcPr>
          <w:p w14:paraId="184CBCA5" w14:textId="77777777" w:rsidR="0075093C" w:rsidRPr="00DE0AA0" w:rsidRDefault="0075093C" w:rsidP="0075093C">
            <w:pPr>
              <w:spacing w:after="0" w:line="240" w:lineRule="auto"/>
              <w:jc w:val="center"/>
              <w:rPr>
                <w:rFonts w:ascii="Calibri" w:eastAsia="Times New Roman" w:hAnsi="Calibri" w:cs="Times New Roman"/>
                <w:b/>
                <w:bCs/>
                <w:color w:val="000000"/>
                <w:lang w:val="en-GB"/>
              </w:rPr>
            </w:pPr>
            <w:r w:rsidRPr="00DE0AA0">
              <w:rPr>
                <w:rFonts w:ascii="Calibri" w:eastAsia="Times New Roman" w:hAnsi="Calibri" w:cs="Times New Roman"/>
                <w:b/>
                <w:bCs/>
                <w:color w:val="000000"/>
                <w:lang w:val="en-GB"/>
              </w:rPr>
              <w:t>(0.20)</w:t>
            </w:r>
          </w:p>
        </w:tc>
      </w:tr>
    </w:tbl>
    <w:p w14:paraId="04E0B032" w14:textId="77777777" w:rsidR="0075093C" w:rsidRPr="00DE0AA0" w:rsidRDefault="0075093C" w:rsidP="0075093C">
      <w:pPr>
        <w:rPr>
          <w:lang w:val="en-GB"/>
        </w:rPr>
      </w:pPr>
    </w:p>
    <w:p w14:paraId="3AD40F6F" w14:textId="77777777" w:rsidR="00820A8B" w:rsidRPr="00DE0AA0" w:rsidRDefault="00C06923" w:rsidP="006C04F5">
      <w:pPr>
        <w:jc w:val="both"/>
        <w:rPr>
          <w:lang w:val="en-GB"/>
        </w:rPr>
      </w:pPr>
      <w:r w:rsidRPr="00DE0AA0">
        <w:rPr>
          <w:lang w:val="en-GB"/>
        </w:rPr>
        <w:t xml:space="preserve">KESCO claims that the </w:t>
      </w:r>
      <w:r w:rsidR="003B2728" w:rsidRPr="00DE0AA0">
        <w:rPr>
          <w:lang w:val="en-GB"/>
        </w:rPr>
        <w:t xml:space="preserve">reduction of </w:t>
      </w:r>
      <w:r w:rsidR="00011B81" w:rsidRPr="00DE0AA0">
        <w:rPr>
          <w:lang w:val="en-GB"/>
        </w:rPr>
        <w:t>25%</w:t>
      </w:r>
      <w:r w:rsidRPr="00DE0AA0">
        <w:rPr>
          <w:lang w:val="en-GB"/>
        </w:rPr>
        <w:t xml:space="preserve"> in </w:t>
      </w:r>
      <w:r w:rsidR="003B2728" w:rsidRPr="00DE0AA0">
        <w:rPr>
          <w:lang w:val="en-GB"/>
        </w:rPr>
        <w:t xml:space="preserve">allowance of </w:t>
      </w:r>
      <w:r w:rsidRPr="00DE0AA0">
        <w:rPr>
          <w:lang w:val="en-GB"/>
        </w:rPr>
        <w:t>operating cost</w:t>
      </w:r>
      <w:r w:rsidR="003B2728" w:rsidRPr="00DE0AA0">
        <w:rPr>
          <w:lang w:val="en-GB"/>
        </w:rPr>
        <w:t>s</w:t>
      </w:r>
      <w:r w:rsidR="00317A1A" w:rsidRPr="00DE0AA0">
        <w:rPr>
          <w:lang w:val="en-GB"/>
        </w:rPr>
        <w:t>,</w:t>
      </w:r>
      <w:r w:rsidRPr="00DE0AA0">
        <w:rPr>
          <w:lang w:val="en-GB"/>
        </w:rPr>
        <w:t xml:space="preserve"> put</w:t>
      </w:r>
      <w:r w:rsidR="00317A1A" w:rsidRPr="00DE0AA0">
        <w:rPr>
          <w:lang w:val="en-GB"/>
        </w:rPr>
        <w:t>s</w:t>
      </w:r>
      <w:r w:rsidRPr="00DE0AA0">
        <w:rPr>
          <w:lang w:val="en-GB"/>
        </w:rPr>
        <w:t xml:space="preserve"> it in an </w:t>
      </w:r>
      <w:r w:rsidR="005D720D" w:rsidRPr="00DE0AA0">
        <w:rPr>
          <w:lang w:val="en-GB"/>
        </w:rPr>
        <w:t>unfavourable</w:t>
      </w:r>
      <w:r w:rsidRPr="00DE0AA0">
        <w:rPr>
          <w:lang w:val="en-GB"/>
        </w:rPr>
        <w:t xml:space="preserve"> financial position</w:t>
      </w:r>
      <w:r w:rsidR="005D720D" w:rsidRPr="00DE0AA0">
        <w:rPr>
          <w:lang w:val="en-GB"/>
        </w:rPr>
        <w:t>, given that</w:t>
      </w:r>
      <w:r w:rsidRPr="00DE0AA0">
        <w:rPr>
          <w:lang w:val="en-GB"/>
        </w:rPr>
        <w:t xml:space="preserve"> </w:t>
      </w:r>
      <w:r w:rsidR="005D720D" w:rsidRPr="00DE0AA0">
        <w:rPr>
          <w:lang w:val="en-GB"/>
        </w:rPr>
        <w:t>USS</w:t>
      </w:r>
      <w:r w:rsidRPr="00DE0AA0">
        <w:rPr>
          <w:lang w:val="en-GB"/>
        </w:rPr>
        <w:t xml:space="preserve"> closed the </w:t>
      </w:r>
      <w:r w:rsidR="005D720D" w:rsidRPr="00DE0AA0">
        <w:rPr>
          <w:lang w:val="en-GB"/>
        </w:rPr>
        <w:t>2019 fiscal year</w:t>
      </w:r>
      <w:r w:rsidR="00011B81" w:rsidRPr="00DE0AA0">
        <w:rPr>
          <w:lang w:val="en-GB"/>
        </w:rPr>
        <w:t xml:space="preserve"> with</w:t>
      </w:r>
      <w:r w:rsidRPr="00DE0AA0">
        <w:rPr>
          <w:lang w:val="en-GB"/>
        </w:rPr>
        <w:t xml:space="preserve"> loss</w:t>
      </w:r>
      <w:r w:rsidR="005D720D" w:rsidRPr="00DE0AA0">
        <w:rPr>
          <w:lang w:val="en-GB"/>
        </w:rPr>
        <w:t>es</w:t>
      </w:r>
      <w:r w:rsidRPr="00DE0AA0">
        <w:rPr>
          <w:lang w:val="en-GB"/>
        </w:rPr>
        <w:t>, in addition to the challenges posed by the spread of the COVID-19 pandemic, which affected</w:t>
      </w:r>
      <w:r w:rsidR="007F47BF" w:rsidRPr="00DE0AA0">
        <w:rPr>
          <w:lang w:val="en-GB"/>
        </w:rPr>
        <w:t xml:space="preserve"> on </w:t>
      </w:r>
      <w:r w:rsidR="00D572B0" w:rsidRPr="00DE0AA0">
        <w:rPr>
          <w:lang w:val="en-GB"/>
        </w:rPr>
        <w:t>the payments</w:t>
      </w:r>
      <w:r w:rsidR="007F47BF" w:rsidRPr="00DE0AA0">
        <w:rPr>
          <w:lang w:val="en-GB"/>
        </w:rPr>
        <w:t xml:space="preserve"> and liabilities </w:t>
      </w:r>
      <w:r w:rsidR="00D572B0" w:rsidRPr="00DE0AA0">
        <w:rPr>
          <w:lang w:val="en-GB"/>
        </w:rPr>
        <w:t>of KESCO</w:t>
      </w:r>
      <w:r w:rsidRPr="00DE0AA0">
        <w:rPr>
          <w:lang w:val="en-GB"/>
        </w:rPr>
        <w:t xml:space="preserve"> to other operators. KESCO further argues that the number of customers is constantly increasing, which is increasing the cost of the service.</w:t>
      </w:r>
    </w:p>
    <w:p w14:paraId="7460E1AC" w14:textId="77777777" w:rsidR="00820A8B" w:rsidRDefault="00820A8B" w:rsidP="006C04F5">
      <w:pPr>
        <w:jc w:val="both"/>
        <w:rPr>
          <w:lang w:val="en-GB"/>
        </w:rPr>
      </w:pPr>
    </w:p>
    <w:p w14:paraId="43BE8735" w14:textId="77777777" w:rsidR="00B465BA" w:rsidRDefault="00B465BA" w:rsidP="006C04F5">
      <w:pPr>
        <w:jc w:val="both"/>
        <w:rPr>
          <w:lang w:val="en-GB"/>
        </w:rPr>
      </w:pPr>
    </w:p>
    <w:p w14:paraId="7F55E2AD" w14:textId="77777777" w:rsidR="00B465BA" w:rsidRDefault="00B465BA" w:rsidP="006C04F5">
      <w:pPr>
        <w:jc w:val="both"/>
        <w:rPr>
          <w:lang w:val="en-GB"/>
        </w:rPr>
      </w:pPr>
    </w:p>
    <w:p w14:paraId="1CE612AB" w14:textId="77777777" w:rsidR="00B465BA" w:rsidRDefault="00B465BA" w:rsidP="006C04F5">
      <w:pPr>
        <w:jc w:val="both"/>
        <w:rPr>
          <w:lang w:val="en-GB"/>
        </w:rPr>
      </w:pPr>
    </w:p>
    <w:p w14:paraId="4166DB80" w14:textId="77777777" w:rsidR="00B465BA" w:rsidRDefault="00B465BA" w:rsidP="006C04F5">
      <w:pPr>
        <w:jc w:val="both"/>
        <w:rPr>
          <w:lang w:val="en-GB"/>
        </w:rPr>
      </w:pPr>
    </w:p>
    <w:p w14:paraId="21FF8BE1" w14:textId="77777777" w:rsidR="00B465BA" w:rsidRDefault="00B465BA" w:rsidP="006C04F5">
      <w:pPr>
        <w:jc w:val="both"/>
        <w:rPr>
          <w:lang w:val="en-GB"/>
        </w:rPr>
      </w:pPr>
    </w:p>
    <w:p w14:paraId="63A5EA10" w14:textId="77777777" w:rsidR="00B465BA" w:rsidRDefault="00B465BA" w:rsidP="006C04F5">
      <w:pPr>
        <w:jc w:val="both"/>
        <w:rPr>
          <w:lang w:val="en-GB"/>
        </w:rPr>
      </w:pPr>
    </w:p>
    <w:p w14:paraId="6F1151E9" w14:textId="77777777" w:rsidR="00B465BA" w:rsidRPr="00DE0AA0" w:rsidRDefault="00B465BA" w:rsidP="006C04F5">
      <w:pPr>
        <w:jc w:val="both"/>
        <w:rPr>
          <w:lang w:val="en-GB"/>
        </w:rPr>
      </w:pPr>
    </w:p>
    <w:p w14:paraId="06803948" w14:textId="77777777" w:rsidR="0075093C" w:rsidRPr="00DE0AA0" w:rsidRDefault="00863714" w:rsidP="0075093C">
      <w:pPr>
        <w:pStyle w:val="Caption"/>
      </w:pPr>
      <w:r w:rsidRPr="00DE0AA0">
        <w:lastRenderedPageBreak/>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8</w:t>
      </w:r>
      <w:r w:rsidR="0075093C" w:rsidRPr="00DE0AA0">
        <w:fldChar w:fldCharType="end"/>
      </w:r>
      <w:r w:rsidR="0075093C" w:rsidRPr="00DE0AA0">
        <w:t xml:space="preserve"> </w:t>
      </w:r>
      <w:r w:rsidRPr="00DE0AA0">
        <w:t>Average OPEX costs for customers</w:t>
      </w:r>
    </w:p>
    <w:tbl>
      <w:tblPr>
        <w:tblW w:w="8896" w:type="dxa"/>
        <w:tblLook w:val="04A0" w:firstRow="1" w:lastRow="0" w:firstColumn="1" w:lastColumn="0" w:noHBand="0" w:noVBand="1"/>
      </w:tblPr>
      <w:tblGrid>
        <w:gridCol w:w="3926"/>
        <w:gridCol w:w="974"/>
        <w:gridCol w:w="974"/>
        <w:gridCol w:w="974"/>
        <w:gridCol w:w="974"/>
        <w:gridCol w:w="1074"/>
      </w:tblGrid>
      <w:tr w:rsidR="0075093C" w:rsidRPr="00DE0AA0" w14:paraId="7E68A7AA" w14:textId="77777777" w:rsidTr="0075093C">
        <w:trPr>
          <w:trHeight w:val="449"/>
        </w:trPr>
        <w:tc>
          <w:tcPr>
            <w:tcW w:w="3926" w:type="dxa"/>
            <w:tcBorders>
              <w:top w:val="nil"/>
              <w:left w:val="nil"/>
              <w:bottom w:val="nil"/>
              <w:right w:val="nil"/>
            </w:tcBorders>
            <w:shd w:val="clear" w:color="000000" w:fill="003366"/>
            <w:noWrap/>
            <w:vAlign w:val="center"/>
            <w:hideMark/>
          </w:tcPr>
          <w:p w14:paraId="00222659" w14:textId="6D64F741" w:rsidR="0075093C" w:rsidRPr="00DE0AA0" w:rsidRDefault="00AB0050" w:rsidP="0075093C">
            <w:pPr>
              <w:spacing w:after="0" w:line="240" w:lineRule="auto"/>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Analysed</w:t>
            </w:r>
            <w:r w:rsidR="00D577D3" w:rsidRPr="00DE0AA0">
              <w:rPr>
                <w:rFonts w:ascii="Calibri" w:eastAsia="Times New Roman" w:hAnsi="Calibri" w:cs="Times New Roman"/>
                <w:color w:val="FFFFFF"/>
                <w:sz w:val="20"/>
                <w:szCs w:val="20"/>
                <w:lang w:val="en-GB"/>
              </w:rPr>
              <w:t xml:space="preserve"> components per unit</w:t>
            </w:r>
          </w:p>
        </w:tc>
        <w:tc>
          <w:tcPr>
            <w:tcW w:w="974" w:type="dxa"/>
            <w:tcBorders>
              <w:top w:val="nil"/>
              <w:left w:val="nil"/>
              <w:bottom w:val="nil"/>
              <w:right w:val="nil"/>
            </w:tcBorders>
            <w:shd w:val="clear" w:color="000000" w:fill="003366"/>
            <w:noWrap/>
            <w:vAlign w:val="center"/>
            <w:hideMark/>
          </w:tcPr>
          <w:p w14:paraId="3925D7BC"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2017</w:t>
            </w:r>
          </w:p>
        </w:tc>
        <w:tc>
          <w:tcPr>
            <w:tcW w:w="974" w:type="dxa"/>
            <w:tcBorders>
              <w:top w:val="nil"/>
              <w:left w:val="nil"/>
              <w:bottom w:val="nil"/>
              <w:right w:val="nil"/>
            </w:tcBorders>
            <w:shd w:val="clear" w:color="000000" w:fill="003366"/>
            <w:noWrap/>
            <w:vAlign w:val="center"/>
            <w:hideMark/>
          </w:tcPr>
          <w:p w14:paraId="7BD21200"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2018</w:t>
            </w:r>
          </w:p>
        </w:tc>
        <w:tc>
          <w:tcPr>
            <w:tcW w:w="974" w:type="dxa"/>
            <w:tcBorders>
              <w:top w:val="nil"/>
              <w:left w:val="nil"/>
              <w:bottom w:val="nil"/>
              <w:right w:val="nil"/>
            </w:tcBorders>
            <w:shd w:val="clear" w:color="000000" w:fill="003366"/>
            <w:noWrap/>
            <w:vAlign w:val="center"/>
            <w:hideMark/>
          </w:tcPr>
          <w:p w14:paraId="450975E6"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2019</w:t>
            </w:r>
          </w:p>
        </w:tc>
        <w:tc>
          <w:tcPr>
            <w:tcW w:w="974" w:type="dxa"/>
            <w:tcBorders>
              <w:top w:val="nil"/>
              <w:left w:val="nil"/>
              <w:bottom w:val="nil"/>
              <w:right w:val="nil"/>
            </w:tcBorders>
            <w:shd w:val="clear" w:color="000000" w:fill="003366"/>
            <w:noWrap/>
            <w:vAlign w:val="center"/>
            <w:hideMark/>
          </w:tcPr>
          <w:p w14:paraId="16FCC19D"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2020</w:t>
            </w:r>
          </w:p>
        </w:tc>
        <w:tc>
          <w:tcPr>
            <w:tcW w:w="1074" w:type="dxa"/>
            <w:tcBorders>
              <w:top w:val="nil"/>
              <w:left w:val="nil"/>
              <w:bottom w:val="nil"/>
              <w:right w:val="nil"/>
            </w:tcBorders>
            <w:shd w:val="clear" w:color="000000" w:fill="003366"/>
            <w:vAlign w:val="center"/>
          </w:tcPr>
          <w:p w14:paraId="799C5B54"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2021</w:t>
            </w:r>
          </w:p>
        </w:tc>
      </w:tr>
      <w:tr w:rsidR="0075093C" w:rsidRPr="00DE0AA0" w14:paraId="3ABC20A3" w14:textId="77777777" w:rsidTr="0075093C">
        <w:trPr>
          <w:trHeight w:val="326"/>
        </w:trPr>
        <w:tc>
          <w:tcPr>
            <w:tcW w:w="3926" w:type="dxa"/>
            <w:tcBorders>
              <w:top w:val="nil"/>
              <w:left w:val="nil"/>
              <w:bottom w:val="nil"/>
              <w:right w:val="nil"/>
            </w:tcBorders>
            <w:shd w:val="clear" w:color="auto" w:fill="DEEAF6" w:themeFill="accent1" w:themeFillTint="33"/>
            <w:noWrap/>
            <w:vAlign w:val="center"/>
            <w:hideMark/>
          </w:tcPr>
          <w:p w14:paraId="0FF5123B" w14:textId="77777777" w:rsidR="0075093C" w:rsidRPr="00DE0AA0" w:rsidRDefault="00D577D3" w:rsidP="00D577D3">
            <w:pPr>
              <w:spacing w:after="0" w:line="240" w:lineRule="auto"/>
              <w:rPr>
                <w:rFonts w:ascii="Calibri" w:eastAsia="Times New Roman" w:hAnsi="Calibri" w:cs="Times New Roman"/>
                <w:b/>
                <w:bCs/>
                <w:color w:val="000000"/>
                <w:sz w:val="20"/>
                <w:szCs w:val="20"/>
                <w:lang w:val="en-GB"/>
              </w:rPr>
            </w:pPr>
            <w:r w:rsidRPr="00DE0AA0">
              <w:rPr>
                <w:rFonts w:ascii="Calibri" w:eastAsia="Times New Roman" w:hAnsi="Calibri" w:cs="Times New Roman"/>
                <w:b/>
                <w:bCs/>
                <w:color w:val="000000"/>
                <w:sz w:val="20"/>
                <w:szCs w:val="20"/>
                <w:lang w:val="en-GB"/>
              </w:rPr>
              <w:t xml:space="preserve">Allowed </w:t>
            </w:r>
            <w:r w:rsidR="0075093C" w:rsidRPr="00DE0AA0">
              <w:rPr>
                <w:rFonts w:ascii="Calibri" w:eastAsia="Times New Roman" w:hAnsi="Calibri" w:cs="Times New Roman"/>
                <w:b/>
                <w:bCs/>
                <w:color w:val="000000"/>
                <w:sz w:val="20"/>
                <w:szCs w:val="20"/>
                <w:lang w:val="en-GB"/>
              </w:rPr>
              <w:t>Opex (000s)</w:t>
            </w:r>
          </w:p>
        </w:tc>
        <w:tc>
          <w:tcPr>
            <w:tcW w:w="974" w:type="dxa"/>
            <w:tcBorders>
              <w:top w:val="nil"/>
              <w:left w:val="nil"/>
              <w:bottom w:val="nil"/>
              <w:right w:val="nil"/>
            </w:tcBorders>
            <w:shd w:val="clear" w:color="auto" w:fill="DEEAF6" w:themeFill="accent1" w:themeFillTint="33"/>
            <w:noWrap/>
            <w:vAlign w:val="center"/>
            <w:hideMark/>
          </w:tcPr>
          <w:p w14:paraId="47C92372" w14:textId="77777777" w:rsidR="0075093C" w:rsidRPr="00DE0AA0" w:rsidRDefault="0075093C" w:rsidP="0075093C">
            <w:pPr>
              <w:spacing w:after="0" w:line="240" w:lineRule="auto"/>
              <w:jc w:val="center"/>
              <w:rPr>
                <w:rFonts w:ascii="Calibri" w:eastAsia="Times New Roman" w:hAnsi="Calibri" w:cs="Times New Roman"/>
                <w:b/>
                <w:bCs/>
                <w:color w:val="000000"/>
                <w:sz w:val="20"/>
                <w:szCs w:val="20"/>
                <w:lang w:val="en-GB"/>
              </w:rPr>
            </w:pPr>
            <w:r w:rsidRPr="00DE0AA0">
              <w:rPr>
                <w:rFonts w:ascii="Calibri" w:eastAsia="Times New Roman" w:hAnsi="Calibri" w:cs="Times New Roman"/>
                <w:b/>
                <w:bCs/>
                <w:color w:val="000000"/>
                <w:sz w:val="20"/>
                <w:szCs w:val="20"/>
                <w:lang w:val="en-GB"/>
              </w:rPr>
              <w:t>5,787</w:t>
            </w:r>
          </w:p>
        </w:tc>
        <w:tc>
          <w:tcPr>
            <w:tcW w:w="974" w:type="dxa"/>
            <w:tcBorders>
              <w:top w:val="nil"/>
              <w:left w:val="nil"/>
              <w:bottom w:val="nil"/>
              <w:right w:val="nil"/>
            </w:tcBorders>
            <w:shd w:val="clear" w:color="auto" w:fill="DEEAF6" w:themeFill="accent1" w:themeFillTint="33"/>
            <w:noWrap/>
            <w:vAlign w:val="center"/>
            <w:hideMark/>
          </w:tcPr>
          <w:p w14:paraId="0A61A73B" w14:textId="77777777" w:rsidR="0075093C" w:rsidRPr="00DE0AA0" w:rsidRDefault="0075093C" w:rsidP="0075093C">
            <w:pPr>
              <w:spacing w:after="0" w:line="240" w:lineRule="auto"/>
              <w:jc w:val="center"/>
              <w:rPr>
                <w:rFonts w:ascii="Calibri" w:eastAsia="Times New Roman" w:hAnsi="Calibri" w:cs="Times New Roman"/>
                <w:b/>
                <w:bCs/>
                <w:color w:val="000000"/>
                <w:sz w:val="20"/>
                <w:szCs w:val="20"/>
                <w:lang w:val="en-GB"/>
              </w:rPr>
            </w:pPr>
            <w:r w:rsidRPr="00DE0AA0">
              <w:rPr>
                <w:rFonts w:ascii="Calibri" w:eastAsia="Times New Roman" w:hAnsi="Calibri" w:cs="Times New Roman"/>
                <w:b/>
                <w:bCs/>
                <w:color w:val="000000"/>
                <w:sz w:val="20"/>
                <w:szCs w:val="20"/>
                <w:lang w:val="en-GB"/>
              </w:rPr>
              <w:t>5,957</w:t>
            </w:r>
          </w:p>
        </w:tc>
        <w:tc>
          <w:tcPr>
            <w:tcW w:w="974" w:type="dxa"/>
            <w:tcBorders>
              <w:top w:val="nil"/>
              <w:left w:val="nil"/>
              <w:bottom w:val="nil"/>
              <w:right w:val="nil"/>
            </w:tcBorders>
            <w:shd w:val="clear" w:color="auto" w:fill="DEEAF6" w:themeFill="accent1" w:themeFillTint="33"/>
            <w:noWrap/>
            <w:vAlign w:val="center"/>
            <w:hideMark/>
          </w:tcPr>
          <w:p w14:paraId="5F593B9A" w14:textId="77777777" w:rsidR="0075093C" w:rsidRPr="00DE0AA0" w:rsidRDefault="0075093C" w:rsidP="0075093C">
            <w:pPr>
              <w:spacing w:after="0" w:line="240" w:lineRule="auto"/>
              <w:jc w:val="center"/>
              <w:rPr>
                <w:rFonts w:ascii="Calibri" w:eastAsia="Times New Roman" w:hAnsi="Calibri" w:cs="Times New Roman"/>
                <w:b/>
                <w:bCs/>
                <w:color w:val="000000"/>
                <w:sz w:val="20"/>
                <w:szCs w:val="20"/>
                <w:lang w:val="en-GB"/>
              </w:rPr>
            </w:pPr>
            <w:r w:rsidRPr="00DE0AA0">
              <w:rPr>
                <w:rFonts w:ascii="Calibri" w:eastAsia="Times New Roman" w:hAnsi="Calibri" w:cs="Times New Roman"/>
                <w:b/>
                <w:bCs/>
                <w:color w:val="000000"/>
                <w:sz w:val="20"/>
                <w:szCs w:val="20"/>
                <w:lang w:val="en-GB"/>
              </w:rPr>
              <w:t>6,060</w:t>
            </w:r>
          </w:p>
        </w:tc>
        <w:tc>
          <w:tcPr>
            <w:tcW w:w="974" w:type="dxa"/>
            <w:tcBorders>
              <w:top w:val="nil"/>
              <w:left w:val="nil"/>
              <w:bottom w:val="nil"/>
              <w:right w:val="nil"/>
            </w:tcBorders>
            <w:shd w:val="clear" w:color="auto" w:fill="DEEAF6" w:themeFill="accent1" w:themeFillTint="33"/>
            <w:noWrap/>
            <w:vAlign w:val="center"/>
            <w:hideMark/>
          </w:tcPr>
          <w:p w14:paraId="7D50737C" w14:textId="77777777" w:rsidR="0075093C" w:rsidRPr="00DE0AA0" w:rsidRDefault="0075093C" w:rsidP="0075093C">
            <w:pPr>
              <w:spacing w:after="0" w:line="240" w:lineRule="auto"/>
              <w:jc w:val="center"/>
              <w:rPr>
                <w:rFonts w:ascii="Calibri" w:eastAsia="Times New Roman" w:hAnsi="Calibri" w:cs="Times New Roman"/>
                <w:b/>
                <w:bCs/>
                <w:color w:val="000000"/>
                <w:sz w:val="20"/>
                <w:szCs w:val="20"/>
                <w:lang w:val="en-GB"/>
              </w:rPr>
            </w:pPr>
            <w:r w:rsidRPr="00DE0AA0">
              <w:rPr>
                <w:rFonts w:ascii="Calibri" w:eastAsia="Times New Roman" w:hAnsi="Calibri" w:cs="Times New Roman"/>
                <w:b/>
                <w:bCs/>
                <w:color w:val="000000"/>
                <w:sz w:val="20"/>
                <w:szCs w:val="20"/>
                <w:lang w:val="en-GB"/>
              </w:rPr>
              <w:t>4,594</w:t>
            </w:r>
          </w:p>
        </w:tc>
        <w:tc>
          <w:tcPr>
            <w:tcW w:w="1074" w:type="dxa"/>
            <w:tcBorders>
              <w:top w:val="nil"/>
              <w:left w:val="nil"/>
              <w:bottom w:val="nil"/>
              <w:right w:val="nil"/>
            </w:tcBorders>
            <w:shd w:val="clear" w:color="auto" w:fill="DEEAF6" w:themeFill="accent1" w:themeFillTint="33"/>
            <w:vAlign w:val="center"/>
          </w:tcPr>
          <w:p w14:paraId="126B5582" w14:textId="77777777" w:rsidR="0075093C" w:rsidRPr="00DE0AA0" w:rsidRDefault="0075093C" w:rsidP="0075093C">
            <w:pPr>
              <w:spacing w:after="0" w:line="240" w:lineRule="auto"/>
              <w:jc w:val="center"/>
              <w:rPr>
                <w:rFonts w:ascii="Calibri" w:eastAsia="Times New Roman" w:hAnsi="Calibri" w:cs="Times New Roman"/>
                <w:b/>
                <w:bCs/>
                <w:color w:val="000000"/>
                <w:sz w:val="20"/>
                <w:szCs w:val="20"/>
                <w:lang w:val="en-GB"/>
              </w:rPr>
            </w:pPr>
            <w:r w:rsidRPr="00DE0AA0">
              <w:rPr>
                <w:rFonts w:ascii="Calibri" w:eastAsia="Times New Roman" w:hAnsi="Calibri" w:cs="Times New Roman"/>
                <w:b/>
                <w:bCs/>
                <w:color w:val="000000"/>
                <w:sz w:val="20"/>
                <w:szCs w:val="20"/>
                <w:lang w:val="en-GB"/>
              </w:rPr>
              <w:t>4,606</w:t>
            </w:r>
          </w:p>
        </w:tc>
      </w:tr>
      <w:tr w:rsidR="0075093C" w:rsidRPr="00DE0AA0" w14:paraId="260CABCB" w14:textId="77777777" w:rsidTr="0075093C">
        <w:trPr>
          <w:trHeight w:val="326"/>
        </w:trPr>
        <w:tc>
          <w:tcPr>
            <w:tcW w:w="3926" w:type="dxa"/>
            <w:tcBorders>
              <w:top w:val="nil"/>
              <w:left w:val="nil"/>
              <w:bottom w:val="nil"/>
              <w:right w:val="nil"/>
            </w:tcBorders>
            <w:shd w:val="clear" w:color="000000" w:fill="FFFFFF"/>
            <w:noWrap/>
            <w:vAlign w:val="center"/>
            <w:hideMark/>
          </w:tcPr>
          <w:p w14:paraId="5E3CE0D5" w14:textId="77777777" w:rsidR="0075093C" w:rsidRPr="00DE0AA0" w:rsidRDefault="00D577D3" w:rsidP="0075093C">
            <w:pPr>
              <w:spacing w:after="0" w:line="240" w:lineRule="auto"/>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Number of active customers</w:t>
            </w:r>
          </w:p>
        </w:tc>
        <w:tc>
          <w:tcPr>
            <w:tcW w:w="974" w:type="dxa"/>
            <w:tcBorders>
              <w:top w:val="nil"/>
              <w:left w:val="nil"/>
              <w:bottom w:val="nil"/>
              <w:right w:val="nil"/>
            </w:tcBorders>
            <w:shd w:val="clear" w:color="000000" w:fill="FFFFFF"/>
            <w:noWrap/>
            <w:vAlign w:val="center"/>
            <w:hideMark/>
          </w:tcPr>
          <w:p w14:paraId="608A407D"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561,827</w:t>
            </w:r>
          </w:p>
        </w:tc>
        <w:tc>
          <w:tcPr>
            <w:tcW w:w="974" w:type="dxa"/>
            <w:tcBorders>
              <w:top w:val="nil"/>
              <w:left w:val="nil"/>
              <w:bottom w:val="nil"/>
              <w:right w:val="nil"/>
            </w:tcBorders>
            <w:shd w:val="clear" w:color="000000" w:fill="FFFFFF"/>
            <w:noWrap/>
            <w:vAlign w:val="center"/>
            <w:hideMark/>
          </w:tcPr>
          <w:p w14:paraId="32D8F7F1"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579,963</w:t>
            </w:r>
          </w:p>
        </w:tc>
        <w:tc>
          <w:tcPr>
            <w:tcW w:w="974" w:type="dxa"/>
            <w:tcBorders>
              <w:top w:val="nil"/>
              <w:left w:val="nil"/>
              <w:bottom w:val="nil"/>
              <w:right w:val="nil"/>
            </w:tcBorders>
            <w:shd w:val="clear" w:color="000000" w:fill="FFFFFF"/>
            <w:noWrap/>
            <w:vAlign w:val="center"/>
            <w:hideMark/>
          </w:tcPr>
          <w:p w14:paraId="48ACAE0B"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605,694</w:t>
            </w:r>
          </w:p>
        </w:tc>
        <w:tc>
          <w:tcPr>
            <w:tcW w:w="974" w:type="dxa"/>
            <w:tcBorders>
              <w:top w:val="nil"/>
              <w:left w:val="nil"/>
              <w:bottom w:val="nil"/>
              <w:right w:val="nil"/>
            </w:tcBorders>
            <w:shd w:val="clear" w:color="000000" w:fill="FFFFFF"/>
            <w:noWrap/>
            <w:vAlign w:val="center"/>
            <w:hideMark/>
          </w:tcPr>
          <w:p w14:paraId="239DBF81" w14:textId="77777777" w:rsidR="0075093C" w:rsidRPr="00DE0AA0" w:rsidRDefault="002A453F"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630,454</w:t>
            </w:r>
          </w:p>
        </w:tc>
        <w:tc>
          <w:tcPr>
            <w:tcW w:w="1074" w:type="dxa"/>
            <w:tcBorders>
              <w:top w:val="nil"/>
              <w:left w:val="nil"/>
              <w:bottom w:val="nil"/>
              <w:right w:val="nil"/>
            </w:tcBorders>
            <w:shd w:val="clear" w:color="000000" w:fill="FFFFFF"/>
            <w:vAlign w:val="center"/>
          </w:tcPr>
          <w:p w14:paraId="75C873BA"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646,385*</w:t>
            </w:r>
          </w:p>
        </w:tc>
      </w:tr>
      <w:tr w:rsidR="0075093C" w:rsidRPr="00DE0AA0" w14:paraId="14B4B7CF" w14:textId="77777777" w:rsidTr="0075093C">
        <w:trPr>
          <w:trHeight w:val="326"/>
        </w:trPr>
        <w:tc>
          <w:tcPr>
            <w:tcW w:w="3926" w:type="dxa"/>
            <w:tcBorders>
              <w:top w:val="nil"/>
              <w:left w:val="nil"/>
              <w:bottom w:val="nil"/>
              <w:right w:val="nil"/>
            </w:tcBorders>
            <w:shd w:val="clear" w:color="000000" w:fill="FFFFFF"/>
            <w:noWrap/>
            <w:vAlign w:val="center"/>
            <w:hideMark/>
          </w:tcPr>
          <w:p w14:paraId="4F276316" w14:textId="77777777" w:rsidR="0075093C" w:rsidRPr="00DE0AA0" w:rsidRDefault="00D577D3" w:rsidP="009D5E0C">
            <w:pPr>
              <w:spacing w:after="0" w:line="240" w:lineRule="auto"/>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 xml:space="preserve">Allowed </w:t>
            </w:r>
            <w:r w:rsidR="0075093C" w:rsidRPr="00DE0AA0">
              <w:rPr>
                <w:rFonts w:ascii="Calibri" w:eastAsia="Times New Roman" w:hAnsi="Calibri" w:cs="Times New Roman"/>
                <w:color w:val="000000"/>
                <w:sz w:val="20"/>
                <w:szCs w:val="20"/>
                <w:lang w:val="en-GB"/>
              </w:rPr>
              <w:t xml:space="preserve">Opex </w:t>
            </w:r>
            <w:r w:rsidR="00422A11" w:rsidRPr="00DE0AA0">
              <w:rPr>
                <w:rFonts w:ascii="Calibri" w:eastAsia="Times New Roman" w:hAnsi="Calibri" w:cs="Times New Roman"/>
                <w:color w:val="000000"/>
                <w:sz w:val="20"/>
                <w:szCs w:val="20"/>
                <w:lang w:val="en-GB"/>
              </w:rPr>
              <w:t>per</w:t>
            </w:r>
            <w:r w:rsidRPr="00DE0AA0">
              <w:rPr>
                <w:rFonts w:ascii="Calibri" w:eastAsia="Times New Roman" w:hAnsi="Calibri" w:cs="Times New Roman"/>
                <w:color w:val="000000"/>
                <w:sz w:val="20"/>
                <w:szCs w:val="20"/>
                <w:lang w:val="en-GB"/>
              </w:rPr>
              <w:t xml:space="preserve"> customer</w:t>
            </w:r>
          </w:p>
        </w:tc>
        <w:tc>
          <w:tcPr>
            <w:tcW w:w="974" w:type="dxa"/>
            <w:tcBorders>
              <w:top w:val="nil"/>
              <w:left w:val="nil"/>
              <w:bottom w:val="nil"/>
              <w:right w:val="nil"/>
            </w:tcBorders>
            <w:shd w:val="clear" w:color="000000" w:fill="FFFFFF"/>
            <w:noWrap/>
            <w:vAlign w:val="center"/>
            <w:hideMark/>
          </w:tcPr>
          <w:p w14:paraId="351122C0"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10.3</w:t>
            </w:r>
            <w:r w:rsidR="002A453F" w:rsidRPr="00DE0AA0">
              <w:rPr>
                <w:rFonts w:ascii="Calibri" w:eastAsia="Times New Roman" w:hAnsi="Calibri" w:cs="Times New Roman"/>
                <w:color w:val="000000"/>
                <w:sz w:val="20"/>
                <w:szCs w:val="20"/>
                <w:lang w:val="en-GB"/>
              </w:rPr>
              <w:t>0</w:t>
            </w:r>
          </w:p>
        </w:tc>
        <w:tc>
          <w:tcPr>
            <w:tcW w:w="974" w:type="dxa"/>
            <w:tcBorders>
              <w:top w:val="nil"/>
              <w:left w:val="nil"/>
              <w:bottom w:val="nil"/>
              <w:right w:val="nil"/>
            </w:tcBorders>
            <w:shd w:val="clear" w:color="000000" w:fill="FFFFFF"/>
            <w:noWrap/>
            <w:vAlign w:val="center"/>
            <w:hideMark/>
          </w:tcPr>
          <w:p w14:paraId="6D6EFED5"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10.27</w:t>
            </w:r>
          </w:p>
        </w:tc>
        <w:tc>
          <w:tcPr>
            <w:tcW w:w="974" w:type="dxa"/>
            <w:tcBorders>
              <w:top w:val="nil"/>
              <w:left w:val="nil"/>
              <w:bottom w:val="nil"/>
              <w:right w:val="nil"/>
            </w:tcBorders>
            <w:shd w:val="clear" w:color="000000" w:fill="FFFFFF"/>
            <w:noWrap/>
            <w:vAlign w:val="center"/>
            <w:hideMark/>
          </w:tcPr>
          <w:p w14:paraId="56331E79"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10.01</w:t>
            </w:r>
          </w:p>
        </w:tc>
        <w:tc>
          <w:tcPr>
            <w:tcW w:w="974" w:type="dxa"/>
            <w:tcBorders>
              <w:top w:val="nil"/>
              <w:left w:val="nil"/>
              <w:bottom w:val="nil"/>
              <w:right w:val="nil"/>
            </w:tcBorders>
            <w:shd w:val="clear" w:color="000000" w:fill="FFFFFF"/>
            <w:noWrap/>
            <w:vAlign w:val="center"/>
            <w:hideMark/>
          </w:tcPr>
          <w:p w14:paraId="0224F3C8" w14:textId="77777777" w:rsidR="0075093C" w:rsidRPr="00DE0AA0" w:rsidRDefault="002A453F"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7.2</w:t>
            </w:r>
            <w:r w:rsidR="0075093C" w:rsidRPr="00DE0AA0">
              <w:rPr>
                <w:rFonts w:ascii="Calibri" w:eastAsia="Times New Roman" w:hAnsi="Calibri" w:cs="Times New Roman"/>
                <w:color w:val="000000"/>
                <w:sz w:val="20"/>
                <w:szCs w:val="20"/>
                <w:lang w:val="en-GB"/>
              </w:rPr>
              <w:t>9</w:t>
            </w:r>
          </w:p>
        </w:tc>
        <w:tc>
          <w:tcPr>
            <w:tcW w:w="1074" w:type="dxa"/>
            <w:tcBorders>
              <w:top w:val="nil"/>
              <w:left w:val="nil"/>
              <w:bottom w:val="nil"/>
              <w:right w:val="nil"/>
            </w:tcBorders>
            <w:shd w:val="clear" w:color="000000" w:fill="FFFFFF"/>
            <w:vAlign w:val="center"/>
          </w:tcPr>
          <w:p w14:paraId="5EA901BE"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7.13</w:t>
            </w:r>
          </w:p>
        </w:tc>
      </w:tr>
      <w:tr w:rsidR="0075093C" w:rsidRPr="00DE0AA0" w14:paraId="5E29858A" w14:textId="77777777" w:rsidTr="0075093C">
        <w:trPr>
          <w:trHeight w:val="326"/>
        </w:trPr>
        <w:tc>
          <w:tcPr>
            <w:tcW w:w="3926" w:type="dxa"/>
            <w:tcBorders>
              <w:top w:val="nil"/>
              <w:left w:val="nil"/>
              <w:bottom w:val="nil"/>
              <w:right w:val="nil"/>
            </w:tcBorders>
            <w:shd w:val="clear" w:color="000000" w:fill="FFFFFF"/>
            <w:noWrap/>
            <w:vAlign w:val="center"/>
            <w:hideMark/>
          </w:tcPr>
          <w:p w14:paraId="73FC4C40" w14:textId="3E57D7D5" w:rsidR="0075093C" w:rsidRPr="00DE0AA0" w:rsidRDefault="00D577D3" w:rsidP="000E7335">
            <w:pPr>
              <w:spacing w:after="0" w:line="240" w:lineRule="auto"/>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Difference in  average cost of</w:t>
            </w:r>
            <w:r w:rsidR="0075093C" w:rsidRPr="00DE0AA0">
              <w:rPr>
                <w:rFonts w:ascii="Calibri" w:eastAsia="Times New Roman" w:hAnsi="Calibri" w:cs="Times New Roman"/>
                <w:color w:val="000000"/>
                <w:sz w:val="20"/>
                <w:szCs w:val="20"/>
                <w:lang w:val="en-GB"/>
              </w:rPr>
              <w:t xml:space="preserve"> </w:t>
            </w:r>
            <w:r w:rsidR="00802424" w:rsidRPr="00DE0AA0">
              <w:rPr>
                <w:rFonts w:ascii="Calibri" w:eastAsia="Times New Roman" w:hAnsi="Calibri" w:cs="Times New Roman"/>
                <w:color w:val="000000"/>
                <w:sz w:val="20"/>
                <w:szCs w:val="20"/>
                <w:lang w:val="en-GB"/>
              </w:rPr>
              <w:t xml:space="preserve">allowed </w:t>
            </w:r>
            <w:r w:rsidR="0075093C" w:rsidRPr="00DE0AA0">
              <w:rPr>
                <w:rFonts w:ascii="Calibri" w:eastAsia="Times New Roman" w:hAnsi="Calibri" w:cs="Times New Roman"/>
                <w:color w:val="000000"/>
                <w:sz w:val="20"/>
                <w:szCs w:val="20"/>
                <w:lang w:val="en-GB"/>
              </w:rPr>
              <w:t xml:space="preserve">Opex </w:t>
            </w:r>
            <w:r w:rsidRPr="00DE0AA0">
              <w:rPr>
                <w:rFonts w:ascii="Calibri" w:eastAsia="Times New Roman" w:hAnsi="Calibri" w:cs="Times New Roman"/>
                <w:color w:val="000000"/>
                <w:sz w:val="20"/>
                <w:szCs w:val="20"/>
                <w:lang w:val="en-GB"/>
              </w:rPr>
              <w:t xml:space="preserve"> </w:t>
            </w:r>
            <w:r w:rsidR="000E7335">
              <w:rPr>
                <w:rFonts w:ascii="Calibri" w:eastAsia="Times New Roman" w:hAnsi="Calibri" w:cs="Times New Roman"/>
                <w:color w:val="000000"/>
                <w:sz w:val="20"/>
                <w:szCs w:val="20"/>
                <w:lang w:val="en-GB"/>
              </w:rPr>
              <w:t>per</w:t>
            </w:r>
            <w:r w:rsidR="000E7335" w:rsidRPr="00DE0AA0">
              <w:rPr>
                <w:rFonts w:ascii="Calibri" w:eastAsia="Times New Roman" w:hAnsi="Calibri" w:cs="Times New Roman"/>
                <w:color w:val="000000"/>
                <w:sz w:val="20"/>
                <w:szCs w:val="20"/>
                <w:lang w:val="en-GB"/>
              </w:rPr>
              <w:t xml:space="preserve"> </w:t>
            </w:r>
            <w:r w:rsidRPr="00DE0AA0">
              <w:rPr>
                <w:rFonts w:ascii="Calibri" w:eastAsia="Times New Roman" w:hAnsi="Calibri" w:cs="Times New Roman"/>
                <w:color w:val="000000"/>
                <w:sz w:val="20"/>
                <w:szCs w:val="20"/>
                <w:lang w:val="en-GB"/>
              </w:rPr>
              <w:t>custome</w:t>
            </w:r>
            <w:r w:rsidR="0046275F">
              <w:rPr>
                <w:rFonts w:ascii="Calibri" w:eastAsia="Times New Roman" w:hAnsi="Calibri" w:cs="Times New Roman"/>
                <w:color w:val="000000"/>
                <w:sz w:val="20"/>
                <w:szCs w:val="20"/>
                <w:lang w:val="en-GB"/>
              </w:rPr>
              <w:t>r</w:t>
            </w:r>
            <w:r w:rsidR="0075093C" w:rsidRPr="00DE0AA0">
              <w:rPr>
                <w:rFonts w:ascii="Calibri" w:eastAsia="Times New Roman" w:hAnsi="Calibri" w:cs="Times New Roman"/>
                <w:color w:val="000000"/>
                <w:sz w:val="20"/>
                <w:szCs w:val="20"/>
                <w:lang w:val="en-GB"/>
              </w:rPr>
              <w:t xml:space="preserve"> (%)</w:t>
            </w:r>
          </w:p>
        </w:tc>
        <w:tc>
          <w:tcPr>
            <w:tcW w:w="974" w:type="dxa"/>
            <w:tcBorders>
              <w:top w:val="nil"/>
              <w:left w:val="nil"/>
              <w:bottom w:val="nil"/>
              <w:right w:val="nil"/>
            </w:tcBorders>
            <w:shd w:val="clear" w:color="000000" w:fill="FFFFFF"/>
            <w:noWrap/>
            <w:vAlign w:val="center"/>
            <w:hideMark/>
          </w:tcPr>
          <w:p w14:paraId="31061B1A"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p>
        </w:tc>
        <w:tc>
          <w:tcPr>
            <w:tcW w:w="974" w:type="dxa"/>
            <w:tcBorders>
              <w:top w:val="nil"/>
              <w:left w:val="nil"/>
              <w:bottom w:val="nil"/>
              <w:right w:val="nil"/>
            </w:tcBorders>
            <w:shd w:val="clear" w:color="000000" w:fill="FFFFFF"/>
            <w:noWrap/>
            <w:vAlign w:val="center"/>
            <w:hideMark/>
          </w:tcPr>
          <w:p w14:paraId="524A84FE"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-0.3%</w:t>
            </w:r>
          </w:p>
        </w:tc>
        <w:tc>
          <w:tcPr>
            <w:tcW w:w="974" w:type="dxa"/>
            <w:tcBorders>
              <w:top w:val="nil"/>
              <w:left w:val="nil"/>
              <w:bottom w:val="nil"/>
              <w:right w:val="nil"/>
            </w:tcBorders>
            <w:shd w:val="clear" w:color="000000" w:fill="FFFFFF"/>
            <w:noWrap/>
            <w:vAlign w:val="center"/>
            <w:hideMark/>
          </w:tcPr>
          <w:p w14:paraId="0FDCE83B" w14:textId="77777777" w:rsidR="0075093C" w:rsidRPr="00DE0AA0" w:rsidRDefault="002A453F"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-2.5</w:t>
            </w:r>
            <w:r w:rsidR="0075093C" w:rsidRPr="00DE0AA0">
              <w:rPr>
                <w:rFonts w:ascii="Calibri" w:eastAsia="Times New Roman" w:hAnsi="Calibri" w:cs="Times New Roman"/>
                <w:color w:val="000000"/>
                <w:sz w:val="20"/>
                <w:szCs w:val="20"/>
                <w:lang w:val="en-GB"/>
              </w:rPr>
              <w:t>%</w:t>
            </w:r>
          </w:p>
        </w:tc>
        <w:tc>
          <w:tcPr>
            <w:tcW w:w="974" w:type="dxa"/>
            <w:tcBorders>
              <w:top w:val="nil"/>
              <w:left w:val="nil"/>
              <w:bottom w:val="nil"/>
              <w:right w:val="nil"/>
            </w:tcBorders>
            <w:shd w:val="clear" w:color="000000" w:fill="FFFFFF"/>
            <w:noWrap/>
            <w:vAlign w:val="center"/>
            <w:hideMark/>
          </w:tcPr>
          <w:p w14:paraId="28C5DEC0" w14:textId="77777777" w:rsidR="0075093C" w:rsidRPr="00DE0AA0" w:rsidRDefault="002A453F"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-27.2</w:t>
            </w:r>
            <w:r w:rsidR="0075093C" w:rsidRPr="00DE0AA0">
              <w:rPr>
                <w:rFonts w:ascii="Calibri" w:eastAsia="Times New Roman" w:hAnsi="Calibri" w:cs="Times New Roman"/>
                <w:color w:val="000000"/>
                <w:sz w:val="20"/>
                <w:szCs w:val="20"/>
                <w:lang w:val="en-GB"/>
              </w:rPr>
              <w:t>%</w:t>
            </w:r>
          </w:p>
        </w:tc>
        <w:tc>
          <w:tcPr>
            <w:tcW w:w="1074" w:type="dxa"/>
            <w:tcBorders>
              <w:top w:val="nil"/>
              <w:left w:val="nil"/>
              <w:bottom w:val="nil"/>
              <w:right w:val="nil"/>
            </w:tcBorders>
            <w:shd w:val="clear" w:color="000000" w:fill="FFFFFF"/>
            <w:vAlign w:val="center"/>
          </w:tcPr>
          <w:p w14:paraId="49FF31E2"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2.2%</w:t>
            </w:r>
          </w:p>
        </w:tc>
      </w:tr>
      <w:tr w:rsidR="0075093C" w:rsidRPr="00DE0AA0" w14:paraId="53FCB2EE" w14:textId="77777777" w:rsidTr="0075093C">
        <w:trPr>
          <w:trHeight w:val="326"/>
        </w:trPr>
        <w:tc>
          <w:tcPr>
            <w:tcW w:w="3926" w:type="dxa"/>
            <w:tcBorders>
              <w:top w:val="nil"/>
              <w:left w:val="nil"/>
              <w:bottom w:val="nil"/>
              <w:right w:val="nil"/>
            </w:tcBorders>
            <w:shd w:val="clear" w:color="auto" w:fill="DEEAF6" w:themeFill="accent1" w:themeFillTint="33"/>
            <w:noWrap/>
            <w:vAlign w:val="center"/>
          </w:tcPr>
          <w:p w14:paraId="79F4E22F" w14:textId="77777777" w:rsidR="0075093C" w:rsidRPr="00DE0AA0" w:rsidRDefault="00D577D3" w:rsidP="00D577D3">
            <w:pPr>
              <w:spacing w:after="0" w:line="240" w:lineRule="auto"/>
              <w:rPr>
                <w:rFonts w:ascii="Calibri" w:eastAsia="Times New Roman" w:hAnsi="Calibri" w:cs="Times New Roman"/>
                <w:b/>
                <w:color w:val="000000"/>
                <w:sz w:val="20"/>
                <w:szCs w:val="20"/>
                <w:lang w:val="en-GB"/>
              </w:rPr>
            </w:pPr>
            <w:r w:rsidRPr="00DE0AA0">
              <w:rPr>
                <w:rFonts w:ascii="Calibri" w:eastAsia="Times New Roman" w:hAnsi="Calibri" w:cs="Times New Roman"/>
                <w:b/>
                <w:color w:val="000000"/>
                <w:sz w:val="20"/>
                <w:szCs w:val="20"/>
                <w:lang w:val="en-GB"/>
              </w:rPr>
              <w:t xml:space="preserve">Actual </w:t>
            </w:r>
            <w:r w:rsidR="0075093C" w:rsidRPr="00DE0AA0">
              <w:rPr>
                <w:rFonts w:ascii="Calibri" w:eastAsia="Times New Roman" w:hAnsi="Calibri" w:cs="Times New Roman"/>
                <w:b/>
                <w:color w:val="000000"/>
                <w:sz w:val="20"/>
                <w:szCs w:val="20"/>
                <w:lang w:val="en-GB"/>
              </w:rPr>
              <w:t xml:space="preserve">OPEX </w:t>
            </w:r>
            <w:r w:rsidR="0075093C" w:rsidRPr="00DE0AA0">
              <w:rPr>
                <w:rFonts w:ascii="Calibri" w:eastAsia="Times New Roman" w:hAnsi="Calibri" w:cs="Times New Roman"/>
                <w:b/>
                <w:bCs/>
                <w:color w:val="000000"/>
                <w:sz w:val="20"/>
                <w:szCs w:val="20"/>
                <w:lang w:val="en-GB"/>
              </w:rPr>
              <w:t>(000s)</w:t>
            </w:r>
          </w:p>
        </w:tc>
        <w:tc>
          <w:tcPr>
            <w:tcW w:w="974" w:type="dxa"/>
            <w:tcBorders>
              <w:top w:val="nil"/>
              <w:left w:val="nil"/>
              <w:bottom w:val="nil"/>
              <w:right w:val="nil"/>
            </w:tcBorders>
            <w:shd w:val="clear" w:color="auto" w:fill="DEEAF6" w:themeFill="accent1" w:themeFillTint="33"/>
            <w:noWrap/>
            <w:vAlign w:val="center"/>
          </w:tcPr>
          <w:p w14:paraId="42962A39" w14:textId="77777777" w:rsidR="0075093C" w:rsidRPr="00DE0AA0" w:rsidRDefault="0075093C" w:rsidP="0075093C">
            <w:pPr>
              <w:spacing w:after="0" w:line="240" w:lineRule="auto"/>
              <w:jc w:val="center"/>
              <w:rPr>
                <w:rFonts w:ascii="Calibri" w:eastAsia="Times New Roman" w:hAnsi="Calibri" w:cs="Times New Roman"/>
                <w:b/>
                <w:color w:val="000000"/>
                <w:sz w:val="20"/>
                <w:szCs w:val="20"/>
                <w:lang w:val="en-GB"/>
              </w:rPr>
            </w:pPr>
            <w:r w:rsidRPr="00DE0AA0">
              <w:rPr>
                <w:rFonts w:ascii="Calibri" w:eastAsia="Times New Roman" w:hAnsi="Calibri" w:cs="Times New Roman"/>
                <w:b/>
                <w:color w:val="000000"/>
                <w:sz w:val="20"/>
                <w:szCs w:val="20"/>
                <w:lang w:val="en-GB"/>
              </w:rPr>
              <w:t>5,603</w:t>
            </w:r>
          </w:p>
        </w:tc>
        <w:tc>
          <w:tcPr>
            <w:tcW w:w="974" w:type="dxa"/>
            <w:tcBorders>
              <w:top w:val="nil"/>
              <w:left w:val="nil"/>
              <w:bottom w:val="nil"/>
              <w:right w:val="nil"/>
            </w:tcBorders>
            <w:shd w:val="clear" w:color="auto" w:fill="DEEAF6" w:themeFill="accent1" w:themeFillTint="33"/>
            <w:noWrap/>
            <w:vAlign w:val="center"/>
          </w:tcPr>
          <w:p w14:paraId="15DE9E02" w14:textId="77777777" w:rsidR="0075093C" w:rsidRPr="00DE0AA0" w:rsidRDefault="0075093C" w:rsidP="0075093C">
            <w:pPr>
              <w:spacing w:after="0" w:line="240" w:lineRule="auto"/>
              <w:jc w:val="center"/>
              <w:rPr>
                <w:rFonts w:ascii="Calibri" w:eastAsia="Times New Roman" w:hAnsi="Calibri" w:cs="Times New Roman"/>
                <w:b/>
                <w:color w:val="000000"/>
                <w:sz w:val="20"/>
                <w:szCs w:val="20"/>
                <w:lang w:val="en-GB"/>
              </w:rPr>
            </w:pPr>
            <w:r w:rsidRPr="00DE0AA0">
              <w:rPr>
                <w:rFonts w:ascii="Calibri" w:eastAsia="Times New Roman" w:hAnsi="Calibri" w:cs="Times New Roman"/>
                <w:b/>
                <w:color w:val="000000"/>
                <w:sz w:val="20"/>
                <w:szCs w:val="20"/>
                <w:lang w:val="en-GB"/>
              </w:rPr>
              <w:t>6,143</w:t>
            </w:r>
          </w:p>
        </w:tc>
        <w:tc>
          <w:tcPr>
            <w:tcW w:w="974" w:type="dxa"/>
            <w:tcBorders>
              <w:top w:val="nil"/>
              <w:left w:val="nil"/>
              <w:bottom w:val="nil"/>
              <w:right w:val="nil"/>
            </w:tcBorders>
            <w:shd w:val="clear" w:color="auto" w:fill="DEEAF6" w:themeFill="accent1" w:themeFillTint="33"/>
            <w:noWrap/>
            <w:vAlign w:val="center"/>
          </w:tcPr>
          <w:p w14:paraId="18606947" w14:textId="77777777" w:rsidR="0075093C" w:rsidRPr="00DE0AA0" w:rsidRDefault="0075093C" w:rsidP="0075093C">
            <w:pPr>
              <w:spacing w:after="0" w:line="240" w:lineRule="auto"/>
              <w:jc w:val="center"/>
              <w:rPr>
                <w:rFonts w:ascii="Calibri" w:eastAsia="Times New Roman" w:hAnsi="Calibri" w:cs="Times New Roman"/>
                <w:b/>
                <w:color w:val="000000"/>
                <w:sz w:val="20"/>
                <w:szCs w:val="20"/>
                <w:lang w:val="en-GB"/>
              </w:rPr>
            </w:pPr>
            <w:r w:rsidRPr="00DE0AA0">
              <w:rPr>
                <w:rFonts w:ascii="Calibri" w:eastAsia="Times New Roman" w:hAnsi="Calibri" w:cs="Times New Roman"/>
                <w:b/>
                <w:color w:val="000000"/>
                <w:sz w:val="20"/>
                <w:szCs w:val="20"/>
                <w:lang w:val="en-GB"/>
              </w:rPr>
              <w:t>5,556</w:t>
            </w:r>
          </w:p>
        </w:tc>
        <w:tc>
          <w:tcPr>
            <w:tcW w:w="974" w:type="dxa"/>
            <w:tcBorders>
              <w:top w:val="nil"/>
              <w:left w:val="nil"/>
              <w:bottom w:val="nil"/>
              <w:right w:val="nil"/>
            </w:tcBorders>
            <w:shd w:val="clear" w:color="auto" w:fill="DEEAF6" w:themeFill="accent1" w:themeFillTint="33"/>
            <w:noWrap/>
            <w:vAlign w:val="center"/>
          </w:tcPr>
          <w:p w14:paraId="45B38543" w14:textId="77777777" w:rsidR="0075093C" w:rsidRPr="00DE0AA0" w:rsidRDefault="0075093C" w:rsidP="0075093C">
            <w:pPr>
              <w:spacing w:after="0" w:line="240" w:lineRule="auto"/>
              <w:jc w:val="center"/>
              <w:rPr>
                <w:rFonts w:ascii="Calibri" w:eastAsia="Times New Roman" w:hAnsi="Calibri" w:cs="Times New Roman"/>
                <w:b/>
                <w:color w:val="000000"/>
                <w:sz w:val="20"/>
                <w:szCs w:val="20"/>
                <w:lang w:val="en-GB"/>
              </w:rPr>
            </w:pPr>
            <w:r w:rsidRPr="00DE0AA0">
              <w:rPr>
                <w:rFonts w:ascii="Calibri" w:eastAsia="Times New Roman" w:hAnsi="Calibri" w:cs="Times New Roman"/>
                <w:b/>
                <w:color w:val="000000"/>
                <w:sz w:val="20"/>
                <w:szCs w:val="20"/>
                <w:lang w:val="en-GB"/>
              </w:rPr>
              <w:t>5,368</w:t>
            </w:r>
          </w:p>
        </w:tc>
        <w:tc>
          <w:tcPr>
            <w:tcW w:w="1074" w:type="dxa"/>
            <w:tcBorders>
              <w:top w:val="nil"/>
              <w:left w:val="nil"/>
              <w:bottom w:val="nil"/>
              <w:right w:val="nil"/>
            </w:tcBorders>
            <w:shd w:val="clear" w:color="auto" w:fill="DEEAF6" w:themeFill="accent1" w:themeFillTint="33"/>
            <w:vAlign w:val="center"/>
          </w:tcPr>
          <w:p w14:paraId="130C2539" w14:textId="77777777" w:rsidR="0075093C" w:rsidRPr="00DE0AA0" w:rsidRDefault="0075093C" w:rsidP="0075093C">
            <w:pPr>
              <w:spacing w:after="0" w:line="240" w:lineRule="auto"/>
              <w:jc w:val="center"/>
              <w:rPr>
                <w:rFonts w:ascii="Calibri" w:eastAsia="Times New Roman" w:hAnsi="Calibri" w:cs="Times New Roman"/>
                <w:b/>
                <w:color w:val="000000"/>
                <w:sz w:val="20"/>
                <w:szCs w:val="20"/>
                <w:lang w:val="en-GB"/>
              </w:rPr>
            </w:pPr>
            <w:r w:rsidRPr="00DE0AA0">
              <w:rPr>
                <w:rFonts w:ascii="Calibri" w:eastAsia="Times New Roman" w:hAnsi="Calibri" w:cs="Times New Roman"/>
                <w:b/>
                <w:color w:val="000000"/>
                <w:sz w:val="20"/>
                <w:szCs w:val="20"/>
                <w:lang w:val="en-GB"/>
              </w:rPr>
              <w:t>5,333</w:t>
            </w:r>
          </w:p>
        </w:tc>
      </w:tr>
      <w:tr w:rsidR="0075093C" w:rsidRPr="00DE0AA0" w14:paraId="05E273D3" w14:textId="77777777" w:rsidTr="0075093C">
        <w:trPr>
          <w:trHeight w:val="326"/>
        </w:trPr>
        <w:tc>
          <w:tcPr>
            <w:tcW w:w="3926" w:type="dxa"/>
            <w:tcBorders>
              <w:top w:val="nil"/>
              <w:left w:val="nil"/>
              <w:right w:val="nil"/>
            </w:tcBorders>
            <w:shd w:val="clear" w:color="auto" w:fill="FFFFFF" w:themeFill="background1"/>
            <w:noWrap/>
            <w:vAlign w:val="center"/>
          </w:tcPr>
          <w:p w14:paraId="20692948" w14:textId="51EC30DB" w:rsidR="0075093C" w:rsidRPr="00DE0AA0" w:rsidRDefault="00D577D3" w:rsidP="00633296">
            <w:pPr>
              <w:spacing w:after="0" w:line="240" w:lineRule="auto"/>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 xml:space="preserve">Actual </w:t>
            </w:r>
            <w:r w:rsidR="0075093C" w:rsidRPr="00DE0AA0">
              <w:rPr>
                <w:rFonts w:ascii="Calibri" w:eastAsia="Times New Roman" w:hAnsi="Calibri" w:cs="Times New Roman"/>
                <w:color w:val="000000"/>
                <w:sz w:val="20"/>
                <w:szCs w:val="20"/>
                <w:lang w:val="en-GB"/>
              </w:rPr>
              <w:t>Opex</w:t>
            </w:r>
            <w:r w:rsidRPr="00DE0AA0">
              <w:rPr>
                <w:rFonts w:ascii="Calibri" w:eastAsia="Times New Roman" w:hAnsi="Calibri" w:cs="Times New Roman"/>
                <w:color w:val="000000"/>
                <w:sz w:val="20"/>
                <w:szCs w:val="20"/>
                <w:lang w:val="en-GB"/>
              </w:rPr>
              <w:t xml:space="preserve"> </w:t>
            </w:r>
            <w:r w:rsidR="00633296">
              <w:rPr>
                <w:rFonts w:ascii="Calibri" w:eastAsia="Times New Roman" w:hAnsi="Calibri" w:cs="Times New Roman"/>
                <w:color w:val="000000"/>
                <w:sz w:val="20"/>
                <w:szCs w:val="20"/>
                <w:lang w:val="en-GB"/>
              </w:rPr>
              <w:t>per</w:t>
            </w:r>
            <w:r w:rsidR="00633296" w:rsidRPr="00DE0AA0">
              <w:rPr>
                <w:rFonts w:ascii="Calibri" w:eastAsia="Times New Roman" w:hAnsi="Calibri" w:cs="Times New Roman"/>
                <w:color w:val="000000"/>
                <w:sz w:val="20"/>
                <w:szCs w:val="20"/>
                <w:lang w:val="en-GB"/>
              </w:rPr>
              <w:t xml:space="preserve"> </w:t>
            </w:r>
            <w:r w:rsidRPr="00DE0AA0">
              <w:rPr>
                <w:rFonts w:ascii="Calibri" w:eastAsia="Times New Roman" w:hAnsi="Calibri" w:cs="Times New Roman"/>
                <w:color w:val="000000"/>
                <w:sz w:val="20"/>
                <w:szCs w:val="20"/>
                <w:lang w:val="en-GB"/>
              </w:rPr>
              <w:t>customer</w:t>
            </w:r>
          </w:p>
        </w:tc>
        <w:tc>
          <w:tcPr>
            <w:tcW w:w="974" w:type="dxa"/>
            <w:tcBorders>
              <w:top w:val="nil"/>
              <w:left w:val="nil"/>
              <w:right w:val="nil"/>
            </w:tcBorders>
            <w:shd w:val="clear" w:color="auto" w:fill="FFFFFF" w:themeFill="background1"/>
            <w:noWrap/>
            <w:vAlign w:val="center"/>
          </w:tcPr>
          <w:p w14:paraId="7D617A4E"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9.97</w:t>
            </w:r>
          </w:p>
        </w:tc>
        <w:tc>
          <w:tcPr>
            <w:tcW w:w="974" w:type="dxa"/>
            <w:tcBorders>
              <w:top w:val="nil"/>
              <w:left w:val="nil"/>
              <w:right w:val="nil"/>
            </w:tcBorders>
            <w:shd w:val="clear" w:color="auto" w:fill="FFFFFF" w:themeFill="background1"/>
            <w:noWrap/>
            <w:vAlign w:val="center"/>
          </w:tcPr>
          <w:p w14:paraId="1F9E09A9"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10.59</w:t>
            </w:r>
          </w:p>
        </w:tc>
        <w:tc>
          <w:tcPr>
            <w:tcW w:w="974" w:type="dxa"/>
            <w:tcBorders>
              <w:top w:val="nil"/>
              <w:left w:val="nil"/>
              <w:right w:val="nil"/>
            </w:tcBorders>
            <w:shd w:val="clear" w:color="auto" w:fill="FFFFFF" w:themeFill="background1"/>
            <w:noWrap/>
            <w:vAlign w:val="center"/>
          </w:tcPr>
          <w:p w14:paraId="0CE54DAC"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9.17</w:t>
            </w:r>
          </w:p>
        </w:tc>
        <w:tc>
          <w:tcPr>
            <w:tcW w:w="974" w:type="dxa"/>
            <w:tcBorders>
              <w:top w:val="nil"/>
              <w:left w:val="nil"/>
              <w:right w:val="nil"/>
            </w:tcBorders>
            <w:shd w:val="clear" w:color="auto" w:fill="FFFFFF" w:themeFill="background1"/>
            <w:noWrap/>
            <w:vAlign w:val="center"/>
          </w:tcPr>
          <w:p w14:paraId="53E17894"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8.53</w:t>
            </w:r>
          </w:p>
        </w:tc>
        <w:tc>
          <w:tcPr>
            <w:tcW w:w="1074" w:type="dxa"/>
            <w:tcBorders>
              <w:top w:val="nil"/>
              <w:left w:val="nil"/>
              <w:right w:val="nil"/>
            </w:tcBorders>
            <w:shd w:val="clear" w:color="auto" w:fill="FFFFFF" w:themeFill="background1"/>
            <w:vAlign w:val="center"/>
          </w:tcPr>
          <w:p w14:paraId="0BDBAF58"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8.25</w:t>
            </w:r>
          </w:p>
        </w:tc>
      </w:tr>
      <w:tr w:rsidR="0075093C" w:rsidRPr="00DE0AA0" w14:paraId="6FEC6E72" w14:textId="77777777" w:rsidTr="0075093C">
        <w:trPr>
          <w:trHeight w:val="326"/>
        </w:trPr>
        <w:tc>
          <w:tcPr>
            <w:tcW w:w="3926" w:type="dxa"/>
            <w:tcBorders>
              <w:top w:val="nil"/>
              <w:left w:val="nil"/>
              <w:bottom w:val="single" w:sz="4" w:space="0" w:color="auto"/>
              <w:right w:val="nil"/>
            </w:tcBorders>
            <w:shd w:val="clear" w:color="auto" w:fill="FFFFFF" w:themeFill="background1"/>
            <w:noWrap/>
            <w:vAlign w:val="center"/>
          </w:tcPr>
          <w:p w14:paraId="5B82299C" w14:textId="77777777" w:rsidR="0075093C" w:rsidRPr="00DE0AA0" w:rsidRDefault="00802424" w:rsidP="009D5E0C">
            <w:pPr>
              <w:spacing w:after="0" w:line="240" w:lineRule="auto"/>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Difference in average cost of actual</w:t>
            </w:r>
            <w:r w:rsidR="0075093C" w:rsidRPr="00DE0AA0">
              <w:rPr>
                <w:rFonts w:ascii="Calibri" w:eastAsia="Times New Roman" w:hAnsi="Calibri" w:cs="Times New Roman"/>
                <w:color w:val="000000"/>
                <w:sz w:val="20"/>
                <w:szCs w:val="20"/>
                <w:lang w:val="en-GB"/>
              </w:rPr>
              <w:t xml:space="preserve"> Ope</w:t>
            </w:r>
            <w:r w:rsidRPr="00DE0AA0">
              <w:rPr>
                <w:rFonts w:ascii="Calibri" w:eastAsia="Times New Roman" w:hAnsi="Calibri" w:cs="Times New Roman"/>
                <w:color w:val="000000"/>
                <w:sz w:val="20"/>
                <w:szCs w:val="20"/>
                <w:lang w:val="en-GB"/>
              </w:rPr>
              <w:t xml:space="preserve">x  </w:t>
            </w:r>
            <w:r w:rsidR="0075093C" w:rsidRPr="00DE0AA0">
              <w:rPr>
                <w:rFonts w:ascii="Calibri" w:eastAsia="Times New Roman" w:hAnsi="Calibri" w:cs="Times New Roman"/>
                <w:color w:val="000000"/>
                <w:sz w:val="20"/>
                <w:szCs w:val="20"/>
                <w:lang w:val="en-GB"/>
              </w:rPr>
              <w:t>2018-2021</w:t>
            </w:r>
            <w:r w:rsidR="00636A61">
              <w:rPr>
                <w:rFonts w:ascii="Calibri" w:eastAsia="Times New Roman" w:hAnsi="Calibri" w:cs="Times New Roman"/>
                <w:color w:val="000000"/>
                <w:sz w:val="20"/>
                <w:szCs w:val="20"/>
                <w:lang w:val="en-GB"/>
              </w:rPr>
              <w:t xml:space="preserve"> </w:t>
            </w:r>
            <w:r w:rsidR="00422A11" w:rsidRPr="00DE0AA0">
              <w:rPr>
                <w:rFonts w:ascii="Calibri" w:eastAsia="Times New Roman" w:hAnsi="Calibri" w:cs="Times New Roman"/>
                <w:color w:val="000000"/>
                <w:sz w:val="20"/>
                <w:szCs w:val="20"/>
                <w:lang w:val="en-GB"/>
              </w:rPr>
              <w:t>per</w:t>
            </w:r>
            <w:r w:rsidRPr="00DE0AA0">
              <w:rPr>
                <w:rFonts w:ascii="Calibri" w:eastAsia="Times New Roman" w:hAnsi="Calibri" w:cs="Times New Roman"/>
                <w:color w:val="000000"/>
                <w:sz w:val="20"/>
                <w:szCs w:val="20"/>
                <w:lang w:val="en-GB"/>
              </w:rPr>
              <w:t xml:space="preserve"> customer</w:t>
            </w:r>
            <w:r w:rsidR="0075093C" w:rsidRPr="00DE0AA0">
              <w:rPr>
                <w:rFonts w:ascii="Calibri" w:eastAsia="Times New Roman" w:hAnsi="Calibri" w:cs="Times New Roman"/>
                <w:color w:val="000000"/>
                <w:sz w:val="20"/>
                <w:szCs w:val="20"/>
                <w:lang w:val="en-GB"/>
              </w:rPr>
              <w:t xml:space="preserve"> (%)</w:t>
            </w:r>
          </w:p>
        </w:tc>
        <w:tc>
          <w:tcPr>
            <w:tcW w:w="974" w:type="dxa"/>
            <w:tcBorders>
              <w:top w:val="nil"/>
              <w:left w:val="nil"/>
              <w:bottom w:val="single" w:sz="4" w:space="0" w:color="auto"/>
              <w:right w:val="nil"/>
            </w:tcBorders>
            <w:shd w:val="clear" w:color="auto" w:fill="FFFFFF" w:themeFill="background1"/>
            <w:noWrap/>
            <w:vAlign w:val="center"/>
          </w:tcPr>
          <w:p w14:paraId="2B833C36"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p>
        </w:tc>
        <w:tc>
          <w:tcPr>
            <w:tcW w:w="974" w:type="dxa"/>
            <w:tcBorders>
              <w:top w:val="nil"/>
              <w:left w:val="nil"/>
              <w:bottom w:val="single" w:sz="4" w:space="0" w:color="auto"/>
              <w:right w:val="nil"/>
            </w:tcBorders>
            <w:shd w:val="clear" w:color="auto" w:fill="FFFFFF" w:themeFill="background1"/>
            <w:noWrap/>
            <w:vAlign w:val="center"/>
          </w:tcPr>
          <w:p w14:paraId="64A9A4BA"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p>
        </w:tc>
        <w:tc>
          <w:tcPr>
            <w:tcW w:w="974" w:type="dxa"/>
            <w:tcBorders>
              <w:top w:val="nil"/>
              <w:left w:val="nil"/>
              <w:bottom w:val="single" w:sz="4" w:space="0" w:color="auto"/>
              <w:right w:val="nil"/>
            </w:tcBorders>
            <w:shd w:val="clear" w:color="auto" w:fill="FFFFFF" w:themeFill="background1"/>
            <w:noWrap/>
            <w:vAlign w:val="center"/>
          </w:tcPr>
          <w:p w14:paraId="5B216DDA"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p>
        </w:tc>
        <w:tc>
          <w:tcPr>
            <w:tcW w:w="974" w:type="dxa"/>
            <w:tcBorders>
              <w:top w:val="nil"/>
              <w:left w:val="nil"/>
              <w:bottom w:val="single" w:sz="4" w:space="0" w:color="auto"/>
              <w:right w:val="nil"/>
            </w:tcBorders>
            <w:shd w:val="clear" w:color="auto" w:fill="FFFFFF" w:themeFill="background1"/>
            <w:noWrap/>
            <w:vAlign w:val="center"/>
          </w:tcPr>
          <w:p w14:paraId="2C802ED2"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p>
        </w:tc>
        <w:tc>
          <w:tcPr>
            <w:tcW w:w="1074" w:type="dxa"/>
            <w:tcBorders>
              <w:top w:val="nil"/>
              <w:left w:val="nil"/>
              <w:bottom w:val="single" w:sz="4" w:space="0" w:color="auto"/>
              <w:right w:val="nil"/>
            </w:tcBorders>
            <w:shd w:val="clear" w:color="auto" w:fill="FFFFFF" w:themeFill="background1"/>
            <w:vAlign w:val="center"/>
          </w:tcPr>
          <w:p w14:paraId="4C90F3F9" w14:textId="77777777" w:rsidR="0075093C" w:rsidRPr="00DE0AA0" w:rsidRDefault="0075093C" w:rsidP="0075093C">
            <w:pPr>
              <w:spacing w:after="0" w:line="240" w:lineRule="auto"/>
              <w:jc w:val="center"/>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22%</w:t>
            </w:r>
          </w:p>
        </w:tc>
      </w:tr>
    </w:tbl>
    <w:p w14:paraId="5C560732" w14:textId="77777777" w:rsidR="0075093C" w:rsidRPr="00DE0AA0" w:rsidRDefault="00732050" w:rsidP="00732050">
      <w:pPr>
        <w:spacing w:after="0"/>
        <w:rPr>
          <w:color w:val="A5A5A5" w:themeColor="accent3"/>
          <w:sz w:val="18"/>
          <w:szCs w:val="18"/>
          <w:lang w:val="en-GB"/>
        </w:rPr>
      </w:pPr>
      <w:r w:rsidRPr="00DE0AA0">
        <w:rPr>
          <w:color w:val="A5A5A5" w:themeColor="accent3"/>
          <w:sz w:val="18"/>
          <w:szCs w:val="18"/>
          <w:lang w:val="en-GB"/>
        </w:rPr>
        <w:t>*</w:t>
      </w:r>
      <w:r w:rsidR="009D5E0C" w:rsidRPr="00DE0AA0">
        <w:rPr>
          <w:lang w:val="en-GB"/>
        </w:rPr>
        <w:t xml:space="preserve"> </w:t>
      </w:r>
      <w:r w:rsidR="009D5E0C" w:rsidRPr="00DE0AA0">
        <w:rPr>
          <w:color w:val="A5A5A5" w:themeColor="accent3"/>
          <w:sz w:val="18"/>
          <w:szCs w:val="18"/>
          <w:lang w:val="en-GB"/>
        </w:rPr>
        <w:t>Actual number of customers until September</w:t>
      </w:r>
      <w:r w:rsidR="009D5E0C" w:rsidRPr="00DE0AA0" w:rsidDel="009D5E0C">
        <w:rPr>
          <w:color w:val="A5A5A5" w:themeColor="accent3"/>
          <w:sz w:val="18"/>
          <w:szCs w:val="18"/>
          <w:lang w:val="en-GB"/>
        </w:rPr>
        <w:t xml:space="preserve"> </w:t>
      </w:r>
      <w:r w:rsidRPr="00DE0AA0">
        <w:rPr>
          <w:color w:val="A5A5A5" w:themeColor="accent3"/>
          <w:sz w:val="18"/>
          <w:szCs w:val="18"/>
          <w:lang w:val="en-GB"/>
        </w:rPr>
        <w:t>2021</w:t>
      </w:r>
      <w:r w:rsidRPr="00DE0AA0">
        <w:rPr>
          <w:color w:val="A5A5A5" w:themeColor="accent3"/>
          <w:sz w:val="18"/>
          <w:szCs w:val="18"/>
          <w:lang w:val="en-GB"/>
        </w:rPr>
        <w:cr/>
      </w:r>
      <w:r w:rsidR="009D5E0C" w:rsidRPr="00DE0AA0">
        <w:rPr>
          <w:color w:val="A5A5A5" w:themeColor="accent3"/>
          <w:sz w:val="18"/>
          <w:szCs w:val="18"/>
          <w:lang w:val="en-GB"/>
        </w:rPr>
        <w:t>Source</w:t>
      </w:r>
      <w:r w:rsidR="0075093C" w:rsidRPr="00DE0AA0">
        <w:rPr>
          <w:color w:val="A5A5A5" w:themeColor="accent3"/>
          <w:sz w:val="18"/>
          <w:szCs w:val="18"/>
          <w:lang w:val="en-GB"/>
        </w:rPr>
        <w:t>: KESCO</w:t>
      </w:r>
    </w:p>
    <w:p w14:paraId="6B5EE5B3" w14:textId="77777777" w:rsidR="00732050" w:rsidRPr="00DE0AA0" w:rsidRDefault="00732050" w:rsidP="00732050">
      <w:pPr>
        <w:spacing w:after="0"/>
        <w:rPr>
          <w:color w:val="A5A5A5" w:themeColor="accent3"/>
          <w:sz w:val="18"/>
          <w:szCs w:val="18"/>
          <w:lang w:val="en-GB"/>
        </w:rPr>
      </w:pPr>
    </w:p>
    <w:p w14:paraId="329EEA61" w14:textId="77777777" w:rsidR="0075093C" w:rsidRPr="00DE0AA0" w:rsidRDefault="007C3A9D" w:rsidP="006C04F5">
      <w:pPr>
        <w:jc w:val="both"/>
        <w:rPr>
          <w:color w:val="A5A5A5" w:themeColor="accent3"/>
          <w:sz w:val="18"/>
          <w:szCs w:val="18"/>
          <w:lang w:val="en-GB"/>
        </w:rPr>
      </w:pPr>
      <w:r w:rsidRPr="00DE0AA0">
        <w:rPr>
          <w:lang w:val="en-GB"/>
        </w:rPr>
        <w:t xml:space="preserve">In its application KESCO states that if we compare the actual operating costs from 2018 to 2021 there is a difference of 23%, which proves that USS has reached the maximum optimization, for which losses USS is not compensated through the given OPEX and which will be problematic to </w:t>
      </w:r>
      <w:r w:rsidR="00004889" w:rsidRPr="00DE0AA0">
        <w:rPr>
          <w:lang w:val="en-GB"/>
        </w:rPr>
        <w:t xml:space="preserve">be </w:t>
      </w:r>
      <w:r w:rsidRPr="00DE0AA0">
        <w:rPr>
          <w:lang w:val="en-GB"/>
        </w:rPr>
        <w:t>achieve</w:t>
      </w:r>
      <w:r w:rsidR="00004889" w:rsidRPr="00DE0AA0">
        <w:rPr>
          <w:lang w:val="en-GB"/>
        </w:rPr>
        <w:t>d</w:t>
      </w:r>
      <w:r w:rsidRPr="00DE0AA0">
        <w:rPr>
          <w:lang w:val="en-GB"/>
        </w:rPr>
        <w:t xml:space="preserve"> in the future if ERO does not </w:t>
      </w:r>
      <w:r w:rsidR="00004889" w:rsidRPr="00DE0AA0">
        <w:rPr>
          <w:lang w:val="en-GB"/>
        </w:rPr>
        <w:t>take into consideration the</w:t>
      </w:r>
      <w:r w:rsidRPr="00DE0AA0">
        <w:rPr>
          <w:lang w:val="en-GB"/>
        </w:rPr>
        <w:t xml:space="preserve"> requirements</w:t>
      </w:r>
      <w:r w:rsidR="00004889" w:rsidRPr="00DE0AA0">
        <w:rPr>
          <w:lang w:val="en-GB"/>
        </w:rPr>
        <w:t xml:space="preserve"> of the USS</w:t>
      </w:r>
      <w:r w:rsidRPr="00DE0AA0">
        <w:rPr>
          <w:lang w:val="en-GB"/>
        </w:rPr>
        <w:t>.</w:t>
      </w:r>
    </w:p>
    <w:p w14:paraId="159269E0" w14:textId="77777777" w:rsidR="006C04F5" w:rsidRPr="00DE0AA0" w:rsidRDefault="00516255" w:rsidP="00820A8B">
      <w:pPr>
        <w:jc w:val="both"/>
        <w:rPr>
          <w:lang w:val="en-GB"/>
        </w:rPr>
      </w:pPr>
      <w:r w:rsidRPr="00DE0AA0">
        <w:rPr>
          <w:lang w:val="en-GB"/>
        </w:rPr>
        <w:t xml:space="preserve">KESCO claims that Operating and Maintenance costs need to be increased in order to (i) </w:t>
      </w:r>
      <w:r w:rsidR="0025386C" w:rsidRPr="00DE0AA0">
        <w:rPr>
          <w:lang w:val="en-GB"/>
        </w:rPr>
        <w:t>ensure</w:t>
      </w:r>
      <w:r w:rsidRPr="00DE0AA0">
        <w:rPr>
          <w:lang w:val="en-GB"/>
        </w:rPr>
        <w:t xml:space="preserve"> additional training </w:t>
      </w:r>
      <w:r w:rsidR="0025386C" w:rsidRPr="00DE0AA0">
        <w:rPr>
          <w:lang w:val="en-GB"/>
        </w:rPr>
        <w:t>on</w:t>
      </w:r>
      <w:r w:rsidRPr="00DE0AA0">
        <w:rPr>
          <w:lang w:val="en-GB"/>
        </w:rPr>
        <w:t xml:space="preserve"> the new billing system</w:t>
      </w:r>
      <w:r w:rsidR="0025386C" w:rsidRPr="00DE0AA0">
        <w:rPr>
          <w:lang w:val="en-GB"/>
        </w:rPr>
        <w:t xml:space="preserve"> to supplier employees</w:t>
      </w:r>
      <w:r w:rsidRPr="00DE0AA0">
        <w:rPr>
          <w:lang w:val="en-GB"/>
        </w:rPr>
        <w:t xml:space="preserve">; (ii) safety, maintenance and </w:t>
      </w:r>
      <w:r w:rsidR="0025386C" w:rsidRPr="00DE0AA0">
        <w:rPr>
          <w:lang w:val="en-GB"/>
        </w:rPr>
        <w:t>fuel supply</w:t>
      </w:r>
      <w:r w:rsidRPr="00DE0AA0">
        <w:rPr>
          <w:lang w:val="en-GB"/>
        </w:rPr>
        <w:t xml:space="preserve"> for the purchase of additional vehicles; (iii) additional insurance costs which have increased due to </w:t>
      </w:r>
      <w:r w:rsidR="004946DF" w:rsidRPr="00DE0AA0">
        <w:rPr>
          <w:lang w:val="en-GB"/>
        </w:rPr>
        <w:t xml:space="preserve">the </w:t>
      </w:r>
      <w:r w:rsidRPr="00DE0AA0">
        <w:rPr>
          <w:lang w:val="en-GB"/>
        </w:rPr>
        <w:t xml:space="preserve">COVID-19 pandemic; (iv) bank guarantees and financing costs; and (v) the changing environment in the electricity market that requires additional internal </w:t>
      </w:r>
      <w:r w:rsidR="004946DF" w:rsidRPr="00DE0AA0">
        <w:rPr>
          <w:lang w:val="en-GB"/>
        </w:rPr>
        <w:t>counselling</w:t>
      </w:r>
      <w:r w:rsidRPr="00DE0AA0">
        <w:rPr>
          <w:lang w:val="en-GB"/>
        </w:rPr>
        <w:t xml:space="preserve"> and better information </w:t>
      </w:r>
      <w:r w:rsidR="004946DF" w:rsidRPr="00DE0AA0">
        <w:rPr>
          <w:lang w:val="en-GB"/>
        </w:rPr>
        <w:t>regarding the changes in the provided services</w:t>
      </w:r>
      <w:r w:rsidRPr="00DE0AA0">
        <w:rPr>
          <w:lang w:val="en-GB"/>
        </w:rPr>
        <w:t xml:space="preserve">. Therefore, KESCO has requested </w:t>
      </w:r>
      <w:r w:rsidR="004946DF" w:rsidRPr="00DE0AA0">
        <w:rPr>
          <w:lang w:val="en-GB"/>
        </w:rPr>
        <w:t xml:space="preserve">from </w:t>
      </w:r>
      <w:r w:rsidRPr="00DE0AA0">
        <w:rPr>
          <w:lang w:val="en-GB"/>
        </w:rPr>
        <w:t>ERO</w:t>
      </w:r>
      <w:r w:rsidR="00B3291E" w:rsidRPr="00DE0AA0">
        <w:rPr>
          <w:lang w:val="en-GB"/>
        </w:rPr>
        <w:t xml:space="preserve"> to</w:t>
      </w:r>
      <w:r w:rsidRPr="00DE0AA0">
        <w:rPr>
          <w:lang w:val="en-GB"/>
        </w:rPr>
        <w:t xml:space="preserve"> allow the proposed Opex</w:t>
      </w:r>
      <w:r w:rsidR="00B3291E" w:rsidRPr="00DE0AA0">
        <w:rPr>
          <w:lang w:val="en-GB"/>
        </w:rPr>
        <w:t xml:space="preserve"> as</w:t>
      </w:r>
      <w:r w:rsidRPr="00DE0AA0">
        <w:rPr>
          <w:lang w:val="en-GB"/>
        </w:rPr>
        <w:t xml:space="preserve"> in Table 8, below.</w:t>
      </w:r>
    </w:p>
    <w:p w14:paraId="2CF479A9" w14:textId="77777777" w:rsidR="0075093C" w:rsidRPr="00DE0AA0" w:rsidRDefault="0075093C" w:rsidP="006C04F5">
      <w:pPr>
        <w:jc w:val="both"/>
        <w:rPr>
          <w:lang w:val="en-GB"/>
        </w:rPr>
      </w:pPr>
    </w:p>
    <w:p w14:paraId="39EC2695" w14:textId="77777777" w:rsidR="0075093C" w:rsidRPr="00DE0AA0" w:rsidRDefault="008E7AD9" w:rsidP="0075093C">
      <w:pPr>
        <w:pStyle w:val="Caption"/>
      </w:pPr>
      <w:bookmarkStart w:id="17" w:name="_Hlk55849470"/>
      <w:r w:rsidRPr="00DE0AA0">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9</w:t>
      </w:r>
      <w:r w:rsidR="0075093C" w:rsidRPr="00DE0AA0">
        <w:fldChar w:fldCharType="end"/>
      </w:r>
      <w:r w:rsidR="0075093C" w:rsidRPr="00DE0AA0">
        <w:t xml:space="preserve"> </w:t>
      </w:r>
      <w:r w:rsidRPr="00DE0AA0">
        <w:t xml:space="preserve">Opex requested from </w:t>
      </w:r>
      <w:r w:rsidR="0075093C" w:rsidRPr="00DE0AA0">
        <w:t xml:space="preserve"> KESCO (2022-2024)</w:t>
      </w:r>
    </w:p>
    <w:tbl>
      <w:tblPr>
        <w:tblW w:w="5767" w:type="dxa"/>
        <w:tblLook w:val="04A0" w:firstRow="1" w:lastRow="0" w:firstColumn="1" w:lastColumn="0" w:noHBand="0" w:noVBand="1"/>
      </w:tblPr>
      <w:tblGrid>
        <w:gridCol w:w="3175"/>
        <w:gridCol w:w="864"/>
        <w:gridCol w:w="864"/>
        <w:gridCol w:w="864"/>
      </w:tblGrid>
      <w:tr w:rsidR="0075093C" w:rsidRPr="00DE0AA0" w14:paraId="4E0EDF20" w14:textId="77777777" w:rsidTr="0052336F">
        <w:trPr>
          <w:trHeight w:val="440"/>
        </w:trPr>
        <w:tc>
          <w:tcPr>
            <w:tcW w:w="0" w:type="auto"/>
            <w:tcBorders>
              <w:top w:val="nil"/>
              <w:left w:val="nil"/>
              <w:bottom w:val="nil"/>
              <w:right w:val="nil"/>
            </w:tcBorders>
            <w:shd w:val="clear" w:color="000000" w:fill="003366"/>
            <w:noWrap/>
            <w:vAlign w:val="center"/>
            <w:hideMark/>
          </w:tcPr>
          <w:p w14:paraId="3390E1F8" w14:textId="77777777" w:rsidR="0075093C" w:rsidRPr="00DE0AA0" w:rsidRDefault="0075093C" w:rsidP="008E7AD9">
            <w:pPr>
              <w:spacing w:after="0" w:line="240" w:lineRule="auto"/>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 </w:t>
            </w:r>
            <w:r w:rsidR="008E7AD9" w:rsidRPr="00DE0AA0">
              <w:rPr>
                <w:rFonts w:ascii="Calibri" w:eastAsia="Times New Roman" w:hAnsi="Calibri" w:cs="Times New Roman"/>
                <w:color w:val="FFFFFF"/>
                <w:sz w:val="20"/>
                <w:szCs w:val="20"/>
                <w:lang w:val="en-GB"/>
              </w:rPr>
              <w:t>Regulatory period</w:t>
            </w:r>
            <w:r w:rsidRPr="00DE0AA0">
              <w:rPr>
                <w:rFonts w:ascii="Calibri" w:eastAsia="Times New Roman" w:hAnsi="Calibri" w:cs="Times New Roman"/>
                <w:color w:val="FFFFFF"/>
                <w:sz w:val="20"/>
                <w:szCs w:val="20"/>
                <w:lang w:val="en-GB"/>
              </w:rPr>
              <w:t xml:space="preserve"> </w:t>
            </w:r>
          </w:p>
        </w:tc>
        <w:tc>
          <w:tcPr>
            <w:tcW w:w="0" w:type="auto"/>
            <w:tcBorders>
              <w:top w:val="nil"/>
              <w:left w:val="nil"/>
              <w:bottom w:val="nil"/>
              <w:right w:val="nil"/>
            </w:tcBorders>
            <w:shd w:val="clear" w:color="000000" w:fill="003366"/>
            <w:noWrap/>
            <w:vAlign w:val="center"/>
          </w:tcPr>
          <w:p w14:paraId="5839B7A4"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2022</w:t>
            </w:r>
          </w:p>
        </w:tc>
        <w:tc>
          <w:tcPr>
            <w:tcW w:w="0" w:type="auto"/>
            <w:tcBorders>
              <w:top w:val="nil"/>
              <w:left w:val="nil"/>
              <w:bottom w:val="nil"/>
              <w:right w:val="nil"/>
            </w:tcBorders>
            <w:shd w:val="clear" w:color="000000" w:fill="003366"/>
            <w:noWrap/>
            <w:vAlign w:val="center"/>
            <w:hideMark/>
          </w:tcPr>
          <w:p w14:paraId="3946F288"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2023</w:t>
            </w:r>
          </w:p>
        </w:tc>
        <w:tc>
          <w:tcPr>
            <w:tcW w:w="0" w:type="auto"/>
            <w:tcBorders>
              <w:top w:val="nil"/>
              <w:left w:val="nil"/>
              <w:bottom w:val="nil"/>
              <w:right w:val="nil"/>
            </w:tcBorders>
            <w:shd w:val="clear" w:color="000000" w:fill="003366"/>
            <w:noWrap/>
            <w:vAlign w:val="center"/>
            <w:hideMark/>
          </w:tcPr>
          <w:p w14:paraId="71D33115" w14:textId="77777777" w:rsidR="0075093C" w:rsidRPr="00DE0AA0" w:rsidRDefault="0075093C" w:rsidP="0075093C">
            <w:pPr>
              <w:spacing w:after="0" w:line="240" w:lineRule="auto"/>
              <w:jc w:val="center"/>
              <w:rPr>
                <w:rFonts w:ascii="Calibri" w:eastAsia="Times New Roman" w:hAnsi="Calibri" w:cs="Times New Roman"/>
                <w:color w:val="FFFFFF"/>
                <w:sz w:val="20"/>
                <w:szCs w:val="20"/>
                <w:lang w:val="en-GB"/>
              </w:rPr>
            </w:pPr>
            <w:r w:rsidRPr="00DE0AA0">
              <w:rPr>
                <w:rFonts w:ascii="Calibri" w:eastAsia="Times New Roman" w:hAnsi="Calibri" w:cs="Times New Roman"/>
                <w:color w:val="FFFFFF"/>
                <w:sz w:val="20"/>
                <w:szCs w:val="20"/>
                <w:lang w:val="en-GB"/>
              </w:rPr>
              <w:t>2024</w:t>
            </w:r>
          </w:p>
        </w:tc>
      </w:tr>
      <w:tr w:rsidR="0075093C" w:rsidRPr="00DE0AA0" w14:paraId="5C3E73CD" w14:textId="77777777" w:rsidTr="0052336F">
        <w:trPr>
          <w:trHeight w:val="320"/>
        </w:trPr>
        <w:tc>
          <w:tcPr>
            <w:tcW w:w="0" w:type="auto"/>
            <w:tcBorders>
              <w:top w:val="nil"/>
              <w:left w:val="nil"/>
              <w:bottom w:val="nil"/>
              <w:right w:val="nil"/>
            </w:tcBorders>
            <w:shd w:val="clear" w:color="auto" w:fill="E7E6E6" w:themeFill="background2"/>
            <w:noWrap/>
            <w:vAlign w:val="center"/>
            <w:hideMark/>
          </w:tcPr>
          <w:p w14:paraId="2B92A911" w14:textId="77777777" w:rsidR="0075093C" w:rsidRPr="00DE0AA0" w:rsidRDefault="008E7AD9" w:rsidP="0075093C">
            <w:pPr>
              <w:spacing w:after="0" w:line="240" w:lineRule="auto"/>
              <w:rPr>
                <w:rFonts w:ascii="Calibri" w:eastAsia="Times New Roman" w:hAnsi="Calibri" w:cs="Times New Roman"/>
                <w:color w:val="000000"/>
                <w:sz w:val="20"/>
                <w:szCs w:val="20"/>
                <w:lang w:val="en-GB"/>
              </w:rPr>
            </w:pPr>
            <w:r w:rsidRPr="00DE0AA0">
              <w:rPr>
                <w:lang w:val="en-GB"/>
              </w:rPr>
              <w:t>Request for</w:t>
            </w:r>
            <w:r w:rsidR="0075093C" w:rsidRPr="00DE0AA0">
              <w:rPr>
                <w:lang w:val="en-GB"/>
              </w:rPr>
              <w:t xml:space="preserve"> OPEX (€’000)</w:t>
            </w:r>
          </w:p>
        </w:tc>
        <w:tc>
          <w:tcPr>
            <w:tcW w:w="0" w:type="auto"/>
            <w:tcBorders>
              <w:top w:val="nil"/>
              <w:left w:val="nil"/>
              <w:bottom w:val="nil"/>
              <w:right w:val="nil"/>
            </w:tcBorders>
            <w:shd w:val="clear" w:color="auto" w:fill="E7E6E6" w:themeFill="background2"/>
            <w:noWrap/>
            <w:vAlign w:val="center"/>
            <w:hideMark/>
          </w:tcPr>
          <w:p w14:paraId="346CADDE" w14:textId="77777777" w:rsidR="0075093C" w:rsidRPr="00DE0AA0" w:rsidRDefault="0075093C" w:rsidP="0075093C">
            <w:pPr>
              <w:spacing w:after="0" w:line="240" w:lineRule="auto"/>
              <w:jc w:val="right"/>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6,807</w:t>
            </w:r>
          </w:p>
        </w:tc>
        <w:tc>
          <w:tcPr>
            <w:tcW w:w="0" w:type="auto"/>
            <w:tcBorders>
              <w:top w:val="nil"/>
              <w:left w:val="nil"/>
              <w:bottom w:val="nil"/>
              <w:right w:val="nil"/>
            </w:tcBorders>
            <w:shd w:val="clear" w:color="auto" w:fill="E7E6E6" w:themeFill="background2"/>
            <w:noWrap/>
            <w:vAlign w:val="center"/>
            <w:hideMark/>
          </w:tcPr>
          <w:p w14:paraId="4856FC6F" w14:textId="77777777" w:rsidR="0075093C" w:rsidRPr="00DE0AA0" w:rsidRDefault="0075093C" w:rsidP="0075093C">
            <w:pPr>
              <w:spacing w:after="0" w:line="240" w:lineRule="auto"/>
              <w:jc w:val="right"/>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6,867</w:t>
            </w:r>
          </w:p>
        </w:tc>
        <w:tc>
          <w:tcPr>
            <w:tcW w:w="0" w:type="auto"/>
            <w:tcBorders>
              <w:top w:val="nil"/>
              <w:left w:val="nil"/>
              <w:bottom w:val="nil"/>
              <w:right w:val="nil"/>
            </w:tcBorders>
            <w:shd w:val="clear" w:color="auto" w:fill="E7E6E6" w:themeFill="background2"/>
            <w:noWrap/>
            <w:vAlign w:val="center"/>
            <w:hideMark/>
          </w:tcPr>
          <w:p w14:paraId="4C1EFF8C" w14:textId="77777777" w:rsidR="0075093C" w:rsidRPr="00DE0AA0" w:rsidRDefault="0075093C" w:rsidP="0075093C">
            <w:pPr>
              <w:spacing w:after="0" w:line="240" w:lineRule="auto"/>
              <w:jc w:val="right"/>
              <w:rPr>
                <w:rFonts w:ascii="Calibri" w:eastAsia="Times New Roman" w:hAnsi="Calibri" w:cs="Times New Roman"/>
                <w:color w:val="000000"/>
                <w:sz w:val="20"/>
                <w:szCs w:val="20"/>
                <w:lang w:val="en-GB"/>
              </w:rPr>
            </w:pPr>
            <w:r w:rsidRPr="00DE0AA0">
              <w:rPr>
                <w:rFonts w:ascii="Calibri" w:eastAsia="Times New Roman" w:hAnsi="Calibri" w:cs="Times New Roman"/>
                <w:color w:val="000000"/>
                <w:sz w:val="20"/>
                <w:szCs w:val="20"/>
                <w:lang w:val="en-GB"/>
              </w:rPr>
              <w:t>6,889</w:t>
            </w:r>
          </w:p>
        </w:tc>
      </w:tr>
    </w:tbl>
    <w:bookmarkEnd w:id="17"/>
    <w:p w14:paraId="62ED666C" w14:textId="77777777" w:rsidR="0075093C" w:rsidRPr="00DE0AA0" w:rsidRDefault="008E7AD9" w:rsidP="0075093C">
      <w:pPr>
        <w:rPr>
          <w:color w:val="A5A5A5" w:themeColor="accent3"/>
          <w:sz w:val="18"/>
          <w:szCs w:val="18"/>
          <w:lang w:val="en-GB"/>
        </w:rPr>
      </w:pPr>
      <w:r w:rsidRPr="00DE0AA0">
        <w:rPr>
          <w:color w:val="A5A5A5" w:themeColor="accent3"/>
          <w:sz w:val="18"/>
          <w:szCs w:val="18"/>
          <w:lang w:val="en-GB"/>
        </w:rPr>
        <w:t>Source</w:t>
      </w:r>
      <w:r w:rsidR="0075093C" w:rsidRPr="00DE0AA0">
        <w:rPr>
          <w:color w:val="A5A5A5" w:themeColor="accent3"/>
          <w:sz w:val="18"/>
          <w:szCs w:val="18"/>
          <w:lang w:val="en-GB"/>
        </w:rPr>
        <w:t xml:space="preserve">: </w:t>
      </w:r>
      <w:r w:rsidRPr="00DE0AA0">
        <w:rPr>
          <w:color w:val="A5A5A5" w:themeColor="accent3"/>
          <w:sz w:val="18"/>
          <w:szCs w:val="18"/>
          <w:lang w:val="en-GB"/>
        </w:rPr>
        <w:t>KESCO’s application</w:t>
      </w:r>
    </w:p>
    <w:p w14:paraId="487F2D1A" w14:textId="77777777" w:rsidR="0075093C" w:rsidRPr="00DE0AA0" w:rsidRDefault="003A6CB7" w:rsidP="0075093C">
      <w:pPr>
        <w:pStyle w:val="Heading2"/>
      </w:pPr>
      <w:bookmarkStart w:id="18" w:name="_Toc89262435"/>
      <w:r w:rsidRPr="00DE0AA0">
        <w:t>Review of the application and ERO’s proposal on Operating Costs</w:t>
      </w:r>
      <w:bookmarkEnd w:id="18"/>
    </w:p>
    <w:p w14:paraId="51F21F8D" w14:textId="77777777" w:rsidR="0075093C" w:rsidRPr="00DE0AA0" w:rsidRDefault="006B1FD6" w:rsidP="006C04F5">
      <w:pPr>
        <w:jc w:val="both"/>
        <w:rPr>
          <w:lang w:val="en-GB"/>
        </w:rPr>
      </w:pPr>
      <w:r w:rsidRPr="00DE0AA0">
        <w:rPr>
          <w:lang w:val="en-GB"/>
        </w:rPr>
        <w:t>The allowed retail costs of USS include allowance for operating and maintenance costs, corporate costs and other costs beyond the control of the licensee.</w:t>
      </w:r>
    </w:p>
    <w:p w14:paraId="50B14DA5" w14:textId="44E29F1F" w:rsidR="0075093C" w:rsidRPr="00DE0AA0" w:rsidRDefault="004F3D94" w:rsidP="006C04F5">
      <w:pPr>
        <w:jc w:val="both"/>
        <w:rPr>
          <w:lang w:val="en-GB"/>
        </w:rPr>
      </w:pPr>
      <w:r w:rsidRPr="00DE0AA0">
        <w:rPr>
          <w:lang w:val="en-GB"/>
        </w:rPr>
        <w:t>KESCO's application for retail costs is mostly focused on allowed operating and maintenance costs as these comprise the majority of allowed retail costs.</w:t>
      </w:r>
    </w:p>
    <w:p w14:paraId="3CFCA296" w14:textId="77777777" w:rsidR="0075093C" w:rsidRPr="00DE0AA0" w:rsidRDefault="00532F98" w:rsidP="006C04F5">
      <w:pPr>
        <w:jc w:val="both"/>
        <w:rPr>
          <w:lang w:val="en-GB"/>
        </w:rPr>
      </w:pPr>
      <w:r w:rsidRPr="00DE0AA0">
        <w:rPr>
          <w:lang w:val="en-GB"/>
        </w:rPr>
        <w:lastRenderedPageBreak/>
        <w:t>ERO emphasizes</w:t>
      </w:r>
      <w:r w:rsidR="002E0385" w:rsidRPr="00DE0AA0">
        <w:rPr>
          <w:lang w:val="en-GB"/>
        </w:rPr>
        <w:t xml:space="preserve"> that</w:t>
      </w:r>
      <w:r w:rsidRPr="00DE0AA0">
        <w:rPr>
          <w:lang w:val="en-GB"/>
        </w:rPr>
        <w:t xml:space="preserve"> it did not use to divide Opex into different categories </w:t>
      </w:r>
      <w:r w:rsidR="00A0247B" w:rsidRPr="00DE0AA0">
        <w:rPr>
          <w:lang w:val="en-GB"/>
        </w:rPr>
        <w:t>before, in</w:t>
      </w:r>
      <w:r w:rsidRPr="00DE0AA0">
        <w:rPr>
          <w:lang w:val="en-GB"/>
        </w:rPr>
        <w:t xml:space="preserve"> order to allow</w:t>
      </w:r>
      <w:r w:rsidR="002E0385" w:rsidRPr="00DE0AA0">
        <w:rPr>
          <w:lang w:val="en-GB"/>
        </w:rPr>
        <w:t xml:space="preserve"> to USS</w:t>
      </w:r>
      <w:r w:rsidRPr="00DE0AA0">
        <w:rPr>
          <w:lang w:val="en-GB"/>
        </w:rPr>
        <w:t xml:space="preserve"> flexibility in efficient management of operating and maintenance costs. However, for the purpose of clarifying ERO's positions on </w:t>
      </w:r>
      <w:r w:rsidR="002E0385" w:rsidRPr="00DE0AA0">
        <w:rPr>
          <w:lang w:val="en-GB"/>
        </w:rPr>
        <w:t xml:space="preserve">proposed allowances of </w:t>
      </w:r>
      <w:r w:rsidRPr="00DE0AA0">
        <w:rPr>
          <w:lang w:val="en-GB"/>
        </w:rPr>
        <w:t xml:space="preserve">Opex for the period 2022-2024, it is important to have a more detailed discussion on the </w:t>
      </w:r>
      <w:r w:rsidR="002E0385" w:rsidRPr="00DE0AA0">
        <w:rPr>
          <w:lang w:val="en-GB"/>
        </w:rPr>
        <w:t>main</w:t>
      </w:r>
      <w:r w:rsidRPr="00DE0AA0">
        <w:rPr>
          <w:lang w:val="en-GB"/>
        </w:rPr>
        <w:t xml:space="preserve"> components of operating and maintenance costs.</w:t>
      </w:r>
    </w:p>
    <w:p w14:paraId="42F620B2" w14:textId="77777777" w:rsidR="0075093C" w:rsidRPr="00DE0AA0" w:rsidRDefault="00810319" w:rsidP="006C04F5">
      <w:pPr>
        <w:jc w:val="both"/>
        <w:rPr>
          <w:lang w:val="en-GB"/>
        </w:rPr>
      </w:pPr>
      <w:r w:rsidRPr="00DE0AA0">
        <w:rPr>
          <w:lang w:val="en-GB"/>
        </w:rPr>
        <w:t>The data presented by KESCO demonstrate significant instability between categories of costs and total costs incurred for the provision of the regulated service.</w:t>
      </w:r>
    </w:p>
    <w:p w14:paraId="77511C16" w14:textId="77777777" w:rsidR="0075093C" w:rsidRPr="00DE0AA0" w:rsidRDefault="0075093C" w:rsidP="0075093C">
      <w:pPr>
        <w:pStyle w:val="Caption"/>
        <w:jc w:val="left"/>
      </w:pPr>
      <w:r w:rsidRPr="00DE0AA0">
        <w:t>Fig</w:t>
      </w:r>
      <w:r w:rsidR="000B1CFC" w:rsidRPr="00DE0AA0">
        <w:t>ure</w:t>
      </w:r>
      <w:r w:rsidRPr="00DE0AA0">
        <w:t xml:space="preserve"> </w:t>
      </w:r>
      <w:r w:rsidRPr="00DE0AA0">
        <w:fldChar w:fldCharType="begin"/>
      </w:r>
      <w:r w:rsidRPr="00DE0AA0">
        <w:instrText xml:space="preserve"> SEQ Figure \* ARABIC </w:instrText>
      </w:r>
      <w:r w:rsidRPr="00DE0AA0">
        <w:fldChar w:fldCharType="separate"/>
      </w:r>
      <w:r w:rsidR="00701D2D" w:rsidRPr="00DE0AA0">
        <w:t>1</w:t>
      </w:r>
      <w:r w:rsidRPr="00DE0AA0">
        <w:fldChar w:fldCharType="end"/>
      </w:r>
      <w:r w:rsidRPr="00DE0AA0">
        <w:t xml:space="preserve"> </w:t>
      </w:r>
      <w:r w:rsidR="000B1CFC" w:rsidRPr="00DE0AA0">
        <w:t>Actual operating and maintenance costs</w:t>
      </w:r>
      <w:r w:rsidRPr="00DE0AA0">
        <w:t xml:space="preserve">  (2016-2020)</w:t>
      </w:r>
    </w:p>
    <w:p w14:paraId="7DAF6682" w14:textId="4D10E4FC" w:rsidR="0075093C" w:rsidRPr="00DE0AA0" w:rsidRDefault="0075093C" w:rsidP="0075093C">
      <w:pPr>
        <w:jc w:val="center"/>
        <w:rPr>
          <w:lang w:val="en-GB"/>
        </w:rPr>
      </w:pPr>
      <w:r w:rsidRPr="00DE0AA0">
        <w:rPr>
          <w:lang w:val="en-GB"/>
        </w:rPr>
        <w:t xml:space="preserve"> </w:t>
      </w:r>
      <w:r w:rsidR="003E4423">
        <w:rPr>
          <w:noProof/>
        </w:rPr>
        <w:drawing>
          <wp:inline distT="0" distB="0" distL="0" distR="0" wp14:anchorId="1C2D7117" wp14:editId="2110438F">
            <wp:extent cx="4633073" cy="3817844"/>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FC866E" w14:textId="77777777" w:rsidR="0075093C" w:rsidRPr="00DE0AA0" w:rsidRDefault="00BA777C" w:rsidP="006C04F5">
      <w:pPr>
        <w:jc w:val="both"/>
        <w:rPr>
          <w:lang w:val="en-GB"/>
        </w:rPr>
      </w:pPr>
      <w:r w:rsidRPr="00DE0AA0">
        <w:rPr>
          <w:lang w:val="en-GB"/>
        </w:rPr>
        <w:t xml:space="preserve">Figure 1 shows that actual operating and maintenance costs in 2016 have fluctuated from € 4.9 million to € 5.4 million in 2020, where most of these changes are </w:t>
      </w:r>
      <w:r w:rsidR="00B55EAC" w:rsidRPr="00DE0AA0">
        <w:rPr>
          <w:lang w:val="en-GB"/>
        </w:rPr>
        <w:t>attributed to</w:t>
      </w:r>
      <w:r w:rsidRPr="00DE0AA0">
        <w:rPr>
          <w:lang w:val="en-GB"/>
        </w:rPr>
        <w:t xml:space="preserve"> Other Operating Costs which appear to have increased from € 0.7 million in 2016 to </w:t>
      </w:r>
      <w:r w:rsidR="00B55EAC" w:rsidRPr="00DE0AA0">
        <w:rPr>
          <w:lang w:val="en-GB"/>
        </w:rPr>
        <w:t>€</w:t>
      </w:r>
      <w:r w:rsidRPr="00DE0AA0">
        <w:rPr>
          <w:lang w:val="en-GB"/>
        </w:rPr>
        <w:t xml:space="preserve">1.9 </w:t>
      </w:r>
      <w:r w:rsidR="00B55EAC" w:rsidRPr="00DE0AA0">
        <w:rPr>
          <w:lang w:val="en-GB"/>
        </w:rPr>
        <w:t>million in</w:t>
      </w:r>
      <w:r w:rsidRPr="00DE0AA0">
        <w:rPr>
          <w:lang w:val="en-GB"/>
        </w:rPr>
        <w:t xml:space="preserve"> 2018.</w:t>
      </w:r>
    </w:p>
    <w:p w14:paraId="0EBE17E2" w14:textId="77777777" w:rsidR="0075093C" w:rsidRPr="00DE0AA0" w:rsidRDefault="004E2D54" w:rsidP="006C04F5">
      <w:pPr>
        <w:jc w:val="both"/>
        <w:rPr>
          <w:lang w:val="en-GB"/>
        </w:rPr>
      </w:pPr>
      <w:r w:rsidRPr="00DE0AA0">
        <w:rPr>
          <w:lang w:val="en-GB"/>
        </w:rPr>
        <w:t>Operating an</w:t>
      </w:r>
      <w:r w:rsidR="00444B96" w:rsidRPr="00DE0AA0">
        <w:rPr>
          <w:lang w:val="en-GB"/>
        </w:rPr>
        <w:t>d maintenance costs, which the R</w:t>
      </w:r>
      <w:r w:rsidRPr="00DE0AA0">
        <w:rPr>
          <w:lang w:val="en-GB"/>
        </w:rPr>
        <w:t>egulato</w:t>
      </w:r>
      <w:r w:rsidR="00444B96" w:rsidRPr="00DE0AA0">
        <w:rPr>
          <w:lang w:val="en-GB"/>
        </w:rPr>
        <w:t>r recognizes as reasonable for USS/</w:t>
      </w:r>
      <w:r w:rsidRPr="00DE0AA0">
        <w:rPr>
          <w:lang w:val="en-GB"/>
        </w:rPr>
        <w:t>KESCO consist of two main categories:</w:t>
      </w:r>
    </w:p>
    <w:p w14:paraId="2DA6FE7D" w14:textId="77777777" w:rsidR="0075093C" w:rsidRPr="00DE0AA0" w:rsidRDefault="00391E18" w:rsidP="00391E18">
      <w:pPr>
        <w:pStyle w:val="ListParagraph"/>
        <w:numPr>
          <w:ilvl w:val="0"/>
          <w:numId w:val="10"/>
        </w:numPr>
      </w:pPr>
      <w:r w:rsidRPr="00DE0AA0">
        <w:rPr>
          <w:b/>
        </w:rPr>
        <w:t>Controllable costs</w:t>
      </w:r>
      <w:r w:rsidR="0075093C" w:rsidRPr="00DE0AA0">
        <w:t xml:space="preserve"> </w:t>
      </w:r>
      <w:r w:rsidRPr="00DE0AA0">
        <w:t>(which the operator can control and have an impact on through managerial and operational actions) which include:</w:t>
      </w:r>
    </w:p>
    <w:p w14:paraId="7A7DBC86" w14:textId="77777777" w:rsidR="0075093C" w:rsidRPr="00DE0AA0" w:rsidRDefault="00391E18" w:rsidP="0075093C">
      <w:pPr>
        <w:pStyle w:val="ListParagraph"/>
        <w:numPr>
          <w:ilvl w:val="1"/>
          <w:numId w:val="10"/>
        </w:numPr>
      </w:pPr>
      <w:r w:rsidRPr="00DE0AA0">
        <w:t xml:space="preserve">Staff expenses </w:t>
      </w:r>
    </w:p>
    <w:p w14:paraId="44B66CF2" w14:textId="77777777" w:rsidR="0075093C" w:rsidRPr="00DE0AA0" w:rsidRDefault="00391E18" w:rsidP="00391E18">
      <w:pPr>
        <w:pStyle w:val="ListParagraph"/>
        <w:numPr>
          <w:ilvl w:val="1"/>
          <w:numId w:val="10"/>
        </w:numPr>
      </w:pPr>
      <w:r w:rsidRPr="00DE0AA0">
        <w:t>Maintenance, Inventory and Supplies</w:t>
      </w:r>
    </w:p>
    <w:p w14:paraId="257E5AF4" w14:textId="77777777" w:rsidR="0075093C" w:rsidRPr="00DE0AA0" w:rsidRDefault="00391E18" w:rsidP="0075093C">
      <w:pPr>
        <w:pStyle w:val="ListParagraph"/>
        <w:numPr>
          <w:ilvl w:val="1"/>
          <w:numId w:val="10"/>
        </w:numPr>
      </w:pPr>
      <w:r w:rsidRPr="00DE0AA0">
        <w:lastRenderedPageBreak/>
        <w:t>Insurance</w:t>
      </w:r>
    </w:p>
    <w:p w14:paraId="7B7410B6" w14:textId="77777777" w:rsidR="0075093C" w:rsidRPr="00DE0AA0" w:rsidRDefault="00313BB1" w:rsidP="0075093C">
      <w:pPr>
        <w:pStyle w:val="ListParagraph"/>
        <w:numPr>
          <w:ilvl w:val="1"/>
          <w:numId w:val="10"/>
        </w:numPr>
      </w:pPr>
      <w:r w:rsidRPr="00DE0AA0">
        <w:t>Other operating costs</w:t>
      </w:r>
    </w:p>
    <w:p w14:paraId="2EB220A9" w14:textId="77777777" w:rsidR="0075093C" w:rsidRPr="00DE0AA0" w:rsidRDefault="00313BB1" w:rsidP="0075093C">
      <w:pPr>
        <w:pStyle w:val="ListParagraph"/>
        <w:numPr>
          <w:ilvl w:val="1"/>
          <w:numId w:val="10"/>
        </w:numPr>
      </w:pPr>
      <w:r w:rsidRPr="00DE0AA0">
        <w:t>Financial expenses</w:t>
      </w:r>
    </w:p>
    <w:p w14:paraId="029BC7B1" w14:textId="77777777" w:rsidR="0075093C" w:rsidRPr="00DE0AA0" w:rsidRDefault="00B36BD4" w:rsidP="00A83F0D">
      <w:pPr>
        <w:pStyle w:val="ListParagraph"/>
        <w:numPr>
          <w:ilvl w:val="0"/>
          <w:numId w:val="10"/>
        </w:numPr>
      </w:pPr>
      <w:r w:rsidRPr="00DE0AA0">
        <w:rPr>
          <w:b/>
        </w:rPr>
        <w:t>Non-controllable</w:t>
      </w:r>
      <w:r w:rsidR="00422A11" w:rsidRPr="00DE0AA0">
        <w:rPr>
          <w:b/>
        </w:rPr>
        <w:t xml:space="preserve"> costs</w:t>
      </w:r>
      <w:r w:rsidR="00D95150" w:rsidRPr="00DE0AA0">
        <w:rPr>
          <w:b/>
        </w:rPr>
        <w:t xml:space="preserve"> </w:t>
      </w:r>
      <w:r w:rsidR="00A83F0D" w:rsidRPr="00DE0AA0">
        <w:t>(which depend on market prices and KESCO cannot have a significant impact on them) which include:</w:t>
      </w:r>
    </w:p>
    <w:p w14:paraId="2D48920A" w14:textId="77777777" w:rsidR="0075093C" w:rsidRPr="00DE0AA0" w:rsidRDefault="002E67F1" w:rsidP="002E67F1">
      <w:pPr>
        <w:pStyle w:val="ListParagraph"/>
        <w:numPr>
          <w:ilvl w:val="1"/>
          <w:numId w:val="10"/>
        </w:numPr>
      </w:pPr>
      <w:r w:rsidRPr="00DE0AA0">
        <w:t>Costs for joint services and rent</w:t>
      </w:r>
    </w:p>
    <w:p w14:paraId="54176113" w14:textId="10A02539" w:rsidR="003C2EB3" w:rsidRPr="00DE0AA0" w:rsidRDefault="008F05D0" w:rsidP="003C2EB3">
      <w:pPr>
        <w:jc w:val="both"/>
        <w:rPr>
          <w:lang w:val="en-GB"/>
        </w:rPr>
      </w:pPr>
      <w:r w:rsidRPr="00DE0AA0">
        <w:rPr>
          <w:lang w:val="en-GB"/>
        </w:rPr>
        <w:t xml:space="preserve">The </w:t>
      </w:r>
      <w:r w:rsidR="00A23FEE">
        <w:rPr>
          <w:lang w:val="en-GB"/>
        </w:rPr>
        <w:t>non-</w:t>
      </w:r>
      <w:r w:rsidR="00A23FEE" w:rsidRPr="00DE0AA0">
        <w:rPr>
          <w:lang w:val="en-GB"/>
        </w:rPr>
        <w:t xml:space="preserve">controllable </w:t>
      </w:r>
      <w:r w:rsidRPr="00DE0AA0">
        <w:rPr>
          <w:lang w:val="en-GB"/>
        </w:rPr>
        <w:t xml:space="preserve">Opex of USS is directly related to joint services related to corporate services, such as: human resources, </w:t>
      </w:r>
      <w:r w:rsidR="00AE1E28" w:rsidRPr="00DE0AA0">
        <w:rPr>
          <w:lang w:val="en-GB"/>
        </w:rPr>
        <w:t>finances</w:t>
      </w:r>
      <w:r w:rsidRPr="00DE0AA0">
        <w:rPr>
          <w:lang w:val="en-GB"/>
        </w:rPr>
        <w:t>, procurement, legal services, IT, auditing, transport and logistics, and archives.</w:t>
      </w:r>
    </w:p>
    <w:p w14:paraId="1FF405C6" w14:textId="77777777" w:rsidR="0075093C" w:rsidRPr="00DE0AA0" w:rsidRDefault="00765F14" w:rsidP="0075093C">
      <w:pPr>
        <w:rPr>
          <w:lang w:val="en-GB"/>
        </w:rPr>
      </w:pPr>
      <w:r w:rsidRPr="00DE0AA0">
        <w:rPr>
          <w:lang w:val="en-GB"/>
        </w:rPr>
        <w:t>During the evaluation of operating costs for the</w:t>
      </w:r>
      <w:r w:rsidR="00D83C70" w:rsidRPr="00DE0AA0">
        <w:rPr>
          <w:lang w:val="en-GB"/>
        </w:rPr>
        <w:t xml:space="preserve"> period</w:t>
      </w:r>
      <w:r w:rsidRPr="00DE0AA0">
        <w:rPr>
          <w:lang w:val="en-GB"/>
        </w:rPr>
        <w:t xml:space="preserve"> 2022-2024</w:t>
      </w:r>
      <w:r w:rsidR="00D85D17" w:rsidRPr="00DE0AA0">
        <w:rPr>
          <w:lang w:val="en-GB"/>
        </w:rPr>
        <w:t xml:space="preserve"> </w:t>
      </w:r>
      <w:r w:rsidRPr="00DE0AA0">
        <w:rPr>
          <w:lang w:val="en-GB"/>
        </w:rPr>
        <w:t>ERO has used the following approach</w:t>
      </w:r>
      <w:r w:rsidR="00D85D17" w:rsidRPr="00DE0AA0">
        <w:rPr>
          <w:lang w:val="en-GB"/>
        </w:rPr>
        <w:t>:</w:t>
      </w:r>
    </w:p>
    <w:p w14:paraId="6F8E37AC" w14:textId="77777777" w:rsidR="0075093C" w:rsidRPr="00DE0AA0" w:rsidRDefault="000D59BE" w:rsidP="000D59BE">
      <w:pPr>
        <w:pStyle w:val="ListParagraph"/>
        <w:numPr>
          <w:ilvl w:val="0"/>
          <w:numId w:val="7"/>
        </w:numPr>
      </w:pPr>
      <w:r w:rsidRPr="00DE0AA0">
        <w:t xml:space="preserve">ERO has analysed the realized data of operating expenses for each item for </w:t>
      </w:r>
      <w:r w:rsidR="002A1311" w:rsidRPr="00DE0AA0">
        <w:t>the period</w:t>
      </w:r>
      <w:r w:rsidR="003D0545" w:rsidRPr="00DE0AA0">
        <w:t xml:space="preserve"> </w:t>
      </w:r>
      <w:r w:rsidRPr="00DE0AA0">
        <w:t>2016-2020</w:t>
      </w:r>
      <w:r w:rsidR="003D0545" w:rsidRPr="00DE0AA0">
        <w:t>,</w:t>
      </w:r>
      <w:r w:rsidRPr="00DE0AA0">
        <w:t xml:space="preserve"> based on the audited Financial Statements and the forms completed by KESCO-</w:t>
      </w:r>
      <w:r w:rsidR="00336D79" w:rsidRPr="00DE0AA0">
        <w:t>USS</w:t>
      </w:r>
      <w:r w:rsidRPr="00DE0AA0">
        <w:t>.</w:t>
      </w:r>
    </w:p>
    <w:p w14:paraId="3DFAAAE9" w14:textId="77777777" w:rsidR="0075093C" w:rsidRPr="00DE0AA0" w:rsidRDefault="00B36BD4" w:rsidP="00B36BD4">
      <w:pPr>
        <w:pStyle w:val="ListParagraph"/>
        <w:numPr>
          <w:ilvl w:val="0"/>
          <w:numId w:val="7"/>
        </w:numPr>
      </w:pPr>
      <w:r w:rsidRPr="00DE0AA0">
        <w:t>The estimated OPEX for the period 2022-2024 is divided into two categories, controllable and non-controllable. The efficiency factor has been applied only to controllable OPEX starting from 2023, whereas non-controllable OPE</w:t>
      </w:r>
      <w:r w:rsidR="00AA43FA" w:rsidRPr="00DE0AA0">
        <w:t xml:space="preserve">X is assumed to be unchanged given that </w:t>
      </w:r>
      <w:r w:rsidRPr="00DE0AA0">
        <w:t>it is subject to annual updates based on invoices between parties.</w:t>
      </w:r>
    </w:p>
    <w:p w14:paraId="547B7600" w14:textId="77777777" w:rsidR="0075093C" w:rsidRPr="00DE0AA0" w:rsidRDefault="00391717" w:rsidP="00391717">
      <w:pPr>
        <w:pStyle w:val="ListParagraph"/>
        <w:numPr>
          <w:ilvl w:val="0"/>
          <w:numId w:val="7"/>
        </w:numPr>
      </w:pPr>
      <w:r w:rsidRPr="00DE0AA0">
        <w:t xml:space="preserve">The evaluation of controllable </w:t>
      </w:r>
      <w:r w:rsidR="00075BC2" w:rsidRPr="00DE0AA0">
        <w:t>OPEX is carried</w:t>
      </w:r>
      <w:r w:rsidR="00332A94" w:rsidRPr="00DE0AA0">
        <w:t xml:space="preserve"> out by</w:t>
      </w:r>
      <w:r w:rsidRPr="00DE0AA0">
        <w:t xml:space="preserve"> taking into account </w:t>
      </w:r>
      <w:r w:rsidR="00E2262A" w:rsidRPr="00DE0AA0">
        <w:t>the</w:t>
      </w:r>
      <w:r w:rsidRPr="00DE0AA0">
        <w:t xml:space="preserve"> average level realized for the period 2016-2020 for the </w:t>
      </w:r>
      <w:r w:rsidR="00332A94" w:rsidRPr="00DE0AA0">
        <w:t xml:space="preserve">following </w:t>
      </w:r>
      <w:r w:rsidR="0056418E" w:rsidRPr="00DE0AA0">
        <w:t>lines</w:t>
      </w:r>
      <w:r w:rsidRPr="00DE0AA0">
        <w:t xml:space="preserve">: personnel costs, materials &amp; maintenance and inventory, insurance, other operating costs and financial costs. Considering that in 2018 other operating expenses are at levels outside the spending trend of the period 2016-2020, ERO has not found reasonableness regarding these expenses, of which 1.13 million euros are expenses for management support, therefore this line of expenses is excluded </w:t>
      </w:r>
      <w:r w:rsidR="000228E1" w:rsidRPr="00DE0AA0">
        <w:t>from</w:t>
      </w:r>
      <w:r w:rsidRPr="00DE0AA0">
        <w:t xml:space="preserve"> the calculation of the average </w:t>
      </w:r>
      <w:r w:rsidR="00046CE5" w:rsidRPr="00DE0AA0">
        <w:t>for this</w:t>
      </w:r>
      <w:r w:rsidRPr="00DE0AA0">
        <w:t xml:space="preserve"> period. The average level of </w:t>
      </w:r>
      <w:r w:rsidR="000F78DE" w:rsidRPr="00DE0AA0">
        <w:t xml:space="preserve">realized </w:t>
      </w:r>
      <w:r w:rsidRPr="00DE0AA0">
        <w:t>OPEX is treated as the base value for calculation of controllable OPEX for the period 2022-2024.</w:t>
      </w:r>
    </w:p>
    <w:p w14:paraId="1F6AB12C" w14:textId="77777777" w:rsidR="0075093C" w:rsidRPr="00DE0AA0" w:rsidRDefault="005B0010" w:rsidP="005B0010">
      <w:pPr>
        <w:pStyle w:val="ListParagraph"/>
        <w:numPr>
          <w:ilvl w:val="0"/>
          <w:numId w:val="7"/>
        </w:numPr>
      </w:pPr>
      <w:r w:rsidRPr="00DE0AA0">
        <w:t xml:space="preserve">Within the evaluation of OPEX, ERO has reviewed staff costs by applying the composite inflation rate for the entire period 2016-2020, in order to reflect the timely value of the forecast of these costs, while other costs are taken as factual as they are realized, because they have reflected the circumstances that have </w:t>
      </w:r>
      <w:r w:rsidR="00994C88" w:rsidRPr="00DE0AA0">
        <w:t>dominated</w:t>
      </w:r>
      <w:r w:rsidRPr="00DE0AA0">
        <w:t xml:space="preserve"> the market. This has resulted in an increase</w:t>
      </w:r>
      <w:r w:rsidR="005D0E09" w:rsidRPr="00DE0AA0">
        <w:t xml:space="preserve"> of about 51 thousand euros</w:t>
      </w:r>
      <w:r w:rsidRPr="00DE0AA0">
        <w:t xml:space="preserve"> in the category of staff costs. It is worth mentioning that in order for the staff costs of KEDS and KESCO to be comparable with the staff costs of other licensees in the energy sector, ERO </w:t>
      </w:r>
      <w:r w:rsidR="00911BAB" w:rsidRPr="00DE0AA0">
        <w:t>within</w:t>
      </w:r>
      <w:r w:rsidRPr="00DE0AA0">
        <w:t xml:space="preserve"> the periodic review for the regulatory period 2018-2022 has </w:t>
      </w:r>
      <w:r w:rsidR="007C1614" w:rsidRPr="00DE0AA0">
        <w:t>adjusted</w:t>
      </w:r>
      <w:r w:rsidRPr="00DE0AA0">
        <w:t xml:space="preserve"> the staff costs </w:t>
      </w:r>
      <w:r w:rsidR="002A782F" w:rsidRPr="00DE0AA0">
        <w:t>of</w:t>
      </w:r>
      <w:r w:rsidR="001F4D8B" w:rsidRPr="00DE0AA0">
        <w:t xml:space="preserve"> </w:t>
      </w:r>
      <w:r w:rsidRPr="00DE0AA0">
        <w:t xml:space="preserve">KESCO in </w:t>
      </w:r>
      <w:r w:rsidR="00FF4415" w:rsidRPr="00DE0AA0">
        <w:t>an</w:t>
      </w:r>
      <w:r w:rsidRPr="00DE0AA0">
        <w:t xml:space="preserve"> amount of 251 thousand euros, and for KEDS and KESCO in total in </w:t>
      </w:r>
      <w:r w:rsidR="00A4794D" w:rsidRPr="00DE0AA0">
        <w:t>an</w:t>
      </w:r>
      <w:r w:rsidRPr="00DE0AA0">
        <w:t xml:space="preserve"> amount of about 2.3 million euros.</w:t>
      </w:r>
    </w:p>
    <w:p w14:paraId="5B1BB049" w14:textId="77777777" w:rsidR="0075093C" w:rsidRPr="00DE0AA0" w:rsidRDefault="0080309D" w:rsidP="00B57801">
      <w:pPr>
        <w:jc w:val="both"/>
        <w:rPr>
          <w:lang w:val="en-GB"/>
        </w:rPr>
      </w:pPr>
      <w:r w:rsidRPr="00DE0AA0">
        <w:rPr>
          <w:lang w:val="en-GB"/>
        </w:rPr>
        <w:lastRenderedPageBreak/>
        <w:t xml:space="preserve">In the forecast of non-controllable OPEX are included the </w:t>
      </w:r>
      <w:r w:rsidR="00305516" w:rsidRPr="00DE0AA0">
        <w:rPr>
          <w:lang w:val="en-GB"/>
        </w:rPr>
        <w:t xml:space="preserve">costs of </w:t>
      </w:r>
      <w:r w:rsidRPr="00DE0AA0">
        <w:rPr>
          <w:lang w:val="en-GB"/>
        </w:rPr>
        <w:t>joint</w:t>
      </w:r>
      <w:r w:rsidR="00305516" w:rsidRPr="00DE0AA0">
        <w:rPr>
          <w:lang w:val="en-GB"/>
        </w:rPr>
        <w:t xml:space="preserve"> services: finance and accounting services, procurement, legal services, IT, human resources, public relations, transport and logistics, </w:t>
      </w:r>
      <w:r w:rsidR="003032A5" w:rsidRPr="00DE0AA0">
        <w:rPr>
          <w:lang w:val="en-GB"/>
        </w:rPr>
        <w:t xml:space="preserve">as well as </w:t>
      </w:r>
      <w:r w:rsidR="00305516" w:rsidRPr="00DE0AA0">
        <w:rPr>
          <w:lang w:val="en-GB"/>
        </w:rPr>
        <w:t>archive and document management. In addition to these</w:t>
      </w:r>
      <w:r w:rsidR="00977474" w:rsidRPr="00DE0AA0">
        <w:rPr>
          <w:lang w:val="en-GB"/>
        </w:rPr>
        <w:t>,</w:t>
      </w:r>
      <w:r w:rsidR="00305516" w:rsidRPr="00DE0AA0">
        <w:rPr>
          <w:lang w:val="en-GB"/>
        </w:rPr>
        <w:t xml:space="preserve"> KEDS also offers rental facilities </w:t>
      </w:r>
      <w:r w:rsidR="00D24532" w:rsidRPr="00DE0AA0">
        <w:rPr>
          <w:lang w:val="en-GB"/>
        </w:rPr>
        <w:t>for</w:t>
      </w:r>
      <w:r w:rsidR="00305516" w:rsidRPr="00DE0AA0">
        <w:rPr>
          <w:lang w:val="en-GB"/>
        </w:rPr>
        <w:t xml:space="preserve"> KESCO, which are</w:t>
      </w:r>
      <w:r w:rsidR="003A2F7F" w:rsidRPr="00DE0AA0">
        <w:rPr>
          <w:lang w:val="en-GB"/>
        </w:rPr>
        <w:t xml:space="preserve"> </w:t>
      </w:r>
      <w:r w:rsidR="006A1A5D" w:rsidRPr="00DE0AA0">
        <w:rPr>
          <w:lang w:val="en-GB"/>
        </w:rPr>
        <w:t>handled</w:t>
      </w:r>
      <w:r w:rsidR="003A2F7F" w:rsidRPr="00DE0AA0">
        <w:rPr>
          <w:lang w:val="en-GB"/>
        </w:rPr>
        <w:t xml:space="preserve"> </w:t>
      </w:r>
      <w:r w:rsidR="00305516" w:rsidRPr="00DE0AA0">
        <w:rPr>
          <w:lang w:val="en-GB"/>
        </w:rPr>
        <w:t xml:space="preserve">on the same principle </w:t>
      </w:r>
      <w:r w:rsidR="00977474" w:rsidRPr="00DE0AA0">
        <w:rPr>
          <w:lang w:val="en-GB"/>
        </w:rPr>
        <w:t>as</w:t>
      </w:r>
      <w:r w:rsidR="00305516" w:rsidRPr="00DE0AA0">
        <w:rPr>
          <w:lang w:val="en-GB"/>
        </w:rPr>
        <w:t xml:space="preserve"> other</w:t>
      </w:r>
      <w:r w:rsidR="000E0A9F" w:rsidRPr="00DE0AA0">
        <w:rPr>
          <w:lang w:val="en-GB"/>
        </w:rPr>
        <w:t xml:space="preserve"> joint</w:t>
      </w:r>
      <w:r w:rsidR="00FD7508" w:rsidRPr="00DE0AA0">
        <w:rPr>
          <w:lang w:val="en-GB"/>
        </w:rPr>
        <w:t xml:space="preserve"> expenses. The forecast of non-</w:t>
      </w:r>
      <w:r w:rsidR="00305516" w:rsidRPr="00DE0AA0">
        <w:rPr>
          <w:lang w:val="en-GB"/>
        </w:rPr>
        <w:t>controllable OPEX that includes expen</w:t>
      </w:r>
      <w:r w:rsidR="00FD7508" w:rsidRPr="00DE0AA0">
        <w:rPr>
          <w:lang w:val="en-GB"/>
        </w:rPr>
        <w:t>ses</w:t>
      </w:r>
      <w:r w:rsidR="00305516" w:rsidRPr="00DE0AA0">
        <w:rPr>
          <w:lang w:val="en-GB"/>
        </w:rPr>
        <w:t xml:space="preserve"> for </w:t>
      </w:r>
      <w:r w:rsidR="00FD7508" w:rsidRPr="00DE0AA0">
        <w:rPr>
          <w:lang w:val="en-GB"/>
        </w:rPr>
        <w:t>joint services</w:t>
      </w:r>
      <w:r w:rsidR="00305516" w:rsidRPr="00DE0AA0">
        <w:rPr>
          <w:lang w:val="en-GB"/>
        </w:rPr>
        <w:t xml:space="preserve"> is based on the average of these expen</w:t>
      </w:r>
      <w:r w:rsidR="00E25459" w:rsidRPr="00DE0AA0">
        <w:rPr>
          <w:lang w:val="en-GB"/>
        </w:rPr>
        <w:t>ses</w:t>
      </w:r>
      <w:r w:rsidR="00305516" w:rsidRPr="00DE0AA0">
        <w:rPr>
          <w:lang w:val="en-GB"/>
        </w:rPr>
        <w:t xml:space="preserve"> for the period 2016-2020. It is worth </w:t>
      </w:r>
      <w:r w:rsidR="005C6A3F" w:rsidRPr="00DE0AA0">
        <w:rPr>
          <w:lang w:val="en-GB"/>
        </w:rPr>
        <w:t>emphasizing</w:t>
      </w:r>
      <w:r w:rsidR="00305516" w:rsidRPr="00DE0AA0">
        <w:rPr>
          <w:lang w:val="en-GB"/>
        </w:rPr>
        <w:t xml:space="preserve"> that the costs for </w:t>
      </w:r>
      <w:r w:rsidR="0091369E" w:rsidRPr="00DE0AA0">
        <w:rPr>
          <w:lang w:val="en-GB"/>
        </w:rPr>
        <w:t>joint s</w:t>
      </w:r>
      <w:r w:rsidR="00305516" w:rsidRPr="00DE0AA0">
        <w:rPr>
          <w:lang w:val="en-GB"/>
        </w:rPr>
        <w:t xml:space="preserve">ervices have been converted into real terms by dividing the average of these costs by the “cost plus” rate </w:t>
      </w:r>
      <w:r w:rsidR="004671D5" w:rsidRPr="00DE0AA0">
        <w:rPr>
          <w:lang w:val="en-GB"/>
        </w:rPr>
        <w:t>of 5.5</w:t>
      </w:r>
      <w:r w:rsidR="00473E11" w:rsidRPr="00DE0AA0">
        <w:rPr>
          <w:lang w:val="en-GB"/>
        </w:rPr>
        <w:t>% billed</w:t>
      </w:r>
      <w:r w:rsidR="004671D5" w:rsidRPr="00DE0AA0">
        <w:rPr>
          <w:lang w:val="en-GB"/>
        </w:rPr>
        <w:t xml:space="preserve"> between the parties</w:t>
      </w:r>
      <w:r w:rsidR="00305516" w:rsidRPr="00DE0AA0">
        <w:rPr>
          <w:lang w:val="en-GB"/>
        </w:rPr>
        <w:t>. This was done in order to avoid unnecessary transacti</w:t>
      </w:r>
      <w:r w:rsidR="00473E11" w:rsidRPr="00DE0AA0">
        <w:rPr>
          <w:lang w:val="en-GB"/>
        </w:rPr>
        <w:t>ons, because in case of inclusion of interest</w:t>
      </w:r>
      <w:r w:rsidR="00305516" w:rsidRPr="00DE0AA0">
        <w:rPr>
          <w:lang w:val="en-GB"/>
        </w:rPr>
        <w:t>, those revenues would be deducted from the DSO. The average value of these expen</w:t>
      </w:r>
      <w:r w:rsidR="00473E11" w:rsidRPr="00DE0AA0">
        <w:rPr>
          <w:lang w:val="en-GB"/>
        </w:rPr>
        <w:t>ses,</w:t>
      </w:r>
      <w:r w:rsidR="00305516" w:rsidRPr="00DE0AA0">
        <w:rPr>
          <w:lang w:val="en-GB"/>
        </w:rPr>
        <w:t xml:space="preserve"> as explained above</w:t>
      </w:r>
      <w:r w:rsidR="00473E11" w:rsidRPr="00DE0AA0">
        <w:rPr>
          <w:lang w:val="en-GB"/>
        </w:rPr>
        <w:t>,</w:t>
      </w:r>
      <w:r w:rsidR="00305516" w:rsidRPr="00DE0AA0">
        <w:rPr>
          <w:lang w:val="en-GB"/>
        </w:rPr>
        <w:t xml:space="preserve"> is the base value for </w:t>
      </w:r>
      <w:r w:rsidR="00473E11" w:rsidRPr="00DE0AA0">
        <w:rPr>
          <w:lang w:val="en-GB"/>
        </w:rPr>
        <w:t>calculation of non-</w:t>
      </w:r>
      <w:r w:rsidR="00305516" w:rsidRPr="00DE0AA0">
        <w:rPr>
          <w:lang w:val="en-GB"/>
        </w:rPr>
        <w:t>controllable OPEX for the period 2022-2024.</w:t>
      </w:r>
    </w:p>
    <w:p w14:paraId="5046CF6A" w14:textId="77777777" w:rsidR="0075093C" w:rsidRPr="00DE0AA0" w:rsidRDefault="00DD18B3" w:rsidP="00597CE1">
      <w:pPr>
        <w:jc w:val="both"/>
        <w:rPr>
          <w:lang w:val="en-GB"/>
        </w:rPr>
      </w:pPr>
      <w:r w:rsidRPr="00DE0AA0">
        <w:rPr>
          <w:lang w:val="en-GB"/>
        </w:rPr>
        <w:t xml:space="preserve">The final proposal for OPEX, taking into account the efficiency factor applicable to the controllable OPEX is </w:t>
      </w:r>
      <w:r w:rsidR="0020632D" w:rsidRPr="00DE0AA0">
        <w:rPr>
          <w:lang w:val="en-GB"/>
        </w:rPr>
        <w:t>provided</w:t>
      </w:r>
      <w:r w:rsidRPr="00DE0AA0">
        <w:rPr>
          <w:lang w:val="en-GB"/>
        </w:rPr>
        <w:t xml:space="preserve"> below, while the </w:t>
      </w:r>
      <w:r w:rsidR="002131B0" w:rsidRPr="00DE0AA0">
        <w:rPr>
          <w:lang w:val="en-GB"/>
        </w:rPr>
        <w:t>determination</w:t>
      </w:r>
      <w:r w:rsidRPr="00DE0AA0">
        <w:rPr>
          <w:lang w:val="en-GB"/>
        </w:rPr>
        <w:t xml:space="preserve"> of the efficiency factor is described in section 3.2.1.</w:t>
      </w:r>
    </w:p>
    <w:p w14:paraId="478FE8C1" w14:textId="77777777" w:rsidR="00613E98" w:rsidRPr="00DE0AA0" w:rsidRDefault="00613E98" w:rsidP="00613E98">
      <w:pPr>
        <w:pStyle w:val="Caption"/>
      </w:pPr>
      <w:r w:rsidRPr="00DE0AA0">
        <w:t>Tab</w:t>
      </w:r>
      <w:r w:rsidR="005271A1" w:rsidRPr="00DE0AA0">
        <w:t>le</w:t>
      </w:r>
      <w:r w:rsidRPr="00DE0AA0">
        <w:t xml:space="preserve">  </w:t>
      </w:r>
      <w:r w:rsidRPr="00DE0AA0">
        <w:fldChar w:fldCharType="begin"/>
      </w:r>
      <w:r w:rsidRPr="00DE0AA0">
        <w:instrText xml:space="preserve"> SEQ Tabela_ \* ARABIC </w:instrText>
      </w:r>
      <w:r w:rsidRPr="00DE0AA0">
        <w:fldChar w:fldCharType="separate"/>
      </w:r>
      <w:r w:rsidRPr="00DE0AA0">
        <w:t>10</w:t>
      </w:r>
      <w:r w:rsidRPr="00DE0AA0">
        <w:fldChar w:fldCharType="end"/>
      </w:r>
      <w:r w:rsidRPr="00DE0AA0">
        <w:t xml:space="preserve"> </w:t>
      </w:r>
      <w:r w:rsidR="005271A1" w:rsidRPr="00DE0AA0">
        <w:t>Actual operating and maintenance costs</w:t>
      </w:r>
    </w:p>
    <w:tbl>
      <w:tblPr>
        <w:tblW w:w="4953" w:type="pct"/>
        <w:tblLook w:val="04A0" w:firstRow="1" w:lastRow="0" w:firstColumn="1" w:lastColumn="0" w:noHBand="0" w:noVBand="1"/>
      </w:tblPr>
      <w:tblGrid>
        <w:gridCol w:w="4684"/>
        <w:gridCol w:w="814"/>
        <w:gridCol w:w="1092"/>
        <w:gridCol w:w="872"/>
        <w:gridCol w:w="796"/>
        <w:gridCol w:w="1014"/>
      </w:tblGrid>
      <w:tr w:rsidR="00613E98" w:rsidRPr="00DE0AA0" w14:paraId="4A58ACD8" w14:textId="77777777" w:rsidTr="001A659D">
        <w:trPr>
          <w:trHeight w:val="288"/>
        </w:trPr>
        <w:tc>
          <w:tcPr>
            <w:tcW w:w="2526" w:type="pct"/>
            <w:tcBorders>
              <w:top w:val="nil"/>
              <w:left w:val="nil"/>
              <w:bottom w:val="nil"/>
              <w:right w:val="nil"/>
            </w:tcBorders>
            <w:shd w:val="clear" w:color="000000" w:fill="003366"/>
            <w:noWrap/>
            <w:vAlign w:val="center"/>
            <w:hideMark/>
          </w:tcPr>
          <w:p w14:paraId="76E10662" w14:textId="77777777" w:rsidR="00613E98" w:rsidRPr="00DE0AA0" w:rsidRDefault="009A5974" w:rsidP="006D2DD0">
            <w:pPr>
              <w:spacing w:after="0" w:line="240" w:lineRule="auto"/>
              <w:rPr>
                <w:rFonts w:ascii="Calibri" w:eastAsia="Times New Roman" w:hAnsi="Calibri" w:cs="Times New Roman"/>
                <w:b/>
                <w:color w:val="FFFFFF" w:themeColor="background1"/>
                <w:sz w:val="20"/>
                <w:szCs w:val="20"/>
                <w:lang w:val="en-GB" w:eastAsia="en-GB"/>
              </w:rPr>
            </w:pPr>
            <w:r w:rsidRPr="00DE0AA0">
              <w:rPr>
                <w:rFonts w:ascii="Calibri" w:eastAsia="Times New Roman" w:hAnsi="Calibri" w:cs="Times New Roman"/>
                <w:b/>
                <w:color w:val="FFFFFF" w:themeColor="background1"/>
                <w:sz w:val="20"/>
                <w:szCs w:val="20"/>
                <w:lang w:val="en-GB" w:eastAsia="en-GB"/>
              </w:rPr>
              <w:t xml:space="preserve">Components </w:t>
            </w:r>
            <w:r w:rsidR="00613E98" w:rsidRPr="00DE0AA0">
              <w:rPr>
                <w:rFonts w:ascii="Calibri" w:eastAsia="Times New Roman" w:hAnsi="Calibri" w:cs="Times New Roman"/>
                <w:b/>
                <w:bCs/>
                <w:color w:val="FFFFFF" w:themeColor="background1"/>
                <w:sz w:val="20"/>
                <w:szCs w:val="20"/>
                <w:lang w:val="en-GB" w:eastAsia="en-GB"/>
              </w:rPr>
              <w:t>(€000)</w:t>
            </w:r>
          </w:p>
        </w:tc>
        <w:tc>
          <w:tcPr>
            <w:tcW w:w="439" w:type="pct"/>
            <w:tcBorders>
              <w:top w:val="nil"/>
              <w:left w:val="nil"/>
              <w:bottom w:val="nil"/>
              <w:right w:val="nil"/>
            </w:tcBorders>
            <w:shd w:val="clear" w:color="000000" w:fill="003366"/>
            <w:noWrap/>
            <w:vAlign w:val="center"/>
            <w:hideMark/>
          </w:tcPr>
          <w:p w14:paraId="31BEC860" w14:textId="77777777" w:rsidR="00613E98" w:rsidRPr="00DE0AA0" w:rsidRDefault="00613E98" w:rsidP="006D2DD0">
            <w:pPr>
              <w:spacing w:after="0" w:line="240" w:lineRule="auto"/>
              <w:jc w:val="center"/>
              <w:rPr>
                <w:rFonts w:ascii="Calibri" w:eastAsia="Times New Roman" w:hAnsi="Calibri" w:cs="Times New Roman"/>
                <w:b/>
                <w:color w:val="FFFFFF" w:themeColor="background1"/>
                <w:sz w:val="20"/>
                <w:szCs w:val="20"/>
                <w:lang w:val="en-GB" w:eastAsia="en-GB"/>
              </w:rPr>
            </w:pPr>
            <w:r w:rsidRPr="00DE0AA0">
              <w:rPr>
                <w:rFonts w:ascii="Calibri" w:eastAsia="Times New Roman" w:hAnsi="Calibri" w:cs="Times New Roman"/>
                <w:b/>
                <w:color w:val="FFFFFF" w:themeColor="background1"/>
                <w:sz w:val="20"/>
                <w:szCs w:val="20"/>
                <w:lang w:val="en-GB" w:eastAsia="en-GB"/>
              </w:rPr>
              <w:t>2016</w:t>
            </w:r>
          </w:p>
        </w:tc>
        <w:tc>
          <w:tcPr>
            <w:tcW w:w="589" w:type="pct"/>
            <w:tcBorders>
              <w:top w:val="nil"/>
              <w:left w:val="nil"/>
              <w:bottom w:val="nil"/>
              <w:right w:val="nil"/>
            </w:tcBorders>
            <w:shd w:val="clear" w:color="000000" w:fill="003366"/>
            <w:noWrap/>
            <w:vAlign w:val="center"/>
            <w:hideMark/>
          </w:tcPr>
          <w:p w14:paraId="7F19DE91" w14:textId="77777777" w:rsidR="00613E98" w:rsidRPr="00DE0AA0" w:rsidRDefault="00613E98" w:rsidP="006D2DD0">
            <w:pPr>
              <w:spacing w:after="0" w:line="240" w:lineRule="auto"/>
              <w:jc w:val="center"/>
              <w:rPr>
                <w:rFonts w:ascii="Calibri" w:eastAsia="Times New Roman" w:hAnsi="Calibri" w:cs="Times New Roman"/>
                <w:b/>
                <w:color w:val="FFFFFF" w:themeColor="background1"/>
                <w:sz w:val="20"/>
                <w:szCs w:val="20"/>
                <w:lang w:val="en-GB" w:eastAsia="en-GB"/>
              </w:rPr>
            </w:pPr>
            <w:r w:rsidRPr="00DE0AA0">
              <w:rPr>
                <w:rFonts w:ascii="Calibri" w:eastAsia="Times New Roman" w:hAnsi="Calibri" w:cs="Times New Roman"/>
                <w:b/>
                <w:color w:val="FFFFFF" w:themeColor="background1"/>
                <w:sz w:val="20"/>
                <w:szCs w:val="20"/>
                <w:lang w:val="en-GB" w:eastAsia="en-GB"/>
              </w:rPr>
              <w:t>2017</w:t>
            </w:r>
          </w:p>
        </w:tc>
        <w:tc>
          <w:tcPr>
            <w:tcW w:w="470" w:type="pct"/>
            <w:tcBorders>
              <w:top w:val="nil"/>
              <w:left w:val="nil"/>
              <w:bottom w:val="nil"/>
              <w:right w:val="nil"/>
            </w:tcBorders>
            <w:shd w:val="clear" w:color="000000" w:fill="003366"/>
            <w:noWrap/>
            <w:vAlign w:val="center"/>
            <w:hideMark/>
          </w:tcPr>
          <w:p w14:paraId="1E7C5CC2" w14:textId="77777777" w:rsidR="00613E98" w:rsidRPr="00DE0AA0" w:rsidRDefault="00613E98" w:rsidP="006D2DD0">
            <w:pPr>
              <w:spacing w:after="0" w:line="240" w:lineRule="auto"/>
              <w:jc w:val="center"/>
              <w:rPr>
                <w:rFonts w:ascii="Calibri" w:eastAsia="Times New Roman" w:hAnsi="Calibri" w:cs="Times New Roman"/>
                <w:b/>
                <w:color w:val="FFFFFF" w:themeColor="background1"/>
                <w:sz w:val="20"/>
                <w:szCs w:val="20"/>
                <w:lang w:val="en-GB" w:eastAsia="en-GB"/>
              </w:rPr>
            </w:pPr>
            <w:r w:rsidRPr="00DE0AA0">
              <w:rPr>
                <w:rFonts w:ascii="Calibri" w:eastAsia="Times New Roman" w:hAnsi="Calibri" w:cs="Times New Roman"/>
                <w:b/>
                <w:color w:val="FFFFFF" w:themeColor="background1"/>
                <w:sz w:val="20"/>
                <w:szCs w:val="20"/>
                <w:lang w:val="en-GB" w:eastAsia="en-GB"/>
              </w:rPr>
              <w:t>2018</w:t>
            </w:r>
          </w:p>
        </w:tc>
        <w:tc>
          <w:tcPr>
            <w:tcW w:w="429" w:type="pct"/>
            <w:tcBorders>
              <w:top w:val="nil"/>
              <w:left w:val="nil"/>
              <w:bottom w:val="nil"/>
              <w:right w:val="nil"/>
            </w:tcBorders>
            <w:shd w:val="clear" w:color="000000" w:fill="003366"/>
            <w:noWrap/>
            <w:vAlign w:val="center"/>
            <w:hideMark/>
          </w:tcPr>
          <w:p w14:paraId="23FF5086" w14:textId="77777777" w:rsidR="00613E98" w:rsidRPr="00DE0AA0" w:rsidRDefault="00613E98" w:rsidP="006D2DD0">
            <w:pPr>
              <w:spacing w:after="0" w:line="240" w:lineRule="auto"/>
              <w:jc w:val="center"/>
              <w:rPr>
                <w:rFonts w:ascii="Calibri" w:eastAsia="Times New Roman" w:hAnsi="Calibri" w:cs="Times New Roman"/>
                <w:b/>
                <w:color w:val="FFFFFF" w:themeColor="background1"/>
                <w:sz w:val="20"/>
                <w:szCs w:val="20"/>
                <w:lang w:val="en-GB" w:eastAsia="en-GB"/>
              </w:rPr>
            </w:pPr>
            <w:r w:rsidRPr="00DE0AA0">
              <w:rPr>
                <w:rFonts w:ascii="Calibri" w:eastAsia="Times New Roman" w:hAnsi="Calibri" w:cs="Times New Roman"/>
                <w:b/>
                <w:color w:val="FFFFFF" w:themeColor="background1"/>
                <w:sz w:val="20"/>
                <w:szCs w:val="20"/>
                <w:lang w:val="en-GB" w:eastAsia="en-GB"/>
              </w:rPr>
              <w:t>2019</w:t>
            </w:r>
          </w:p>
        </w:tc>
        <w:tc>
          <w:tcPr>
            <w:tcW w:w="548" w:type="pct"/>
            <w:tcBorders>
              <w:top w:val="nil"/>
              <w:left w:val="nil"/>
              <w:bottom w:val="nil"/>
              <w:right w:val="nil"/>
            </w:tcBorders>
            <w:shd w:val="clear" w:color="000000" w:fill="003366"/>
            <w:noWrap/>
            <w:vAlign w:val="center"/>
            <w:hideMark/>
          </w:tcPr>
          <w:p w14:paraId="14C0FA8D" w14:textId="77777777" w:rsidR="00613E98" w:rsidRPr="00DE0AA0" w:rsidRDefault="00613E98" w:rsidP="006D2DD0">
            <w:pPr>
              <w:spacing w:after="0" w:line="240" w:lineRule="auto"/>
              <w:jc w:val="center"/>
              <w:rPr>
                <w:rFonts w:ascii="Calibri" w:eastAsia="Times New Roman" w:hAnsi="Calibri" w:cs="Times New Roman"/>
                <w:b/>
                <w:color w:val="FFFFFF" w:themeColor="background1"/>
                <w:sz w:val="20"/>
                <w:szCs w:val="20"/>
                <w:lang w:val="en-GB" w:eastAsia="en-GB"/>
              </w:rPr>
            </w:pPr>
            <w:r w:rsidRPr="00DE0AA0">
              <w:rPr>
                <w:rFonts w:ascii="Calibri" w:eastAsia="Times New Roman" w:hAnsi="Calibri" w:cs="Times New Roman"/>
                <w:b/>
                <w:color w:val="FFFFFF" w:themeColor="background1"/>
                <w:sz w:val="20"/>
                <w:szCs w:val="20"/>
                <w:lang w:val="en-GB" w:eastAsia="en-GB"/>
              </w:rPr>
              <w:t>2020</w:t>
            </w:r>
          </w:p>
        </w:tc>
      </w:tr>
      <w:tr w:rsidR="00613E98" w:rsidRPr="00DE0AA0" w14:paraId="5E2C7AC8" w14:textId="77777777" w:rsidTr="001A659D">
        <w:trPr>
          <w:trHeight w:val="288"/>
        </w:trPr>
        <w:tc>
          <w:tcPr>
            <w:tcW w:w="2526" w:type="pct"/>
            <w:tcBorders>
              <w:top w:val="nil"/>
              <w:left w:val="nil"/>
              <w:bottom w:val="nil"/>
              <w:right w:val="nil"/>
            </w:tcBorders>
            <w:shd w:val="clear" w:color="auto" w:fill="F2F2F2" w:themeFill="background1" w:themeFillShade="F2"/>
            <w:noWrap/>
            <w:vAlign w:val="center"/>
          </w:tcPr>
          <w:p w14:paraId="46EBA818" w14:textId="77777777" w:rsidR="00613E98" w:rsidRPr="00DE0AA0" w:rsidRDefault="00FA0282" w:rsidP="006D2DD0">
            <w:pPr>
              <w:spacing w:after="0" w:line="240" w:lineRule="auto"/>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Controllable OPEX</w:t>
            </w:r>
          </w:p>
        </w:tc>
        <w:tc>
          <w:tcPr>
            <w:tcW w:w="439" w:type="pct"/>
            <w:tcBorders>
              <w:top w:val="nil"/>
              <w:left w:val="nil"/>
              <w:bottom w:val="nil"/>
              <w:right w:val="nil"/>
            </w:tcBorders>
            <w:shd w:val="clear" w:color="auto" w:fill="F2F2F2" w:themeFill="background1" w:themeFillShade="F2"/>
            <w:noWrap/>
            <w:vAlign w:val="center"/>
          </w:tcPr>
          <w:p w14:paraId="599C8173" w14:textId="77777777" w:rsidR="00613E98" w:rsidRPr="00DE0AA0" w:rsidDel="002E5B2A" w:rsidRDefault="00613E98" w:rsidP="006D2DD0">
            <w:pPr>
              <w:spacing w:after="0" w:line="240" w:lineRule="auto"/>
              <w:jc w:val="right"/>
              <w:rPr>
                <w:rFonts w:ascii="Calibri" w:eastAsia="Times New Roman" w:hAnsi="Calibri" w:cs="Times New Roman"/>
                <w:b/>
                <w:bCs/>
                <w:color w:val="000000"/>
                <w:sz w:val="20"/>
                <w:szCs w:val="20"/>
                <w:lang w:val="en-GB" w:eastAsia="en-GB"/>
              </w:rPr>
            </w:pPr>
          </w:p>
        </w:tc>
        <w:tc>
          <w:tcPr>
            <w:tcW w:w="589" w:type="pct"/>
            <w:tcBorders>
              <w:top w:val="nil"/>
              <w:left w:val="nil"/>
              <w:bottom w:val="nil"/>
              <w:right w:val="nil"/>
            </w:tcBorders>
            <w:shd w:val="clear" w:color="auto" w:fill="F2F2F2" w:themeFill="background1" w:themeFillShade="F2"/>
            <w:noWrap/>
            <w:vAlign w:val="center"/>
          </w:tcPr>
          <w:p w14:paraId="641F05B9" w14:textId="77777777" w:rsidR="00613E98" w:rsidRPr="00DE0AA0" w:rsidDel="002E5B2A" w:rsidRDefault="00613E98" w:rsidP="006D2DD0">
            <w:pPr>
              <w:spacing w:after="0" w:line="240" w:lineRule="auto"/>
              <w:jc w:val="right"/>
              <w:rPr>
                <w:rFonts w:ascii="Calibri" w:eastAsia="Times New Roman" w:hAnsi="Calibri" w:cs="Times New Roman"/>
                <w:b/>
                <w:bCs/>
                <w:color w:val="000000"/>
                <w:sz w:val="20"/>
                <w:szCs w:val="20"/>
                <w:lang w:val="en-GB" w:eastAsia="en-GB"/>
              </w:rPr>
            </w:pPr>
          </w:p>
        </w:tc>
        <w:tc>
          <w:tcPr>
            <w:tcW w:w="470" w:type="pct"/>
            <w:tcBorders>
              <w:top w:val="nil"/>
              <w:left w:val="nil"/>
              <w:bottom w:val="nil"/>
              <w:right w:val="nil"/>
            </w:tcBorders>
            <w:shd w:val="clear" w:color="auto" w:fill="F2F2F2" w:themeFill="background1" w:themeFillShade="F2"/>
            <w:noWrap/>
            <w:vAlign w:val="center"/>
          </w:tcPr>
          <w:p w14:paraId="152B6818" w14:textId="77777777" w:rsidR="00613E98" w:rsidRPr="00DE0AA0" w:rsidDel="002E5B2A" w:rsidRDefault="00613E98" w:rsidP="006D2DD0">
            <w:pPr>
              <w:spacing w:after="0" w:line="240" w:lineRule="auto"/>
              <w:jc w:val="right"/>
              <w:rPr>
                <w:rFonts w:ascii="Calibri" w:eastAsia="Times New Roman" w:hAnsi="Calibri" w:cs="Times New Roman"/>
                <w:b/>
                <w:bCs/>
                <w:color w:val="000000"/>
                <w:sz w:val="20"/>
                <w:szCs w:val="20"/>
                <w:lang w:val="en-GB" w:eastAsia="en-GB"/>
              </w:rPr>
            </w:pPr>
          </w:p>
        </w:tc>
        <w:tc>
          <w:tcPr>
            <w:tcW w:w="429" w:type="pct"/>
            <w:tcBorders>
              <w:top w:val="nil"/>
              <w:left w:val="nil"/>
              <w:bottom w:val="nil"/>
              <w:right w:val="nil"/>
            </w:tcBorders>
            <w:shd w:val="clear" w:color="auto" w:fill="F2F2F2" w:themeFill="background1" w:themeFillShade="F2"/>
            <w:noWrap/>
            <w:vAlign w:val="center"/>
          </w:tcPr>
          <w:p w14:paraId="3D452B0C" w14:textId="77777777" w:rsidR="00613E98" w:rsidRPr="00DE0AA0" w:rsidDel="002E5B2A" w:rsidRDefault="00613E98" w:rsidP="006D2DD0">
            <w:pPr>
              <w:spacing w:after="0" w:line="240" w:lineRule="auto"/>
              <w:jc w:val="right"/>
              <w:rPr>
                <w:rFonts w:ascii="Calibri" w:eastAsia="Times New Roman" w:hAnsi="Calibri" w:cs="Times New Roman"/>
                <w:b/>
                <w:bCs/>
                <w:color w:val="000000"/>
                <w:sz w:val="20"/>
                <w:szCs w:val="20"/>
                <w:lang w:val="en-GB" w:eastAsia="en-GB"/>
              </w:rPr>
            </w:pPr>
          </w:p>
        </w:tc>
        <w:tc>
          <w:tcPr>
            <w:tcW w:w="548" w:type="pct"/>
            <w:tcBorders>
              <w:top w:val="nil"/>
              <w:left w:val="nil"/>
              <w:bottom w:val="nil"/>
              <w:right w:val="nil"/>
            </w:tcBorders>
            <w:shd w:val="clear" w:color="auto" w:fill="F2F2F2" w:themeFill="background1" w:themeFillShade="F2"/>
            <w:noWrap/>
            <w:vAlign w:val="center"/>
          </w:tcPr>
          <w:p w14:paraId="21914C65" w14:textId="77777777" w:rsidR="00613E98" w:rsidRPr="00DE0AA0" w:rsidDel="002E5B2A" w:rsidRDefault="00613E98" w:rsidP="006D2DD0">
            <w:pPr>
              <w:spacing w:after="0" w:line="240" w:lineRule="auto"/>
              <w:jc w:val="right"/>
              <w:rPr>
                <w:rFonts w:ascii="Calibri" w:eastAsia="Times New Roman" w:hAnsi="Calibri" w:cs="Times New Roman"/>
                <w:b/>
                <w:bCs/>
                <w:color w:val="000000"/>
                <w:sz w:val="20"/>
                <w:szCs w:val="20"/>
                <w:lang w:val="en-GB" w:eastAsia="en-GB"/>
              </w:rPr>
            </w:pPr>
          </w:p>
        </w:tc>
      </w:tr>
      <w:tr w:rsidR="00613E98" w:rsidRPr="00DE0AA0" w14:paraId="57E851DF" w14:textId="77777777" w:rsidTr="001A659D">
        <w:trPr>
          <w:trHeight w:val="288"/>
        </w:trPr>
        <w:tc>
          <w:tcPr>
            <w:tcW w:w="2526" w:type="pct"/>
            <w:tcBorders>
              <w:top w:val="nil"/>
              <w:left w:val="nil"/>
              <w:bottom w:val="nil"/>
              <w:right w:val="nil"/>
            </w:tcBorders>
            <w:shd w:val="clear" w:color="000000" w:fill="FFFFFF"/>
            <w:noWrap/>
            <w:vAlign w:val="center"/>
          </w:tcPr>
          <w:p w14:paraId="6B6F3E6B" w14:textId="77777777" w:rsidR="00613E98" w:rsidRPr="00DE0AA0" w:rsidRDefault="00613E98"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HICP</w:t>
            </w:r>
          </w:p>
        </w:tc>
        <w:tc>
          <w:tcPr>
            <w:tcW w:w="439" w:type="pct"/>
            <w:tcBorders>
              <w:top w:val="nil"/>
              <w:left w:val="nil"/>
              <w:bottom w:val="nil"/>
              <w:right w:val="nil"/>
            </w:tcBorders>
            <w:shd w:val="clear" w:color="000000" w:fill="FFFFFF"/>
            <w:noWrap/>
            <w:vAlign w:val="center"/>
          </w:tcPr>
          <w:p w14:paraId="25BA8110"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0.20%</w:t>
            </w:r>
          </w:p>
        </w:tc>
        <w:tc>
          <w:tcPr>
            <w:tcW w:w="589" w:type="pct"/>
            <w:tcBorders>
              <w:top w:val="nil"/>
              <w:left w:val="nil"/>
              <w:bottom w:val="nil"/>
              <w:right w:val="nil"/>
            </w:tcBorders>
            <w:shd w:val="clear" w:color="000000" w:fill="FFFFFF"/>
            <w:noWrap/>
            <w:vAlign w:val="center"/>
          </w:tcPr>
          <w:p w14:paraId="7EF615C1"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1.40%</w:t>
            </w:r>
          </w:p>
        </w:tc>
        <w:tc>
          <w:tcPr>
            <w:tcW w:w="470" w:type="pct"/>
            <w:tcBorders>
              <w:top w:val="nil"/>
              <w:left w:val="nil"/>
              <w:bottom w:val="nil"/>
              <w:right w:val="nil"/>
            </w:tcBorders>
            <w:shd w:val="clear" w:color="000000" w:fill="FFFFFF"/>
            <w:noWrap/>
            <w:vAlign w:val="center"/>
          </w:tcPr>
          <w:p w14:paraId="41AD903D"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1.70%</w:t>
            </w:r>
          </w:p>
        </w:tc>
        <w:tc>
          <w:tcPr>
            <w:tcW w:w="429" w:type="pct"/>
            <w:tcBorders>
              <w:top w:val="nil"/>
              <w:left w:val="nil"/>
              <w:bottom w:val="nil"/>
              <w:right w:val="nil"/>
            </w:tcBorders>
            <w:shd w:val="clear" w:color="000000" w:fill="FFFFFF"/>
            <w:noWrap/>
            <w:vAlign w:val="center"/>
          </w:tcPr>
          <w:p w14:paraId="3A834934"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1.19%</w:t>
            </w:r>
          </w:p>
        </w:tc>
        <w:tc>
          <w:tcPr>
            <w:tcW w:w="548" w:type="pct"/>
            <w:tcBorders>
              <w:top w:val="nil"/>
              <w:left w:val="nil"/>
              <w:bottom w:val="nil"/>
              <w:right w:val="nil"/>
            </w:tcBorders>
            <w:shd w:val="clear" w:color="000000" w:fill="FFFFFF"/>
            <w:noWrap/>
            <w:vAlign w:val="center"/>
          </w:tcPr>
          <w:p w14:paraId="599C2FF3"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0.26%</w:t>
            </w:r>
          </w:p>
        </w:tc>
      </w:tr>
      <w:tr w:rsidR="00613E98" w:rsidRPr="00DE0AA0" w14:paraId="19984C41" w14:textId="77777777" w:rsidTr="001A659D">
        <w:trPr>
          <w:trHeight w:val="288"/>
        </w:trPr>
        <w:tc>
          <w:tcPr>
            <w:tcW w:w="2526" w:type="pct"/>
            <w:tcBorders>
              <w:top w:val="nil"/>
              <w:left w:val="nil"/>
              <w:bottom w:val="nil"/>
              <w:right w:val="nil"/>
            </w:tcBorders>
            <w:shd w:val="clear" w:color="000000" w:fill="FFFFFF"/>
            <w:noWrap/>
            <w:vAlign w:val="center"/>
            <w:hideMark/>
          </w:tcPr>
          <w:p w14:paraId="0699B4A0" w14:textId="77777777" w:rsidR="00613E98" w:rsidRPr="00DE0AA0" w:rsidRDefault="000A28C6"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Staff co</w:t>
            </w:r>
            <w:r w:rsidR="00343011" w:rsidRPr="00DE0AA0">
              <w:rPr>
                <w:rFonts w:ascii="Calibri" w:eastAsia="Times New Roman" w:hAnsi="Calibri" w:cs="Times New Roman"/>
                <w:color w:val="000000"/>
                <w:sz w:val="20"/>
                <w:szCs w:val="20"/>
                <w:lang w:val="en-GB" w:eastAsia="en-GB"/>
              </w:rPr>
              <w:t>sts</w:t>
            </w:r>
            <w:r w:rsidR="00613E98" w:rsidRPr="00DE0AA0">
              <w:rPr>
                <w:rFonts w:ascii="Calibri" w:eastAsia="Times New Roman" w:hAnsi="Calibri" w:cs="Times New Roman"/>
                <w:color w:val="000000"/>
                <w:sz w:val="20"/>
                <w:szCs w:val="20"/>
                <w:lang w:val="en-GB" w:eastAsia="en-GB"/>
              </w:rPr>
              <w:t>*</w:t>
            </w:r>
          </w:p>
        </w:tc>
        <w:tc>
          <w:tcPr>
            <w:tcW w:w="439" w:type="pct"/>
            <w:tcBorders>
              <w:top w:val="nil"/>
              <w:left w:val="nil"/>
              <w:bottom w:val="nil"/>
              <w:right w:val="nil"/>
            </w:tcBorders>
            <w:shd w:val="clear" w:color="000000" w:fill="FFFFFF"/>
            <w:noWrap/>
            <w:vAlign w:val="center"/>
            <w:hideMark/>
          </w:tcPr>
          <w:p w14:paraId="51B32515"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1,784</w:t>
            </w:r>
          </w:p>
        </w:tc>
        <w:tc>
          <w:tcPr>
            <w:tcW w:w="589" w:type="pct"/>
            <w:tcBorders>
              <w:top w:val="nil"/>
              <w:left w:val="nil"/>
              <w:bottom w:val="nil"/>
              <w:right w:val="nil"/>
            </w:tcBorders>
            <w:shd w:val="clear" w:color="000000" w:fill="FFFFFF"/>
            <w:noWrap/>
            <w:vAlign w:val="center"/>
            <w:hideMark/>
          </w:tcPr>
          <w:p w14:paraId="60A270FE"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2,036</w:t>
            </w:r>
          </w:p>
        </w:tc>
        <w:tc>
          <w:tcPr>
            <w:tcW w:w="470" w:type="pct"/>
            <w:tcBorders>
              <w:top w:val="nil"/>
              <w:left w:val="nil"/>
              <w:bottom w:val="nil"/>
              <w:right w:val="nil"/>
            </w:tcBorders>
            <w:shd w:val="clear" w:color="000000" w:fill="FFFFFF"/>
            <w:noWrap/>
            <w:vAlign w:val="center"/>
            <w:hideMark/>
          </w:tcPr>
          <w:p w14:paraId="52D59C5C"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1,670</w:t>
            </w:r>
          </w:p>
        </w:tc>
        <w:tc>
          <w:tcPr>
            <w:tcW w:w="429" w:type="pct"/>
            <w:tcBorders>
              <w:top w:val="nil"/>
              <w:left w:val="nil"/>
              <w:bottom w:val="nil"/>
              <w:right w:val="nil"/>
            </w:tcBorders>
            <w:shd w:val="clear" w:color="000000" w:fill="FFFFFF"/>
            <w:noWrap/>
            <w:vAlign w:val="center"/>
            <w:hideMark/>
          </w:tcPr>
          <w:p w14:paraId="67DC5853"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1,953</w:t>
            </w:r>
          </w:p>
        </w:tc>
        <w:tc>
          <w:tcPr>
            <w:tcW w:w="548" w:type="pct"/>
            <w:tcBorders>
              <w:top w:val="nil"/>
              <w:left w:val="nil"/>
              <w:bottom w:val="nil"/>
              <w:right w:val="nil"/>
            </w:tcBorders>
            <w:shd w:val="clear" w:color="000000" w:fill="FFFFFF"/>
            <w:noWrap/>
            <w:vAlign w:val="center"/>
            <w:hideMark/>
          </w:tcPr>
          <w:p w14:paraId="0B355F5E"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1,939</w:t>
            </w:r>
          </w:p>
        </w:tc>
      </w:tr>
      <w:tr w:rsidR="00613E98" w:rsidRPr="00DE0AA0" w14:paraId="6367AB4C" w14:textId="77777777" w:rsidTr="001A659D">
        <w:trPr>
          <w:trHeight w:val="288"/>
        </w:trPr>
        <w:tc>
          <w:tcPr>
            <w:tcW w:w="2526" w:type="pct"/>
            <w:tcBorders>
              <w:top w:val="nil"/>
              <w:left w:val="nil"/>
              <w:bottom w:val="nil"/>
              <w:right w:val="nil"/>
            </w:tcBorders>
            <w:shd w:val="clear" w:color="000000" w:fill="FFFFFF"/>
            <w:noWrap/>
            <w:vAlign w:val="center"/>
            <w:hideMark/>
          </w:tcPr>
          <w:p w14:paraId="02B20873" w14:textId="6824C82E" w:rsidR="00613E98" w:rsidRPr="00DE0AA0" w:rsidRDefault="006C20DB" w:rsidP="00DE0AA0">
            <w:pPr>
              <w:spacing w:after="0" w:line="240" w:lineRule="auto"/>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 xml:space="preserve"> </w:t>
            </w:r>
            <w:r w:rsidR="004D177E">
              <w:rPr>
                <w:rFonts w:ascii="Calibri" w:eastAsia="Times New Roman" w:hAnsi="Calibri" w:cs="Times New Roman"/>
                <w:color w:val="000000"/>
                <w:sz w:val="20"/>
                <w:szCs w:val="20"/>
                <w:lang w:val="en-GB" w:eastAsia="en-GB"/>
              </w:rPr>
              <w:t xml:space="preserve">   </w:t>
            </w:r>
            <w:r w:rsidR="00340E84" w:rsidRPr="00DE0AA0">
              <w:rPr>
                <w:rFonts w:ascii="Calibri" w:eastAsia="Times New Roman" w:hAnsi="Calibri" w:cs="Times New Roman"/>
                <w:color w:val="000000"/>
                <w:sz w:val="20"/>
                <w:szCs w:val="20"/>
                <w:lang w:val="en-GB" w:eastAsia="en-GB"/>
              </w:rPr>
              <w:t>Maintenance</w:t>
            </w:r>
            <w:r w:rsidR="00613E98" w:rsidRPr="00DE0AA0">
              <w:rPr>
                <w:rFonts w:ascii="Calibri" w:eastAsia="Times New Roman" w:hAnsi="Calibri" w:cs="Times New Roman"/>
                <w:color w:val="000000"/>
                <w:sz w:val="20"/>
                <w:szCs w:val="20"/>
                <w:lang w:val="en-GB" w:eastAsia="en-GB"/>
              </w:rPr>
              <w:t xml:space="preserve">, </w:t>
            </w:r>
            <w:r w:rsidR="00343011" w:rsidRPr="00DE0AA0">
              <w:rPr>
                <w:rFonts w:ascii="Calibri" w:eastAsia="Times New Roman" w:hAnsi="Calibri" w:cs="Times New Roman"/>
                <w:color w:val="000000"/>
                <w:sz w:val="20"/>
                <w:szCs w:val="20"/>
                <w:lang w:val="en-GB" w:eastAsia="en-GB"/>
              </w:rPr>
              <w:t xml:space="preserve">Inventory and </w:t>
            </w:r>
            <w:r w:rsidR="00B7251B" w:rsidRPr="00DE0AA0">
              <w:rPr>
                <w:rFonts w:ascii="Calibri" w:eastAsia="Times New Roman" w:hAnsi="Calibri" w:cs="Times New Roman"/>
                <w:color w:val="000000"/>
                <w:sz w:val="20"/>
                <w:szCs w:val="20"/>
                <w:lang w:val="en-GB" w:eastAsia="en-GB"/>
              </w:rPr>
              <w:t>Supplies</w:t>
            </w:r>
          </w:p>
        </w:tc>
        <w:tc>
          <w:tcPr>
            <w:tcW w:w="439" w:type="pct"/>
            <w:tcBorders>
              <w:top w:val="nil"/>
              <w:left w:val="nil"/>
              <w:bottom w:val="nil"/>
              <w:right w:val="nil"/>
            </w:tcBorders>
            <w:shd w:val="clear" w:color="000000" w:fill="FFFFFF"/>
            <w:noWrap/>
            <w:vAlign w:val="center"/>
            <w:hideMark/>
          </w:tcPr>
          <w:p w14:paraId="02FAC50D"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90</w:t>
            </w:r>
          </w:p>
        </w:tc>
        <w:tc>
          <w:tcPr>
            <w:tcW w:w="589" w:type="pct"/>
            <w:tcBorders>
              <w:top w:val="nil"/>
              <w:left w:val="nil"/>
              <w:bottom w:val="nil"/>
              <w:right w:val="nil"/>
            </w:tcBorders>
            <w:shd w:val="clear" w:color="000000" w:fill="FFFFFF"/>
            <w:noWrap/>
            <w:vAlign w:val="center"/>
            <w:hideMark/>
          </w:tcPr>
          <w:p w14:paraId="696629B6"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80</w:t>
            </w:r>
          </w:p>
        </w:tc>
        <w:tc>
          <w:tcPr>
            <w:tcW w:w="470" w:type="pct"/>
            <w:tcBorders>
              <w:top w:val="nil"/>
              <w:left w:val="nil"/>
              <w:bottom w:val="nil"/>
              <w:right w:val="nil"/>
            </w:tcBorders>
            <w:shd w:val="clear" w:color="000000" w:fill="FFFFFF"/>
            <w:noWrap/>
            <w:vAlign w:val="center"/>
            <w:hideMark/>
          </w:tcPr>
          <w:p w14:paraId="0F5B1F7B"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81</w:t>
            </w:r>
          </w:p>
        </w:tc>
        <w:tc>
          <w:tcPr>
            <w:tcW w:w="429" w:type="pct"/>
            <w:tcBorders>
              <w:top w:val="nil"/>
              <w:left w:val="nil"/>
              <w:bottom w:val="nil"/>
              <w:right w:val="nil"/>
            </w:tcBorders>
            <w:shd w:val="clear" w:color="000000" w:fill="FFFFFF"/>
            <w:noWrap/>
            <w:vAlign w:val="center"/>
            <w:hideMark/>
          </w:tcPr>
          <w:p w14:paraId="35D360E4"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88</w:t>
            </w:r>
          </w:p>
        </w:tc>
        <w:tc>
          <w:tcPr>
            <w:tcW w:w="548" w:type="pct"/>
            <w:tcBorders>
              <w:top w:val="nil"/>
              <w:left w:val="nil"/>
              <w:bottom w:val="nil"/>
              <w:right w:val="nil"/>
            </w:tcBorders>
            <w:shd w:val="clear" w:color="000000" w:fill="FFFFFF"/>
            <w:noWrap/>
            <w:vAlign w:val="center"/>
            <w:hideMark/>
          </w:tcPr>
          <w:p w14:paraId="0938CEF1"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66</w:t>
            </w:r>
          </w:p>
        </w:tc>
      </w:tr>
      <w:tr w:rsidR="00613E98" w:rsidRPr="00DE0AA0" w14:paraId="56F9A1AC" w14:textId="77777777" w:rsidTr="001A659D">
        <w:trPr>
          <w:trHeight w:val="288"/>
        </w:trPr>
        <w:tc>
          <w:tcPr>
            <w:tcW w:w="2526" w:type="pct"/>
            <w:tcBorders>
              <w:top w:val="nil"/>
              <w:left w:val="nil"/>
              <w:bottom w:val="nil"/>
              <w:right w:val="nil"/>
            </w:tcBorders>
            <w:shd w:val="clear" w:color="000000" w:fill="FFFFFF"/>
            <w:noWrap/>
            <w:vAlign w:val="center"/>
            <w:hideMark/>
          </w:tcPr>
          <w:p w14:paraId="1B2361D9" w14:textId="77777777" w:rsidR="00613E98" w:rsidRPr="00DE0AA0" w:rsidRDefault="00562833"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Insurance</w:t>
            </w:r>
          </w:p>
        </w:tc>
        <w:tc>
          <w:tcPr>
            <w:tcW w:w="439" w:type="pct"/>
            <w:tcBorders>
              <w:top w:val="nil"/>
              <w:left w:val="nil"/>
              <w:bottom w:val="nil"/>
              <w:right w:val="nil"/>
            </w:tcBorders>
            <w:shd w:val="clear" w:color="000000" w:fill="FFFFFF"/>
            <w:noWrap/>
            <w:vAlign w:val="center"/>
            <w:hideMark/>
          </w:tcPr>
          <w:p w14:paraId="376D7023"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377</w:t>
            </w:r>
          </w:p>
        </w:tc>
        <w:tc>
          <w:tcPr>
            <w:tcW w:w="589" w:type="pct"/>
            <w:tcBorders>
              <w:top w:val="nil"/>
              <w:left w:val="nil"/>
              <w:bottom w:val="nil"/>
              <w:right w:val="nil"/>
            </w:tcBorders>
            <w:shd w:val="clear" w:color="000000" w:fill="FFFFFF"/>
            <w:noWrap/>
            <w:vAlign w:val="center"/>
            <w:hideMark/>
          </w:tcPr>
          <w:p w14:paraId="7C73D24B"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364</w:t>
            </w:r>
          </w:p>
        </w:tc>
        <w:tc>
          <w:tcPr>
            <w:tcW w:w="470" w:type="pct"/>
            <w:tcBorders>
              <w:top w:val="nil"/>
              <w:left w:val="nil"/>
              <w:bottom w:val="nil"/>
              <w:right w:val="nil"/>
            </w:tcBorders>
            <w:shd w:val="clear" w:color="auto" w:fill="auto"/>
            <w:noWrap/>
            <w:vAlign w:val="center"/>
            <w:hideMark/>
          </w:tcPr>
          <w:p w14:paraId="02577073"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340</w:t>
            </w:r>
          </w:p>
        </w:tc>
        <w:tc>
          <w:tcPr>
            <w:tcW w:w="429" w:type="pct"/>
            <w:tcBorders>
              <w:top w:val="nil"/>
              <w:left w:val="nil"/>
              <w:bottom w:val="nil"/>
              <w:right w:val="nil"/>
            </w:tcBorders>
            <w:shd w:val="clear" w:color="auto" w:fill="auto"/>
            <w:noWrap/>
            <w:vAlign w:val="center"/>
            <w:hideMark/>
          </w:tcPr>
          <w:p w14:paraId="6F81A026"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312</w:t>
            </w:r>
          </w:p>
        </w:tc>
        <w:tc>
          <w:tcPr>
            <w:tcW w:w="548" w:type="pct"/>
            <w:tcBorders>
              <w:top w:val="nil"/>
              <w:left w:val="nil"/>
              <w:bottom w:val="nil"/>
              <w:right w:val="nil"/>
            </w:tcBorders>
            <w:shd w:val="clear" w:color="000000" w:fill="FFFFFF"/>
            <w:noWrap/>
            <w:vAlign w:val="center"/>
            <w:hideMark/>
          </w:tcPr>
          <w:p w14:paraId="5AE9D0BC"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307</w:t>
            </w:r>
          </w:p>
        </w:tc>
      </w:tr>
      <w:tr w:rsidR="00613E98" w:rsidRPr="00DE0AA0" w14:paraId="5C44F1D7" w14:textId="77777777" w:rsidTr="001A659D">
        <w:trPr>
          <w:trHeight w:val="288"/>
        </w:trPr>
        <w:tc>
          <w:tcPr>
            <w:tcW w:w="2526" w:type="pct"/>
            <w:tcBorders>
              <w:top w:val="nil"/>
              <w:left w:val="nil"/>
              <w:bottom w:val="nil"/>
              <w:right w:val="nil"/>
            </w:tcBorders>
            <w:shd w:val="clear" w:color="000000" w:fill="FFFFFF"/>
            <w:noWrap/>
            <w:vAlign w:val="center"/>
            <w:hideMark/>
          </w:tcPr>
          <w:p w14:paraId="41BC3A79" w14:textId="77777777" w:rsidR="00613E98" w:rsidRPr="00DE0AA0" w:rsidRDefault="00560925"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Other operating costs</w:t>
            </w:r>
          </w:p>
        </w:tc>
        <w:tc>
          <w:tcPr>
            <w:tcW w:w="439" w:type="pct"/>
            <w:tcBorders>
              <w:top w:val="nil"/>
              <w:left w:val="nil"/>
              <w:bottom w:val="nil"/>
              <w:right w:val="nil"/>
            </w:tcBorders>
            <w:shd w:val="clear" w:color="000000" w:fill="FFFFFF"/>
            <w:noWrap/>
            <w:vAlign w:val="center"/>
            <w:hideMark/>
          </w:tcPr>
          <w:p w14:paraId="6D1BF884"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747</w:t>
            </w:r>
          </w:p>
        </w:tc>
        <w:tc>
          <w:tcPr>
            <w:tcW w:w="589" w:type="pct"/>
            <w:tcBorders>
              <w:top w:val="nil"/>
              <w:left w:val="nil"/>
              <w:bottom w:val="nil"/>
              <w:right w:val="nil"/>
            </w:tcBorders>
            <w:shd w:val="clear" w:color="000000" w:fill="FFFFFF"/>
            <w:noWrap/>
            <w:vAlign w:val="center"/>
            <w:hideMark/>
          </w:tcPr>
          <w:p w14:paraId="6519C182"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1,157</w:t>
            </w:r>
          </w:p>
        </w:tc>
        <w:tc>
          <w:tcPr>
            <w:tcW w:w="470" w:type="pct"/>
            <w:tcBorders>
              <w:top w:val="nil"/>
              <w:left w:val="nil"/>
              <w:bottom w:val="nil"/>
              <w:right w:val="nil"/>
            </w:tcBorders>
            <w:shd w:val="clear" w:color="auto" w:fill="auto"/>
            <w:noWrap/>
            <w:vAlign w:val="center"/>
            <w:hideMark/>
          </w:tcPr>
          <w:p w14:paraId="28218540"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sz w:val="20"/>
                <w:szCs w:val="20"/>
                <w:lang w:val="en-GB" w:eastAsia="en-GB"/>
              </w:rPr>
              <w:t>1,930**</w:t>
            </w:r>
          </w:p>
        </w:tc>
        <w:tc>
          <w:tcPr>
            <w:tcW w:w="429" w:type="pct"/>
            <w:tcBorders>
              <w:top w:val="nil"/>
              <w:left w:val="nil"/>
              <w:bottom w:val="nil"/>
              <w:right w:val="nil"/>
            </w:tcBorders>
            <w:shd w:val="clear" w:color="auto" w:fill="auto"/>
            <w:noWrap/>
            <w:vAlign w:val="center"/>
            <w:hideMark/>
          </w:tcPr>
          <w:p w14:paraId="2901A6BE"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999</w:t>
            </w:r>
          </w:p>
        </w:tc>
        <w:tc>
          <w:tcPr>
            <w:tcW w:w="548" w:type="pct"/>
            <w:tcBorders>
              <w:top w:val="nil"/>
              <w:left w:val="nil"/>
              <w:bottom w:val="nil"/>
              <w:right w:val="nil"/>
            </w:tcBorders>
            <w:shd w:val="clear" w:color="000000" w:fill="FFFFFF"/>
            <w:noWrap/>
            <w:vAlign w:val="center"/>
            <w:hideMark/>
          </w:tcPr>
          <w:p w14:paraId="3F668D3B"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900</w:t>
            </w:r>
          </w:p>
        </w:tc>
      </w:tr>
      <w:tr w:rsidR="00613E98" w:rsidRPr="00DE0AA0" w14:paraId="26123889" w14:textId="77777777" w:rsidTr="001A659D">
        <w:trPr>
          <w:trHeight w:val="288"/>
        </w:trPr>
        <w:tc>
          <w:tcPr>
            <w:tcW w:w="2526" w:type="pct"/>
            <w:tcBorders>
              <w:top w:val="nil"/>
              <w:left w:val="nil"/>
              <w:bottom w:val="nil"/>
              <w:right w:val="nil"/>
            </w:tcBorders>
            <w:shd w:val="clear" w:color="000000" w:fill="FFFFFF"/>
            <w:noWrap/>
            <w:vAlign w:val="center"/>
            <w:hideMark/>
          </w:tcPr>
          <w:p w14:paraId="5BFEA40A" w14:textId="77777777" w:rsidR="00613E98" w:rsidRPr="00DE0AA0" w:rsidRDefault="00560925"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Financial expenses</w:t>
            </w:r>
          </w:p>
        </w:tc>
        <w:tc>
          <w:tcPr>
            <w:tcW w:w="439" w:type="pct"/>
            <w:tcBorders>
              <w:top w:val="nil"/>
              <w:left w:val="nil"/>
              <w:bottom w:val="nil"/>
              <w:right w:val="nil"/>
            </w:tcBorders>
            <w:shd w:val="clear" w:color="000000" w:fill="FFFFFF"/>
            <w:noWrap/>
            <w:vAlign w:val="center"/>
            <w:hideMark/>
          </w:tcPr>
          <w:p w14:paraId="52E7F2CA"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430</w:t>
            </w:r>
          </w:p>
        </w:tc>
        <w:tc>
          <w:tcPr>
            <w:tcW w:w="589" w:type="pct"/>
            <w:tcBorders>
              <w:top w:val="nil"/>
              <w:left w:val="nil"/>
              <w:bottom w:val="nil"/>
              <w:right w:val="nil"/>
            </w:tcBorders>
            <w:shd w:val="clear" w:color="000000" w:fill="FFFFFF"/>
            <w:noWrap/>
            <w:vAlign w:val="center"/>
            <w:hideMark/>
          </w:tcPr>
          <w:p w14:paraId="275A2373"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207</w:t>
            </w:r>
          </w:p>
        </w:tc>
        <w:tc>
          <w:tcPr>
            <w:tcW w:w="470" w:type="pct"/>
            <w:tcBorders>
              <w:top w:val="nil"/>
              <w:left w:val="nil"/>
              <w:bottom w:val="nil"/>
              <w:right w:val="nil"/>
            </w:tcBorders>
            <w:shd w:val="clear" w:color="000000" w:fill="FFFFFF"/>
            <w:noWrap/>
            <w:vAlign w:val="center"/>
            <w:hideMark/>
          </w:tcPr>
          <w:p w14:paraId="480EB41D"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451</w:t>
            </w:r>
          </w:p>
        </w:tc>
        <w:tc>
          <w:tcPr>
            <w:tcW w:w="429" w:type="pct"/>
            <w:tcBorders>
              <w:top w:val="nil"/>
              <w:left w:val="nil"/>
              <w:bottom w:val="nil"/>
              <w:right w:val="nil"/>
            </w:tcBorders>
            <w:shd w:val="clear" w:color="000000" w:fill="FFFFFF"/>
            <w:noWrap/>
            <w:vAlign w:val="center"/>
            <w:hideMark/>
          </w:tcPr>
          <w:p w14:paraId="7720A55B"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501</w:t>
            </w:r>
          </w:p>
        </w:tc>
        <w:tc>
          <w:tcPr>
            <w:tcW w:w="548" w:type="pct"/>
            <w:tcBorders>
              <w:top w:val="nil"/>
              <w:left w:val="nil"/>
              <w:bottom w:val="nil"/>
              <w:right w:val="nil"/>
            </w:tcBorders>
            <w:shd w:val="clear" w:color="000000" w:fill="FFFFFF"/>
            <w:noWrap/>
            <w:vAlign w:val="center"/>
            <w:hideMark/>
          </w:tcPr>
          <w:p w14:paraId="3A7498AF"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524</w:t>
            </w:r>
          </w:p>
        </w:tc>
      </w:tr>
      <w:tr w:rsidR="00613E98" w:rsidRPr="00DE0AA0" w14:paraId="6A47DA8D" w14:textId="77777777" w:rsidTr="001A659D">
        <w:trPr>
          <w:trHeight w:val="288"/>
        </w:trPr>
        <w:tc>
          <w:tcPr>
            <w:tcW w:w="2526" w:type="pct"/>
            <w:tcBorders>
              <w:top w:val="nil"/>
              <w:left w:val="nil"/>
              <w:bottom w:val="nil"/>
              <w:right w:val="nil"/>
            </w:tcBorders>
            <w:shd w:val="clear" w:color="auto" w:fill="F2F2F2" w:themeFill="background1" w:themeFillShade="F2"/>
            <w:noWrap/>
            <w:vAlign w:val="center"/>
          </w:tcPr>
          <w:p w14:paraId="240F93C6" w14:textId="77777777" w:rsidR="00613E98" w:rsidRPr="00DE0AA0" w:rsidRDefault="00560925" w:rsidP="006D2DD0">
            <w:pPr>
              <w:spacing w:after="0" w:line="240" w:lineRule="auto"/>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Controllable OPEX</w:t>
            </w:r>
          </w:p>
        </w:tc>
        <w:tc>
          <w:tcPr>
            <w:tcW w:w="439" w:type="pct"/>
            <w:tcBorders>
              <w:top w:val="nil"/>
              <w:left w:val="nil"/>
              <w:bottom w:val="nil"/>
              <w:right w:val="nil"/>
            </w:tcBorders>
            <w:shd w:val="clear" w:color="auto" w:fill="F2F2F2" w:themeFill="background1" w:themeFillShade="F2"/>
            <w:noWrap/>
            <w:vAlign w:val="center"/>
          </w:tcPr>
          <w:p w14:paraId="04A4C8A8"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fldChar w:fldCharType="begin"/>
            </w:r>
            <w:r w:rsidRPr="00DE0AA0">
              <w:rPr>
                <w:rFonts w:ascii="Calibri" w:eastAsia="Times New Roman" w:hAnsi="Calibri" w:cs="Times New Roman"/>
                <w:b/>
                <w:bCs/>
                <w:color w:val="000000"/>
                <w:sz w:val="20"/>
                <w:szCs w:val="20"/>
                <w:lang w:val="en-GB" w:eastAsia="en-GB"/>
              </w:rPr>
              <w:instrText xml:space="preserve"> =SUM(ABOVE) </w:instrText>
            </w:r>
            <w:r w:rsidRPr="00DE0AA0">
              <w:rPr>
                <w:rFonts w:ascii="Calibri" w:eastAsia="Times New Roman" w:hAnsi="Calibri" w:cs="Times New Roman"/>
                <w:b/>
                <w:bCs/>
                <w:color w:val="000000"/>
                <w:sz w:val="20"/>
                <w:szCs w:val="20"/>
                <w:lang w:val="en-GB" w:eastAsia="en-GB"/>
              </w:rPr>
              <w:fldChar w:fldCharType="separate"/>
            </w:r>
            <w:r w:rsidRPr="00DE0AA0">
              <w:rPr>
                <w:rFonts w:ascii="Calibri" w:eastAsia="Times New Roman" w:hAnsi="Calibri" w:cs="Times New Roman"/>
                <w:b/>
                <w:bCs/>
                <w:color w:val="000000"/>
                <w:sz w:val="20"/>
                <w:szCs w:val="20"/>
                <w:lang w:val="en-GB" w:eastAsia="en-GB"/>
              </w:rPr>
              <w:t>3,428</w:t>
            </w:r>
            <w:r w:rsidRPr="00DE0AA0">
              <w:rPr>
                <w:rFonts w:ascii="Calibri" w:eastAsia="Times New Roman" w:hAnsi="Calibri" w:cs="Times New Roman"/>
                <w:b/>
                <w:bCs/>
                <w:color w:val="000000"/>
                <w:sz w:val="20"/>
                <w:szCs w:val="20"/>
                <w:lang w:val="en-GB" w:eastAsia="en-GB"/>
              </w:rPr>
              <w:fldChar w:fldCharType="end"/>
            </w:r>
          </w:p>
        </w:tc>
        <w:tc>
          <w:tcPr>
            <w:tcW w:w="589" w:type="pct"/>
            <w:tcBorders>
              <w:top w:val="nil"/>
              <w:left w:val="nil"/>
              <w:bottom w:val="nil"/>
              <w:right w:val="nil"/>
            </w:tcBorders>
            <w:shd w:val="clear" w:color="auto" w:fill="F2F2F2" w:themeFill="background1" w:themeFillShade="F2"/>
            <w:noWrap/>
            <w:vAlign w:val="center"/>
          </w:tcPr>
          <w:p w14:paraId="40B29193"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fldChar w:fldCharType="begin"/>
            </w:r>
            <w:r w:rsidRPr="00DE0AA0">
              <w:rPr>
                <w:rFonts w:ascii="Calibri" w:eastAsia="Times New Roman" w:hAnsi="Calibri" w:cs="Times New Roman"/>
                <w:b/>
                <w:bCs/>
                <w:color w:val="000000"/>
                <w:sz w:val="20"/>
                <w:szCs w:val="20"/>
                <w:lang w:val="en-GB" w:eastAsia="en-GB"/>
              </w:rPr>
              <w:instrText xml:space="preserve"> =SUM(ABOVE) </w:instrText>
            </w:r>
            <w:r w:rsidRPr="00DE0AA0">
              <w:rPr>
                <w:rFonts w:ascii="Calibri" w:eastAsia="Times New Roman" w:hAnsi="Calibri" w:cs="Times New Roman"/>
                <w:b/>
                <w:bCs/>
                <w:color w:val="000000"/>
                <w:sz w:val="20"/>
                <w:szCs w:val="20"/>
                <w:lang w:val="en-GB" w:eastAsia="en-GB"/>
              </w:rPr>
              <w:fldChar w:fldCharType="separate"/>
            </w:r>
            <w:r w:rsidRPr="00DE0AA0">
              <w:rPr>
                <w:rFonts w:ascii="Calibri" w:eastAsia="Times New Roman" w:hAnsi="Calibri" w:cs="Times New Roman"/>
                <w:b/>
                <w:bCs/>
                <w:color w:val="000000"/>
                <w:sz w:val="20"/>
                <w:szCs w:val="20"/>
                <w:lang w:val="en-GB" w:eastAsia="en-GB"/>
              </w:rPr>
              <w:t>3,844</w:t>
            </w:r>
            <w:r w:rsidRPr="00DE0AA0">
              <w:rPr>
                <w:rFonts w:ascii="Calibri" w:eastAsia="Times New Roman" w:hAnsi="Calibri" w:cs="Times New Roman"/>
                <w:b/>
                <w:bCs/>
                <w:color w:val="000000"/>
                <w:sz w:val="20"/>
                <w:szCs w:val="20"/>
                <w:lang w:val="en-GB" w:eastAsia="en-GB"/>
              </w:rPr>
              <w:fldChar w:fldCharType="end"/>
            </w:r>
          </w:p>
        </w:tc>
        <w:tc>
          <w:tcPr>
            <w:tcW w:w="470" w:type="pct"/>
            <w:tcBorders>
              <w:top w:val="nil"/>
              <w:left w:val="nil"/>
              <w:bottom w:val="nil"/>
              <w:right w:val="nil"/>
            </w:tcBorders>
            <w:shd w:val="clear" w:color="auto" w:fill="F2F2F2" w:themeFill="background1" w:themeFillShade="F2"/>
            <w:noWrap/>
            <w:vAlign w:val="center"/>
          </w:tcPr>
          <w:p w14:paraId="1D878541"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fldChar w:fldCharType="begin"/>
            </w:r>
            <w:r w:rsidRPr="00DE0AA0">
              <w:rPr>
                <w:rFonts w:ascii="Calibri" w:eastAsia="Times New Roman" w:hAnsi="Calibri" w:cs="Times New Roman"/>
                <w:b/>
                <w:bCs/>
                <w:color w:val="000000"/>
                <w:sz w:val="20"/>
                <w:szCs w:val="20"/>
                <w:lang w:val="en-GB" w:eastAsia="en-GB"/>
              </w:rPr>
              <w:instrText xml:space="preserve"> =SUM(ABOVE) </w:instrText>
            </w:r>
            <w:r w:rsidRPr="00DE0AA0">
              <w:rPr>
                <w:rFonts w:ascii="Calibri" w:eastAsia="Times New Roman" w:hAnsi="Calibri" w:cs="Times New Roman"/>
                <w:b/>
                <w:bCs/>
                <w:color w:val="000000"/>
                <w:sz w:val="20"/>
                <w:szCs w:val="20"/>
                <w:lang w:val="en-GB" w:eastAsia="en-GB"/>
              </w:rPr>
              <w:fldChar w:fldCharType="separate"/>
            </w:r>
            <w:r w:rsidRPr="00DE0AA0">
              <w:rPr>
                <w:rFonts w:ascii="Calibri" w:eastAsia="Times New Roman" w:hAnsi="Calibri" w:cs="Times New Roman"/>
                <w:b/>
                <w:bCs/>
                <w:color w:val="000000"/>
                <w:sz w:val="20"/>
                <w:szCs w:val="20"/>
                <w:lang w:val="en-GB" w:eastAsia="en-GB"/>
              </w:rPr>
              <w:t>451</w:t>
            </w:r>
            <w:r w:rsidRPr="00DE0AA0">
              <w:rPr>
                <w:rFonts w:ascii="Calibri" w:eastAsia="Times New Roman" w:hAnsi="Calibri" w:cs="Times New Roman"/>
                <w:b/>
                <w:bCs/>
                <w:color w:val="000000"/>
                <w:sz w:val="20"/>
                <w:szCs w:val="20"/>
                <w:lang w:val="en-GB" w:eastAsia="en-GB"/>
              </w:rPr>
              <w:fldChar w:fldCharType="end"/>
            </w:r>
          </w:p>
        </w:tc>
        <w:tc>
          <w:tcPr>
            <w:tcW w:w="429" w:type="pct"/>
            <w:tcBorders>
              <w:top w:val="nil"/>
              <w:left w:val="nil"/>
              <w:bottom w:val="nil"/>
              <w:right w:val="nil"/>
            </w:tcBorders>
            <w:shd w:val="clear" w:color="auto" w:fill="F2F2F2" w:themeFill="background1" w:themeFillShade="F2"/>
            <w:noWrap/>
            <w:vAlign w:val="center"/>
          </w:tcPr>
          <w:p w14:paraId="730FC1B6"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fldChar w:fldCharType="begin"/>
            </w:r>
            <w:r w:rsidRPr="00DE0AA0">
              <w:rPr>
                <w:rFonts w:ascii="Calibri" w:eastAsia="Times New Roman" w:hAnsi="Calibri" w:cs="Times New Roman"/>
                <w:b/>
                <w:bCs/>
                <w:color w:val="000000"/>
                <w:sz w:val="20"/>
                <w:szCs w:val="20"/>
                <w:lang w:val="en-GB" w:eastAsia="en-GB"/>
              </w:rPr>
              <w:instrText xml:space="preserve"> =SUM(ABOVE) </w:instrText>
            </w:r>
            <w:r w:rsidRPr="00DE0AA0">
              <w:rPr>
                <w:rFonts w:ascii="Calibri" w:eastAsia="Times New Roman" w:hAnsi="Calibri" w:cs="Times New Roman"/>
                <w:b/>
                <w:bCs/>
                <w:color w:val="000000"/>
                <w:sz w:val="20"/>
                <w:szCs w:val="20"/>
                <w:lang w:val="en-GB" w:eastAsia="en-GB"/>
              </w:rPr>
              <w:fldChar w:fldCharType="separate"/>
            </w:r>
            <w:r w:rsidRPr="00DE0AA0">
              <w:rPr>
                <w:rFonts w:ascii="Calibri" w:eastAsia="Times New Roman" w:hAnsi="Calibri" w:cs="Times New Roman"/>
                <w:b/>
                <w:bCs/>
                <w:color w:val="000000"/>
                <w:sz w:val="20"/>
                <w:szCs w:val="20"/>
                <w:lang w:val="en-GB" w:eastAsia="en-GB"/>
              </w:rPr>
              <w:t>3,853</w:t>
            </w:r>
            <w:r w:rsidRPr="00DE0AA0">
              <w:rPr>
                <w:rFonts w:ascii="Calibri" w:eastAsia="Times New Roman" w:hAnsi="Calibri" w:cs="Times New Roman"/>
                <w:b/>
                <w:bCs/>
                <w:color w:val="000000"/>
                <w:sz w:val="20"/>
                <w:szCs w:val="20"/>
                <w:lang w:val="en-GB" w:eastAsia="en-GB"/>
              </w:rPr>
              <w:fldChar w:fldCharType="end"/>
            </w:r>
          </w:p>
        </w:tc>
        <w:tc>
          <w:tcPr>
            <w:tcW w:w="548" w:type="pct"/>
            <w:tcBorders>
              <w:top w:val="nil"/>
              <w:left w:val="nil"/>
              <w:bottom w:val="nil"/>
              <w:right w:val="nil"/>
            </w:tcBorders>
            <w:shd w:val="clear" w:color="auto" w:fill="F2F2F2" w:themeFill="background1" w:themeFillShade="F2"/>
            <w:noWrap/>
            <w:vAlign w:val="center"/>
          </w:tcPr>
          <w:p w14:paraId="3E875EAD"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fldChar w:fldCharType="begin"/>
            </w:r>
            <w:r w:rsidRPr="00DE0AA0">
              <w:rPr>
                <w:rFonts w:ascii="Calibri" w:eastAsia="Times New Roman" w:hAnsi="Calibri" w:cs="Times New Roman"/>
                <w:b/>
                <w:bCs/>
                <w:color w:val="000000"/>
                <w:sz w:val="20"/>
                <w:szCs w:val="20"/>
                <w:lang w:val="en-GB" w:eastAsia="en-GB"/>
              </w:rPr>
              <w:instrText xml:space="preserve"> =SUM(ABOVE) </w:instrText>
            </w:r>
            <w:r w:rsidRPr="00DE0AA0">
              <w:rPr>
                <w:rFonts w:ascii="Calibri" w:eastAsia="Times New Roman" w:hAnsi="Calibri" w:cs="Times New Roman"/>
                <w:b/>
                <w:bCs/>
                <w:color w:val="000000"/>
                <w:sz w:val="20"/>
                <w:szCs w:val="20"/>
                <w:lang w:val="en-GB" w:eastAsia="en-GB"/>
              </w:rPr>
              <w:fldChar w:fldCharType="separate"/>
            </w:r>
            <w:r w:rsidRPr="00DE0AA0">
              <w:rPr>
                <w:rFonts w:ascii="Calibri" w:eastAsia="Times New Roman" w:hAnsi="Calibri" w:cs="Times New Roman"/>
                <w:b/>
                <w:bCs/>
                <w:color w:val="000000"/>
                <w:sz w:val="20"/>
                <w:szCs w:val="20"/>
                <w:lang w:val="en-GB" w:eastAsia="en-GB"/>
              </w:rPr>
              <w:t>3,736</w:t>
            </w:r>
            <w:r w:rsidRPr="00DE0AA0">
              <w:rPr>
                <w:rFonts w:ascii="Calibri" w:eastAsia="Times New Roman" w:hAnsi="Calibri" w:cs="Times New Roman"/>
                <w:b/>
                <w:bCs/>
                <w:color w:val="000000"/>
                <w:sz w:val="20"/>
                <w:szCs w:val="20"/>
                <w:lang w:val="en-GB" w:eastAsia="en-GB"/>
              </w:rPr>
              <w:fldChar w:fldCharType="end"/>
            </w:r>
          </w:p>
        </w:tc>
      </w:tr>
      <w:tr w:rsidR="00613E98" w:rsidRPr="00DE0AA0" w14:paraId="570F7074" w14:textId="77777777" w:rsidTr="001A659D">
        <w:trPr>
          <w:trHeight w:val="288"/>
        </w:trPr>
        <w:tc>
          <w:tcPr>
            <w:tcW w:w="2526" w:type="pct"/>
            <w:tcBorders>
              <w:top w:val="nil"/>
              <w:left w:val="nil"/>
              <w:bottom w:val="nil"/>
              <w:right w:val="nil"/>
            </w:tcBorders>
            <w:shd w:val="clear" w:color="000000" w:fill="FFFFFF"/>
            <w:noWrap/>
            <w:vAlign w:val="center"/>
            <w:hideMark/>
          </w:tcPr>
          <w:p w14:paraId="61984CE8" w14:textId="77777777" w:rsidR="00613E98" w:rsidRPr="00DE0AA0" w:rsidRDefault="00560925"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Costs for joint services</w:t>
            </w:r>
            <w:r w:rsidR="00613E98" w:rsidRPr="00DE0AA0">
              <w:rPr>
                <w:rFonts w:ascii="Calibri" w:eastAsia="Times New Roman" w:hAnsi="Calibri" w:cs="Times New Roman"/>
                <w:color w:val="000000"/>
                <w:sz w:val="20"/>
                <w:szCs w:val="20"/>
                <w:lang w:val="en-GB" w:eastAsia="en-GB"/>
              </w:rPr>
              <w:t xml:space="preserve"> </w:t>
            </w:r>
          </w:p>
        </w:tc>
        <w:tc>
          <w:tcPr>
            <w:tcW w:w="439" w:type="pct"/>
            <w:tcBorders>
              <w:top w:val="nil"/>
              <w:left w:val="nil"/>
              <w:bottom w:val="nil"/>
              <w:right w:val="nil"/>
            </w:tcBorders>
            <w:shd w:val="clear" w:color="000000" w:fill="FFFFFF"/>
            <w:noWrap/>
            <w:vAlign w:val="center"/>
            <w:hideMark/>
          </w:tcPr>
          <w:p w14:paraId="2ACB3986"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1,063</w:t>
            </w:r>
          </w:p>
        </w:tc>
        <w:tc>
          <w:tcPr>
            <w:tcW w:w="589" w:type="pct"/>
            <w:tcBorders>
              <w:top w:val="nil"/>
              <w:left w:val="nil"/>
              <w:bottom w:val="nil"/>
              <w:right w:val="nil"/>
            </w:tcBorders>
            <w:shd w:val="clear" w:color="000000" w:fill="FFFFFF"/>
            <w:noWrap/>
            <w:vAlign w:val="center"/>
            <w:hideMark/>
          </w:tcPr>
          <w:p w14:paraId="516A89F8"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991</w:t>
            </w:r>
          </w:p>
        </w:tc>
        <w:tc>
          <w:tcPr>
            <w:tcW w:w="470" w:type="pct"/>
            <w:tcBorders>
              <w:top w:val="nil"/>
              <w:left w:val="nil"/>
              <w:bottom w:val="nil"/>
              <w:right w:val="nil"/>
            </w:tcBorders>
            <w:shd w:val="clear" w:color="000000" w:fill="FFFFFF"/>
            <w:noWrap/>
            <w:vAlign w:val="center"/>
            <w:hideMark/>
          </w:tcPr>
          <w:p w14:paraId="7F3BC316"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1,044</w:t>
            </w:r>
          </w:p>
        </w:tc>
        <w:tc>
          <w:tcPr>
            <w:tcW w:w="429" w:type="pct"/>
            <w:tcBorders>
              <w:top w:val="nil"/>
              <w:left w:val="nil"/>
              <w:bottom w:val="nil"/>
              <w:right w:val="nil"/>
            </w:tcBorders>
            <w:shd w:val="clear" w:color="000000" w:fill="FFFFFF"/>
            <w:noWrap/>
            <w:vAlign w:val="center"/>
            <w:hideMark/>
          </w:tcPr>
          <w:p w14:paraId="32B81496"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1,147</w:t>
            </w:r>
          </w:p>
        </w:tc>
        <w:tc>
          <w:tcPr>
            <w:tcW w:w="548" w:type="pct"/>
            <w:tcBorders>
              <w:top w:val="nil"/>
              <w:left w:val="nil"/>
              <w:bottom w:val="nil"/>
              <w:right w:val="nil"/>
            </w:tcBorders>
            <w:shd w:val="clear" w:color="000000" w:fill="FFFFFF"/>
            <w:noWrap/>
            <w:vAlign w:val="center"/>
            <w:hideMark/>
          </w:tcPr>
          <w:p w14:paraId="5AFA800E"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1,165</w:t>
            </w:r>
          </w:p>
        </w:tc>
      </w:tr>
      <w:tr w:rsidR="00613E98" w:rsidRPr="00DE0AA0" w14:paraId="01267364" w14:textId="77777777" w:rsidTr="001A659D">
        <w:trPr>
          <w:trHeight w:val="288"/>
        </w:trPr>
        <w:tc>
          <w:tcPr>
            <w:tcW w:w="2526" w:type="pct"/>
            <w:tcBorders>
              <w:top w:val="nil"/>
              <w:left w:val="nil"/>
              <w:bottom w:val="nil"/>
              <w:right w:val="nil"/>
            </w:tcBorders>
            <w:shd w:val="clear" w:color="000000" w:fill="FFFFFF"/>
            <w:noWrap/>
            <w:vAlign w:val="center"/>
            <w:hideMark/>
          </w:tcPr>
          <w:p w14:paraId="0659E40B" w14:textId="77777777" w:rsidR="00613E98" w:rsidRPr="00DE0AA0" w:rsidRDefault="00560925" w:rsidP="006D2DD0">
            <w:pPr>
              <w:spacing w:after="0" w:line="240" w:lineRule="auto"/>
              <w:ind w:firstLine="165"/>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Rent</w:t>
            </w:r>
          </w:p>
        </w:tc>
        <w:tc>
          <w:tcPr>
            <w:tcW w:w="439" w:type="pct"/>
            <w:tcBorders>
              <w:top w:val="nil"/>
              <w:left w:val="nil"/>
              <w:bottom w:val="nil"/>
              <w:right w:val="nil"/>
            </w:tcBorders>
            <w:shd w:val="clear" w:color="000000" w:fill="FFFFFF"/>
            <w:noWrap/>
            <w:vAlign w:val="center"/>
            <w:hideMark/>
          </w:tcPr>
          <w:p w14:paraId="418E1B90"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473</w:t>
            </w:r>
          </w:p>
        </w:tc>
        <w:tc>
          <w:tcPr>
            <w:tcW w:w="589" w:type="pct"/>
            <w:tcBorders>
              <w:top w:val="nil"/>
              <w:left w:val="nil"/>
              <w:bottom w:val="nil"/>
              <w:right w:val="nil"/>
            </w:tcBorders>
            <w:shd w:val="clear" w:color="000000" w:fill="FFFFFF"/>
            <w:noWrap/>
            <w:vAlign w:val="center"/>
            <w:hideMark/>
          </w:tcPr>
          <w:p w14:paraId="03C44B8B"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473</w:t>
            </w:r>
          </w:p>
        </w:tc>
        <w:tc>
          <w:tcPr>
            <w:tcW w:w="470" w:type="pct"/>
            <w:tcBorders>
              <w:top w:val="nil"/>
              <w:left w:val="nil"/>
              <w:bottom w:val="nil"/>
              <w:right w:val="nil"/>
            </w:tcBorders>
            <w:shd w:val="clear" w:color="000000" w:fill="FFFFFF"/>
            <w:noWrap/>
            <w:vAlign w:val="center"/>
            <w:hideMark/>
          </w:tcPr>
          <w:p w14:paraId="1C92BA03"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473</w:t>
            </w:r>
          </w:p>
        </w:tc>
        <w:tc>
          <w:tcPr>
            <w:tcW w:w="429" w:type="pct"/>
            <w:tcBorders>
              <w:top w:val="nil"/>
              <w:left w:val="nil"/>
              <w:bottom w:val="nil"/>
              <w:right w:val="nil"/>
            </w:tcBorders>
            <w:shd w:val="clear" w:color="000000" w:fill="FFFFFF"/>
            <w:noWrap/>
            <w:vAlign w:val="center"/>
            <w:hideMark/>
          </w:tcPr>
          <w:p w14:paraId="43F6C681"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473</w:t>
            </w:r>
          </w:p>
        </w:tc>
        <w:tc>
          <w:tcPr>
            <w:tcW w:w="548" w:type="pct"/>
            <w:tcBorders>
              <w:top w:val="nil"/>
              <w:left w:val="nil"/>
              <w:bottom w:val="nil"/>
              <w:right w:val="nil"/>
            </w:tcBorders>
            <w:shd w:val="clear" w:color="000000" w:fill="FFFFFF"/>
            <w:noWrap/>
            <w:vAlign w:val="center"/>
            <w:hideMark/>
          </w:tcPr>
          <w:p w14:paraId="6D2A0C4A" w14:textId="77777777" w:rsidR="00613E98" w:rsidRPr="00DE0AA0" w:rsidRDefault="00613E98" w:rsidP="006D2DD0">
            <w:pPr>
              <w:spacing w:after="0" w:line="240" w:lineRule="auto"/>
              <w:jc w:val="right"/>
              <w:rPr>
                <w:rFonts w:ascii="Calibri" w:eastAsia="Times New Roman" w:hAnsi="Calibri" w:cs="Times New Roman"/>
                <w:color w:val="000000"/>
                <w:sz w:val="20"/>
                <w:szCs w:val="20"/>
                <w:lang w:val="en-GB" w:eastAsia="en-GB"/>
              </w:rPr>
            </w:pPr>
            <w:r w:rsidRPr="00DE0AA0">
              <w:rPr>
                <w:rFonts w:ascii="Calibri" w:eastAsia="Times New Roman" w:hAnsi="Calibri" w:cs="Times New Roman"/>
                <w:color w:val="000000"/>
                <w:sz w:val="20"/>
                <w:szCs w:val="20"/>
                <w:lang w:val="en-GB" w:eastAsia="en-GB"/>
              </w:rPr>
              <w:t>473</w:t>
            </w:r>
          </w:p>
        </w:tc>
      </w:tr>
      <w:tr w:rsidR="00613E98" w:rsidRPr="00DE0AA0" w14:paraId="7E0F9383" w14:textId="77777777" w:rsidTr="001A659D">
        <w:trPr>
          <w:trHeight w:val="300"/>
        </w:trPr>
        <w:tc>
          <w:tcPr>
            <w:tcW w:w="2526" w:type="pct"/>
            <w:tcBorders>
              <w:top w:val="nil"/>
              <w:left w:val="nil"/>
              <w:bottom w:val="nil"/>
              <w:right w:val="nil"/>
            </w:tcBorders>
            <w:shd w:val="clear" w:color="000000" w:fill="DEEAF6"/>
            <w:noWrap/>
            <w:vAlign w:val="center"/>
            <w:hideMark/>
          </w:tcPr>
          <w:p w14:paraId="3B256439" w14:textId="77777777" w:rsidR="00613E98" w:rsidRPr="00DE0AA0" w:rsidRDefault="00613E98" w:rsidP="008C1751">
            <w:pPr>
              <w:spacing w:after="0" w:line="240" w:lineRule="auto"/>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 </w:t>
            </w:r>
            <w:r w:rsidR="008C1751" w:rsidRPr="00DE0AA0">
              <w:rPr>
                <w:rFonts w:ascii="Calibri" w:eastAsia="Times New Roman" w:hAnsi="Calibri" w:cs="Times New Roman"/>
                <w:b/>
                <w:bCs/>
                <w:color w:val="000000"/>
                <w:sz w:val="20"/>
                <w:szCs w:val="20"/>
                <w:lang w:val="en-GB" w:eastAsia="en-GB"/>
              </w:rPr>
              <w:t>Total actual</w:t>
            </w:r>
            <w:r w:rsidRPr="00DE0AA0">
              <w:rPr>
                <w:rFonts w:ascii="Calibri" w:eastAsia="Times New Roman" w:hAnsi="Calibri" w:cs="Times New Roman"/>
                <w:b/>
                <w:bCs/>
                <w:color w:val="000000"/>
                <w:sz w:val="20"/>
                <w:szCs w:val="20"/>
                <w:lang w:val="en-GB" w:eastAsia="en-GB"/>
              </w:rPr>
              <w:t xml:space="preserve"> O&amp;M</w:t>
            </w:r>
            <w:r w:rsidR="008C1751" w:rsidRPr="00DE0AA0">
              <w:rPr>
                <w:rFonts w:ascii="Calibri" w:eastAsia="Times New Roman" w:hAnsi="Calibri" w:cs="Times New Roman"/>
                <w:b/>
                <w:bCs/>
                <w:color w:val="000000"/>
                <w:sz w:val="20"/>
                <w:szCs w:val="20"/>
                <w:lang w:val="en-GB" w:eastAsia="en-GB"/>
              </w:rPr>
              <w:t xml:space="preserve"> costs</w:t>
            </w:r>
          </w:p>
        </w:tc>
        <w:tc>
          <w:tcPr>
            <w:tcW w:w="439" w:type="pct"/>
            <w:tcBorders>
              <w:top w:val="nil"/>
              <w:left w:val="nil"/>
              <w:bottom w:val="nil"/>
              <w:right w:val="nil"/>
            </w:tcBorders>
            <w:shd w:val="clear" w:color="000000" w:fill="DEEAF6"/>
            <w:noWrap/>
            <w:vAlign w:val="center"/>
            <w:hideMark/>
          </w:tcPr>
          <w:p w14:paraId="2482AE95"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4,964</w:t>
            </w:r>
          </w:p>
        </w:tc>
        <w:tc>
          <w:tcPr>
            <w:tcW w:w="589" w:type="pct"/>
            <w:tcBorders>
              <w:top w:val="nil"/>
              <w:left w:val="nil"/>
              <w:bottom w:val="nil"/>
              <w:right w:val="nil"/>
            </w:tcBorders>
            <w:shd w:val="clear" w:color="000000" w:fill="DEEAF6"/>
            <w:noWrap/>
            <w:vAlign w:val="center"/>
            <w:hideMark/>
          </w:tcPr>
          <w:p w14:paraId="44706132"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5,308</w:t>
            </w:r>
          </w:p>
        </w:tc>
        <w:tc>
          <w:tcPr>
            <w:tcW w:w="470" w:type="pct"/>
            <w:tcBorders>
              <w:top w:val="nil"/>
              <w:left w:val="nil"/>
              <w:bottom w:val="nil"/>
              <w:right w:val="nil"/>
            </w:tcBorders>
            <w:shd w:val="clear" w:color="000000" w:fill="DEEAF6"/>
            <w:noWrap/>
            <w:vAlign w:val="center"/>
            <w:hideMark/>
          </w:tcPr>
          <w:p w14:paraId="264D978D"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5,989</w:t>
            </w:r>
          </w:p>
        </w:tc>
        <w:tc>
          <w:tcPr>
            <w:tcW w:w="429" w:type="pct"/>
            <w:tcBorders>
              <w:top w:val="nil"/>
              <w:left w:val="nil"/>
              <w:bottom w:val="nil"/>
              <w:right w:val="nil"/>
            </w:tcBorders>
            <w:shd w:val="clear" w:color="000000" w:fill="DEEAF6"/>
            <w:noWrap/>
            <w:vAlign w:val="center"/>
            <w:hideMark/>
          </w:tcPr>
          <w:p w14:paraId="09BBD4A4"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5,473</w:t>
            </w:r>
          </w:p>
        </w:tc>
        <w:tc>
          <w:tcPr>
            <w:tcW w:w="548" w:type="pct"/>
            <w:tcBorders>
              <w:top w:val="nil"/>
              <w:left w:val="nil"/>
              <w:bottom w:val="nil"/>
              <w:right w:val="nil"/>
            </w:tcBorders>
            <w:shd w:val="clear" w:color="000000" w:fill="DEEAF6"/>
            <w:noWrap/>
            <w:vAlign w:val="center"/>
            <w:hideMark/>
          </w:tcPr>
          <w:p w14:paraId="05D957F2" w14:textId="77777777" w:rsidR="00613E98" w:rsidRPr="00DE0AA0" w:rsidRDefault="00613E98" w:rsidP="006D2DD0">
            <w:pPr>
              <w:spacing w:after="0" w:line="240" w:lineRule="auto"/>
              <w:jc w:val="right"/>
              <w:rPr>
                <w:rFonts w:ascii="Calibri" w:eastAsia="Times New Roman" w:hAnsi="Calibri" w:cs="Times New Roman"/>
                <w:b/>
                <w:bCs/>
                <w:color w:val="000000"/>
                <w:sz w:val="20"/>
                <w:szCs w:val="20"/>
                <w:lang w:val="en-GB" w:eastAsia="en-GB"/>
              </w:rPr>
            </w:pPr>
            <w:r w:rsidRPr="00DE0AA0">
              <w:rPr>
                <w:rFonts w:ascii="Calibri" w:eastAsia="Times New Roman" w:hAnsi="Calibri" w:cs="Times New Roman"/>
                <w:b/>
                <w:bCs/>
                <w:color w:val="000000"/>
                <w:sz w:val="20"/>
                <w:szCs w:val="20"/>
                <w:lang w:val="en-GB" w:eastAsia="en-GB"/>
              </w:rPr>
              <w:t>5,374</w:t>
            </w:r>
          </w:p>
        </w:tc>
      </w:tr>
    </w:tbl>
    <w:p w14:paraId="369AF610" w14:textId="77777777" w:rsidR="00613E98" w:rsidRPr="00DE0AA0" w:rsidRDefault="00613E98" w:rsidP="00613E98">
      <w:pPr>
        <w:spacing w:after="0"/>
        <w:rPr>
          <w:i/>
          <w:lang w:val="en-GB"/>
        </w:rPr>
      </w:pPr>
      <w:r w:rsidRPr="00DE0AA0">
        <w:rPr>
          <w:i/>
          <w:lang w:val="en-GB"/>
        </w:rPr>
        <w:t>*</w:t>
      </w:r>
      <w:r w:rsidR="00D22812" w:rsidRPr="00DE0AA0">
        <w:rPr>
          <w:i/>
          <w:lang w:val="en-GB"/>
        </w:rPr>
        <w:t xml:space="preserve"> These expenses are calculated by applying the composite inflation rate</w:t>
      </w:r>
    </w:p>
    <w:p w14:paraId="71DE85D2" w14:textId="77777777" w:rsidR="00613E98" w:rsidRPr="00DE0AA0" w:rsidRDefault="00613E98" w:rsidP="00613E98">
      <w:pPr>
        <w:rPr>
          <w:i/>
          <w:lang w:val="en-GB"/>
        </w:rPr>
      </w:pPr>
      <w:r w:rsidRPr="00DE0AA0">
        <w:rPr>
          <w:i/>
          <w:lang w:val="en-GB"/>
        </w:rPr>
        <w:t xml:space="preserve">** </w:t>
      </w:r>
      <w:r w:rsidR="00DB6639" w:rsidRPr="00DE0AA0">
        <w:rPr>
          <w:i/>
          <w:lang w:val="en-GB"/>
        </w:rPr>
        <w:t>This category of expenses is excluded from the calculation of the average for the period</w:t>
      </w:r>
    </w:p>
    <w:p w14:paraId="00C0CA78" w14:textId="77777777" w:rsidR="00613E98" w:rsidRPr="00DE0AA0" w:rsidRDefault="005C1191" w:rsidP="00613E98">
      <w:pPr>
        <w:jc w:val="both"/>
        <w:rPr>
          <w:lang w:val="en-GB"/>
        </w:rPr>
      </w:pPr>
      <w:r w:rsidRPr="00DE0AA0">
        <w:rPr>
          <w:lang w:val="en-GB"/>
        </w:rPr>
        <w:t>From the table above are calculated the average costs of controllable and non-controllable OPEX, from which result the allowance</w:t>
      </w:r>
      <w:r w:rsidR="00546A67" w:rsidRPr="00DE0AA0">
        <w:rPr>
          <w:lang w:val="en-GB"/>
        </w:rPr>
        <w:t>s</w:t>
      </w:r>
      <w:r w:rsidRPr="00DE0AA0">
        <w:rPr>
          <w:lang w:val="en-GB"/>
        </w:rPr>
        <w:t xml:space="preserve"> of OPEX for the next three-year period. The results are presented in the table below.</w:t>
      </w:r>
    </w:p>
    <w:p w14:paraId="7F2416C3" w14:textId="105904CF" w:rsidR="00613E98" w:rsidRDefault="00613E98" w:rsidP="00613E98">
      <w:pPr>
        <w:jc w:val="both"/>
        <w:rPr>
          <w:lang w:val="en-GB"/>
        </w:rPr>
      </w:pPr>
    </w:p>
    <w:p w14:paraId="421A343E" w14:textId="7DC4FFF8" w:rsidR="00E4337A" w:rsidRDefault="00E4337A" w:rsidP="00613E98">
      <w:pPr>
        <w:jc w:val="both"/>
        <w:rPr>
          <w:lang w:val="en-GB"/>
        </w:rPr>
      </w:pPr>
    </w:p>
    <w:p w14:paraId="099CD2D8" w14:textId="20480DE5" w:rsidR="00E4337A" w:rsidRDefault="00E4337A" w:rsidP="00613E98">
      <w:pPr>
        <w:jc w:val="both"/>
        <w:rPr>
          <w:lang w:val="en-GB"/>
        </w:rPr>
      </w:pPr>
    </w:p>
    <w:p w14:paraId="0749C65D" w14:textId="206B3B59" w:rsidR="00E4337A" w:rsidRDefault="00E4337A" w:rsidP="00613E98">
      <w:pPr>
        <w:jc w:val="both"/>
        <w:rPr>
          <w:lang w:val="en-GB"/>
        </w:rPr>
      </w:pPr>
    </w:p>
    <w:p w14:paraId="69C18895" w14:textId="5D038F20" w:rsidR="00E4337A" w:rsidRPr="00DE0AA0" w:rsidRDefault="00E4337A" w:rsidP="00613E98">
      <w:pPr>
        <w:jc w:val="both"/>
        <w:rPr>
          <w:lang w:val="en-GB"/>
        </w:rPr>
      </w:pPr>
    </w:p>
    <w:p w14:paraId="268A2763" w14:textId="6AC0B33A" w:rsidR="00613E98" w:rsidRPr="00DE0AA0" w:rsidRDefault="006463D9" w:rsidP="00613E98">
      <w:pPr>
        <w:pStyle w:val="Caption"/>
      </w:pPr>
      <w:r w:rsidRPr="00DE0AA0">
        <w:lastRenderedPageBreak/>
        <w:t xml:space="preserve">Table  </w:t>
      </w:r>
      <w:r w:rsidR="00613E98" w:rsidRPr="00DE0AA0">
        <w:fldChar w:fldCharType="begin"/>
      </w:r>
      <w:r w:rsidR="00613E98" w:rsidRPr="00DE0AA0">
        <w:instrText xml:space="preserve"> SEQ Tabela_ \* ARABIC </w:instrText>
      </w:r>
      <w:r w:rsidR="00613E98" w:rsidRPr="00DE0AA0">
        <w:fldChar w:fldCharType="separate"/>
      </w:r>
      <w:r w:rsidR="00613E98" w:rsidRPr="00DE0AA0">
        <w:t>11</w:t>
      </w:r>
      <w:r w:rsidR="00613E98" w:rsidRPr="00DE0AA0">
        <w:fldChar w:fldCharType="end"/>
      </w:r>
      <w:r w:rsidR="00613E98" w:rsidRPr="00DE0AA0">
        <w:t xml:space="preserve"> </w:t>
      </w:r>
      <w:r w:rsidRPr="00DE0AA0">
        <w:t xml:space="preserve">Total </w:t>
      </w:r>
      <w:r w:rsidR="00613E98" w:rsidRPr="00DE0AA0">
        <w:t xml:space="preserve">OPEX </w:t>
      </w:r>
      <w:r w:rsidRPr="00DE0AA0">
        <w:t xml:space="preserve">after the application of </w:t>
      </w:r>
      <w:r w:rsidR="00D574D0">
        <w:t>e</w:t>
      </w:r>
      <w:r w:rsidRPr="00DE0AA0">
        <w:t>fficiency</w:t>
      </w:r>
    </w:p>
    <w:tbl>
      <w:tblPr>
        <w:tblW w:w="5000" w:type="pct"/>
        <w:jc w:val="center"/>
        <w:tblLook w:val="04A0" w:firstRow="1" w:lastRow="0" w:firstColumn="1" w:lastColumn="0" w:noHBand="0" w:noVBand="1"/>
      </w:tblPr>
      <w:tblGrid>
        <w:gridCol w:w="3937"/>
        <w:gridCol w:w="1730"/>
        <w:gridCol w:w="2117"/>
        <w:gridCol w:w="1576"/>
      </w:tblGrid>
      <w:tr w:rsidR="00613E98" w:rsidRPr="00DE0AA0" w14:paraId="217BED92" w14:textId="77777777" w:rsidTr="006D2DD0">
        <w:trPr>
          <w:trHeight w:val="288"/>
          <w:jc w:val="center"/>
        </w:trPr>
        <w:tc>
          <w:tcPr>
            <w:tcW w:w="2103" w:type="pct"/>
            <w:tcBorders>
              <w:top w:val="nil"/>
              <w:left w:val="nil"/>
              <w:bottom w:val="nil"/>
              <w:right w:val="nil"/>
            </w:tcBorders>
            <w:shd w:val="clear" w:color="000000" w:fill="003366"/>
            <w:noWrap/>
            <w:vAlign w:val="center"/>
            <w:hideMark/>
          </w:tcPr>
          <w:p w14:paraId="1D15B93D" w14:textId="77777777" w:rsidR="00613E98" w:rsidRPr="00DE0AA0" w:rsidRDefault="00F85CA9" w:rsidP="006D2DD0">
            <w:pPr>
              <w:spacing w:after="0" w:line="240" w:lineRule="auto"/>
              <w:rPr>
                <w:rFonts w:ascii="Calibri" w:eastAsia="Times New Roman" w:hAnsi="Calibri" w:cs="Times New Roman"/>
                <w:color w:val="FFFFFF"/>
                <w:sz w:val="20"/>
                <w:szCs w:val="20"/>
                <w:lang w:val="en-GB" w:eastAsia="en-GB"/>
              </w:rPr>
            </w:pPr>
            <w:r w:rsidRPr="00DE0AA0">
              <w:rPr>
                <w:rFonts w:ascii="Calibri" w:eastAsia="Times New Roman" w:hAnsi="Calibri" w:cs="Times New Roman"/>
                <w:color w:val="FFFFFF"/>
                <w:sz w:val="20"/>
                <w:szCs w:val="20"/>
                <w:lang w:val="en-GB" w:eastAsia="en-GB"/>
              </w:rPr>
              <w:t>Description</w:t>
            </w:r>
          </w:p>
        </w:tc>
        <w:tc>
          <w:tcPr>
            <w:tcW w:w="924" w:type="pct"/>
            <w:tcBorders>
              <w:top w:val="nil"/>
              <w:left w:val="nil"/>
              <w:bottom w:val="nil"/>
              <w:right w:val="nil"/>
            </w:tcBorders>
            <w:shd w:val="clear" w:color="000000" w:fill="003366"/>
            <w:noWrap/>
            <w:vAlign w:val="center"/>
            <w:hideMark/>
          </w:tcPr>
          <w:p w14:paraId="65701C72" w14:textId="77777777" w:rsidR="00613E98" w:rsidRPr="00DE0AA0" w:rsidRDefault="00613E98" w:rsidP="006D2DD0">
            <w:pPr>
              <w:spacing w:after="0" w:line="240" w:lineRule="auto"/>
              <w:jc w:val="center"/>
              <w:rPr>
                <w:rFonts w:ascii="Calibri" w:eastAsia="Times New Roman" w:hAnsi="Calibri" w:cs="Times New Roman"/>
                <w:color w:val="FFFFFF"/>
                <w:sz w:val="20"/>
                <w:szCs w:val="20"/>
                <w:lang w:val="en-GB" w:eastAsia="en-GB"/>
              </w:rPr>
            </w:pPr>
            <w:r w:rsidRPr="00DE0AA0">
              <w:rPr>
                <w:rFonts w:ascii="Calibri" w:eastAsia="Times New Roman" w:hAnsi="Calibri" w:cs="Times New Roman"/>
                <w:color w:val="FFFFFF"/>
                <w:sz w:val="20"/>
                <w:szCs w:val="20"/>
                <w:lang w:val="en-GB" w:eastAsia="en-GB"/>
              </w:rPr>
              <w:t>2022</w:t>
            </w:r>
          </w:p>
        </w:tc>
        <w:tc>
          <w:tcPr>
            <w:tcW w:w="1131" w:type="pct"/>
            <w:tcBorders>
              <w:top w:val="nil"/>
              <w:left w:val="nil"/>
              <w:bottom w:val="nil"/>
              <w:right w:val="nil"/>
            </w:tcBorders>
            <w:shd w:val="clear" w:color="000000" w:fill="003366"/>
            <w:noWrap/>
            <w:vAlign w:val="center"/>
            <w:hideMark/>
          </w:tcPr>
          <w:p w14:paraId="19001F9A" w14:textId="77777777" w:rsidR="00613E98" w:rsidRPr="00DE0AA0" w:rsidRDefault="00613E98" w:rsidP="006D2DD0">
            <w:pPr>
              <w:spacing w:after="0" w:line="240" w:lineRule="auto"/>
              <w:jc w:val="center"/>
              <w:rPr>
                <w:rFonts w:ascii="Calibri" w:eastAsia="Times New Roman" w:hAnsi="Calibri" w:cs="Times New Roman"/>
                <w:color w:val="FFFFFF"/>
                <w:sz w:val="20"/>
                <w:szCs w:val="20"/>
                <w:lang w:val="en-GB" w:eastAsia="en-GB"/>
              </w:rPr>
            </w:pPr>
            <w:r w:rsidRPr="00DE0AA0">
              <w:rPr>
                <w:rFonts w:ascii="Calibri" w:eastAsia="Times New Roman" w:hAnsi="Calibri" w:cs="Times New Roman"/>
                <w:color w:val="FFFFFF"/>
                <w:sz w:val="20"/>
                <w:szCs w:val="20"/>
                <w:lang w:val="en-GB" w:eastAsia="en-GB"/>
              </w:rPr>
              <w:t>2023</w:t>
            </w:r>
          </w:p>
        </w:tc>
        <w:tc>
          <w:tcPr>
            <w:tcW w:w="842" w:type="pct"/>
            <w:tcBorders>
              <w:top w:val="nil"/>
              <w:left w:val="nil"/>
              <w:bottom w:val="nil"/>
              <w:right w:val="nil"/>
            </w:tcBorders>
            <w:shd w:val="clear" w:color="000000" w:fill="003366"/>
            <w:noWrap/>
            <w:vAlign w:val="center"/>
            <w:hideMark/>
          </w:tcPr>
          <w:p w14:paraId="34C916C9" w14:textId="77777777" w:rsidR="00613E98" w:rsidRPr="00DE0AA0" w:rsidRDefault="00613E98" w:rsidP="006D2DD0">
            <w:pPr>
              <w:spacing w:after="0" w:line="240" w:lineRule="auto"/>
              <w:jc w:val="center"/>
              <w:rPr>
                <w:rFonts w:ascii="Calibri" w:eastAsia="Times New Roman" w:hAnsi="Calibri" w:cs="Times New Roman"/>
                <w:color w:val="FFFFFF"/>
                <w:sz w:val="20"/>
                <w:szCs w:val="20"/>
                <w:lang w:val="en-GB" w:eastAsia="en-GB"/>
              </w:rPr>
            </w:pPr>
            <w:r w:rsidRPr="00DE0AA0">
              <w:rPr>
                <w:rFonts w:ascii="Calibri" w:eastAsia="Times New Roman" w:hAnsi="Calibri" w:cs="Times New Roman"/>
                <w:color w:val="FFFFFF"/>
                <w:sz w:val="20"/>
                <w:szCs w:val="20"/>
                <w:lang w:val="en-GB" w:eastAsia="en-GB"/>
              </w:rPr>
              <w:t>2024</w:t>
            </w:r>
          </w:p>
        </w:tc>
      </w:tr>
      <w:tr w:rsidR="00613E98" w:rsidRPr="00DE0AA0" w14:paraId="7A68A646" w14:textId="77777777" w:rsidTr="006D2DD0">
        <w:trPr>
          <w:trHeight w:val="288"/>
          <w:jc w:val="center"/>
        </w:trPr>
        <w:tc>
          <w:tcPr>
            <w:tcW w:w="2103" w:type="pct"/>
            <w:tcBorders>
              <w:top w:val="nil"/>
              <w:left w:val="nil"/>
              <w:bottom w:val="nil"/>
              <w:right w:val="nil"/>
            </w:tcBorders>
            <w:shd w:val="clear" w:color="auto" w:fill="auto"/>
            <w:noWrap/>
            <w:vAlign w:val="bottom"/>
            <w:hideMark/>
          </w:tcPr>
          <w:p w14:paraId="2A55B7A2" w14:textId="77777777" w:rsidR="00613E98" w:rsidRPr="00DE0AA0" w:rsidRDefault="00F85CA9" w:rsidP="00F85CA9">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Efficiency</w:t>
            </w:r>
          </w:p>
        </w:tc>
        <w:tc>
          <w:tcPr>
            <w:tcW w:w="924" w:type="pct"/>
            <w:tcBorders>
              <w:top w:val="nil"/>
              <w:left w:val="nil"/>
              <w:bottom w:val="nil"/>
              <w:right w:val="nil"/>
            </w:tcBorders>
            <w:shd w:val="clear" w:color="auto" w:fill="auto"/>
            <w:noWrap/>
            <w:vAlign w:val="bottom"/>
            <w:hideMark/>
          </w:tcPr>
          <w:p w14:paraId="3572812B"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w:t>
            </w:r>
          </w:p>
        </w:tc>
        <w:tc>
          <w:tcPr>
            <w:tcW w:w="1131" w:type="pct"/>
            <w:tcBorders>
              <w:top w:val="nil"/>
              <w:left w:val="nil"/>
              <w:bottom w:val="nil"/>
              <w:right w:val="nil"/>
            </w:tcBorders>
            <w:shd w:val="clear" w:color="auto" w:fill="auto"/>
            <w:noWrap/>
            <w:vAlign w:val="bottom"/>
            <w:hideMark/>
          </w:tcPr>
          <w:p w14:paraId="04D214C2"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-0.47%</w:t>
            </w:r>
          </w:p>
        </w:tc>
        <w:tc>
          <w:tcPr>
            <w:tcW w:w="842" w:type="pct"/>
            <w:tcBorders>
              <w:top w:val="nil"/>
              <w:left w:val="nil"/>
              <w:bottom w:val="nil"/>
              <w:right w:val="nil"/>
            </w:tcBorders>
            <w:shd w:val="clear" w:color="auto" w:fill="auto"/>
            <w:noWrap/>
            <w:vAlign w:val="bottom"/>
            <w:hideMark/>
          </w:tcPr>
          <w:p w14:paraId="0A730A8E"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-0.47%</w:t>
            </w:r>
          </w:p>
        </w:tc>
      </w:tr>
      <w:tr w:rsidR="00613E98" w:rsidRPr="00DE0AA0" w14:paraId="20DB9284" w14:textId="77777777" w:rsidTr="006D2DD0">
        <w:trPr>
          <w:trHeight w:val="288"/>
          <w:jc w:val="center"/>
        </w:trPr>
        <w:tc>
          <w:tcPr>
            <w:tcW w:w="2103" w:type="pct"/>
            <w:tcBorders>
              <w:top w:val="nil"/>
              <w:left w:val="nil"/>
              <w:bottom w:val="nil"/>
              <w:right w:val="nil"/>
            </w:tcBorders>
            <w:shd w:val="clear" w:color="auto" w:fill="auto"/>
            <w:noWrap/>
            <w:vAlign w:val="bottom"/>
            <w:hideMark/>
          </w:tcPr>
          <w:p w14:paraId="1BBFD094" w14:textId="77777777" w:rsidR="00613E98" w:rsidRPr="00DE0AA0" w:rsidRDefault="00F85CA9" w:rsidP="006D2DD0">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Controllable Opex</w:t>
            </w:r>
          </w:p>
        </w:tc>
        <w:tc>
          <w:tcPr>
            <w:tcW w:w="924" w:type="pct"/>
            <w:tcBorders>
              <w:top w:val="nil"/>
              <w:left w:val="nil"/>
              <w:bottom w:val="nil"/>
              <w:right w:val="nil"/>
            </w:tcBorders>
            <w:shd w:val="clear" w:color="auto" w:fill="auto"/>
            <w:noWrap/>
            <w:vAlign w:val="bottom"/>
            <w:hideMark/>
          </w:tcPr>
          <w:p w14:paraId="28B18F11"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3,671</w:t>
            </w:r>
          </w:p>
        </w:tc>
        <w:tc>
          <w:tcPr>
            <w:tcW w:w="1131" w:type="pct"/>
            <w:tcBorders>
              <w:top w:val="nil"/>
              <w:left w:val="nil"/>
              <w:bottom w:val="nil"/>
              <w:right w:val="nil"/>
            </w:tcBorders>
            <w:shd w:val="clear" w:color="auto" w:fill="auto"/>
            <w:noWrap/>
            <w:vAlign w:val="bottom"/>
            <w:hideMark/>
          </w:tcPr>
          <w:p w14:paraId="3ECA35B9"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3,688</w:t>
            </w:r>
          </w:p>
        </w:tc>
        <w:tc>
          <w:tcPr>
            <w:tcW w:w="842" w:type="pct"/>
            <w:tcBorders>
              <w:top w:val="nil"/>
              <w:left w:val="nil"/>
              <w:bottom w:val="nil"/>
              <w:right w:val="nil"/>
            </w:tcBorders>
            <w:shd w:val="clear" w:color="auto" w:fill="auto"/>
            <w:noWrap/>
            <w:vAlign w:val="bottom"/>
            <w:hideMark/>
          </w:tcPr>
          <w:p w14:paraId="6E7BDD09"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3,705</w:t>
            </w:r>
          </w:p>
        </w:tc>
      </w:tr>
      <w:tr w:rsidR="00613E98" w:rsidRPr="00DE0AA0" w14:paraId="0B6C3EB2" w14:textId="77777777" w:rsidTr="006D2DD0">
        <w:trPr>
          <w:trHeight w:val="288"/>
          <w:jc w:val="center"/>
        </w:trPr>
        <w:tc>
          <w:tcPr>
            <w:tcW w:w="2103" w:type="pct"/>
            <w:tcBorders>
              <w:top w:val="nil"/>
              <w:left w:val="nil"/>
              <w:bottom w:val="nil"/>
              <w:right w:val="nil"/>
            </w:tcBorders>
            <w:shd w:val="clear" w:color="auto" w:fill="auto"/>
            <w:noWrap/>
            <w:vAlign w:val="bottom"/>
            <w:hideMark/>
          </w:tcPr>
          <w:p w14:paraId="22908954" w14:textId="77777777" w:rsidR="00613E98" w:rsidRPr="00DE0AA0" w:rsidRDefault="007574D7" w:rsidP="006D2DD0">
            <w:pPr>
              <w:spacing w:after="0" w:line="240" w:lineRule="auto"/>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Non-controllable Opex</w:t>
            </w:r>
          </w:p>
        </w:tc>
        <w:tc>
          <w:tcPr>
            <w:tcW w:w="924" w:type="pct"/>
            <w:tcBorders>
              <w:top w:val="nil"/>
              <w:left w:val="nil"/>
              <w:bottom w:val="nil"/>
              <w:right w:val="nil"/>
            </w:tcBorders>
            <w:shd w:val="clear" w:color="auto" w:fill="auto"/>
            <w:noWrap/>
            <w:vAlign w:val="bottom"/>
            <w:hideMark/>
          </w:tcPr>
          <w:p w14:paraId="1DF117E9"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1,499</w:t>
            </w:r>
          </w:p>
        </w:tc>
        <w:tc>
          <w:tcPr>
            <w:tcW w:w="1131" w:type="pct"/>
            <w:tcBorders>
              <w:top w:val="nil"/>
              <w:left w:val="nil"/>
              <w:bottom w:val="nil"/>
              <w:right w:val="nil"/>
            </w:tcBorders>
            <w:shd w:val="clear" w:color="auto" w:fill="auto"/>
            <w:noWrap/>
            <w:vAlign w:val="bottom"/>
            <w:hideMark/>
          </w:tcPr>
          <w:p w14:paraId="452F088E"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1,499</w:t>
            </w:r>
          </w:p>
        </w:tc>
        <w:tc>
          <w:tcPr>
            <w:tcW w:w="842" w:type="pct"/>
            <w:tcBorders>
              <w:top w:val="nil"/>
              <w:left w:val="nil"/>
              <w:bottom w:val="nil"/>
              <w:right w:val="nil"/>
            </w:tcBorders>
            <w:shd w:val="clear" w:color="auto" w:fill="auto"/>
            <w:noWrap/>
            <w:vAlign w:val="bottom"/>
            <w:hideMark/>
          </w:tcPr>
          <w:p w14:paraId="3868114B" w14:textId="77777777" w:rsidR="00613E98" w:rsidRPr="00DE0AA0" w:rsidRDefault="00613E98" w:rsidP="006D2DD0">
            <w:pPr>
              <w:spacing w:after="0" w:line="240" w:lineRule="auto"/>
              <w:jc w:val="center"/>
              <w:rPr>
                <w:rFonts w:ascii="Calibri" w:eastAsia="Times New Roman" w:hAnsi="Calibri" w:cs="Times New Roman"/>
                <w:color w:val="000000"/>
                <w:lang w:val="en-GB" w:eastAsia="en-GB"/>
              </w:rPr>
            </w:pPr>
            <w:r w:rsidRPr="00DE0AA0">
              <w:rPr>
                <w:rFonts w:ascii="Calibri" w:eastAsia="Times New Roman" w:hAnsi="Calibri" w:cs="Times New Roman"/>
                <w:color w:val="000000"/>
                <w:lang w:val="en-GB" w:eastAsia="en-GB"/>
              </w:rPr>
              <w:t>1,499</w:t>
            </w:r>
          </w:p>
        </w:tc>
      </w:tr>
      <w:tr w:rsidR="00613E98" w:rsidRPr="00DE0AA0" w14:paraId="72C8541B" w14:textId="77777777" w:rsidTr="006D2DD0">
        <w:trPr>
          <w:trHeight w:val="300"/>
          <w:jc w:val="center"/>
        </w:trPr>
        <w:tc>
          <w:tcPr>
            <w:tcW w:w="2103" w:type="pct"/>
            <w:tcBorders>
              <w:top w:val="single" w:sz="4" w:space="0" w:color="auto"/>
              <w:left w:val="nil"/>
              <w:bottom w:val="single" w:sz="8" w:space="0" w:color="auto"/>
              <w:right w:val="nil"/>
            </w:tcBorders>
            <w:shd w:val="clear" w:color="auto" w:fill="DEEAF6" w:themeFill="accent1" w:themeFillTint="33"/>
            <w:noWrap/>
            <w:vAlign w:val="bottom"/>
            <w:hideMark/>
          </w:tcPr>
          <w:p w14:paraId="52ADDAFA" w14:textId="77777777" w:rsidR="00613E98" w:rsidRPr="00DE0AA0" w:rsidRDefault="00613E98" w:rsidP="006D2DD0">
            <w:pPr>
              <w:spacing w:after="0" w:line="240" w:lineRule="auto"/>
              <w:rPr>
                <w:rFonts w:ascii="Calibri" w:eastAsia="Times New Roman" w:hAnsi="Calibri" w:cs="Times New Roman"/>
                <w:b/>
                <w:bCs/>
                <w:color w:val="000000"/>
                <w:lang w:val="en-GB" w:eastAsia="en-GB"/>
              </w:rPr>
            </w:pPr>
            <w:r w:rsidRPr="00DE0AA0">
              <w:rPr>
                <w:rFonts w:ascii="Calibri" w:eastAsia="Times New Roman" w:hAnsi="Calibri" w:cs="Times New Roman"/>
                <w:b/>
                <w:bCs/>
                <w:color w:val="000000"/>
                <w:lang w:val="en-GB" w:eastAsia="en-GB"/>
              </w:rPr>
              <w:t>Total</w:t>
            </w:r>
          </w:p>
        </w:tc>
        <w:tc>
          <w:tcPr>
            <w:tcW w:w="924" w:type="pct"/>
            <w:tcBorders>
              <w:top w:val="single" w:sz="4" w:space="0" w:color="auto"/>
              <w:left w:val="nil"/>
              <w:bottom w:val="single" w:sz="8" w:space="0" w:color="auto"/>
              <w:right w:val="nil"/>
            </w:tcBorders>
            <w:shd w:val="clear" w:color="auto" w:fill="DEEAF6" w:themeFill="accent1" w:themeFillTint="33"/>
            <w:noWrap/>
            <w:vAlign w:val="bottom"/>
            <w:hideMark/>
          </w:tcPr>
          <w:p w14:paraId="72B67804" w14:textId="77777777" w:rsidR="00613E98" w:rsidRPr="00DE0AA0" w:rsidRDefault="00613E98" w:rsidP="006D2DD0">
            <w:pPr>
              <w:spacing w:after="0" w:line="240" w:lineRule="auto"/>
              <w:jc w:val="center"/>
              <w:rPr>
                <w:rFonts w:ascii="Calibri" w:eastAsia="Times New Roman" w:hAnsi="Calibri" w:cs="Times New Roman"/>
                <w:b/>
                <w:bCs/>
                <w:color w:val="000000"/>
                <w:lang w:val="en-GB" w:eastAsia="en-GB"/>
              </w:rPr>
            </w:pPr>
            <w:r w:rsidRPr="00DE0AA0">
              <w:rPr>
                <w:rFonts w:ascii="Calibri" w:eastAsia="Times New Roman" w:hAnsi="Calibri" w:cs="Times New Roman"/>
                <w:b/>
                <w:bCs/>
                <w:color w:val="000000"/>
                <w:lang w:val="en-GB" w:eastAsia="en-GB"/>
              </w:rPr>
              <w:t>5,169</w:t>
            </w:r>
          </w:p>
        </w:tc>
        <w:tc>
          <w:tcPr>
            <w:tcW w:w="1131" w:type="pct"/>
            <w:tcBorders>
              <w:top w:val="single" w:sz="4" w:space="0" w:color="auto"/>
              <w:left w:val="nil"/>
              <w:bottom w:val="single" w:sz="8" w:space="0" w:color="auto"/>
              <w:right w:val="nil"/>
            </w:tcBorders>
            <w:shd w:val="clear" w:color="auto" w:fill="DEEAF6" w:themeFill="accent1" w:themeFillTint="33"/>
            <w:noWrap/>
            <w:vAlign w:val="bottom"/>
            <w:hideMark/>
          </w:tcPr>
          <w:p w14:paraId="5D27316E" w14:textId="77777777" w:rsidR="00613E98" w:rsidRPr="00DE0AA0" w:rsidRDefault="00613E98" w:rsidP="006D2DD0">
            <w:pPr>
              <w:spacing w:after="0" w:line="240" w:lineRule="auto"/>
              <w:jc w:val="center"/>
              <w:rPr>
                <w:rFonts w:ascii="Calibri" w:eastAsia="Times New Roman" w:hAnsi="Calibri" w:cs="Times New Roman"/>
                <w:b/>
                <w:bCs/>
                <w:color w:val="000000"/>
                <w:lang w:val="en-GB" w:eastAsia="en-GB"/>
              </w:rPr>
            </w:pPr>
            <w:r w:rsidRPr="00DE0AA0">
              <w:rPr>
                <w:rFonts w:ascii="Calibri" w:eastAsia="Times New Roman" w:hAnsi="Calibri" w:cs="Times New Roman"/>
                <w:b/>
                <w:bCs/>
                <w:color w:val="000000"/>
                <w:lang w:val="en-GB" w:eastAsia="en-GB"/>
              </w:rPr>
              <w:t>5,187</w:t>
            </w:r>
          </w:p>
        </w:tc>
        <w:tc>
          <w:tcPr>
            <w:tcW w:w="842" w:type="pct"/>
            <w:tcBorders>
              <w:top w:val="single" w:sz="4" w:space="0" w:color="auto"/>
              <w:left w:val="nil"/>
              <w:bottom w:val="single" w:sz="8" w:space="0" w:color="auto"/>
              <w:right w:val="nil"/>
            </w:tcBorders>
            <w:shd w:val="clear" w:color="auto" w:fill="DEEAF6" w:themeFill="accent1" w:themeFillTint="33"/>
            <w:noWrap/>
            <w:vAlign w:val="bottom"/>
            <w:hideMark/>
          </w:tcPr>
          <w:p w14:paraId="43A02C17" w14:textId="77777777" w:rsidR="00613E98" w:rsidRPr="00DE0AA0" w:rsidRDefault="00613E98" w:rsidP="006D2DD0">
            <w:pPr>
              <w:spacing w:after="0" w:line="240" w:lineRule="auto"/>
              <w:jc w:val="center"/>
              <w:rPr>
                <w:rFonts w:ascii="Calibri" w:eastAsia="Times New Roman" w:hAnsi="Calibri" w:cs="Times New Roman"/>
                <w:b/>
                <w:bCs/>
                <w:color w:val="000000"/>
                <w:lang w:val="en-GB" w:eastAsia="en-GB"/>
              </w:rPr>
            </w:pPr>
            <w:r w:rsidRPr="00DE0AA0">
              <w:rPr>
                <w:rFonts w:ascii="Calibri" w:eastAsia="Times New Roman" w:hAnsi="Calibri" w:cs="Times New Roman"/>
                <w:b/>
                <w:bCs/>
                <w:color w:val="000000"/>
                <w:lang w:val="en-GB" w:eastAsia="en-GB"/>
              </w:rPr>
              <w:t>5,204</w:t>
            </w:r>
          </w:p>
        </w:tc>
      </w:tr>
    </w:tbl>
    <w:p w14:paraId="0A4F8347" w14:textId="77777777" w:rsidR="00613E98" w:rsidRPr="00DE0AA0" w:rsidRDefault="00613E98" w:rsidP="00597CE1">
      <w:pPr>
        <w:jc w:val="both"/>
        <w:rPr>
          <w:lang w:val="en-GB"/>
        </w:rPr>
      </w:pPr>
    </w:p>
    <w:p w14:paraId="276BEAD3" w14:textId="77777777" w:rsidR="00D67F07" w:rsidRPr="00DE0AA0" w:rsidRDefault="007574D7" w:rsidP="00597CE1">
      <w:pPr>
        <w:jc w:val="both"/>
        <w:rPr>
          <w:lang w:val="en-GB"/>
        </w:rPr>
      </w:pPr>
      <w:r w:rsidRPr="00DE0AA0">
        <w:rPr>
          <w:lang w:val="en-GB"/>
        </w:rPr>
        <w:t>The justification and approach used by ERO in determining the efficiency factor is described below.</w:t>
      </w:r>
    </w:p>
    <w:p w14:paraId="721C64AF" w14:textId="77777777" w:rsidR="0075093C" w:rsidRPr="00DE0AA0" w:rsidRDefault="007574D7" w:rsidP="0075093C">
      <w:pPr>
        <w:pStyle w:val="Heading3"/>
      </w:pPr>
      <w:bookmarkStart w:id="19" w:name="_Toc89262436"/>
      <w:r w:rsidRPr="00DE0AA0">
        <w:t>Efficiency factor</w:t>
      </w:r>
      <w:bookmarkEnd w:id="19"/>
    </w:p>
    <w:p w14:paraId="464F8B14" w14:textId="77777777" w:rsidR="0075093C" w:rsidRPr="00DE0AA0" w:rsidRDefault="007574D7" w:rsidP="00B57801">
      <w:pPr>
        <w:jc w:val="both"/>
        <w:rPr>
          <w:lang w:val="en-GB"/>
        </w:rPr>
      </w:pPr>
      <w:r w:rsidRPr="00DE0AA0">
        <w:rPr>
          <w:lang w:val="en-GB"/>
        </w:rPr>
        <w:t xml:space="preserve">In order to encourage savings in operating costs, according to regulatory practices it is recommended to apply efficiency factors to regulated activities. This enables benefits for both customers and regulated operators. </w:t>
      </w:r>
      <w:r w:rsidR="00641BCA" w:rsidRPr="00DE0AA0">
        <w:rPr>
          <w:lang w:val="en-GB"/>
        </w:rPr>
        <w:t>Within</w:t>
      </w:r>
      <w:r w:rsidRPr="00DE0AA0">
        <w:rPr>
          <w:lang w:val="en-GB"/>
        </w:rPr>
        <w:t xml:space="preserve"> these incentives, ERO anticipates to apply efficiency factors for the Universal Service </w:t>
      </w:r>
      <w:r w:rsidR="00641BCA" w:rsidRPr="00DE0AA0">
        <w:rPr>
          <w:lang w:val="en-GB"/>
        </w:rPr>
        <w:t>Supplier for the period 2022-2024</w:t>
      </w:r>
      <w:r w:rsidR="000B1C9B" w:rsidRPr="00DE0AA0">
        <w:rPr>
          <w:lang w:val="en-GB"/>
        </w:rPr>
        <w:t>,</w:t>
      </w:r>
      <w:r w:rsidRPr="00DE0AA0">
        <w:rPr>
          <w:lang w:val="en-GB"/>
        </w:rPr>
        <w:t xml:space="preserve"> taking into account the potential of </w:t>
      </w:r>
      <w:r w:rsidR="000B1C9B" w:rsidRPr="00DE0AA0">
        <w:rPr>
          <w:lang w:val="en-GB"/>
        </w:rPr>
        <w:t xml:space="preserve">USS </w:t>
      </w:r>
      <w:r w:rsidRPr="00DE0AA0">
        <w:rPr>
          <w:lang w:val="en-GB"/>
        </w:rPr>
        <w:t>for the efficiency that can be achieved during this period.</w:t>
      </w:r>
    </w:p>
    <w:p w14:paraId="749761B1" w14:textId="77777777" w:rsidR="0075093C" w:rsidRPr="00DE0AA0" w:rsidRDefault="005B2E95" w:rsidP="0075093C">
      <w:pPr>
        <w:pStyle w:val="Heading4"/>
        <w:rPr>
          <w:lang w:val="en-GB"/>
        </w:rPr>
      </w:pPr>
      <w:bookmarkStart w:id="20" w:name="_Toc89262437"/>
      <w:r w:rsidRPr="00DE0AA0">
        <w:rPr>
          <w:lang w:val="en-GB"/>
        </w:rPr>
        <w:t>KESCO’s proposal</w:t>
      </w:r>
      <w:bookmarkEnd w:id="20"/>
    </w:p>
    <w:p w14:paraId="6E8BC4ED" w14:textId="77777777" w:rsidR="0075093C" w:rsidRPr="00DE0AA0" w:rsidRDefault="009C60B0" w:rsidP="00B57801">
      <w:pPr>
        <w:jc w:val="both"/>
        <w:rPr>
          <w:lang w:val="en-GB"/>
        </w:rPr>
      </w:pPr>
      <w:r w:rsidRPr="00DE0AA0">
        <w:rPr>
          <w:lang w:val="en-GB"/>
        </w:rPr>
        <w:t xml:space="preserve">In its application, KESCO did not describe any specific section related to the efficiency factor, but within the handling of OPEX, KESCO-USS has emphasized that it operates within the allowed budget, creating efficiency whenever possible in certain lines in order to be able to cover the increased costs in other </w:t>
      </w:r>
      <w:r w:rsidR="007D5EA8" w:rsidRPr="00DE0AA0">
        <w:rPr>
          <w:lang w:val="en-GB"/>
        </w:rPr>
        <w:t>lines</w:t>
      </w:r>
      <w:r w:rsidRPr="00DE0AA0">
        <w:rPr>
          <w:lang w:val="en-GB"/>
        </w:rPr>
        <w:t>.</w:t>
      </w:r>
    </w:p>
    <w:p w14:paraId="030E9B3B" w14:textId="77777777" w:rsidR="0075093C" w:rsidRPr="00DE0AA0" w:rsidRDefault="00A328C1" w:rsidP="0075093C">
      <w:pPr>
        <w:pStyle w:val="Heading4"/>
        <w:rPr>
          <w:lang w:val="en-GB"/>
        </w:rPr>
      </w:pPr>
      <w:bookmarkStart w:id="21" w:name="_Toc89262438"/>
      <w:r w:rsidRPr="00DE0AA0">
        <w:rPr>
          <w:lang w:val="en-GB"/>
        </w:rPr>
        <w:t>ERO’s proposal</w:t>
      </w:r>
      <w:bookmarkEnd w:id="21"/>
    </w:p>
    <w:p w14:paraId="6265E5E5" w14:textId="77777777" w:rsidR="0075093C" w:rsidRPr="00DE0AA0" w:rsidRDefault="00816B5C" w:rsidP="00B57801">
      <w:pPr>
        <w:jc w:val="both"/>
        <w:rPr>
          <w:lang w:val="en-GB"/>
        </w:rPr>
      </w:pPr>
      <w:r w:rsidRPr="00DE0AA0">
        <w:rPr>
          <w:lang w:val="en-GB"/>
        </w:rPr>
        <w:t>The opening value of OPEX for 2022 is adjusted on annual basis to reflect the expected annual efficiency rate of USS</w:t>
      </w:r>
      <w:r w:rsidR="00C71B19" w:rsidRPr="00DE0AA0">
        <w:rPr>
          <w:lang w:val="en-GB"/>
        </w:rPr>
        <w:t>. The expected level of</w:t>
      </w:r>
      <w:r w:rsidRPr="00DE0AA0">
        <w:rPr>
          <w:lang w:val="en-GB"/>
        </w:rPr>
        <w:t xml:space="preserve"> improvements</w:t>
      </w:r>
      <w:r w:rsidR="004F60E2" w:rsidRPr="00DE0AA0">
        <w:rPr>
          <w:lang w:val="en-GB"/>
        </w:rPr>
        <w:t xml:space="preserve"> of USS OPEX</w:t>
      </w:r>
      <w:r w:rsidRPr="00DE0AA0">
        <w:rPr>
          <w:lang w:val="en-GB"/>
        </w:rPr>
        <w:t xml:space="preserve"> is based on the </w:t>
      </w:r>
      <w:r w:rsidR="004F60E2" w:rsidRPr="00DE0AA0">
        <w:rPr>
          <w:lang w:val="en-GB"/>
        </w:rPr>
        <w:t>incentives</w:t>
      </w:r>
      <w:r w:rsidRPr="00DE0AA0">
        <w:rPr>
          <w:lang w:val="en-GB"/>
        </w:rPr>
        <w:t xml:space="preserve"> of productivity improvements.</w:t>
      </w:r>
    </w:p>
    <w:p w14:paraId="7A317CA0" w14:textId="77777777" w:rsidR="0075093C" w:rsidRPr="00882C92" w:rsidRDefault="001D3C4A" w:rsidP="00B57801">
      <w:pPr>
        <w:jc w:val="both"/>
        <w:rPr>
          <w:lang w:val="en-GB"/>
        </w:rPr>
      </w:pPr>
      <w:r w:rsidRPr="00DE0AA0">
        <w:rPr>
          <w:lang w:val="en-GB"/>
        </w:rPr>
        <w:t xml:space="preserve">In line with the evaluations made in the study of the efficiency factor of network operators and studies based </w:t>
      </w:r>
      <w:r w:rsidRPr="00882C92">
        <w:rPr>
          <w:lang w:val="en-GB"/>
        </w:rPr>
        <w:t>on literature, it is found that there are three main incentives of efficiency:</w:t>
      </w:r>
    </w:p>
    <w:p w14:paraId="5786EF53" w14:textId="7DA8A8C2" w:rsidR="0075093C" w:rsidRPr="00882C92" w:rsidRDefault="00162402" w:rsidP="00B57801">
      <w:pPr>
        <w:jc w:val="both"/>
        <w:rPr>
          <w:lang w:val="en-GB"/>
        </w:rPr>
      </w:pPr>
      <w:r w:rsidRPr="00882C92">
        <w:rPr>
          <w:b/>
          <w:lang w:val="en-GB"/>
        </w:rPr>
        <w:t>Expected improvements of efficiency</w:t>
      </w:r>
      <w:r w:rsidR="0075093C" w:rsidRPr="00882C92">
        <w:rPr>
          <w:b/>
          <w:lang w:val="en-GB"/>
        </w:rPr>
        <w:t xml:space="preserve"> </w:t>
      </w:r>
      <w:r w:rsidR="00386B65" w:rsidRPr="00882C92">
        <w:rPr>
          <w:lang w:val="en-GB"/>
        </w:rPr>
        <w:t>during the period 2022-2024, leading to a reduction in the costs of the licensee unit and, consequently, a decrease in the base Opex in real terms</w:t>
      </w:r>
      <w:r w:rsidR="00153D05" w:rsidRPr="00882C92">
        <w:rPr>
          <w:lang w:val="en-GB"/>
        </w:rPr>
        <w:t>,</w:t>
      </w:r>
      <w:r w:rsidR="00386B65" w:rsidRPr="00882C92">
        <w:rPr>
          <w:lang w:val="en-GB"/>
        </w:rPr>
        <w:t xml:space="preserve"> during the period 2022-2024.</w:t>
      </w:r>
    </w:p>
    <w:p w14:paraId="6E981DE3" w14:textId="77777777" w:rsidR="0075093C" w:rsidRPr="00882C92" w:rsidRDefault="00DC5209" w:rsidP="00B57801">
      <w:pPr>
        <w:jc w:val="both"/>
        <w:rPr>
          <w:lang w:val="en-GB"/>
        </w:rPr>
      </w:pPr>
      <w:r w:rsidRPr="00882C92">
        <w:rPr>
          <w:b/>
          <w:lang w:val="en-GB"/>
        </w:rPr>
        <w:t>Real effects of price</w:t>
      </w:r>
      <w:r w:rsidR="0075093C" w:rsidRPr="00882C92">
        <w:rPr>
          <w:b/>
          <w:lang w:val="en-GB"/>
        </w:rPr>
        <w:t xml:space="preserve"> (</w:t>
      </w:r>
      <w:r w:rsidRPr="00882C92">
        <w:rPr>
          <w:b/>
          <w:lang w:val="en-GB"/>
        </w:rPr>
        <w:t>REP</w:t>
      </w:r>
      <w:r w:rsidR="0075093C" w:rsidRPr="00882C92">
        <w:rPr>
          <w:b/>
          <w:lang w:val="en-GB"/>
        </w:rPr>
        <w:t>)</w:t>
      </w:r>
      <w:r w:rsidR="0075093C" w:rsidRPr="00882C92">
        <w:rPr>
          <w:lang w:val="en-GB"/>
        </w:rPr>
        <w:t xml:space="preserve">, </w:t>
      </w:r>
      <w:r w:rsidRPr="00882C92">
        <w:rPr>
          <w:lang w:val="en-GB"/>
        </w:rPr>
        <w:t>where the price of inputs is expected to rise or fall faster than overall inflation of consumption prices</w:t>
      </w:r>
      <w:r w:rsidR="001C1517" w:rsidRPr="00882C92">
        <w:rPr>
          <w:lang w:val="en-GB"/>
        </w:rPr>
        <w:t xml:space="preserve"> </w:t>
      </w:r>
      <w:r w:rsidRPr="00882C92">
        <w:rPr>
          <w:lang w:val="en-GB"/>
        </w:rPr>
        <w:t>(to which the base Opex allowances are indexed). This leads to an increase or decrease in base</w:t>
      </w:r>
      <w:r w:rsidR="00B910AC" w:rsidRPr="00882C92">
        <w:rPr>
          <w:lang w:val="en-GB"/>
        </w:rPr>
        <w:t xml:space="preserve"> O</w:t>
      </w:r>
      <w:r w:rsidRPr="00882C92">
        <w:rPr>
          <w:lang w:val="en-GB"/>
        </w:rPr>
        <w:t>pex in real terms</w:t>
      </w:r>
      <w:r w:rsidR="001C1517" w:rsidRPr="00882C92">
        <w:rPr>
          <w:lang w:val="en-GB"/>
        </w:rPr>
        <w:t>,</w:t>
      </w:r>
      <w:r w:rsidRPr="00882C92">
        <w:rPr>
          <w:lang w:val="en-GB"/>
        </w:rPr>
        <w:t xml:space="preserve"> during the period 2022-2024.</w:t>
      </w:r>
    </w:p>
    <w:p w14:paraId="5CBF8C64" w14:textId="77777777" w:rsidR="0075093C" w:rsidRPr="00DE0AA0" w:rsidRDefault="00BD0E08" w:rsidP="00B57801">
      <w:pPr>
        <w:jc w:val="both"/>
        <w:rPr>
          <w:lang w:val="en-GB"/>
        </w:rPr>
      </w:pPr>
      <w:r w:rsidRPr="00882C92">
        <w:rPr>
          <w:b/>
          <w:lang w:val="en-GB"/>
        </w:rPr>
        <w:t>Effects of volume</w:t>
      </w:r>
      <w:r w:rsidR="0075093C" w:rsidRPr="00882C92">
        <w:rPr>
          <w:b/>
          <w:lang w:val="en-GB"/>
        </w:rPr>
        <w:t xml:space="preserve"> (EV)</w:t>
      </w:r>
      <w:r w:rsidR="0075093C" w:rsidRPr="00882C92">
        <w:rPr>
          <w:lang w:val="en-GB"/>
        </w:rPr>
        <w:t xml:space="preserve">, </w:t>
      </w:r>
      <w:r w:rsidR="00C41161" w:rsidRPr="00882C92">
        <w:rPr>
          <w:lang w:val="en-GB"/>
        </w:rPr>
        <w:t>when the increase in network size leads to an increase in input requirements and, consequently, higher base Opex in real terms</w:t>
      </w:r>
      <w:r w:rsidR="00C41161" w:rsidRPr="00DE0AA0">
        <w:rPr>
          <w:lang w:val="en-GB"/>
        </w:rPr>
        <w:t>, during the PRR2 period.</w:t>
      </w:r>
    </w:p>
    <w:p w14:paraId="3B79CD24" w14:textId="77777777" w:rsidR="0075093C" w:rsidRPr="00DE0AA0" w:rsidRDefault="00CA5BBE" w:rsidP="00B57801">
      <w:pPr>
        <w:jc w:val="both"/>
        <w:rPr>
          <w:lang w:val="en-GB"/>
        </w:rPr>
      </w:pPr>
      <w:r w:rsidRPr="00DE0AA0">
        <w:rPr>
          <w:lang w:val="en-GB"/>
        </w:rPr>
        <w:t xml:space="preserve">ERO's position is </w:t>
      </w:r>
      <w:r w:rsidR="0086271E" w:rsidRPr="00DE0AA0">
        <w:rPr>
          <w:lang w:val="en-GB"/>
        </w:rPr>
        <w:t>for</w:t>
      </w:r>
      <w:r w:rsidRPr="00DE0AA0">
        <w:rPr>
          <w:lang w:val="en-GB"/>
        </w:rPr>
        <w:t xml:space="preserve"> REP and EV </w:t>
      </w:r>
      <w:r w:rsidR="0086271E" w:rsidRPr="00DE0AA0">
        <w:rPr>
          <w:lang w:val="en-GB"/>
        </w:rPr>
        <w:t>to</w:t>
      </w:r>
      <w:r w:rsidR="00E376CF" w:rsidRPr="00DE0AA0">
        <w:rPr>
          <w:lang w:val="en-GB"/>
        </w:rPr>
        <w:t xml:space="preserve"> be zero and that the </w:t>
      </w:r>
      <w:r w:rsidRPr="00DE0AA0">
        <w:rPr>
          <w:lang w:val="en-GB"/>
        </w:rPr>
        <w:t>approach based on the expected efficiency improvements</w:t>
      </w:r>
      <w:r w:rsidR="0086271E" w:rsidRPr="00DE0AA0">
        <w:rPr>
          <w:lang w:val="en-GB"/>
        </w:rPr>
        <w:t xml:space="preserve"> should be applied</w:t>
      </w:r>
      <w:r w:rsidRPr="00DE0AA0">
        <w:rPr>
          <w:lang w:val="en-GB"/>
        </w:rPr>
        <w:t xml:space="preserve">. In relation to the activity of </w:t>
      </w:r>
      <w:r w:rsidR="00E376CF" w:rsidRPr="00DE0AA0">
        <w:rPr>
          <w:lang w:val="en-GB"/>
        </w:rPr>
        <w:t>USS</w:t>
      </w:r>
      <w:r w:rsidRPr="00DE0AA0">
        <w:rPr>
          <w:lang w:val="en-GB"/>
        </w:rPr>
        <w:t>, such improvements would mean that the efficiency will be maxim</w:t>
      </w:r>
      <w:r w:rsidR="00E376CF" w:rsidRPr="00DE0AA0">
        <w:rPr>
          <w:lang w:val="en-GB"/>
        </w:rPr>
        <w:t>al</w:t>
      </w:r>
      <w:r w:rsidRPr="00DE0AA0">
        <w:rPr>
          <w:lang w:val="en-GB"/>
        </w:rPr>
        <w:t xml:space="preserve"> when a maximum number of customers are served at minimum cost</w:t>
      </w:r>
      <w:r w:rsidR="00E376CF" w:rsidRPr="00DE0AA0">
        <w:rPr>
          <w:lang w:val="en-GB"/>
        </w:rPr>
        <w:t>s</w:t>
      </w:r>
      <w:r w:rsidRPr="00DE0AA0">
        <w:rPr>
          <w:lang w:val="en-GB"/>
        </w:rPr>
        <w:t>.</w:t>
      </w:r>
    </w:p>
    <w:p w14:paraId="4ABFBEBC" w14:textId="77777777" w:rsidR="0075093C" w:rsidRPr="00DE0AA0" w:rsidRDefault="000B4546" w:rsidP="00B57801">
      <w:pPr>
        <w:jc w:val="both"/>
        <w:rPr>
          <w:lang w:val="en-GB"/>
        </w:rPr>
      </w:pPr>
      <w:r w:rsidRPr="00DE0AA0">
        <w:rPr>
          <w:lang w:val="en-GB"/>
        </w:rPr>
        <w:lastRenderedPageBreak/>
        <w:t xml:space="preserve">Regarding REP: The impact of changes in real costs depends on the relative addition of different cost items to the total costs of licensees </w:t>
      </w:r>
      <w:r w:rsidRPr="00882C92">
        <w:rPr>
          <w:lang w:val="en-GB"/>
        </w:rPr>
        <w:t>and the Consumer Price Index (CPI) in the entire economy. For example, if copper costs generate 1% of CPI but 10% of X-Company costs, then a 10% drop in the price of copper would reduce CPI by 0.1% but reduce X-Company costs for 1%. The real effect of price in this case would be -0.9%. Whereas with respect to EV, the position of ERO is based as follows: There are economizations of scale in the provision of services in the electricity industry and, as a result, given the ratio of operating costs and the number of customers, there is little reason to assume that base Opex costs</w:t>
      </w:r>
      <w:r w:rsidRPr="00DE0AA0">
        <w:rPr>
          <w:lang w:val="en-GB"/>
        </w:rPr>
        <w:t xml:space="preserve"> increase due to </w:t>
      </w:r>
      <w:r w:rsidR="005A50B2" w:rsidRPr="00DE0AA0">
        <w:rPr>
          <w:lang w:val="en-GB"/>
        </w:rPr>
        <w:t>the increase of the</w:t>
      </w:r>
      <w:r w:rsidRPr="00DE0AA0">
        <w:rPr>
          <w:lang w:val="en-GB"/>
        </w:rPr>
        <w:t xml:space="preserve"> number of customers.</w:t>
      </w:r>
    </w:p>
    <w:p w14:paraId="39051846" w14:textId="77777777" w:rsidR="0075093C" w:rsidRPr="00DE0AA0" w:rsidRDefault="009F5997" w:rsidP="00B57801">
      <w:pPr>
        <w:jc w:val="both"/>
        <w:rPr>
          <w:lang w:val="en-GB"/>
        </w:rPr>
      </w:pPr>
      <w:r w:rsidRPr="00DE0AA0">
        <w:rPr>
          <w:lang w:val="en-GB"/>
        </w:rPr>
        <w:t>Studies regarding the levels of expectations of efficiency improvements for this area of the electricity industry are difficult to be found, and such comparisons are challenging given the different characteristics of parameters in determining the allow</w:t>
      </w:r>
      <w:r w:rsidR="00EE4704" w:rsidRPr="00DE0AA0">
        <w:rPr>
          <w:lang w:val="en-GB"/>
        </w:rPr>
        <w:t>ed</w:t>
      </w:r>
      <w:r w:rsidRPr="00DE0AA0">
        <w:rPr>
          <w:lang w:val="en-GB"/>
        </w:rPr>
        <w:t xml:space="preserve"> revenues. Such </w:t>
      </w:r>
      <w:r w:rsidR="00505F11" w:rsidRPr="00DE0AA0">
        <w:rPr>
          <w:lang w:val="en-GB"/>
        </w:rPr>
        <w:t xml:space="preserve">ascertainment </w:t>
      </w:r>
      <w:r w:rsidRPr="00DE0AA0">
        <w:rPr>
          <w:lang w:val="en-GB"/>
        </w:rPr>
        <w:t>was also evidenced in the 2013 study of the Energy Community</w:t>
      </w:r>
      <w:r w:rsidR="00465284" w:rsidRPr="00DE0AA0">
        <w:rPr>
          <w:lang w:val="en-GB"/>
        </w:rPr>
        <w:t xml:space="preserve"> Secretariat</w:t>
      </w:r>
      <w:r w:rsidR="0075093C" w:rsidRPr="00DE0AA0">
        <w:rPr>
          <w:rStyle w:val="FootnoteReference"/>
          <w:lang w:val="en-GB"/>
        </w:rPr>
        <w:footnoteReference w:id="6"/>
      </w:r>
      <w:r w:rsidR="0075093C" w:rsidRPr="00DE0AA0">
        <w:rPr>
          <w:lang w:val="en-GB"/>
        </w:rPr>
        <w:t xml:space="preserve"> </w:t>
      </w:r>
    </w:p>
    <w:p w14:paraId="13811770" w14:textId="77777777" w:rsidR="0075093C" w:rsidRPr="00DE0AA0" w:rsidRDefault="00596D5B" w:rsidP="00B57801">
      <w:pPr>
        <w:jc w:val="both"/>
        <w:rPr>
          <w:lang w:val="en-GB"/>
        </w:rPr>
      </w:pPr>
      <w:r w:rsidRPr="00DE0AA0">
        <w:rPr>
          <w:lang w:val="en-GB"/>
        </w:rPr>
        <w:t xml:space="preserve">In the evaluation of efficiency, ERO has taken into account the operating expenses portfolio of USS and has </w:t>
      </w:r>
      <w:r w:rsidR="00FF070F" w:rsidRPr="00DE0AA0">
        <w:rPr>
          <w:lang w:val="en-GB"/>
        </w:rPr>
        <w:t xml:space="preserve">evaluated </w:t>
      </w:r>
      <w:r w:rsidRPr="00DE0AA0">
        <w:rPr>
          <w:lang w:val="en-GB"/>
        </w:rPr>
        <w:t>that only controllable OPEX should be subject to efficiency improvements, according to the approach described below:</w:t>
      </w:r>
    </w:p>
    <w:p w14:paraId="5A6CEDA4" w14:textId="77777777" w:rsidR="0075093C" w:rsidRPr="00DE0AA0" w:rsidRDefault="000D3042" w:rsidP="000D3042">
      <w:pPr>
        <w:pStyle w:val="ListParagraph"/>
        <w:numPr>
          <w:ilvl w:val="0"/>
          <w:numId w:val="11"/>
        </w:numPr>
      </w:pPr>
      <w:r w:rsidRPr="00DE0AA0">
        <w:t>In evaluating the efficiency factor, the expected level of controllable OPEX in 2021 was initially projected based on the linear trend methodology for the period 2016-2020. The projected year 2021 is the basis for comparison with the average OPEX realized for the period 2016-2020.</w:t>
      </w:r>
    </w:p>
    <w:p w14:paraId="1FE59122" w14:textId="77777777" w:rsidR="0075093C" w:rsidRPr="00DE0AA0" w:rsidRDefault="00E278D5" w:rsidP="00E278D5">
      <w:pPr>
        <w:pStyle w:val="ListParagraph"/>
        <w:numPr>
          <w:ilvl w:val="0"/>
          <w:numId w:val="11"/>
        </w:numPr>
      </w:pPr>
      <w:r w:rsidRPr="00DE0AA0">
        <w:t>Only controllable OPEX lines for which efficiency improvements are expected are taken into account in calculating the absolute value of efficiency.</w:t>
      </w:r>
    </w:p>
    <w:p w14:paraId="44FD960D" w14:textId="4A5F21DF" w:rsidR="0075093C" w:rsidRPr="00DE0AA0" w:rsidRDefault="00AE1834" w:rsidP="00AE1834">
      <w:pPr>
        <w:pStyle w:val="ListParagraph"/>
        <w:numPr>
          <w:ilvl w:val="0"/>
          <w:numId w:val="11"/>
        </w:numPr>
      </w:pPr>
      <w:r w:rsidRPr="00DE0AA0">
        <w:t xml:space="preserve">The efficiency index/factor is calculated as the efficiency quotient in absolute terms to OPEX before efficiency as well as taking into account the time period of 4 years. In mathematical form this calculation is </w:t>
      </w:r>
      <w:r w:rsidR="00400F17" w:rsidRPr="00DE0AA0">
        <w:t>described</w:t>
      </w:r>
      <w:r w:rsidRPr="00DE0AA0">
        <w:t xml:space="preserve"> as follows:</w:t>
      </w:r>
    </w:p>
    <w:p w14:paraId="4F723C40" w14:textId="77777777" w:rsidR="0075093C" w:rsidRPr="00DE0AA0" w:rsidRDefault="0075093C" w:rsidP="0075093C">
      <w:pPr>
        <w:pStyle w:val="ListParagraph"/>
      </w:pPr>
      <w:r w:rsidRPr="00DE0AA0">
        <w:t>[(OPEX</w:t>
      </w:r>
      <w:r w:rsidR="00C51855" w:rsidRPr="00DE0AA0">
        <w:rPr>
          <w:vertAlign w:val="subscript"/>
        </w:rPr>
        <w:t>without-efficiency</w:t>
      </w:r>
      <w:r w:rsidRPr="00DE0AA0">
        <w:t>/ OPEX</w:t>
      </w:r>
      <w:r w:rsidR="004D2E0B" w:rsidRPr="00DE0AA0">
        <w:rPr>
          <w:vertAlign w:val="subscript"/>
        </w:rPr>
        <w:t>with-efficiency</w:t>
      </w:r>
      <w:r w:rsidRPr="00DE0AA0">
        <w:t>)</w:t>
      </w:r>
      <w:r w:rsidRPr="00DE0AA0">
        <w:rPr>
          <w:vertAlign w:val="superscript"/>
        </w:rPr>
        <w:t>^</w:t>
      </w:r>
      <w:r w:rsidRPr="00DE0AA0">
        <w:t xml:space="preserve">(1/4)]-1); </w:t>
      </w:r>
      <w:r w:rsidR="0055424E" w:rsidRPr="00DE0AA0">
        <w:t>where</w:t>
      </w:r>
    </w:p>
    <w:p w14:paraId="6C7E40AF" w14:textId="77777777" w:rsidR="0075093C" w:rsidRPr="00DE0AA0" w:rsidRDefault="0075093C" w:rsidP="0075093C">
      <w:pPr>
        <w:pStyle w:val="ListParagraph"/>
      </w:pPr>
      <w:r w:rsidRPr="00DE0AA0">
        <w:t>OPEX</w:t>
      </w:r>
      <w:r w:rsidR="00730E6B" w:rsidRPr="00DE0AA0">
        <w:rPr>
          <w:vertAlign w:val="subscript"/>
        </w:rPr>
        <w:t>with-efficiency</w:t>
      </w:r>
      <w:r w:rsidRPr="00DE0AA0">
        <w:t>=</w:t>
      </w:r>
      <w:r w:rsidRPr="00DE0AA0">
        <w:rPr>
          <w:vertAlign w:val="subscript"/>
        </w:rPr>
        <w:t xml:space="preserve"> </w:t>
      </w:r>
      <w:r w:rsidR="00730E6B" w:rsidRPr="00DE0AA0">
        <w:t>OPEX</w:t>
      </w:r>
      <w:r w:rsidR="00730E6B" w:rsidRPr="00DE0AA0">
        <w:rPr>
          <w:vertAlign w:val="subscript"/>
        </w:rPr>
        <w:t>average</w:t>
      </w:r>
    </w:p>
    <w:p w14:paraId="428466D2" w14:textId="77777777" w:rsidR="0075093C" w:rsidRPr="00DE0AA0" w:rsidRDefault="0075093C" w:rsidP="0075093C">
      <w:pPr>
        <w:pStyle w:val="ListParagraph"/>
        <w:rPr>
          <w:vertAlign w:val="subscript"/>
        </w:rPr>
      </w:pPr>
      <w:r w:rsidRPr="00DE0AA0">
        <w:t>OPEX</w:t>
      </w:r>
      <w:r w:rsidR="00730E6B" w:rsidRPr="00DE0AA0">
        <w:rPr>
          <w:vertAlign w:val="subscript"/>
        </w:rPr>
        <w:t>without-efficiency</w:t>
      </w:r>
      <w:r w:rsidRPr="00DE0AA0">
        <w:t>=</w:t>
      </w:r>
      <w:r w:rsidRPr="00DE0AA0">
        <w:rPr>
          <w:vertAlign w:val="subscript"/>
        </w:rPr>
        <w:t xml:space="preserve"> </w:t>
      </w:r>
      <w:r w:rsidR="00730E6B" w:rsidRPr="00DE0AA0">
        <w:t>OPEX</w:t>
      </w:r>
      <w:r w:rsidR="00730E6B" w:rsidRPr="00DE0AA0">
        <w:rPr>
          <w:vertAlign w:val="subscript"/>
        </w:rPr>
        <w:t xml:space="preserve">average </w:t>
      </w:r>
      <w:r w:rsidRPr="00DE0AA0">
        <w:t>+</w:t>
      </w:r>
      <w:r w:rsidRPr="00DE0AA0">
        <w:rPr>
          <w:vertAlign w:val="subscript"/>
        </w:rPr>
        <w:t xml:space="preserve"> </w:t>
      </w:r>
      <w:r w:rsidR="00730E6B" w:rsidRPr="00DE0AA0">
        <w:t>Efficiency</w:t>
      </w:r>
      <w:r w:rsidR="00730E6B" w:rsidRPr="00DE0AA0">
        <w:rPr>
          <w:vertAlign w:val="subscript"/>
        </w:rPr>
        <w:t>absolute</w:t>
      </w:r>
    </w:p>
    <w:p w14:paraId="6C6959D5" w14:textId="77777777" w:rsidR="0075093C" w:rsidRPr="00DE0AA0" w:rsidRDefault="0075093C" w:rsidP="0075093C">
      <w:pPr>
        <w:rPr>
          <w:lang w:val="en-GB"/>
        </w:rPr>
      </w:pPr>
    </w:p>
    <w:p w14:paraId="20A82E87" w14:textId="280A4D7B" w:rsidR="0075093C" w:rsidRDefault="0035161C" w:rsidP="00AC0209">
      <w:pPr>
        <w:jc w:val="both"/>
        <w:rPr>
          <w:lang w:val="en-GB"/>
        </w:rPr>
      </w:pPr>
      <w:r w:rsidRPr="00DE0AA0">
        <w:rPr>
          <w:lang w:val="en-GB"/>
        </w:rPr>
        <w:t>The calculation of efficiency factor is presented in the table below:</w:t>
      </w:r>
    </w:p>
    <w:p w14:paraId="2E4B28CC" w14:textId="77777777" w:rsidR="003869E3" w:rsidRPr="00DE0AA0" w:rsidRDefault="003869E3" w:rsidP="00AC0209">
      <w:pPr>
        <w:jc w:val="both"/>
        <w:rPr>
          <w:lang w:val="en-GB"/>
        </w:rPr>
      </w:pPr>
    </w:p>
    <w:p w14:paraId="6F0DA51E" w14:textId="77777777" w:rsidR="0075093C" w:rsidRPr="00DE0AA0" w:rsidRDefault="0075093C" w:rsidP="0075093C">
      <w:pPr>
        <w:pStyle w:val="Caption"/>
      </w:pPr>
      <w:r w:rsidRPr="00DE0AA0">
        <w:lastRenderedPageBreak/>
        <w:t>Tab</w:t>
      </w:r>
      <w:r w:rsidR="0035161C" w:rsidRPr="00DE0AA0">
        <w:t>le</w:t>
      </w:r>
      <w:r w:rsidRPr="00DE0AA0">
        <w:t xml:space="preserve">  </w:t>
      </w:r>
      <w:r w:rsidRPr="00DE0AA0">
        <w:fldChar w:fldCharType="begin"/>
      </w:r>
      <w:r w:rsidRPr="00DE0AA0">
        <w:instrText xml:space="preserve"> SEQ Tabela_ \* ARABIC </w:instrText>
      </w:r>
      <w:r w:rsidRPr="00DE0AA0">
        <w:fldChar w:fldCharType="separate"/>
      </w:r>
      <w:r w:rsidR="00701D2D" w:rsidRPr="00DE0AA0">
        <w:t>12</w:t>
      </w:r>
      <w:r w:rsidRPr="00DE0AA0">
        <w:fldChar w:fldCharType="end"/>
      </w:r>
      <w:r w:rsidRPr="00DE0AA0">
        <w:t xml:space="preserve"> </w:t>
      </w:r>
      <w:r w:rsidR="0035161C" w:rsidRPr="00DE0AA0">
        <w:t>Efficiency factor</w:t>
      </w:r>
    </w:p>
    <w:tbl>
      <w:tblPr>
        <w:tblW w:w="9270" w:type="dxa"/>
        <w:tblLayout w:type="fixed"/>
        <w:tblLook w:val="04A0" w:firstRow="1" w:lastRow="0" w:firstColumn="1" w:lastColumn="0" w:noHBand="0" w:noVBand="1"/>
      </w:tblPr>
      <w:tblGrid>
        <w:gridCol w:w="3315"/>
        <w:gridCol w:w="739"/>
        <w:gridCol w:w="993"/>
        <w:gridCol w:w="779"/>
        <w:gridCol w:w="1011"/>
        <w:gridCol w:w="1080"/>
        <w:gridCol w:w="622"/>
        <w:gridCol w:w="731"/>
      </w:tblGrid>
      <w:tr w:rsidR="0075093C" w:rsidRPr="00DE0AA0" w14:paraId="17237149" w14:textId="77777777" w:rsidTr="0075093C">
        <w:trPr>
          <w:trHeight w:val="564"/>
        </w:trPr>
        <w:tc>
          <w:tcPr>
            <w:tcW w:w="3315" w:type="dxa"/>
            <w:tcBorders>
              <w:top w:val="single" w:sz="4" w:space="0" w:color="auto"/>
              <w:left w:val="nil"/>
              <w:bottom w:val="single" w:sz="8" w:space="0" w:color="auto"/>
              <w:right w:val="nil"/>
            </w:tcBorders>
            <w:shd w:val="clear" w:color="auto" w:fill="1F3864" w:themeFill="accent5" w:themeFillShade="80"/>
            <w:noWrap/>
            <w:vAlign w:val="center"/>
            <w:hideMark/>
          </w:tcPr>
          <w:p w14:paraId="798452F3" w14:textId="3EA34A8B" w:rsidR="0075093C" w:rsidRPr="00DE0AA0" w:rsidRDefault="0035161C" w:rsidP="0075093C">
            <w:pPr>
              <w:spacing w:after="0" w:line="240" w:lineRule="auto"/>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Description</w:t>
            </w:r>
          </w:p>
        </w:tc>
        <w:tc>
          <w:tcPr>
            <w:tcW w:w="739" w:type="dxa"/>
            <w:tcBorders>
              <w:top w:val="single" w:sz="4" w:space="0" w:color="auto"/>
              <w:left w:val="nil"/>
              <w:bottom w:val="single" w:sz="8" w:space="0" w:color="auto"/>
              <w:right w:val="nil"/>
            </w:tcBorders>
            <w:shd w:val="clear" w:color="auto" w:fill="1F3864" w:themeFill="accent5" w:themeFillShade="80"/>
            <w:noWrap/>
            <w:vAlign w:val="center"/>
            <w:hideMark/>
          </w:tcPr>
          <w:p w14:paraId="646F3993" w14:textId="77777777" w:rsidR="0075093C" w:rsidRPr="00DE0AA0" w:rsidRDefault="0075093C" w:rsidP="0075093C">
            <w:pPr>
              <w:spacing w:after="0" w:line="240" w:lineRule="auto"/>
              <w:jc w:val="center"/>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Trend</w:t>
            </w:r>
          </w:p>
        </w:tc>
        <w:tc>
          <w:tcPr>
            <w:tcW w:w="993" w:type="dxa"/>
            <w:tcBorders>
              <w:top w:val="single" w:sz="4" w:space="0" w:color="auto"/>
              <w:left w:val="nil"/>
              <w:bottom w:val="single" w:sz="8" w:space="0" w:color="auto"/>
              <w:right w:val="nil"/>
            </w:tcBorders>
            <w:shd w:val="clear" w:color="auto" w:fill="1F3864" w:themeFill="accent5" w:themeFillShade="80"/>
            <w:noWrap/>
            <w:vAlign w:val="center"/>
            <w:hideMark/>
          </w:tcPr>
          <w:p w14:paraId="1A009BA4" w14:textId="77777777" w:rsidR="0075093C" w:rsidRPr="00DE0AA0" w:rsidRDefault="0035161C" w:rsidP="0075093C">
            <w:pPr>
              <w:spacing w:after="0" w:line="240" w:lineRule="auto"/>
              <w:jc w:val="center"/>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Average</w:t>
            </w:r>
          </w:p>
        </w:tc>
        <w:tc>
          <w:tcPr>
            <w:tcW w:w="779" w:type="dxa"/>
            <w:tcBorders>
              <w:top w:val="single" w:sz="4" w:space="0" w:color="auto"/>
              <w:left w:val="nil"/>
              <w:bottom w:val="single" w:sz="8" w:space="0" w:color="auto"/>
              <w:right w:val="nil"/>
            </w:tcBorders>
            <w:shd w:val="clear" w:color="auto" w:fill="1F3864" w:themeFill="accent5" w:themeFillShade="80"/>
            <w:noWrap/>
            <w:vAlign w:val="center"/>
            <w:hideMark/>
          </w:tcPr>
          <w:p w14:paraId="245F90E3" w14:textId="77777777" w:rsidR="0075093C" w:rsidRPr="00DE0AA0" w:rsidRDefault="0035161C" w:rsidP="0035161C">
            <w:pPr>
              <w:spacing w:after="0" w:line="240" w:lineRule="auto"/>
              <w:jc w:val="center"/>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Difference</w:t>
            </w:r>
          </w:p>
        </w:tc>
        <w:tc>
          <w:tcPr>
            <w:tcW w:w="1011" w:type="dxa"/>
            <w:tcBorders>
              <w:top w:val="single" w:sz="4" w:space="0" w:color="auto"/>
              <w:left w:val="nil"/>
              <w:bottom w:val="single" w:sz="8" w:space="0" w:color="auto"/>
              <w:right w:val="nil"/>
            </w:tcBorders>
            <w:shd w:val="clear" w:color="auto" w:fill="1F3864" w:themeFill="accent5" w:themeFillShade="80"/>
            <w:noWrap/>
            <w:vAlign w:val="center"/>
            <w:hideMark/>
          </w:tcPr>
          <w:p w14:paraId="014611AF" w14:textId="77777777" w:rsidR="0075093C" w:rsidRPr="00DE0AA0" w:rsidRDefault="0035161C" w:rsidP="0035161C">
            <w:pPr>
              <w:spacing w:after="0" w:line="240" w:lineRule="auto"/>
              <w:jc w:val="center"/>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Efficiency</w:t>
            </w:r>
          </w:p>
        </w:tc>
        <w:tc>
          <w:tcPr>
            <w:tcW w:w="1080" w:type="dxa"/>
            <w:tcBorders>
              <w:top w:val="single" w:sz="4" w:space="0" w:color="auto"/>
              <w:left w:val="nil"/>
              <w:bottom w:val="single" w:sz="8" w:space="0" w:color="auto"/>
              <w:right w:val="nil"/>
            </w:tcBorders>
            <w:shd w:val="clear" w:color="auto" w:fill="1F3864" w:themeFill="accent5" w:themeFillShade="80"/>
            <w:vAlign w:val="center"/>
            <w:hideMark/>
          </w:tcPr>
          <w:p w14:paraId="78212968" w14:textId="196F8ADE" w:rsidR="0075093C" w:rsidRPr="00DE0AA0" w:rsidRDefault="003869E3" w:rsidP="0075093C">
            <w:pPr>
              <w:spacing w:after="0" w:line="240" w:lineRule="auto"/>
              <w:jc w:val="center"/>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Efficiency</w:t>
            </w:r>
            <w:r w:rsidR="0035161C" w:rsidRPr="00DE0AA0">
              <w:rPr>
                <w:rFonts w:eastAsia="Times New Roman" w:cs="Times New Roman"/>
                <w:bCs/>
                <w:color w:val="FFFFFF" w:themeColor="background1"/>
                <w:sz w:val="20"/>
                <w:szCs w:val="20"/>
                <w:lang w:val="en-GB" w:eastAsia="en-GB"/>
              </w:rPr>
              <w:t xml:space="preserve"> factor</w:t>
            </w:r>
          </w:p>
        </w:tc>
        <w:tc>
          <w:tcPr>
            <w:tcW w:w="1353" w:type="dxa"/>
            <w:gridSpan w:val="2"/>
            <w:tcBorders>
              <w:top w:val="single" w:sz="4" w:space="0" w:color="auto"/>
              <w:left w:val="nil"/>
              <w:bottom w:val="single" w:sz="8" w:space="0" w:color="auto"/>
              <w:right w:val="nil"/>
            </w:tcBorders>
            <w:shd w:val="clear" w:color="auto" w:fill="1F3864" w:themeFill="accent5" w:themeFillShade="80"/>
            <w:noWrap/>
            <w:vAlign w:val="center"/>
            <w:hideMark/>
          </w:tcPr>
          <w:p w14:paraId="2B3E7BE3" w14:textId="77777777" w:rsidR="0075093C" w:rsidRPr="00DE0AA0" w:rsidRDefault="0035161C" w:rsidP="0035161C">
            <w:pPr>
              <w:spacing w:after="0" w:line="240" w:lineRule="auto"/>
              <w:jc w:val="center"/>
              <w:rPr>
                <w:rFonts w:eastAsia="Times New Roman" w:cs="Times New Roman"/>
                <w:bCs/>
                <w:color w:val="FFFFFF" w:themeColor="background1"/>
                <w:sz w:val="20"/>
                <w:szCs w:val="20"/>
                <w:lang w:val="en-GB" w:eastAsia="en-GB"/>
              </w:rPr>
            </w:pPr>
            <w:r w:rsidRPr="00DE0AA0">
              <w:rPr>
                <w:rFonts w:eastAsia="Times New Roman" w:cs="Times New Roman"/>
                <w:bCs/>
                <w:color w:val="FFFFFF" w:themeColor="background1"/>
                <w:sz w:val="20"/>
                <w:szCs w:val="20"/>
                <w:lang w:val="en-GB" w:eastAsia="en-GB"/>
              </w:rPr>
              <w:t>Extrapolation</w:t>
            </w:r>
          </w:p>
        </w:tc>
      </w:tr>
      <w:tr w:rsidR="0075093C" w:rsidRPr="00DE0AA0" w14:paraId="0C6453DA" w14:textId="77777777" w:rsidTr="0075093C">
        <w:trPr>
          <w:trHeight w:val="285"/>
        </w:trPr>
        <w:tc>
          <w:tcPr>
            <w:tcW w:w="3315" w:type="dxa"/>
            <w:tcBorders>
              <w:top w:val="nil"/>
              <w:left w:val="nil"/>
              <w:bottom w:val="nil"/>
              <w:right w:val="nil"/>
            </w:tcBorders>
            <w:shd w:val="clear" w:color="000000" w:fill="FFFFFF"/>
            <w:noWrap/>
            <w:vAlign w:val="center"/>
            <w:hideMark/>
          </w:tcPr>
          <w:p w14:paraId="45BDAB60" w14:textId="77777777" w:rsidR="0075093C" w:rsidRPr="00DE0AA0" w:rsidRDefault="0035161C" w:rsidP="0075093C">
            <w:pPr>
              <w:spacing w:after="0" w:line="240" w:lineRule="auto"/>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Staff costs</w:t>
            </w:r>
          </w:p>
        </w:tc>
        <w:tc>
          <w:tcPr>
            <w:tcW w:w="739" w:type="dxa"/>
            <w:tcBorders>
              <w:top w:val="nil"/>
              <w:left w:val="nil"/>
              <w:bottom w:val="nil"/>
              <w:right w:val="nil"/>
            </w:tcBorders>
            <w:shd w:val="clear" w:color="000000" w:fill="FFFFFF"/>
            <w:noWrap/>
            <w:vAlign w:val="center"/>
            <w:hideMark/>
          </w:tcPr>
          <w:p w14:paraId="18646203"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1,945</w:t>
            </w:r>
          </w:p>
        </w:tc>
        <w:tc>
          <w:tcPr>
            <w:tcW w:w="993" w:type="dxa"/>
            <w:tcBorders>
              <w:top w:val="nil"/>
              <w:left w:val="nil"/>
              <w:bottom w:val="nil"/>
              <w:right w:val="nil"/>
            </w:tcBorders>
            <w:shd w:val="clear" w:color="000000" w:fill="FFFFFF"/>
            <w:noWrap/>
            <w:vAlign w:val="center"/>
            <w:hideMark/>
          </w:tcPr>
          <w:p w14:paraId="5E10C24A"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1,877</w:t>
            </w:r>
          </w:p>
        </w:tc>
        <w:tc>
          <w:tcPr>
            <w:tcW w:w="779" w:type="dxa"/>
            <w:tcBorders>
              <w:top w:val="nil"/>
              <w:left w:val="nil"/>
              <w:bottom w:val="nil"/>
              <w:right w:val="nil"/>
            </w:tcBorders>
            <w:shd w:val="clear" w:color="000000" w:fill="FFFFFF"/>
            <w:noWrap/>
            <w:vAlign w:val="center"/>
            <w:hideMark/>
          </w:tcPr>
          <w:p w14:paraId="43FA6960"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68</w:t>
            </w:r>
          </w:p>
        </w:tc>
        <w:tc>
          <w:tcPr>
            <w:tcW w:w="1011" w:type="dxa"/>
            <w:tcBorders>
              <w:top w:val="nil"/>
              <w:left w:val="nil"/>
              <w:bottom w:val="nil"/>
              <w:right w:val="nil"/>
            </w:tcBorders>
            <w:shd w:val="clear" w:color="000000" w:fill="FFFFFF"/>
            <w:noWrap/>
            <w:vAlign w:val="center"/>
            <w:hideMark/>
          </w:tcPr>
          <w:p w14:paraId="78A94F34"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w:t>
            </w:r>
          </w:p>
        </w:tc>
        <w:tc>
          <w:tcPr>
            <w:tcW w:w="1080" w:type="dxa"/>
            <w:tcBorders>
              <w:top w:val="nil"/>
              <w:left w:val="nil"/>
              <w:bottom w:val="nil"/>
              <w:right w:val="nil"/>
            </w:tcBorders>
            <w:shd w:val="clear" w:color="000000" w:fill="FFFFFF"/>
            <w:noWrap/>
            <w:vAlign w:val="center"/>
            <w:hideMark/>
          </w:tcPr>
          <w:p w14:paraId="12507B19"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p>
        </w:tc>
        <w:tc>
          <w:tcPr>
            <w:tcW w:w="622" w:type="dxa"/>
            <w:tcBorders>
              <w:top w:val="nil"/>
              <w:left w:val="nil"/>
              <w:bottom w:val="nil"/>
              <w:right w:val="nil"/>
            </w:tcBorders>
            <w:shd w:val="clear" w:color="000000" w:fill="FFFFFF"/>
            <w:noWrap/>
            <w:vAlign w:val="center"/>
            <w:hideMark/>
          </w:tcPr>
          <w:p w14:paraId="348F35A4"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w:t>
            </w:r>
          </w:p>
        </w:tc>
        <w:tc>
          <w:tcPr>
            <w:tcW w:w="731" w:type="dxa"/>
            <w:tcBorders>
              <w:top w:val="nil"/>
              <w:left w:val="nil"/>
              <w:bottom w:val="nil"/>
              <w:right w:val="nil"/>
            </w:tcBorders>
            <w:shd w:val="clear" w:color="000000" w:fill="FFFFFF"/>
            <w:noWrap/>
            <w:vAlign w:val="center"/>
            <w:hideMark/>
          </w:tcPr>
          <w:p w14:paraId="750999F5"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3,740</w:t>
            </w:r>
          </w:p>
        </w:tc>
      </w:tr>
      <w:tr w:rsidR="0075093C" w:rsidRPr="00DE0AA0" w14:paraId="34585AFE" w14:textId="77777777" w:rsidTr="0075093C">
        <w:trPr>
          <w:trHeight w:val="288"/>
        </w:trPr>
        <w:tc>
          <w:tcPr>
            <w:tcW w:w="3315" w:type="dxa"/>
            <w:tcBorders>
              <w:top w:val="nil"/>
              <w:left w:val="nil"/>
              <w:bottom w:val="nil"/>
              <w:right w:val="nil"/>
            </w:tcBorders>
            <w:shd w:val="clear" w:color="000000" w:fill="FFFFFF"/>
            <w:noWrap/>
            <w:vAlign w:val="center"/>
            <w:hideMark/>
          </w:tcPr>
          <w:p w14:paraId="7FF191CE" w14:textId="77777777" w:rsidR="0075093C" w:rsidRPr="00DE0AA0" w:rsidRDefault="0035161C" w:rsidP="0035161C">
            <w:pPr>
              <w:spacing w:after="0" w:line="240" w:lineRule="auto"/>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Maintenance</w:t>
            </w:r>
            <w:r w:rsidR="0075093C" w:rsidRPr="00DE0AA0">
              <w:rPr>
                <w:rFonts w:eastAsia="Times New Roman" w:cs="Times New Roman"/>
                <w:color w:val="000000"/>
                <w:sz w:val="20"/>
                <w:szCs w:val="20"/>
                <w:lang w:val="en-GB" w:eastAsia="en-GB"/>
              </w:rPr>
              <w:t xml:space="preserve">, </w:t>
            </w:r>
            <w:r w:rsidRPr="00DE0AA0">
              <w:rPr>
                <w:rFonts w:eastAsia="Times New Roman" w:cs="Times New Roman"/>
                <w:color w:val="000000"/>
                <w:sz w:val="20"/>
                <w:szCs w:val="20"/>
                <w:lang w:val="en-GB" w:eastAsia="en-GB"/>
              </w:rPr>
              <w:t>Inventory and Supplies</w:t>
            </w:r>
          </w:p>
        </w:tc>
        <w:tc>
          <w:tcPr>
            <w:tcW w:w="739" w:type="dxa"/>
            <w:tcBorders>
              <w:top w:val="nil"/>
              <w:left w:val="nil"/>
              <w:bottom w:val="nil"/>
              <w:right w:val="nil"/>
            </w:tcBorders>
            <w:shd w:val="clear" w:color="000000" w:fill="FFFFFF"/>
            <w:noWrap/>
            <w:vAlign w:val="center"/>
            <w:hideMark/>
          </w:tcPr>
          <w:p w14:paraId="71739434"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69</w:t>
            </w:r>
          </w:p>
        </w:tc>
        <w:tc>
          <w:tcPr>
            <w:tcW w:w="993" w:type="dxa"/>
            <w:tcBorders>
              <w:top w:val="nil"/>
              <w:left w:val="nil"/>
              <w:bottom w:val="nil"/>
              <w:right w:val="nil"/>
            </w:tcBorders>
            <w:shd w:val="clear" w:color="000000" w:fill="FFFFFF"/>
            <w:noWrap/>
            <w:vAlign w:val="center"/>
            <w:hideMark/>
          </w:tcPr>
          <w:p w14:paraId="7A097F34"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81</w:t>
            </w:r>
          </w:p>
        </w:tc>
        <w:tc>
          <w:tcPr>
            <w:tcW w:w="779" w:type="dxa"/>
            <w:tcBorders>
              <w:top w:val="nil"/>
              <w:left w:val="nil"/>
              <w:bottom w:val="nil"/>
              <w:right w:val="nil"/>
            </w:tcBorders>
            <w:shd w:val="clear" w:color="000000" w:fill="FFFFFF"/>
            <w:noWrap/>
            <w:vAlign w:val="center"/>
            <w:hideMark/>
          </w:tcPr>
          <w:p w14:paraId="5961F8E2"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(12)</w:t>
            </w:r>
          </w:p>
        </w:tc>
        <w:tc>
          <w:tcPr>
            <w:tcW w:w="1011" w:type="dxa"/>
            <w:tcBorders>
              <w:top w:val="nil"/>
              <w:left w:val="nil"/>
              <w:bottom w:val="nil"/>
              <w:right w:val="nil"/>
            </w:tcBorders>
            <w:shd w:val="clear" w:color="000000" w:fill="FFFFFF"/>
            <w:noWrap/>
            <w:vAlign w:val="center"/>
            <w:hideMark/>
          </w:tcPr>
          <w:p w14:paraId="1E95CDD8"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12</w:t>
            </w:r>
          </w:p>
        </w:tc>
        <w:tc>
          <w:tcPr>
            <w:tcW w:w="1080" w:type="dxa"/>
            <w:tcBorders>
              <w:top w:val="nil"/>
              <w:left w:val="nil"/>
              <w:bottom w:val="nil"/>
              <w:right w:val="nil"/>
            </w:tcBorders>
            <w:shd w:val="clear" w:color="000000" w:fill="FFFFFF"/>
            <w:noWrap/>
            <w:vAlign w:val="center"/>
            <w:hideMark/>
          </w:tcPr>
          <w:p w14:paraId="7406A5D7"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p>
        </w:tc>
        <w:tc>
          <w:tcPr>
            <w:tcW w:w="622" w:type="dxa"/>
            <w:tcBorders>
              <w:top w:val="nil"/>
              <w:left w:val="nil"/>
              <w:bottom w:val="nil"/>
              <w:right w:val="nil"/>
            </w:tcBorders>
            <w:shd w:val="clear" w:color="000000" w:fill="FFFFFF"/>
            <w:noWrap/>
            <w:vAlign w:val="center"/>
            <w:hideMark/>
          </w:tcPr>
          <w:p w14:paraId="3E152929"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2017</w:t>
            </w:r>
          </w:p>
        </w:tc>
        <w:tc>
          <w:tcPr>
            <w:tcW w:w="731" w:type="dxa"/>
            <w:tcBorders>
              <w:top w:val="nil"/>
              <w:left w:val="nil"/>
              <w:bottom w:val="nil"/>
              <w:right w:val="nil"/>
            </w:tcBorders>
            <w:shd w:val="clear" w:color="000000" w:fill="FFFFFF"/>
            <w:noWrap/>
            <w:vAlign w:val="center"/>
            <w:hideMark/>
          </w:tcPr>
          <w:p w14:paraId="4CD8CDB4"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3,723</w:t>
            </w:r>
          </w:p>
        </w:tc>
      </w:tr>
      <w:tr w:rsidR="0075093C" w:rsidRPr="00DE0AA0" w14:paraId="51EF0CCA" w14:textId="77777777" w:rsidTr="0075093C">
        <w:trPr>
          <w:trHeight w:val="288"/>
        </w:trPr>
        <w:tc>
          <w:tcPr>
            <w:tcW w:w="3315" w:type="dxa"/>
            <w:tcBorders>
              <w:top w:val="nil"/>
              <w:left w:val="nil"/>
              <w:bottom w:val="nil"/>
              <w:right w:val="nil"/>
            </w:tcBorders>
            <w:shd w:val="clear" w:color="000000" w:fill="FFFFFF"/>
            <w:noWrap/>
            <w:vAlign w:val="center"/>
            <w:hideMark/>
          </w:tcPr>
          <w:p w14:paraId="3CA78BA1" w14:textId="672F2E5A" w:rsidR="0075093C" w:rsidRPr="00DE0AA0" w:rsidRDefault="003869E3" w:rsidP="0075093C">
            <w:pPr>
              <w:spacing w:after="0" w:line="240" w:lineRule="auto"/>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Insurance</w:t>
            </w:r>
          </w:p>
        </w:tc>
        <w:tc>
          <w:tcPr>
            <w:tcW w:w="739" w:type="dxa"/>
            <w:tcBorders>
              <w:top w:val="nil"/>
              <w:left w:val="nil"/>
              <w:bottom w:val="nil"/>
              <w:right w:val="nil"/>
            </w:tcBorders>
            <w:shd w:val="clear" w:color="000000" w:fill="FFFFFF"/>
            <w:noWrap/>
            <w:vAlign w:val="center"/>
            <w:hideMark/>
          </w:tcPr>
          <w:p w14:paraId="02A472AA"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282</w:t>
            </w:r>
          </w:p>
        </w:tc>
        <w:tc>
          <w:tcPr>
            <w:tcW w:w="993" w:type="dxa"/>
            <w:tcBorders>
              <w:top w:val="nil"/>
              <w:left w:val="nil"/>
              <w:bottom w:val="nil"/>
              <w:right w:val="nil"/>
            </w:tcBorders>
            <w:shd w:val="clear" w:color="000000" w:fill="FFFFFF"/>
            <w:noWrap/>
            <w:vAlign w:val="center"/>
            <w:hideMark/>
          </w:tcPr>
          <w:p w14:paraId="79CF88B2"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340</w:t>
            </w:r>
          </w:p>
        </w:tc>
        <w:tc>
          <w:tcPr>
            <w:tcW w:w="779" w:type="dxa"/>
            <w:tcBorders>
              <w:top w:val="nil"/>
              <w:left w:val="nil"/>
              <w:bottom w:val="nil"/>
              <w:right w:val="nil"/>
            </w:tcBorders>
            <w:shd w:val="clear" w:color="000000" w:fill="FFFFFF"/>
            <w:noWrap/>
            <w:vAlign w:val="center"/>
            <w:hideMark/>
          </w:tcPr>
          <w:p w14:paraId="29BC0390"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(58)</w:t>
            </w:r>
          </w:p>
        </w:tc>
        <w:tc>
          <w:tcPr>
            <w:tcW w:w="1011" w:type="dxa"/>
            <w:tcBorders>
              <w:top w:val="nil"/>
              <w:left w:val="nil"/>
              <w:bottom w:val="nil"/>
              <w:right w:val="nil"/>
            </w:tcBorders>
            <w:shd w:val="clear" w:color="000000" w:fill="FFFFFF"/>
            <w:noWrap/>
            <w:vAlign w:val="center"/>
            <w:hideMark/>
          </w:tcPr>
          <w:p w14:paraId="2CE16F46"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58</w:t>
            </w:r>
          </w:p>
        </w:tc>
        <w:tc>
          <w:tcPr>
            <w:tcW w:w="1080" w:type="dxa"/>
            <w:tcBorders>
              <w:top w:val="nil"/>
              <w:left w:val="nil"/>
              <w:bottom w:val="nil"/>
              <w:right w:val="nil"/>
            </w:tcBorders>
            <w:shd w:val="clear" w:color="000000" w:fill="FFFFFF"/>
            <w:noWrap/>
            <w:vAlign w:val="center"/>
            <w:hideMark/>
          </w:tcPr>
          <w:p w14:paraId="5F76A09A"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p>
        </w:tc>
        <w:tc>
          <w:tcPr>
            <w:tcW w:w="622" w:type="dxa"/>
            <w:tcBorders>
              <w:top w:val="nil"/>
              <w:left w:val="nil"/>
              <w:bottom w:val="nil"/>
              <w:right w:val="nil"/>
            </w:tcBorders>
            <w:shd w:val="clear" w:color="000000" w:fill="FFFFFF"/>
            <w:noWrap/>
            <w:vAlign w:val="center"/>
            <w:hideMark/>
          </w:tcPr>
          <w:p w14:paraId="64FC1B6B"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2018</w:t>
            </w:r>
          </w:p>
        </w:tc>
        <w:tc>
          <w:tcPr>
            <w:tcW w:w="731" w:type="dxa"/>
            <w:tcBorders>
              <w:top w:val="nil"/>
              <w:left w:val="nil"/>
              <w:bottom w:val="nil"/>
              <w:right w:val="nil"/>
            </w:tcBorders>
            <w:shd w:val="clear" w:color="000000" w:fill="FFFFFF"/>
            <w:noWrap/>
            <w:vAlign w:val="center"/>
            <w:hideMark/>
          </w:tcPr>
          <w:p w14:paraId="36B4D228"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3,705</w:t>
            </w:r>
          </w:p>
        </w:tc>
      </w:tr>
      <w:tr w:rsidR="0075093C" w:rsidRPr="00DE0AA0" w14:paraId="3D597C25" w14:textId="77777777" w:rsidTr="0075093C">
        <w:trPr>
          <w:trHeight w:val="288"/>
        </w:trPr>
        <w:tc>
          <w:tcPr>
            <w:tcW w:w="3315" w:type="dxa"/>
            <w:tcBorders>
              <w:top w:val="nil"/>
              <w:left w:val="nil"/>
              <w:bottom w:val="nil"/>
              <w:right w:val="nil"/>
            </w:tcBorders>
            <w:shd w:val="clear" w:color="000000" w:fill="FFFFFF"/>
            <w:noWrap/>
            <w:vAlign w:val="center"/>
            <w:hideMark/>
          </w:tcPr>
          <w:p w14:paraId="5ACA8D6E" w14:textId="77777777" w:rsidR="0075093C" w:rsidRPr="00DE0AA0" w:rsidRDefault="0035161C" w:rsidP="0075093C">
            <w:pPr>
              <w:spacing w:after="0" w:line="240" w:lineRule="auto"/>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Other operating costs</w:t>
            </w:r>
          </w:p>
        </w:tc>
        <w:tc>
          <w:tcPr>
            <w:tcW w:w="739" w:type="dxa"/>
            <w:tcBorders>
              <w:top w:val="nil"/>
              <w:left w:val="nil"/>
              <w:bottom w:val="nil"/>
              <w:right w:val="nil"/>
            </w:tcBorders>
            <w:shd w:val="clear" w:color="000000" w:fill="FFFFFF"/>
            <w:noWrap/>
            <w:vAlign w:val="center"/>
            <w:hideMark/>
          </w:tcPr>
          <w:p w14:paraId="27A08BF4"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1,191</w:t>
            </w:r>
          </w:p>
        </w:tc>
        <w:tc>
          <w:tcPr>
            <w:tcW w:w="993" w:type="dxa"/>
            <w:tcBorders>
              <w:top w:val="nil"/>
              <w:left w:val="nil"/>
              <w:bottom w:val="nil"/>
              <w:right w:val="nil"/>
            </w:tcBorders>
            <w:shd w:val="clear" w:color="000000" w:fill="FFFFFF"/>
            <w:noWrap/>
            <w:vAlign w:val="center"/>
            <w:hideMark/>
          </w:tcPr>
          <w:p w14:paraId="5525E50F"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951</w:t>
            </w:r>
          </w:p>
        </w:tc>
        <w:tc>
          <w:tcPr>
            <w:tcW w:w="779" w:type="dxa"/>
            <w:tcBorders>
              <w:top w:val="nil"/>
              <w:left w:val="nil"/>
              <w:bottom w:val="nil"/>
              <w:right w:val="nil"/>
            </w:tcBorders>
            <w:shd w:val="clear" w:color="000000" w:fill="FFFFFF"/>
            <w:noWrap/>
            <w:vAlign w:val="center"/>
            <w:hideMark/>
          </w:tcPr>
          <w:p w14:paraId="29D14CFD"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240</w:t>
            </w:r>
          </w:p>
        </w:tc>
        <w:tc>
          <w:tcPr>
            <w:tcW w:w="1011" w:type="dxa"/>
            <w:tcBorders>
              <w:top w:val="nil"/>
              <w:left w:val="nil"/>
              <w:bottom w:val="nil"/>
              <w:right w:val="nil"/>
            </w:tcBorders>
            <w:shd w:val="clear" w:color="000000" w:fill="FFFFFF"/>
            <w:noWrap/>
            <w:vAlign w:val="center"/>
            <w:hideMark/>
          </w:tcPr>
          <w:p w14:paraId="5D8345E6"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w:t>
            </w:r>
          </w:p>
        </w:tc>
        <w:tc>
          <w:tcPr>
            <w:tcW w:w="1080" w:type="dxa"/>
            <w:tcBorders>
              <w:top w:val="nil"/>
              <w:left w:val="nil"/>
              <w:bottom w:val="nil"/>
              <w:right w:val="nil"/>
            </w:tcBorders>
            <w:shd w:val="clear" w:color="000000" w:fill="FFFFFF"/>
            <w:noWrap/>
            <w:vAlign w:val="center"/>
            <w:hideMark/>
          </w:tcPr>
          <w:p w14:paraId="101D670B"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p>
        </w:tc>
        <w:tc>
          <w:tcPr>
            <w:tcW w:w="622" w:type="dxa"/>
            <w:tcBorders>
              <w:top w:val="nil"/>
              <w:left w:val="nil"/>
              <w:bottom w:val="nil"/>
              <w:right w:val="nil"/>
            </w:tcBorders>
            <w:shd w:val="clear" w:color="000000" w:fill="FFFFFF"/>
            <w:noWrap/>
            <w:vAlign w:val="center"/>
            <w:hideMark/>
          </w:tcPr>
          <w:p w14:paraId="5306C658"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2019</w:t>
            </w:r>
          </w:p>
        </w:tc>
        <w:tc>
          <w:tcPr>
            <w:tcW w:w="731" w:type="dxa"/>
            <w:tcBorders>
              <w:top w:val="nil"/>
              <w:left w:val="nil"/>
              <w:bottom w:val="nil"/>
              <w:right w:val="nil"/>
            </w:tcBorders>
            <w:shd w:val="clear" w:color="000000" w:fill="FFFFFF"/>
            <w:noWrap/>
            <w:vAlign w:val="center"/>
            <w:hideMark/>
          </w:tcPr>
          <w:p w14:paraId="45F40465"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3,688</w:t>
            </w:r>
          </w:p>
        </w:tc>
      </w:tr>
      <w:tr w:rsidR="0075093C" w:rsidRPr="00DE0AA0" w14:paraId="3FEE17C1" w14:textId="77777777" w:rsidTr="0075093C">
        <w:trPr>
          <w:trHeight w:val="288"/>
        </w:trPr>
        <w:tc>
          <w:tcPr>
            <w:tcW w:w="3315" w:type="dxa"/>
            <w:tcBorders>
              <w:top w:val="nil"/>
              <w:left w:val="nil"/>
              <w:bottom w:val="single" w:sz="4" w:space="0" w:color="auto"/>
              <w:right w:val="nil"/>
            </w:tcBorders>
            <w:shd w:val="clear" w:color="000000" w:fill="FFFFFF"/>
            <w:noWrap/>
            <w:vAlign w:val="center"/>
            <w:hideMark/>
          </w:tcPr>
          <w:p w14:paraId="2CFC6F09" w14:textId="77777777" w:rsidR="0075093C" w:rsidRPr="00DE0AA0" w:rsidRDefault="0035161C" w:rsidP="0075093C">
            <w:pPr>
              <w:spacing w:after="0" w:line="240" w:lineRule="auto"/>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Financial expenses</w:t>
            </w:r>
          </w:p>
        </w:tc>
        <w:tc>
          <w:tcPr>
            <w:tcW w:w="739" w:type="dxa"/>
            <w:tcBorders>
              <w:top w:val="nil"/>
              <w:left w:val="nil"/>
              <w:bottom w:val="single" w:sz="4" w:space="0" w:color="auto"/>
              <w:right w:val="nil"/>
            </w:tcBorders>
            <w:shd w:val="clear" w:color="000000" w:fill="FFFFFF"/>
            <w:noWrap/>
            <w:vAlign w:val="center"/>
            <w:hideMark/>
          </w:tcPr>
          <w:p w14:paraId="6B3C6CB5"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567</w:t>
            </w:r>
          </w:p>
        </w:tc>
        <w:tc>
          <w:tcPr>
            <w:tcW w:w="993" w:type="dxa"/>
            <w:tcBorders>
              <w:top w:val="nil"/>
              <w:left w:val="nil"/>
              <w:bottom w:val="single" w:sz="4" w:space="0" w:color="auto"/>
              <w:right w:val="nil"/>
            </w:tcBorders>
            <w:shd w:val="clear" w:color="000000" w:fill="FFFFFF"/>
            <w:noWrap/>
            <w:vAlign w:val="center"/>
            <w:hideMark/>
          </w:tcPr>
          <w:p w14:paraId="08233DB0"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422</w:t>
            </w:r>
          </w:p>
        </w:tc>
        <w:tc>
          <w:tcPr>
            <w:tcW w:w="779" w:type="dxa"/>
            <w:tcBorders>
              <w:top w:val="nil"/>
              <w:left w:val="nil"/>
              <w:bottom w:val="single" w:sz="4" w:space="0" w:color="auto"/>
              <w:right w:val="nil"/>
            </w:tcBorders>
            <w:shd w:val="clear" w:color="000000" w:fill="FFFFFF"/>
            <w:noWrap/>
            <w:vAlign w:val="center"/>
            <w:hideMark/>
          </w:tcPr>
          <w:p w14:paraId="4B024BFF"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147</w:t>
            </w:r>
          </w:p>
        </w:tc>
        <w:tc>
          <w:tcPr>
            <w:tcW w:w="1011" w:type="dxa"/>
            <w:tcBorders>
              <w:top w:val="nil"/>
              <w:left w:val="nil"/>
              <w:bottom w:val="single" w:sz="4" w:space="0" w:color="auto"/>
              <w:right w:val="nil"/>
            </w:tcBorders>
            <w:shd w:val="clear" w:color="000000" w:fill="FFFFFF"/>
            <w:noWrap/>
            <w:vAlign w:val="center"/>
            <w:hideMark/>
          </w:tcPr>
          <w:p w14:paraId="322A6548"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w:t>
            </w:r>
          </w:p>
        </w:tc>
        <w:tc>
          <w:tcPr>
            <w:tcW w:w="1080" w:type="dxa"/>
            <w:tcBorders>
              <w:top w:val="nil"/>
              <w:left w:val="nil"/>
              <w:bottom w:val="single" w:sz="4" w:space="0" w:color="auto"/>
              <w:right w:val="nil"/>
            </w:tcBorders>
            <w:shd w:val="clear" w:color="000000" w:fill="FFFFFF"/>
            <w:noWrap/>
            <w:vAlign w:val="center"/>
            <w:hideMark/>
          </w:tcPr>
          <w:p w14:paraId="1F7C475C"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-0.47%</w:t>
            </w:r>
          </w:p>
        </w:tc>
        <w:tc>
          <w:tcPr>
            <w:tcW w:w="622" w:type="dxa"/>
            <w:tcBorders>
              <w:top w:val="nil"/>
              <w:left w:val="nil"/>
              <w:bottom w:val="single" w:sz="4" w:space="0" w:color="auto"/>
              <w:right w:val="nil"/>
            </w:tcBorders>
            <w:shd w:val="clear" w:color="000000" w:fill="FFFFFF"/>
            <w:noWrap/>
            <w:vAlign w:val="center"/>
            <w:hideMark/>
          </w:tcPr>
          <w:p w14:paraId="7DCA63D8"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2020</w:t>
            </w:r>
          </w:p>
        </w:tc>
        <w:tc>
          <w:tcPr>
            <w:tcW w:w="731" w:type="dxa"/>
            <w:tcBorders>
              <w:top w:val="nil"/>
              <w:left w:val="nil"/>
              <w:bottom w:val="single" w:sz="4" w:space="0" w:color="auto"/>
              <w:right w:val="nil"/>
            </w:tcBorders>
            <w:shd w:val="clear" w:color="000000" w:fill="FFFFFF"/>
            <w:noWrap/>
            <w:vAlign w:val="center"/>
            <w:hideMark/>
          </w:tcPr>
          <w:p w14:paraId="586543FD" w14:textId="77777777" w:rsidR="0075093C" w:rsidRPr="00DE0AA0" w:rsidRDefault="0075093C" w:rsidP="0075093C">
            <w:pPr>
              <w:spacing w:after="0" w:line="240" w:lineRule="auto"/>
              <w:jc w:val="center"/>
              <w:rPr>
                <w:rFonts w:eastAsia="Times New Roman" w:cs="Times New Roman"/>
                <w:color w:val="000000"/>
                <w:sz w:val="20"/>
                <w:szCs w:val="20"/>
                <w:lang w:val="en-GB" w:eastAsia="en-GB"/>
              </w:rPr>
            </w:pPr>
            <w:r w:rsidRPr="00DE0AA0">
              <w:rPr>
                <w:rFonts w:eastAsia="Times New Roman" w:cs="Times New Roman"/>
                <w:color w:val="000000"/>
                <w:sz w:val="20"/>
                <w:szCs w:val="20"/>
                <w:lang w:val="en-GB" w:eastAsia="en-GB"/>
              </w:rPr>
              <w:t>3,671</w:t>
            </w:r>
          </w:p>
        </w:tc>
      </w:tr>
      <w:tr w:rsidR="0075093C" w:rsidRPr="00DE0AA0" w14:paraId="212B717D" w14:textId="77777777" w:rsidTr="0075093C">
        <w:trPr>
          <w:trHeight w:val="288"/>
        </w:trPr>
        <w:tc>
          <w:tcPr>
            <w:tcW w:w="3315" w:type="dxa"/>
            <w:tcBorders>
              <w:top w:val="single" w:sz="4" w:space="0" w:color="auto"/>
              <w:left w:val="nil"/>
              <w:bottom w:val="single" w:sz="4" w:space="0" w:color="auto"/>
              <w:right w:val="nil"/>
            </w:tcBorders>
            <w:shd w:val="clear" w:color="000000" w:fill="FFFFFF"/>
            <w:noWrap/>
            <w:vAlign w:val="center"/>
            <w:hideMark/>
          </w:tcPr>
          <w:p w14:paraId="2C120E99" w14:textId="77777777" w:rsidR="0075093C" w:rsidRPr="00DE0AA0" w:rsidRDefault="0075093C" w:rsidP="0075093C">
            <w:pPr>
              <w:spacing w:after="0" w:line="240" w:lineRule="auto"/>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Total</w:t>
            </w:r>
          </w:p>
        </w:tc>
        <w:tc>
          <w:tcPr>
            <w:tcW w:w="739" w:type="dxa"/>
            <w:tcBorders>
              <w:top w:val="single" w:sz="4" w:space="0" w:color="auto"/>
              <w:left w:val="nil"/>
              <w:bottom w:val="single" w:sz="4" w:space="0" w:color="auto"/>
              <w:right w:val="nil"/>
            </w:tcBorders>
            <w:shd w:val="clear" w:color="000000" w:fill="FFFFFF"/>
            <w:noWrap/>
            <w:vAlign w:val="center"/>
            <w:hideMark/>
          </w:tcPr>
          <w:p w14:paraId="4BC6C1FF"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4,054</w:t>
            </w:r>
          </w:p>
        </w:tc>
        <w:tc>
          <w:tcPr>
            <w:tcW w:w="993" w:type="dxa"/>
            <w:tcBorders>
              <w:top w:val="single" w:sz="4" w:space="0" w:color="auto"/>
              <w:left w:val="nil"/>
              <w:bottom w:val="single" w:sz="4" w:space="0" w:color="auto"/>
              <w:right w:val="nil"/>
            </w:tcBorders>
            <w:shd w:val="clear" w:color="000000" w:fill="FFFFFF"/>
            <w:noWrap/>
            <w:vAlign w:val="center"/>
            <w:hideMark/>
          </w:tcPr>
          <w:p w14:paraId="230D393E"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3,671</w:t>
            </w:r>
          </w:p>
        </w:tc>
        <w:tc>
          <w:tcPr>
            <w:tcW w:w="779" w:type="dxa"/>
            <w:tcBorders>
              <w:top w:val="single" w:sz="4" w:space="0" w:color="auto"/>
              <w:left w:val="nil"/>
              <w:bottom w:val="single" w:sz="4" w:space="0" w:color="auto"/>
              <w:right w:val="nil"/>
            </w:tcBorders>
            <w:shd w:val="clear" w:color="000000" w:fill="FFFFFF"/>
            <w:noWrap/>
            <w:vAlign w:val="center"/>
            <w:hideMark/>
          </w:tcPr>
          <w:p w14:paraId="4D59BEB0"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191</w:t>
            </w:r>
          </w:p>
        </w:tc>
        <w:tc>
          <w:tcPr>
            <w:tcW w:w="1011" w:type="dxa"/>
            <w:tcBorders>
              <w:top w:val="single" w:sz="4" w:space="0" w:color="auto"/>
              <w:left w:val="nil"/>
              <w:bottom w:val="single" w:sz="4" w:space="0" w:color="auto"/>
              <w:right w:val="nil"/>
            </w:tcBorders>
            <w:shd w:val="clear" w:color="000000" w:fill="FFFFFF"/>
            <w:noWrap/>
            <w:vAlign w:val="center"/>
            <w:hideMark/>
          </w:tcPr>
          <w:p w14:paraId="06F54480"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70</w:t>
            </w:r>
          </w:p>
        </w:tc>
        <w:tc>
          <w:tcPr>
            <w:tcW w:w="1080" w:type="dxa"/>
            <w:tcBorders>
              <w:top w:val="single" w:sz="4" w:space="0" w:color="auto"/>
              <w:left w:val="nil"/>
              <w:bottom w:val="single" w:sz="4" w:space="0" w:color="auto"/>
              <w:right w:val="nil"/>
            </w:tcBorders>
            <w:shd w:val="clear" w:color="000000" w:fill="FFFFFF"/>
            <w:noWrap/>
            <w:vAlign w:val="center"/>
            <w:hideMark/>
          </w:tcPr>
          <w:p w14:paraId="0A519ED2"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-0.47%</w:t>
            </w:r>
          </w:p>
        </w:tc>
        <w:tc>
          <w:tcPr>
            <w:tcW w:w="622" w:type="dxa"/>
            <w:tcBorders>
              <w:top w:val="single" w:sz="4" w:space="0" w:color="auto"/>
              <w:left w:val="nil"/>
              <w:bottom w:val="single" w:sz="4" w:space="0" w:color="auto"/>
              <w:right w:val="nil"/>
            </w:tcBorders>
            <w:shd w:val="clear" w:color="000000" w:fill="FFFFFF"/>
            <w:noWrap/>
            <w:vAlign w:val="center"/>
            <w:hideMark/>
          </w:tcPr>
          <w:p w14:paraId="78469A3B"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2021</w:t>
            </w:r>
          </w:p>
        </w:tc>
        <w:tc>
          <w:tcPr>
            <w:tcW w:w="731" w:type="dxa"/>
            <w:tcBorders>
              <w:top w:val="single" w:sz="4" w:space="0" w:color="auto"/>
              <w:left w:val="nil"/>
              <w:bottom w:val="single" w:sz="4" w:space="0" w:color="auto"/>
              <w:right w:val="nil"/>
            </w:tcBorders>
            <w:shd w:val="clear" w:color="000000" w:fill="FFFFFF"/>
            <w:noWrap/>
            <w:vAlign w:val="center"/>
            <w:hideMark/>
          </w:tcPr>
          <w:p w14:paraId="4797AF43" w14:textId="77777777" w:rsidR="0075093C" w:rsidRPr="00DE0AA0" w:rsidRDefault="0075093C" w:rsidP="0075093C">
            <w:pPr>
              <w:spacing w:after="0" w:line="240" w:lineRule="auto"/>
              <w:jc w:val="center"/>
              <w:rPr>
                <w:rFonts w:eastAsia="Times New Roman" w:cs="Times New Roman"/>
                <w:b/>
                <w:bCs/>
                <w:color w:val="000000"/>
                <w:sz w:val="20"/>
                <w:szCs w:val="20"/>
                <w:lang w:val="en-GB" w:eastAsia="en-GB"/>
              </w:rPr>
            </w:pPr>
            <w:r w:rsidRPr="00DE0AA0">
              <w:rPr>
                <w:rFonts w:eastAsia="Times New Roman" w:cs="Times New Roman"/>
                <w:b/>
                <w:bCs/>
                <w:color w:val="000000"/>
                <w:sz w:val="20"/>
                <w:szCs w:val="20"/>
                <w:lang w:val="en-GB" w:eastAsia="en-GB"/>
              </w:rPr>
              <w:t>3,671</w:t>
            </w:r>
          </w:p>
        </w:tc>
      </w:tr>
    </w:tbl>
    <w:p w14:paraId="1AAD7B37" w14:textId="77777777" w:rsidR="0075093C" w:rsidRPr="00DE0AA0" w:rsidRDefault="0075093C" w:rsidP="0075093C">
      <w:pPr>
        <w:rPr>
          <w:lang w:val="en-GB"/>
        </w:rPr>
      </w:pPr>
    </w:p>
    <w:p w14:paraId="0C5CA64E" w14:textId="77777777" w:rsidR="0075093C" w:rsidRPr="00DE0AA0" w:rsidRDefault="0035161C" w:rsidP="0075093C">
      <w:pPr>
        <w:rPr>
          <w:lang w:val="en-GB"/>
        </w:rPr>
      </w:pPr>
      <w:r w:rsidRPr="00DE0AA0">
        <w:rPr>
          <w:lang w:val="en-GB"/>
        </w:rPr>
        <w:t>Efficiency factor</w:t>
      </w:r>
      <w:r w:rsidR="0075093C" w:rsidRPr="00DE0AA0">
        <w:rPr>
          <w:lang w:val="en-GB"/>
        </w:rPr>
        <w:t xml:space="preserve"> = [(3671)/(3671+70)]^(1/4)-1 = -0.5%</w:t>
      </w:r>
    </w:p>
    <w:p w14:paraId="5964B016" w14:textId="77777777" w:rsidR="0075093C" w:rsidRPr="00DE0AA0" w:rsidRDefault="0035161C" w:rsidP="00A905B3">
      <w:pPr>
        <w:jc w:val="both"/>
        <w:rPr>
          <w:lang w:val="en-GB"/>
        </w:rPr>
      </w:pPr>
      <w:r w:rsidRPr="00DE0AA0">
        <w:rPr>
          <w:lang w:val="en-GB"/>
        </w:rPr>
        <w:t>ERO emphasizes that the impact of the increased number of customers on operating costs is not significant, therefore the number of customers is not considered as a meritorious driver of the increase of operating costs.</w:t>
      </w:r>
      <w:r w:rsidR="0075093C" w:rsidRPr="00DE0AA0">
        <w:rPr>
          <w:lang w:val="en-GB"/>
        </w:rPr>
        <w:t xml:space="preserve"> </w:t>
      </w:r>
      <w:r w:rsidRPr="00DE0AA0">
        <w:rPr>
          <w:lang w:val="en-GB"/>
        </w:rPr>
        <w:t xml:space="preserve">This means that most of the operating costs of USS are fixed, moreover from the analysis of the data presented by USS it is seen that there is an inverse relationship between the realized OPEX and the number of customers, which means that USS has been able to provide services for the customer growth trend while being efficient. In addition, reading and billing services are DSO activities, </w:t>
      </w:r>
      <w:r w:rsidR="00780DA3" w:rsidRPr="00DE0AA0">
        <w:rPr>
          <w:lang w:val="en-GB"/>
        </w:rPr>
        <w:t>and</w:t>
      </w:r>
      <w:r w:rsidRPr="00DE0AA0">
        <w:rPr>
          <w:lang w:val="en-GB"/>
        </w:rPr>
        <w:t xml:space="preserve"> the automation of payment processes means a reduction of operating costs. The </w:t>
      </w:r>
      <w:r w:rsidR="00780DA3" w:rsidRPr="00DE0AA0">
        <w:rPr>
          <w:lang w:val="en-GB"/>
        </w:rPr>
        <w:t xml:space="preserve">efficiency factor is presented in the </w:t>
      </w:r>
      <w:r w:rsidRPr="00DE0AA0">
        <w:rPr>
          <w:lang w:val="en-GB"/>
        </w:rPr>
        <w:t>figure below</w:t>
      </w:r>
      <w:r w:rsidR="00780DA3" w:rsidRPr="00DE0AA0">
        <w:rPr>
          <w:lang w:val="en-GB"/>
        </w:rPr>
        <w:t>.</w:t>
      </w:r>
    </w:p>
    <w:p w14:paraId="06C42D36" w14:textId="77AE3B6C" w:rsidR="0075093C" w:rsidRDefault="0075093C" w:rsidP="0075093C">
      <w:pPr>
        <w:pStyle w:val="Caption"/>
        <w:jc w:val="left"/>
      </w:pPr>
      <w:r w:rsidRPr="00DE0AA0">
        <w:t>Figur</w:t>
      </w:r>
      <w:r w:rsidR="00517B4D" w:rsidRPr="00DE0AA0">
        <w:t>e</w:t>
      </w:r>
      <w:r w:rsidRPr="00DE0AA0">
        <w:t xml:space="preserve"> 2 </w:t>
      </w:r>
      <w:r w:rsidR="00517B4D" w:rsidRPr="00DE0AA0">
        <w:t>Efficiency factor</w:t>
      </w:r>
    </w:p>
    <w:p w14:paraId="722AA2EE" w14:textId="749C8B7A" w:rsidR="003E4423" w:rsidRPr="003E4423" w:rsidRDefault="003E4423" w:rsidP="003E4423">
      <w:pPr>
        <w:rPr>
          <w:lang w:val="en-GB"/>
        </w:rPr>
      </w:pPr>
      <w:r>
        <w:rPr>
          <w:noProof/>
        </w:rPr>
        <mc:AlternateContent>
          <mc:Choice Requires="wpg">
            <w:drawing>
              <wp:anchor distT="0" distB="0" distL="114300" distR="114300" simplePos="0" relativeHeight="251659264" behindDoc="0" locked="0" layoutInCell="1" allowOverlap="1" wp14:anchorId="349FB3F8" wp14:editId="556A0CCE">
                <wp:simplePos x="0" y="0"/>
                <wp:positionH relativeFrom="column">
                  <wp:posOffset>0</wp:posOffset>
                </wp:positionH>
                <wp:positionV relativeFrom="paragraph">
                  <wp:posOffset>0</wp:posOffset>
                </wp:positionV>
                <wp:extent cx="4534728" cy="2745271"/>
                <wp:effectExtent l="0" t="0" r="18415" b="17145"/>
                <wp:wrapNone/>
                <wp:docPr id="10" name="Group 1"/>
                <wp:cNvGraphicFramePr/>
                <a:graphic xmlns:a="http://schemas.openxmlformats.org/drawingml/2006/main">
                  <a:graphicData uri="http://schemas.microsoft.com/office/word/2010/wordprocessingGroup">
                    <wpg:wgp>
                      <wpg:cNvGrpSpPr/>
                      <wpg:grpSpPr>
                        <a:xfrm>
                          <a:off x="0" y="0"/>
                          <a:ext cx="4534728" cy="2745271"/>
                          <a:chOff x="0" y="0"/>
                          <a:chExt cx="4662694" cy="2698475"/>
                        </a:xfrm>
                      </wpg:grpSpPr>
                      <wpg:graphicFrame>
                        <wpg:cNvPr id="11" name="Chart 11"/>
                        <wpg:cNvFrPr/>
                        <wpg:xfrm>
                          <a:off x="0" y="0"/>
                          <a:ext cx="4662694" cy="2698475"/>
                        </wpg:xfrm>
                        <a:graphic>
                          <a:graphicData uri="http://schemas.openxmlformats.org/drawingml/2006/chart">
                            <c:chart xmlns:c="http://schemas.openxmlformats.org/drawingml/2006/chart" xmlns:r="http://schemas.openxmlformats.org/officeDocument/2006/relationships" r:id="rId12"/>
                          </a:graphicData>
                        </a:graphic>
                      </wpg:graphicFrame>
                      <wpg:grpSp>
                        <wpg:cNvPr id="12" name="Group 12"/>
                        <wpg:cNvGrpSpPr/>
                        <wpg:grpSpPr>
                          <a:xfrm>
                            <a:off x="1418462" y="477080"/>
                            <a:ext cx="2299089" cy="933771"/>
                            <a:chOff x="1332493" y="477079"/>
                            <a:chExt cx="2299089" cy="597475"/>
                          </a:xfrm>
                        </wpg:grpSpPr>
                        <wps:wsp>
                          <wps:cNvPr id="13" name="Straight Arrow Connector 13"/>
                          <wps:cNvCnPr/>
                          <wps:spPr>
                            <a:xfrm>
                              <a:off x="3625746" y="598304"/>
                              <a:ext cx="1"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332493" y="587755"/>
                              <a:ext cx="2299089" cy="86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1334713" y="585732"/>
                              <a:ext cx="1297" cy="4270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2249567" y="477079"/>
                              <a:ext cx="792007" cy="240196"/>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AC3A84E" w14:textId="77777777" w:rsidR="003E4423" w:rsidRDefault="003E4423" w:rsidP="003E4423">
                                <w:pPr>
                                  <w:pStyle w:val="NormalWeb"/>
                                  <w:spacing w:before="0" w:beforeAutospacing="0" w:after="0" w:afterAutospacing="0"/>
                                </w:pPr>
                                <w:r>
                                  <w:rPr>
                                    <w:rFonts w:asciiTheme="minorHAnsi" w:hAnsi="Calibri" w:cstheme="minorBidi"/>
                                    <w:color w:val="000000" w:themeColor="dark1"/>
                                    <w:sz w:val="18"/>
                                    <w:szCs w:val="18"/>
                                  </w:rPr>
                                  <w:t>0.5%</w:t>
                                </w:r>
                              </w:p>
                            </w:txbxContent>
                          </wps:txbx>
                          <wps:bodyPr rtlCol="0" anchor="t"/>
                        </wps:wsp>
                      </wpg:grpSp>
                    </wpg:wgp>
                  </a:graphicData>
                </a:graphic>
              </wp:anchor>
            </w:drawing>
          </mc:Choice>
          <mc:Fallback>
            <w:pict>
              <v:group w14:anchorId="349FB3F8" id="Group 1" o:spid="_x0000_s1026" style="position:absolute;margin-left:0;margin-top:0;width:357.05pt;height:216.15pt;z-index:251659264" coordsize="46626,2698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 o:spid="_x0000_s1027" type="#_x0000_t75" style="position:absolute;left:-62;top:-59;width:46758;height:27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">
                  <v:imagedata r:id="rId13" o:title=""/>
                  <o:lock v:ext="edit" aspectratio="f"/>
                </v:shape>
                <v:group id="Group 12" o:spid="_x0000_s1028" style="position:absolute;left:14184;top:4770;width:22991;height:9338" coordorigin="13324,4770" coordsize="22990,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3" o:spid="_x0000_s1029" type="#_x0000_t32" style="position:absolute;left:36257;top:5983;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5b9bd5 [3204]" strokeweight=".5pt">
                    <v:stroke endarrow="block" joinstyle="miter"/>
                  </v:shape>
                  <v:line id="Straight Connector 21" o:spid="_x0000_s1030" style="position:absolute;visibility:visible;mso-wrap-style:square" from="13324,5877" to="36315,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5b9bd5 [3204]" strokeweight=".5pt">
                    <v:stroke joinstyle="miter"/>
                  </v:line>
                  <v:line id="Straight Connector 22" o:spid="_x0000_s1031" style="position:absolute;flip:x;visibility:visible;mso-wrap-style:square" from="13347,5857" to="13360,1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" strokecolor="#5b9bd5 [3204]" strokeweight=".5pt">
                    <v:stroke joinstyle="miter"/>
                  </v:line>
                  <v:oval id="Oval 23" o:spid="_x0000_s1032" style="position:absolute;left:22495;top:4770;width:7920;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" fillcolor="white [3201]" strokecolor="black [3200]" strokeweight=".25pt">
                    <v:stroke joinstyle="miter"/>
                    <v:textbox>
                      <w:txbxContent>
                        <w:p w14:paraId="2AC3A84E" w14:textId="77777777" w:rsidR="003E4423" w:rsidRDefault="003E4423" w:rsidP="003E4423">
                          <w:pPr>
                            <w:pStyle w:val="NormalWeb"/>
                            <w:spacing w:before="0" w:beforeAutospacing="0" w:after="0" w:afterAutospacing="0"/>
                          </w:pPr>
                          <w:r>
                            <w:rPr>
                              <w:rFonts w:asciiTheme="minorHAnsi" w:hAnsi="Calibri" w:cstheme="minorBidi"/>
                              <w:color w:val="000000" w:themeColor="dark1"/>
                              <w:sz w:val="18"/>
                              <w:szCs w:val="18"/>
                            </w:rPr>
                            <w:t>0.5%</w:t>
                          </w:r>
                        </w:p>
                      </w:txbxContent>
                    </v:textbox>
                  </v:oval>
                </v:group>
              </v:group>
            </w:pict>
          </mc:Fallback>
        </mc:AlternateContent>
      </w:r>
    </w:p>
    <w:p w14:paraId="2F0735B4" w14:textId="27838B41" w:rsidR="0075093C" w:rsidRDefault="0075093C" w:rsidP="0075093C">
      <w:pPr>
        <w:rPr>
          <w:lang w:val="en-GB"/>
        </w:rPr>
      </w:pPr>
    </w:p>
    <w:p w14:paraId="7C81F422" w14:textId="50FA233E" w:rsidR="003E4423" w:rsidRDefault="003E4423" w:rsidP="0075093C">
      <w:pPr>
        <w:rPr>
          <w:lang w:val="en-GB"/>
        </w:rPr>
      </w:pPr>
    </w:p>
    <w:p w14:paraId="2726EE8C" w14:textId="1DEBED77" w:rsidR="003E4423" w:rsidRDefault="003E4423" w:rsidP="0075093C">
      <w:pPr>
        <w:rPr>
          <w:lang w:val="en-GB"/>
        </w:rPr>
      </w:pPr>
    </w:p>
    <w:p w14:paraId="7F01C2BF" w14:textId="7673F735" w:rsidR="003E4423" w:rsidRDefault="003E4423" w:rsidP="0075093C">
      <w:pPr>
        <w:rPr>
          <w:lang w:val="en-GB"/>
        </w:rPr>
      </w:pPr>
    </w:p>
    <w:p w14:paraId="59DF9899" w14:textId="3F466978" w:rsidR="003E4423" w:rsidRDefault="003E4423" w:rsidP="0075093C">
      <w:pPr>
        <w:rPr>
          <w:lang w:val="en-GB"/>
        </w:rPr>
      </w:pPr>
    </w:p>
    <w:p w14:paraId="0B48EEA3" w14:textId="33F755EE" w:rsidR="003E4423" w:rsidRDefault="003E4423" w:rsidP="0075093C">
      <w:pPr>
        <w:rPr>
          <w:lang w:val="en-GB"/>
        </w:rPr>
      </w:pPr>
    </w:p>
    <w:p w14:paraId="32A854F7" w14:textId="63C52072" w:rsidR="003E4423" w:rsidRDefault="003E4423" w:rsidP="0075093C">
      <w:pPr>
        <w:rPr>
          <w:lang w:val="en-GB"/>
        </w:rPr>
      </w:pPr>
    </w:p>
    <w:p w14:paraId="1C7AA00A" w14:textId="2035D7B2" w:rsidR="003E4423" w:rsidRDefault="003E4423" w:rsidP="0075093C">
      <w:pPr>
        <w:rPr>
          <w:lang w:val="en-GB"/>
        </w:rPr>
      </w:pPr>
    </w:p>
    <w:p w14:paraId="4CA083C2" w14:textId="373205E0" w:rsidR="003E4423" w:rsidRDefault="003E4423" w:rsidP="0075093C">
      <w:pPr>
        <w:rPr>
          <w:lang w:val="en-GB"/>
        </w:rPr>
      </w:pPr>
    </w:p>
    <w:p w14:paraId="42A40000" w14:textId="77777777" w:rsidR="0075093C" w:rsidRPr="00DE0AA0" w:rsidRDefault="00E42F83" w:rsidP="005F0EEB">
      <w:pPr>
        <w:jc w:val="both"/>
        <w:rPr>
          <w:lang w:val="en-GB"/>
        </w:rPr>
      </w:pPr>
      <w:r w:rsidRPr="00DE0AA0">
        <w:rPr>
          <w:lang w:val="en-GB"/>
        </w:rPr>
        <w:t xml:space="preserve">ERO's final determination of the efficiency expectations of regulated enterprises operating in the Kosovo market was undertaken during the last Periodic Review of the Transmission System Operator and Distribution System Operator. The efficiency factor established during this </w:t>
      </w:r>
      <w:r w:rsidR="0069521E" w:rsidRPr="00DE0AA0">
        <w:rPr>
          <w:lang w:val="en-GB"/>
        </w:rPr>
        <w:t>determination, applicable</w:t>
      </w:r>
      <w:r w:rsidRPr="00DE0AA0">
        <w:rPr>
          <w:lang w:val="en-GB"/>
        </w:rPr>
        <w:t xml:space="preserve"> to </w:t>
      </w:r>
      <w:r w:rsidRPr="00DE0AA0">
        <w:rPr>
          <w:lang w:val="en-GB"/>
        </w:rPr>
        <w:lastRenderedPageBreak/>
        <w:t xml:space="preserve">operating and maintenance costs was 1.5%. There is no obvious evidence that would suggest that the improvement of </w:t>
      </w:r>
      <w:r w:rsidR="0069521E" w:rsidRPr="00DE0AA0">
        <w:rPr>
          <w:lang w:val="en-GB"/>
        </w:rPr>
        <w:t>USS</w:t>
      </w:r>
      <w:r w:rsidRPr="00DE0AA0">
        <w:rPr>
          <w:lang w:val="en-GB"/>
        </w:rPr>
        <w:t xml:space="preserve"> performanc</w:t>
      </w:r>
      <w:r w:rsidR="009C08C2" w:rsidRPr="00DE0AA0">
        <w:rPr>
          <w:lang w:val="en-GB"/>
        </w:rPr>
        <w:t>e is the same as in DSO and TSO/</w:t>
      </w:r>
      <w:r w:rsidRPr="00DE0AA0">
        <w:rPr>
          <w:lang w:val="en-GB"/>
        </w:rPr>
        <w:t xml:space="preserve">MO. Based on the achieved efficiency of </w:t>
      </w:r>
      <w:r w:rsidR="009C08C2" w:rsidRPr="00DE0AA0">
        <w:rPr>
          <w:lang w:val="en-GB"/>
        </w:rPr>
        <w:t>USS</w:t>
      </w:r>
      <w:r w:rsidR="00B51848" w:rsidRPr="00DE0AA0">
        <w:rPr>
          <w:lang w:val="en-GB"/>
        </w:rPr>
        <w:t xml:space="preserve"> </w:t>
      </w:r>
      <w:r w:rsidRPr="00DE0AA0">
        <w:rPr>
          <w:lang w:val="en-GB"/>
        </w:rPr>
        <w:t>according to historical data, ERO proposes that a</w:t>
      </w:r>
      <w:r w:rsidR="00B51848" w:rsidRPr="00DE0AA0">
        <w:rPr>
          <w:lang w:val="en-GB"/>
        </w:rPr>
        <w:t>n</w:t>
      </w:r>
      <w:r w:rsidRPr="00DE0AA0">
        <w:rPr>
          <w:lang w:val="en-GB"/>
        </w:rPr>
        <w:t xml:space="preserve"> efficiency factor of 0.5% </w:t>
      </w:r>
      <w:r w:rsidR="00B51848" w:rsidRPr="00DE0AA0">
        <w:rPr>
          <w:lang w:val="en-GB"/>
        </w:rPr>
        <w:t xml:space="preserve">shall </w:t>
      </w:r>
      <w:r w:rsidRPr="00DE0AA0">
        <w:rPr>
          <w:lang w:val="en-GB"/>
        </w:rPr>
        <w:t xml:space="preserve">be applied to </w:t>
      </w:r>
      <w:r w:rsidR="00B51848" w:rsidRPr="00DE0AA0">
        <w:rPr>
          <w:lang w:val="en-GB"/>
        </w:rPr>
        <w:t>USS</w:t>
      </w:r>
      <w:r w:rsidRPr="00DE0AA0">
        <w:rPr>
          <w:lang w:val="en-GB"/>
        </w:rPr>
        <w:t xml:space="preserve"> for the years 2023-2024. The efficiency factor will only apply to the controllable Opex.</w:t>
      </w:r>
    </w:p>
    <w:p w14:paraId="28A0D006" w14:textId="77777777" w:rsidR="0075093C" w:rsidRPr="00DE0AA0" w:rsidRDefault="00E94F58" w:rsidP="0075093C">
      <w:pPr>
        <w:pStyle w:val="Heading2"/>
        <w:ind w:left="720"/>
      </w:pPr>
      <w:bookmarkStart w:id="22" w:name="_Toc89262439"/>
      <w:r w:rsidRPr="00DE0AA0">
        <w:t>Categorization and life</w:t>
      </w:r>
      <w:r w:rsidR="009207AD" w:rsidRPr="00DE0AA0">
        <w:t>span</w:t>
      </w:r>
      <w:r w:rsidRPr="00DE0AA0">
        <w:t xml:space="preserve"> of assets</w:t>
      </w:r>
      <w:bookmarkEnd w:id="22"/>
    </w:p>
    <w:p w14:paraId="3C594FB8" w14:textId="77777777" w:rsidR="0075093C" w:rsidRPr="00DE0AA0" w:rsidRDefault="007D62F4" w:rsidP="005F0EEB">
      <w:pPr>
        <w:jc w:val="both"/>
        <w:rPr>
          <w:lang w:val="en-GB"/>
        </w:rPr>
      </w:pPr>
      <w:r w:rsidRPr="00DE0AA0">
        <w:rPr>
          <w:lang w:val="en-GB"/>
        </w:rPr>
        <w:t xml:space="preserve">In line with the </w:t>
      </w:r>
      <w:r w:rsidR="007F3D22" w:rsidRPr="00DE0AA0">
        <w:rPr>
          <w:lang w:val="en-GB"/>
        </w:rPr>
        <w:t>USS Pricing Rule</w:t>
      </w:r>
      <w:r w:rsidRPr="00DE0AA0">
        <w:rPr>
          <w:lang w:val="en-GB"/>
        </w:rPr>
        <w:t xml:space="preserve">, depreciation of RAB is calculated on a </w:t>
      </w:r>
      <w:r w:rsidR="000D3378" w:rsidRPr="00DE0AA0">
        <w:rPr>
          <w:lang w:val="en-GB"/>
        </w:rPr>
        <w:t>linear</w:t>
      </w:r>
      <w:r w:rsidRPr="00DE0AA0">
        <w:rPr>
          <w:lang w:val="en-GB"/>
        </w:rPr>
        <w:t xml:space="preserve"> basis, using the Economic Life</w:t>
      </w:r>
      <w:r w:rsidR="00A234E2" w:rsidRPr="00DE0AA0">
        <w:rPr>
          <w:lang w:val="en-GB"/>
        </w:rPr>
        <w:t>span</w:t>
      </w:r>
      <w:r w:rsidRPr="00DE0AA0">
        <w:rPr>
          <w:lang w:val="en-GB"/>
        </w:rPr>
        <w:t xml:space="preserve"> of Assets, defined for different </w:t>
      </w:r>
      <w:r w:rsidR="007F3D22" w:rsidRPr="00DE0AA0">
        <w:rPr>
          <w:lang w:val="en-GB"/>
        </w:rPr>
        <w:t xml:space="preserve">asset </w:t>
      </w:r>
      <w:r w:rsidR="00B32982" w:rsidRPr="00DE0AA0">
        <w:rPr>
          <w:lang w:val="en-GB"/>
        </w:rPr>
        <w:t>categories</w:t>
      </w:r>
      <w:r w:rsidRPr="00DE0AA0">
        <w:rPr>
          <w:lang w:val="en-GB"/>
        </w:rPr>
        <w:t>. The economic life</w:t>
      </w:r>
      <w:r w:rsidR="006302C2" w:rsidRPr="00DE0AA0">
        <w:rPr>
          <w:lang w:val="en-GB"/>
        </w:rPr>
        <w:t>span</w:t>
      </w:r>
      <w:r w:rsidRPr="00DE0AA0">
        <w:rPr>
          <w:lang w:val="en-GB"/>
        </w:rPr>
        <w:t xml:space="preserve"> of the asset for each asset </w:t>
      </w:r>
      <w:r w:rsidR="006302C2" w:rsidRPr="00DE0AA0">
        <w:rPr>
          <w:lang w:val="en-GB"/>
        </w:rPr>
        <w:t>category</w:t>
      </w:r>
      <w:r w:rsidRPr="00DE0AA0">
        <w:rPr>
          <w:lang w:val="en-GB"/>
        </w:rPr>
        <w:t xml:space="preserve"> is considered to represent the </w:t>
      </w:r>
      <w:r w:rsidR="007F3D22" w:rsidRPr="00DE0AA0">
        <w:rPr>
          <w:lang w:val="en-GB"/>
        </w:rPr>
        <w:t>asset’s technical life expectancy</w:t>
      </w:r>
      <w:r w:rsidRPr="00DE0AA0">
        <w:rPr>
          <w:lang w:val="en-GB"/>
        </w:rPr>
        <w:t xml:space="preserve"> (</w:t>
      </w:r>
      <w:r w:rsidR="00203D95" w:rsidRPr="00DE0AA0">
        <w:rPr>
          <w:lang w:val="en-GB"/>
        </w:rPr>
        <w:t>i.e.</w:t>
      </w:r>
      <w:r w:rsidRPr="00DE0AA0">
        <w:rPr>
          <w:lang w:val="en-GB"/>
        </w:rPr>
        <w:t xml:space="preserve">, </w:t>
      </w:r>
      <w:r w:rsidR="00203D95" w:rsidRPr="00DE0AA0">
        <w:rPr>
          <w:lang w:val="en-GB"/>
        </w:rPr>
        <w:t>the period before replacement is required due to consumption</w:t>
      </w:r>
      <w:r w:rsidRPr="00DE0AA0">
        <w:rPr>
          <w:lang w:val="en-GB"/>
        </w:rPr>
        <w:t xml:space="preserve">) </w:t>
      </w:r>
      <w:r w:rsidR="00203D95" w:rsidRPr="00DE0AA0">
        <w:rPr>
          <w:lang w:val="en-GB"/>
        </w:rPr>
        <w:t>u</w:t>
      </w:r>
      <w:r w:rsidR="007F3D22" w:rsidRPr="00DE0AA0">
        <w:rPr>
          <w:lang w:val="en-GB"/>
        </w:rPr>
        <w:t>nless there is sufficient reason to consider that the asset has become redundant before that date.</w:t>
      </w:r>
    </w:p>
    <w:p w14:paraId="49542201" w14:textId="77777777" w:rsidR="0075093C" w:rsidRPr="00DE0AA0" w:rsidRDefault="007203C0" w:rsidP="0075093C">
      <w:pPr>
        <w:pStyle w:val="Heading3"/>
      </w:pPr>
      <w:bookmarkStart w:id="23" w:name="_Toc89262440"/>
      <w:r w:rsidRPr="00DE0AA0">
        <w:t>KESCO’s application</w:t>
      </w:r>
      <w:bookmarkEnd w:id="23"/>
    </w:p>
    <w:p w14:paraId="3BA96A3D" w14:textId="295E54F9" w:rsidR="0075093C" w:rsidRPr="00DE0AA0" w:rsidRDefault="00535B75" w:rsidP="005F0EEB">
      <w:pPr>
        <w:jc w:val="both"/>
        <w:rPr>
          <w:lang w:val="en-GB"/>
        </w:rPr>
      </w:pPr>
      <w:r w:rsidRPr="00DE0AA0">
        <w:rPr>
          <w:lang w:val="en-GB"/>
        </w:rPr>
        <w:t xml:space="preserve">Given the current asset lifespan and developments in the IT sector, we believe that ERO should set the lifespan of office equipment to 5 years, similar to distribution and transmission operators. However, in terms of IT equipment and software, KESCO proposes that the lifespan </w:t>
      </w:r>
      <w:r w:rsidR="00F15C05" w:rsidRPr="00DE0AA0">
        <w:rPr>
          <w:lang w:val="en-GB"/>
        </w:rPr>
        <w:t xml:space="preserve">shall </w:t>
      </w:r>
      <w:r w:rsidRPr="00DE0AA0">
        <w:rPr>
          <w:lang w:val="en-GB"/>
        </w:rPr>
        <w:t xml:space="preserve">be set at 3 years, to meet the </w:t>
      </w:r>
      <w:r w:rsidR="000171F4">
        <w:rPr>
          <w:lang w:val="en-GB"/>
        </w:rPr>
        <w:t>contemporary</w:t>
      </w:r>
      <w:r w:rsidR="000171F4" w:rsidRPr="00DE0AA0">
        <w:rPr>
          <w:lang w:val="en-GB"/>
        </w:rPr>
        <w:t xml:space="preserve"> </w:t>
      </w:r>
      <w:r w:rsidRPr="00DE0AA0">
        <w:rPr>
          <w:lang w:val="en-GB"/>
        </w:rPr>
        <w:t xml:space="preserve">requirements of power systems. The following table shows the average of years that various international companies use </w:t>
      </w:r>
      <w:r w:rsidR="005C37A9" w:rsidRPr="00DE0AA0">
        <w:rPr>
          <w:lang w:val="en-GB"/>
        </w:rPr>
        <w:t xml:space="preserve">for </w:t>
      </w:r>
      <w:r w:rsidR="00BE3747" w:rsidRPr="00DE0AA0">
        <w:rPr>
          <w:lang w:val="en-GB"/>
        </w:rPr>
        <w:t xml:space="preserve">the </w:t>
      </w:r>
      <w:r w:rsidR="005C37A9" w:rsidRPr="00DE0AA0">
        <w:rPr>
          <w:lang w:val="en-GB"/>
        </w:rPr>
        <w:t>depreciation of</w:t>
      </w:r>
      <w:r w:rsidRPr="00DE0AA0">
        <w:rPr>
          <w:lang w:val="en-GB"/>
        </w:rPr>
        <w:t xml:space="preserve"> software:</w:t>
      </w:r>
    </w:p>
    <w:p w14:paraId="6D5D72E2" w14:textId="77777777" w:rsidR="0075093C" w:rsidRPr="00DE0AA0" w:rsidRDefault="00483927" w:rsidP="0075093C">
      <w:pPr>
        <w:pStyle w:val="Caption"/>
      </w:pPr>
      <w:r w:rsidRPr="00DE0AA0">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13</w:t>
      </w:r>
      <w:r w:rsidR="0075093C" w:rsidRPr="00DE0AA0">
        <w:fldChar w:fldCharType="end"/>
      </w:r>
      <w:r w:rsidR="0075093C" w:rsidRPr="00DE0AA0">
        <w:t xml:space="preserve"> </w:t>
      </w:r>
      <w:r w:rsidR="00DC195B" w:rsidRPr="00DE0AA0">
        <w:t>Average lifespan of assets for calculation of depreciation</w:t>
      </w:r>
    </w:p>
    <w:tbl>
      <w:tblPr>
        <w:tblW w:w="0" w:type="auto"/>
        <w:jc w:val="center"/>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5975"/>
        <w:gridCol w:w="2459"/>
      </w:tblGrid>
      <w:tr w:rsidR="0075093C" w:rsidRPr="00DE0AA0" w14:paraId="599BAA15" w14:textId="77777777" w:rsidTr="00C85B1F">
        <w:trPr>
          <w:trHeight w:val="340"/>
          <w:jc w:val="center"/>
        </w:trPr>
        <w:tc>
          <w:tcPr>
            <w:tcW w:w="8434" w:type="dxa"/>
            <w:gridSpan w:val="2"/>
            <w:tcBorders>
              <w:top w:val="nil"/>
              <w:left w:val="nil"/>
              <w:bottom w:val="nil"/>
              <w:right w:val="nil"/>
            </w:tcBorders>
            <w:shd w:val="clear" w:color="auto" w:fill="5B9BD4"/>
          </w:tcPr>
          <w:p w14:paraId="350D484E" w14:textId="77777777" w:rsidR="0075093C" w:rsidRPr="00DE0AA0" w:rsidRDefault="00D20283" w:rsidP="00151DE8">
            <w:pPr>
              <w:pStyle w:val="TableParagraph"/>
              <w:spacing w:before="9"/>
              <w:ind w:left="1868" w:right="1867"/>
              <w:jc w:val="center"/>
              <w:rPr>
                <w:b/>
                <w:lang w:val="en-GB"/>
              </w:rPr>
            </w:pPr>
            <w:r w:rsidRPr="00DE0AA0">
              <w:rPr>
                <w:b/>
                <w:color w:val="FFFFFF"/>
                <w:lang w:val="en-GB"/>
              </w:rPr>
              <w:t xml:space="preserve">The </w:t>
            </w:r>
            <w:r w:rsidR="00E343AE" w:rsidRPr="00DE0AA0">
              <w:rPr>
                <w:b/>
                <w:color w:val="FFFFFF"/>
                <w:lang w:val="en-GB"/>
              </w:rPr>
              <w:t>average</w:t>
            </w:r>
            <w:r w:rsidRPr="00DE0AA0">
              <w:rPr>
                <w:b/>
                <w:color w:val="FFFFFF"/>
                <w:lang w:val="en-GB"/>
              </w:rPr>
              <w:t xml:space="preserve"> of software programmes</w:t>
            </w:r>
            <w:r w:rsidR="002F47C1" w:rsidRPr="00DE0AA0">
              <w:rPr>
                <w:b/>
                <w:color w:val="FFFFFF"/>
                <w:lang w:val="en-GB"/>
              </w:rPr>
              <w:t xml:space="preserve"> deprecia</w:t>
            </w:r>
            <w:r w:rsidR="00151DE8" w:rsidRPr="00DE0AA0">
              <w:rPr>
                <w:b/>
                <w:color w:val="FFFFFF"/>
                <w:lang w:val="en-GB"/>
              </w:rPr>
              <w:t>tion</w:t>
            </w:r>
          </w:p>
        </w:tc>
      </w:tr>
      <w:tr w:rsidR="0075093C" w:rsidRPr="00DE0AA0" w14:paraId="4C500894" w14:textId="77777777" w:rsidTr="00C85B1F">
        <w:trPr>
          <w:trHeight w:val="318"/>
          <w:jc w:val="center"/>
        </w:trPr>
        <w:tc>
          <w:tcPr>
            <w:tcW w:w="5975" w:type="dxa"/>
            <w:tcBorders>
              <w:top w:val="nil"/>
            </w:tcBorders>
            <w:shd w:val="clear" w:color="auto" w:fill="DEEAF6"/>
          </w:tcPr>
          <w:p w14:paraId="43D8C7FD" w14:textId="77777777" w:rsidR="0075093C" w:rsidRPr="00DE0AA0" w:rsidRDefault="003D31C7" w:rsidP="0075093C">
            <w:pPr>
              <w:pStyle w:val="TableParagraph"/>
              <w:spacing w:line="268" w:lineRule="exact"/>
              <w:rPr>
                <w:b/>
                <w:lang w:val="en-GB"/>
              </w:rPr>
            </w:pPr>
            <w:r w:rsidRPr="00DE0AA0">
              <w:rPr>
                <w:b/>
                <w:lang w:val="en-GB"/>
              </w:rPr>
              <w:t>Company</w:t>
            </w:r>
          </w:p>
        </w:tc>
        <w:tc>
          <w:tcPr>
            <w:tcW w:w="2459" w:type="dxa"/>
            <w:tcBorders>
              <w:top w:val="nil"/>
            </w:tcBorders>
            <w:shd w:val="clear" w:color="auto" w:fill="DEEAF6"/>
          </w:tcPr>
          <w:p w14:paraId="6E7CFF03" w14:textId="77777777" w:rsidR="0075093C" w:rsidRPr="00DE0AA0" w:rsidRDefault="003D31C7" w:rsidP="0075093C">
            <w:pPr>
              <w:pStyle w:val="TableParagraph"/>
              <w:spacing w:line="268" w:lineRule="exact"/>
              <w:rPr>
                <w:b/>
                <w:lang w:val="en-GB"/>
              </w:rPr>
            </w:pPr>
            <w:r w:rsidRPr="00DE0AA0">
              <w:rPr>
                <w:b/>
                <w:lang w:val="en-GB"/>
              </w:rPr>
              <w:t>Lifespan of assets</w:t>
            </w:r>
          </w:p>
        </w:tc>
      </w:tr>
      <w:tr w:rsidR="0075093C" w:rsidRPr="00DE0AA0" w14:paraId="6D6BEDF5" w14:textId="77777777" w:rsidTr="00C85B1F">
        <w:trPr>
          <w:trHeight w:val="321"/>
          <w:jc w:val="center"/>
        </w:trPr>
        <w:tc>
          <w:tcPr>
            <w:tcW w:w="5975" w:type="dxa"/>
          </w:tcPr>
          <w:p w14:paraId="35660496" w14:textId="77777777" w:rsidR="0075093C" w:rsidRPr="00DE0AA0" w:rsidRDefault="0075093C" w:rsidP="0075093C">
            <w:pPr>
              <w:pStyle w:val="TableParagraph"/>
              <w:spacing w:line="268" w:lineRule="exact"/>
              <w:rPr>
                <w:lang w:val="en-GB"/>
              </w:rPr>
            </w:pPr>
            <w:r w:rsidRPr="00DE0AA0">
              <w:rPr>
                <w:lang w:val="en-GB"/>
              </w:rPr>
              <w:t>Apple</w:t>
            </w:r>
          </w:p>
        </w:tc>
        <w:tc>
          <w:tcPr>
            <w:tcW w:w="2459" w:type="dxa"/>
          </w:tcPr>
          <w:p w14:paraId="25CABAC5" w14:textId="77777777" w:rsidR="0075093C" w:rsidRPr="00DE0AA0" w:rsidRDefault="0075093C" w:rsidP="003D31C7">
            <w:pPr>
              <w:pStyle w:val="TableParagraph"/>
              <w:spacing w:line="268" w:lineRule="exact"/>
              <w:rPr>
                <w:lang w:val="en-GB"/>
              </w:rPr>
            </w:pPr>
            <w:r w:rsidRPr="00DE0AA0">
              <w:rPr>
                <w:lang w:val="en-GB"/>
              </w:rPr>
              <w:t>3-5</w:t>
            </w:r>
            <w:r w:rsidRPr="00DE0AA0">
              <w:rPr>
                <w:spacing w:val="-3"/>
                <w:lang w:val="en-GB"/>
              </w:rPr>
              <w:t xml:space="preserve"> </w:t>
            </w:r>
            <w:r w:rsidR="003D31C7" w:rsidRPr="00DE0AA0">
              <w:rPr>
                <w:lang w:val="en-GB"/>
              </w:rPr>
              <w:t>years</w:t>
            </w:r>
          </w:p>
        </w:tc>
      </w:tr>
      <w:tr w:rsidR="0075093C" w:rsidRPr="00DE0AA0" w14:paraId="0EE3C94F" w14:textId="77777777" w:rsidTr="00C85B1F">
        <w:trPr>
          <w:trHeight w:val="318"/>
          <w:jc w:val="center"/>
        </w:trPr>
        <w:tc>
          <w:tcPr>
            <w:tcW w:w="5975" w:type="dxa"/>
            <w:shd w:val="clear" w:color="auto" w:fill="DEEAF6"/>
          </w:tcPr>
          <w:p w14:paraId="6094BA67" w14:textId="77777777" w:rsidR="0075093C" w:rsidRPr="00DE0AA0" w:rsidRDefault="0075093C" w:rsidP="0075093C">
            <w:pPr>
              <w:pStyle w:val="TableParagraph"/>
              <w:spacing w:line="268" w:lineRule="exact"/>
              <w:rPr>
                <w:lang w:val="en-GB"/>
              </w:rPr>
            </w:pPr>
            <w:r w:rsidRPr="00DE0AA0">
              <w:rPr>
                <w:lang w:val="en-GB"/>
              </w:rPr>
              <w:t>Microsoft</w:t>
            </w:r>
          </w:p>
        </w:tc>
        <w:tc>
          <w:tcPr>
            <w:tcW w:w="2459" w:type="dxa"/>
            <w:shd w:val="clear" w:color="auto" w:fill="DEEAF6"/>
          </w:tcPr>
          <w:p w14:paraId="44BFD88F" w14:textId="77777777" w:rsidR="0075093C" w:rsidRPr="00DE0AA0" w:rsidRDefault="0075093C" w:rsidP="001E1F33">
            <w:pPr>
              <w:pStyle w:val="TableParagraph"/>
              <w:spacing w:line="268" w:lineRule="exact"/>
              <w:rPr>
                <w:lang w:val="en-GB"/>
              </w:rPr>
            </w:pPr>
            <w:r w:rsidRPr="00DE0AA0">
              <w:rPr>
                <w:lang w:val="en-GB"/>
              </w:rPr>
              <w:t>3-</w:t>
            </w:r>
            <w:r w:rsidR="00513E9C" w:rsidRPr="00DE0AA0">
              <w:rPr>
                <w:lang w:val="en-GB"/>
              </w:rPr>
              <w:t xml:space="preserve"> </w:t>
            </w:r>
            <w:r w:rsidR="001E1F33" w:rsidRPr="00DE0AA0">
              <w:rPr>
                <w:lang w:val="en-GB"/>
              </w:rPr>
              <w:t>years</w:t>
            </w:r>
          </w:p>
        </w:tc>
      </w:tr>
      <w:tr w:rsidR="0075093C" w:rsidRPr="00DE0AA0" w14:paraId="3CCF944C" w14:textId="77777777" w:rsidTr="00C85B1F">
        <w:trPr>
          <w:trHeight w:val="321"/>
          <w:jc w:val="center"/>
        </w:trPr>
        <w:tc>
          <w:tcPr>
            <w:tcW w:w="5975" w:type="dxa"/>
          </w:tcPr>
          <w:p w14:paraId="53AE89A1" w14:textId="77777777" w:rsidR="0075093C" w:rsidRPr="00DE0AA0" w:rsidRDefault="0075093C" w:rsidP="0075093C">
            <w:pPr>
              <w:pStyle w:val="TableParagraph"/>
              <w:spacing w:line="268" w:lineRule="exact"/>
              <w:rPr>
                <w:lang w:val="en-GB"/>
              </w:rPr>
            </w:pPr>
            <w:r w:rsidRPr="00DE0AA0">
              <w:rPr>
                <w:lang w:val="en-GB"/>
              </w:rPr>
              <w:t>Facebook</w:t>
            </w:r>
          </w:p>
        </w:tc>
        <w:tc>
          <w:tcPr>
            <w:tcW w:w="2459" w:type="dxa"/>
          </w:tcPr>
          <w:p w14:paraId="69E2CC96" w14:textId="77777777" w:rsidR="0075093C" w:rsidRPr="00DE0AA0" w:rsidRDefault="0075093C" w:rsidP="0075093C">
            <w:pPr>
              <w:pStyle w:val="TableParagraph"/>
              <w:spacing w:line="268" w:lineRule="exact"/>
              <w:rPr>
                <w:lang w:val="en-GB"/>
              </w:rPr>
            </w:pPr>
            <w:r w:rsidRPr="00DE0AA0">
              <w:rPr>
                <w:lang w:val="en-GB"/>
              </w:rPr>
              <w:t>2-5</w:t>
            </w:r>
            <w:r w:rsidRPr="00DE0AA0">
              <w:rPr>
                <w:spacing w:val="-3"/>
                <w:lang w:val="en-GB"/>
              </w:rPr>
              <w:t xml:space="preserve"> </w:t>
            </w:r>
            <w:r w:rsidR="00513E9C" w:rsidRPr="00DE0AA0">
              <w:rPr>
                <w:lang w:val="en-GB"/>
              </w:rPr>
              <w:t>years</w:t>
            </w:r>
          </w:p>
        </w:tc>
      </w:tr>
      <w:tr w:rsidR="0075093C" w:rsidRPr="00DE0AA0" w14:paraId="57223697" w14:textId="77777777" w:rsidTr="00C85B1F">
        <w:trPr>
          <w:trHeight w:val="318"/>
          <w:jc w:val="center"/>
        </w:trPr>
        <w:tc>
          <w:tcPr>
            <w:tcW w:w="5975" w:type="dxa"/>
            <w:shd w:val="clear" w:color="auto" w:fill="DEEAF6"/>
          </w:tcPr>
          <w:p w14:paraId="0279007A" w14:textId="77777777" w:rsidR="0075093C" w:rsidRPr="00DE0AA0" w:rsidRDefault="0075093C" w:rsidP="0075093C">
            <w:pPr>
              <w:pStyle w:val="TableParagraph"/>
              <w:spacing w:line="268" w:lineRule="exact"/>
              <w:rPr>
                <w:lang w:val="en-GB"/>
              </w:rPr>
            </w:pPr>
            <w:r w:rsidRPr="00DE0AA0">
              <w:rPr>
                <w:lang w:val="en-GB"/>
              </w:rPr>
              <w:t>Johnson&amp;Johnson</w:t>
            </w:r>
          </w:p>
        </w:tc>
        <w:tc>
          <w:tcPr>
            <w:tcW w:w="2459" w:type="dxa"/>
            <w:shd w:val="clear" w:color="auto" w:fill="DEEAF6"/>
          </w:tcPr>
          <w:p w14:paraId="77140C21" w14:textId="77777777" w:rsidR="0075093C" w:rsidRPr="00DE0AA0" w:rsidRDefault="0075093C" w:rsidP="0075093C">
            <w:pPr>
              <w:pStyle w:val="TableParagraph"/>
              <w:spacing w:line="268" w:lineRule="exact"/>
              <w:rPr>
                <w:lang w:val="en-GB"/>
              </w:rPr>
            </w:pPr>
            <w:r w:rsidRPr="00DE0AA0">
              <w:rPr>
                <w:lang w:val="en-GB"/>
              </w:rPr>
              <w:t>3-8</w:t>
            </w:r>
            <w:r w:rsidRPr="00DE0AA0">
              <w:rPr>
                <w:spacing w:val="-3"/>
                <w:lang w:val="en-GB"/>
              </w:rPr>
              <w:t xml:space="preserve"> </w:t>
            </w:r>
            <w:r w:rsidR="00513E9C" w:rsidRPr="00DE0AA0">
              <w:rPr>
                <w:lang w:val="en-GB"/>
              </w:rPr>
              <w:t>years</w:t>
            </w:r>
          </w:p>
        </w:tc>
      </w:tr>
      <w:tr w:rsidR="0075093C" w:rsidRPr="00DE0AA0" w14:paraId="3322C103" w14:textId="77777777" w:rsidTr="00C85B1F">
        <w:trPr>
          <w:trHeight w:val="321"/>
          <w:jc w:val="center"/>
        </w:trPr>
        <w:tc>
          <w:tcPr>
            <w:tcW w:w="5975" w:type="dxa"/>
          </w:tcPr>
          <w:p w14:paraId="56951F4A" w14:textId="77777777" w:rsidR="0075093C" w:rsidRPr="00DE0AA0" w:rsidRDefault="0075093C" w:rsidP="0075093C">
            <w:pPr>
              <w:pStyle w:val="TableParagraph"/>
              <w:spacing w:line="268" w:lineRule="exact"/>
              <w:rPr>
                <w:lang w:val="en-GB"/>
              </w:rPr>
            </w:pPr>
            <w:r w:rsidRPr="00DE0AA0">
              <w:rPr>
                <w:lang w:val="en-GB"/>
              </w:rPr>
              <w:t>Proctor</w:t>
            </w:r>
            <w:r w:rsidRPr="00DE0AA0">
              <w:rPr>
                <w:spacing w:val="-1"/>
                <w:lang w:val="en-GB"/>
              </w:rPr>
              <w:t xml:space="preserve"> </w:t>
            </w:r>
            <w:r w:rsidRPr="00DE0AA0">
              <w:rPr>
                <w:lang w:val="en-GB"/>
              </w:rPr>
              <w:t>and</w:t>
            </w:r>
            <w:r w:rsidRPr="00DE0AA0">
              <w:rPr>
                <w:spacing w:val="-2"/>
                <w:lang w:val="en-GB"/>
              </w:rPr>
              <w:t xml:space="preserve"> </w:t>
            </w:r>
            <w:r w:rsidRPr="00DE0AA0">
              <w:rPr>
                <w:lang w:val="en-GB"/>
              </w:rPr>
              <w:t>Gamble</w:t>
            </w:r>
          </w:p>
        </w:tc>
        <w:tc>
          <w:tcPr>
            <w:tcW w:w="2459" w:type="dxa"/>
          </w:tcPr>
          <w:p w14:paraId="31DE2AF5" w14:textId="77777777" w:rsidR="0075093C" w:rsidRPr="00DE0AA0" w:rsidRDefault="0075093C" w:rsidP="0075093C">
            <w:pPr>
              <w:pStyle w:val="TableParagraph"/>
              <w:spacing w:line="268" w:lineRule="exact"/>
              <w:rPr>
                <w:lang w:val="en-GB"/>
              </w:rPr>
            </w:pPr>
            <w:r w:rsidRPr="00DE0AA0">
              <w:rPr>
                <w:lang w:val="en-GB"/>
              </w:rPr>
              <w:t>3-5</w:t>
            </w:r>
            <w:r w:rsidRPr="00DE0AA0">
              <w:rPr>
                <w:spacing w:val="-3"/>
                <w:lang w:val="en-GB"/>
              </w:rPr>
              <w:t xml:space="preserve"> </w:t>
            </w:r>
            <w:r w:rsidR="00513E9C" w:rsidRPr="00DE0AA0">
              <w:rPr>
                <w:lang w:val="en-GB"/>
              </w:rPr>
              <w:t>years</w:t>
            </w:r>
          </w:p>
        </w:tc>
      </w:tr>
      <w:tr w:rsidR="0075093C" w:rsidRPr="00DE0AA0" w14:paraId="61A9898F" w14:textId="77777777" w:rsidTr="00C85B1F">
        <w:trPr>
          <w:trHeight w:val="319"/>
          <w:jc w:val="center"/>
        </w:trPr>
        <w:tc>
          <w:tcPr>
            <w:tcW w:w="5975" w:type="dxa"/>
            <w:shd w:val="clear" w:color="auto" w:fill="DEEAF6"/>
          </w:tcPr>
          <w:p w14:paraId="575358EB" w14:textId="77777777" w:rsidR="0075093C" w:rsidRPr="00DE0AA0" w:rsidRDefault="0075093C" w:rsidP="0075093C">
            <w:pPr>
              <w:pStyle w:val="TableParagraph"/>
              <w:spacing w:line="268" w:lineRule="exact"/>
              <w:rPr>
                <w:lang w:val="en-GB"/>
              </w:rPr>
            </w:pPr>
            <w:r w:rsidRPr="00DE0AA0">
              <w:rPr>
                <w:lang w:val="en-GB"/>
              </w:rPr>
              <w:t>NVIDIA</w:t>
            </w:r>
          </w:p>
        </w:tc>
        <w:tc>
          <w:tcPr>
            <w:tcW w:w="2459" w:type="dxa"/>
            <w:shd w:val="clear" w:color="auto" w:fill="DEEAF6"/>
          </w:tcPr>
          <w:p w14:paraId="33871E7E" w14:textId="77777777" w:rsidR="0075093C" w:rsidRPr="00DE0AA0" w:rsidRDefault="0075093C" w:rsidP="0075093C">
            <w:pPr>
              <w:pStyle w:val="TableParagraph"/>
              <w:spacing w:line="268" w:lineRule="exact"/>
              <w:rPr>
                <w:lang w:val="en-GB"/>
              </w:rPr>
            </w:pPr>
            <w:r w:rsidRPr="00DE0AA0">
              <w:rPr>
                <w:lang w:val="en-GB"/>
              </w:rPr>
              <w:t>3-5</w:t>
            </w:r>
            <w:r w:rsidRPr="00DE0AA0">
              <w:rPr>
                <w:spacing w:val="-3"/>
                <w:lang w:val="en-GB"/>
              </w:rPr>
              <w:t xml:space="preserve"> </w:t>
            </w:r>
            <w:r w:rsidR="00513E9C" w:rsidRPr="00DE0AA0">
              <w:rPr>
                <w:lang w:val="en-GB"/>
              </w:rPr>
              <w:t>years</w:t>
            </w:r>
          </w:p>
        </w:tc>
      </w:tr>
      <w:tr w:rsidR="0075093C" w:rsidRPr="00DE0AA0" w14:paraId="32767A94" w14:textId="77777777" w:rsidTr="00C85B1F">
        <w:trPr>
          <w:trHeight w:val="317"/>
          <w:jc w:val="center"/>
        </w:trPr>
        <w:tc>
          <w:tcPr>
            <w:tcW w:w="5975" w:type="dxa"/>
            <w:tcBorders>
              <w:bottom w:val="single" w:sz="36" w:space="0" w:color="DEEAF6"/>
            </w:tcBorders>
          </w:tcPr>
          <w:p w14:paraId="400F1F39" w14:textId="77777777" w:rsidR="0075093C" w:rsidRPr="00DE0AA0" w:rsidRDefault="0075093C" w:rsidP="0075093C">
            <w:pPr>
              <w:pStyle w:val="TableParagraph"/>
              <w:spacing w:line="268" w:lineRule="exact"/>
              <w:rPr>
                <w:lang w:val="en-GB"/>
              </w:rPr>
            </w:pPr>
            <w:r w:rsidRPr="00DE0AA0">
              <w:rPr>
                <w:lang w:val="en-GB"/>
              </w:rPr>
              <w:t>Home</w:t>
            </w:r>
            <w:r w:rsidRPr="00DE0AA0">
              <w:rPr>
                <w:spacing w:val="-3"/>
                <w:lang w:val="en-GB"/>
              </w:rPr>
              <w:t xml:space="preserve"> </w:t>
            </w:r>
            <w:r w:rsidRPr="00DE0AA0">
              <w:rPr>
                <w:lang w:val="en-GB"/>
              </w:rPr>
              <w:t>Depot</w:t>
            </w:r>
          </w:p>
        </w:tc>
        <w:tc>
          <w:tcPr>
            <w:tcW w:w="2459" w:type="dxa"/>
            <w:tcBorders>
              <w:bottom w:val="single" w:sz="36" w:space="0" w:color="DEEAF6"/>
            </w:tcBorders>
          </w:tcPr>
          <w:p w14:paraId="1F2D933E" w14:textId="77777777" w:rsidR="0075093C" w:rsidRPr="00DE0AA0" w:rsidRDefault="0075093C" w:rsidP="0075093C">
            <w:pPr>
              <w:pStyle w:val="TableParagraph"/>
              <w:spacing w:line="268" w:lineRule="exact"/>
              <w:rPr>
                <w:lang w:val="en-GB"/>
              </w:rPr>
            </w:pPr>
            <w:r w:rsidRPr="00DE0AA0">
              <w:rPr>
                <w:lang w:val="en-GB"/>
              </w:rPr>
              <w:t>3-6</w:t>
            </w:r>
            <w:r w:rsidRPr="00DE0AA0">
              <w:rPr>
                <w:spacing w:val="-3"/>
                <w:lang w:val="en-GB"/>
              </w:rPr>
              <w:t xml:space="preserve"> </w:t>
            </w:r>
            <w:r w:rsidR="00513E9C" w:rsidRPr="00DE0AA0">
              <w:rPr>
                <w:lang w:val="en-GB"/>
              </w:rPr>
              <w:t>years</w:t>
            </w:r>
          </w:p>
        </w:tc>
      </w:tr>
      <w:tr w:rsidR="0075093C" w:rsidRPr="00DE0AA0" w14:paraId="463F6EFF" w14:textId="77777777" w:rsidTr="00C85B1F">
        <w:trPr>
          <w:trHeight w:val="533"/>
          <w:jc w:val="center"/>
        </w:trPr>
        <w:tc>
          <w:tcPr>
            <w:tcW w:w="8434" w:type="dxa"/>
            <w:gridSpan w:val="2"/>
            <w:tcBorders>
              <w:top w:val="single" w:sz="36" w:space="0" w:color="DEEAF6"/>
            </w:tcBorders>
          </w:tcPr>
          <w:p w14:paraId="06495D6E" w14:textId="77777777" w:rsidR="0075093C" w:rsidRPr="00DE0AA0" w:rsidRDefault="00513E9C" w:rsidP="0075093C">
            <w:pPr>
              <w:pStyle w:val="TableParagraph"/>
              <w:spacing w:line="264" w:lineRule="exact"/>
              <w:rPr>
                <w:lang w:val="en-GB"/>
              </w:rPr>
            </w:pPr>
            <w:r w:rsidRPr="00DE0AA0">
              <w:rPr>
                <w:lang w:val="en-GB"/>
              </w:rPr>
              <w:t>Source</w:t>
            </w:r>
            <w:r w:rsidR="0075093C" w:rsidRPr="00DE0AA0">
              <w:rPr>
                <w:lang w:val="en-GB"/>
              </w:rPr>
              <w:t>:</w:t>
            </w:r>
            <w:r w:rsidR="0075093C" w:rsidRPr="00DE0AA0">
              <w:rPr>
                <w:spacing w:val="-4"/>
                <w:lang w:val="en-GB"/>
              </w:rPr>
              <w:t xml:space="preserve"> </w:t>
            </w:r>
            <w:r w:rsidR="00771B4C" w:rsidRPr="00DE0AA0">
              <w:rPr>
                <w:lang w:val="en-GB"/>
              </w:rPr>
              <w:t xml:space="preserve">Data from the companies, according to the </w:t>
            </w:r>
            <w:r w:rsidR="00EB3A44" w:rsidRPr="00DE0AA0">
              <w:rPr>
                <w:lang w:val="en-GB"/>
              </w:rPr>
              <w:t>study of Andrew Sather</w:t>
            </w:r>
          </w:p>
          <w:p w14:paraId="4791FA62" w14:textId="77777777" w:rsidR="0075093C" w:rsidRPr="00DE0AA0" w:rsidRDefault="0075093C" w:rsidP="0075093C">
            <w:pPr>
              <w:pStyle w:val="TableParagraph"/>
              <w:spacing w:line="249" w:lineRule="exact"/>
              <w:rPr>
                <w:lang w:val="en-GB"/>
              </w:rPr>
            </w:pPr>
            <w:r w:rsidRPr="00DE0AA0">
              <w:rPr>
                <w:lang w:val="en-GB"/>
              </w:rPr>
              <w:t>Link:</w:t>
            </w:r>
            <w:r w:rsidRPr="00DE0AA0">
              <w:rPr>
                <w:spacing w:val="-11"/>
                <w:lang w:val="en-GB"/>
              </w:rPr>
              <w:t xml:space="preserve"> </w:t>
            </w:r>
            <w:hyperlink r:id="rId14" w:history="1">
              <w:r w:rsidRPr="00DE0AA0">
                <w:rPr>
                  <w:rStyle w:val="Hyperlink"/>
                  <w:lang w:val="en-GB"/>
                </w:rPr>
                <w:t>https://einvestingforbeginners.com/computer-softëare-depreciation-accounting/</w:t>
              </w:r>
            </w:hyperlink>
            <w:r w:rsidRPr="00DE0AA0">
              <w:rPr>
                <w:lang w:val="en-GB"/>
              </w:rPr>
              <w:t xml:space="preserve"> </w:t>
            </w:r>
          </w:p>
        </w:tc>
      </w:tr>
    </w:tbl>
    <w:p w14:paraId="0A920DF9" w14:textId="77777777" w:rsidR="0075093C" w:rsidRPr="00DE0AA0" w:rsidRDefault="0075093C" w:rsidP="0075093C">
      <w:pPr>
        <w:rPr>
          <w:lang w:val="en-GB"/>
        </w:rPr>
      </w:pPr>
    </w:p>
    <w:p w14:paraId="202EBB10" w14:textId="77777777" w:rsidR="0075093C" w:rsidRPr="00DE0AA0" w:rsidRDefault="00776F24" w:rsidP="005F0EEB">
      <w:pPr>
        <w:jc w:val="both"/>
        <w:rPr>
          <w:lang w:val="en-GB"/>
        </w:rPr>
      </w:pPr>
      <w:r w:rsidRPr="00DE0AA0">
        <w:rPr>
          <w:lang w:val="en-GB"/>
        </w:rPr>
        <w:t>In its application, KESCO required from ERO to review the division of the lifespan of USS assets in two categories, as presented in the following table:</w:t>
      </w:r>
    </w:p>
    <w:p w14:paraId="3BCB11BB" w14:textId="77777777" w:rsidR="00820A8B" w:rsidRPr="00DE0AA0" w:rsidRDefault="00820A8B" w:rsidP="005F0EEB">
      <w:pPr>
        <w:jc w:val="both"/>
        <w:rPr>
          <w:lang w:val="en-GB"/>
        </w:rPr>
      </w:pPr>
    </w:p>
    <w:p w14:paraId="78740042" w14:textId="77777777" w:rsidR="0075093C" w:rsidRPr="00DE0AA0" w:rsidRDefault="0075093C" w:rsidP="0075093C">
      <w:pPr>
        <w:pStyle w:val="Caption"/>
      </w:pPr>
      <w:r w:rsidRPr="00DE0AA0">
        <w:t>Ta</w:t>
      </w:r>
      <w:r w:rsidR="00913331" w:rsidRPr="00DE0AA0">
        <w:t xml:space="preserve">ble </w:t>
      </w:r>
      <w:r w:rsidRPr="00DE0AA0">
        <w:fldChar w:fldCharType="begin"/>
      </w:r>
      <w:r w:rsidRPr="00DE0AA0">
        <w:instrText xml:space="preserve"> SEQ Tabela_ \* ARABIC </w:instrText>
      </w:r>
      <w:r w:rsidRPr="00DE0AA0">
        <w:fldChar w:fldCharType="separate"/>
      </w:r>
      <w:r w:rsidR="00701D2D" w:rsidRPr="00DE0AA0">
        <w:t>14</w:t>
      </w:r>
      <w:r w:rsidRPr="00DE0AA0">
        <w:fldChar w:fldCharType="end"/>
      </w:r>
      <w:r w:rsidRPr="00DE0AA0">
        <w:t xml:space="preserve"> </w:t>
      </w:r>
      <w:r w:rsidR="002007A5" w:rsidRPr="00DE0AA0">
        <w:t xml:space="preserve">Categorization and lifespan of assets </w:t>
      </w:r>
    </w:p>
    <w:tbl>
      <w:tblPr>
        <w:tblW w:w="0" w:type="auto"/>
        <w:tblInd w:w="174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4249"/>
        <w:gridCol w:w="2230"/>
      </w:tblGrid>
      <w:tr w:rsidR="0075093C" w:rsidRPr="00DE0AA0" w14:paraId="02D8B97B" w14:textId="77777777" w:rsidTr="0075093C">
        <w:trPr>
          <w:trHeight w:val="319"/>
        </w:trPr>
        <w:tc>
          <w:tcPr>
            <w:tcW w:w="4249" w:type="dxa"/>
            <w:tcBorders>
              <w:top w:val="nil"/>
              <w:left w:val="nil"/>
              <w:bottom w:val="nil"/>
              <w:right w:val="nil"/>
            </w:tcBorders>
            <w:shd w:val="clear" w:color="auto" w:fill="5B9BD4"/>
          </w:tcPr>
          <w:p w14:paraId="153ACF34" w14:textId="22EEA874" w:rsidR="0075093C" w:rsidRPr="00DE0AA0" w:rsidRDefault="00EA7D4F" w:rsidP="0075093C">
            <w:pPr>
              <w:pStyle w:val="TableParagraph"/>
              <w:spacing w:before="23"/>
              <w:ind w:left="112"/>
              <w:rPr>
                <w:b/>
                <w:lang w:val="en-GB"/>
              </w:rPr>
            </w:pPr>
            <w:r w:rsidRPr="00DE0AA0">
              <w:rPr>
                <w:b/>
                <w:color w:val="FFFFFF"/>
                <w:lang w:val="en-GB"/>
              </w:rPr>
              <w:t>Deprecation</w:t>
            </w:r>
            <w:r w:rsidR="00CB5BF6" w:rsidRPr="00DE0AA0">
              <w:rPr>
                <w:b/>
                <w:color w:val="FFFFFF"/>
                <w:lang w:val="en-GB"/>
              </w:rPr>
              <w:t xml:space="preserve"> groups </w:t>
            </w:r>
          </w:p>
        </w:tc>
        <w:tc>
          <w:tcPr>
            <w:tcW w:w="2230" w:type="dxa"/>
            <w:tcBorders>
              <w:top w:val="nil"/>
              <w:left w:val="nil"/>
              <w:bottom w:val="nil"/>
              <w:right w:val="nil"/>
            </w:tcBorders>
            <w:shd w:val="clear" w:color="auto" w:fill="5B9BD4"/>
          </w:tcPr>
          <w:p w14:paraId="0C2BAEAC" w14:textId="77777777" w:rsidR="0075093C" w:rsidRPr="00DE0AA0" w:rsidRDefault="00CB5BF6" w:rsidP="0075093C">
            <w:pPr>
              <w:pStyle w:val="TableParagraph"/>
              <w:spacing w:before="9"/>
              <w:ind w:left="122"/>
              <w:rPr>
                <w:b/>
                <w:lang w:val="en-GB"/>
              </w:rPr>
            </w:pPr>
            <w:r w:rsidRPr="00DE0AA0">
              <w:rPr>
                <w:b/>
                <w:color w:val="FFFFFF"/>
                <w:lang w:val="en-GB"/>
              </w:rPr>
              <w:t>Lifespan of assets</w:t>
            </w:r>
          </w:p>
        </w:tc>
      </w:tr>
      <w:tr w:rsidR="0075093C" w:rsidRPr="00DE0AA0" w14:paraId="607EBC28" w14:textId="77777777" w:rsidTr="0075093C">
        <w:trPr>
          <w:trHeight w:val="297"/>
        </w:trPr>
        <w:tc>
          <w:tcPr>
            <w:tcW w:w="4249" w:type="dxa"/>
            <w:tcBorders>
              <w:top w:val="nil"/>
            </w:tcBorders>
            <w:shd w:val="clear" w:color="auto" w:fill="DEEAF6"/>
          </w:tcPr>
          <w:p w14:paraId="4F50519D" w14:textId="77777777" w:rsidR="0075093C" w:rsidRPr="00DE0AA0" w:rsidRDefault="00BD687D" w:rsidP="0075093C">
            <w:pPr>
              <w:pStyle w:val="TableParagraph"/>
              <w:spacing w:before="13" w:line="264" w:lineRule="exact"/>
              <w:rPr>
                <w:lang w:val="en-GB"/>
              </w:rPr>
            </w:pPr>
            <w:r w:rsidRPr="00DE0AA0">
              <w:rPr>
                <w:lang w:val="en-GB"/>
              </w:rPr>
              <w:lastRenderedPageBreak/>
              <w:t>Office equipment</w:t>
            </w:r>
          </w:p>
        </w:tc>
        <w:tc>
          <w:tcPr>
            <w:tcW w:w="2230" w:type="dxa"/>
            <w:tcBorders>
              <w:top w:val="nil"/>
            </w:tcBorders>
            <w:shd w:val="clear" w:color="auto" w:fill="DEEAF6"/>
          </w:tcPr>
          <w:p w14:paraId="5757DB23" w14:textId="77777777" w:rsidR="0075093C" w:rsidRPr="00DE0AA0" w:rsidRDefault="0075093C" w:rsidP="00BD687D">
            <w:pPr>
              <w:pStyle w:val="TableParagraph"/>
              <w:spacing w:before="13" w:line="264" w:lineRule="exact"/>
              <w:rPr>
                <w:lang w:val="en-GB"/>
              </w:rPr>
            </w:pPr>
            <w:r w:rsidRPr="00DE0AA0">
              <w:rPr>
                <w:lang w:val="en-GB"/>
              </w:rPr>
              <w:t>5</w:t>
            </w:r>
            <w:r w:rsidRPr="00DE0AA0">
              <w:rPr>
                <w:spacing w:val="-1"/>
                <w:lang w:val="en-GB"/>
              </w:rPr>
              <w:t xml:space="preserve"> </w:t>
            </w:r>
            <w:r w:rsidR="00BD687D" w:rsidRPr="00DE0AA0">
              <w:rPr>
                <w:lang w:val="en-GB"/>
              </w:rPr>
              <w:t>years</w:t>
            </w:r>
          </w:p>
        </w:tc>
      </w:tr>
      <w:tr w:rsidR="0075093C" w:rsidRPr="00DE0AA0" w14:paraId="78919922" w14:textId="77777777" w:rsidTr="0075093C">
        <w:trPr>
          <w:trHeight w:val="297"/>
        </w:trPr>
        <w:tc>
          <w:tcPr>
            <w:tcW w:w="4249" w:type="dxa"/>
          </w:tcPr>
          <w:p w14:paraId="790540B1" w14:textId="77777777" w:rsidR="0075093C" w:rsidRPr="00DE0AA0" w:rsidRDefault="00BD687D" w:rsidP="0075093C">
            <w:pPr>
              <w:pStyle w:val="TableParagraph"/>
              <w:spacing w:before="14" w:line="264" w:lineRule="exact"/>
              <w:rPr>
                <w:lang w:val="en-GB"/>
              </w:rPr>
            </w:pPr>
            <w:r w:rsidRPr="00DE0AA0">
              <w:rPr>
                <w:lang w:val="en-GB"/>
              </w:rPr>
              <w:t>Computer programmes</w:t>
            </w:r>
          </w:p>
        </w:tc>
        <w:tc>
          <w:tcPr>
            <w:tcW w:w="2230" w:type="dxa"/>
          </w:tcPr>
          <w:p w14:paraId="598FB14C" w14:textId="77777777" w:rsidR="0075093C" w:rsidRPr="00DE0AA0" w:rsidRDefault="0075093C" w:rsidP="00BD687D">
            <w:pPr>
              <w:pStyle w:val="TableParagraph"/>
              <w:spacing w:before="14" w:line="264" w:lineRule="exact"/>
              <w:rPr>
                <w:lang w:val="en-GB"/>
              </w:rPr>
            </w:pPr>
            <w:r w:rsidRPr="00DE0AA0">
              <w:rPr>
                <w:lang w:val="en-GB"/>
              </w:rPr>
              <w:t>3</w:t>
            </w:r>
            <w:r w:rsidRPr="00DE0AA0">
              <w:rPr>
                <w:spacing w:val="-1"/>
                <w:lang w:val="en-GB"/>
              </w:rPr>
              <w:t xml:space="preserve"> </w:t>
            </w:r>
            <w:r w:rsidR="00BD687D" w:rsidRPr="00DE0AA0">
              <w:rPr>
                <w:lang w:val="en-GB"/>
              </w:rPr>
              <w:t>years</w:t>
            </w:r>
          </w:p>
        </w:tc>
      </w:tr>
    </w:tbl>
    <w:p w14:paraId="04AC961B" w14:textId="77777777" w:rsidR="0075093C" w:rsidRPr="00DE0AA0" w:rsidRDefault="0075093C" w:rsidP="0075093C">
      <w:pPr>
        <w:rPr>
          <w:lang w:val="en-GB"/>
        </w:rPr>
      </w:pPr>
    </w:p>
    <w:p w14:paraId="6C073AE2" w14:textId="77777777" w:rsidR="0075093C" w:rsidRPr="00DE0AA0" w:rsidRDefault="00650342" w:rsidP="0075093C">
      <w:pPr>
        <w:pStyle w:val="Heading3"/>
      </w:pPr>
      <w:bookmarkStart w:id="24" w:name="_Toc89262441"/>
      <w:r w:rsidRPr="00DE0AA0">
        <w:t>ERO’s review and proposal</w:t>
      </w:r>
      <w:bookmarkEnd w:id="24"/>
    </w:p>
    <w:p w14:paraId="6C6AEF54" w14:textId="77777777" w:rsidR="0075093C" w:rsidRPr="00DE0AA0" w:rsidRDefault="000026B9" w:rsidP="005F0EEB">
      <w:pPr>
        <w:jc w:val="both"/>
        <w:rPr>
          <w:lang w:val="en-GB"/>
        </w:rPr>
      </w:pPr>
      <w:r w:rsidRPr="00DE0AA0">
        <w:rPr>
          <w:lang w:val="en-GB"/>
        </w:rPr>
        <w:t>ERO's latest decision on the lifespan of assets related to office equipment and IT infrastructure was taken in the periodic review process of the TSO and DSO for the Regulatory Period 2018-2022</w:t>
      </w:r>
      <w:r w:rsidR="005744AD" w:rsidRPr="00DE0AA0">
        <w:rPr>
          <w:lang w:val="en-GB"/>
        </w:rPr>
        <w:t>.</w:t>
      </w:r>
      <w:r w:rsidR="0075093C" w:rsidRPr="00DE0AA0">
        <w:rPr>
          <w:rStyle w:val="FootnoteReference"/>
          <w:lang w:val="en-GB"/>
        </w:rPr>
        <w:footnoteReference w:id="7"/>
      </w:r>
      <w:r w:rsidR="0075093C" w:rsidRPr="00DE0AA0">
        <w:rPr>
          <w:lang w:val="en-GB"/>
        </w:rPr>
        <w:t xml:space="preserve"> </w:t>
      </w:r>
      <w:r w:rsidR="009F45EC" w:rsidRPr="00DE0AA0">
        <w:rPr>
          <w:lang w:val="en-GB"/>
        </w:rPr>
        <w:t>The weighted average asset lifespan of IT equipment, software, licenses and patents was set at 5 years, while that of office furniture and equipment was set at 7 years.</w:t>
      </w:r>
    </w:p>
    <w:p w14:paraId="5D6C53D6" w14:textId="77777777" w:rsidR="0075093C" w:rsidRPr="00DE0AA0" w:rsidRDefault="001E0EA1" w:rsidP="005F0EEB">
      <w:pPr>
        <w:jc w:val="both"/>
        <w:rPr>
          <w:lang w:val="en-GB"/>
        </w:rPr>
      </w:pPr>
      <w:r w:rsidRPr="00DE0AA0">
        <w:rPr>
          <w:lang w:val="en-GB"/>
        </w:rPr>
        <w:t xml:space="preserve">ERO's decision during the Periodic Review was taken based on the Report on Investment Conditions  </w:t>
      </w:r>
      <w:r w:rsidR="00414878" w:rsidRPr="00DE0AA0">
        <w:rPr>
          <w:lang w:val="en-GB"/>
        </w:rPr>
        <w:t>of the Council</w:t>
      </w:r>
      <w:r w:rsidR="00C12983" w:rsidRPr="00DE0AA0">
        <w:rPr>
          <w:lang w:val="en-GB"/>
        </w:rPr>
        <w:t xml:space="preserve"> </w:t>
      </w:r>
      <w:r w:rsidR="00414878" w:rsidRPr="00DE0AA0">
        <w:rPr>
          <w:lang w:val="en-GB"/>
        </w:rPr>
        <w:t>of European Energy Reg</w:t>
      </w:r>
      <w:r w:rsidR="00C12983" w:rsidRPr="00DE0AA0">
        <w:rPr>
          <w:lang w:val="en-GB"/>
        </w:rPr>
        <w:t>u</w:t>
      </w:r>
      <w:r w:rsidR="00414878" w:rsidRPr="00DE0AA0">
        <w:rPr>
          <w:lang w:val="en-GB"/>
        </w:rPr>
        <w:t xml:space="preserve">lators </w:t>
      </w:r>
      <w:r w:rsidR="00E63F3B" w:rsidRPr="00DE0AA0">
        <w:rPr>
          <w:lang w:val="en-GB"/>
        </w:rPr>
        <w:t>(CEER)</w:t>
      </w:r>
      <w:r w:rsidR="007E367B" w:rsidRPr="00DE0AA0">
        <w:rPr>
          <w:lang w:val="en-GB"/>
        </w:rPr>
        <w:t xml:space="preserve"> in </w:t>
      </w:r>
      <w:r w:rsidRPr="00DE0AA0">
        <w:rPr>
          <w:lang w:val="en-GB"/>
        </w:rPr>
        <w:t xml:space="preserve">2016 including the </w:t>
      </w:r>
      <w:r w:rsidR="007E367B" w:rsidRPr="00DE0AA0">
        <w:rPr>
          <w:lang w:val="en-GB"/>
        </w:rPr>
        <w:t xml:space="preserve">study of </w:t>
      </w:r>
      <w:r w:rsidRPr="00DE0AA0">
        <w:rPr>
          <w:lang w:val="en-GB"/>
        </w:rPr>
        <w:t xml:space="preserve">ERRA </w:t>
      </w:r>
      <w:r w:rsidR="007E367B" w:rsidRPr="00DE0AA0">
        <w:rPr>
          <w:lang w:val="en-GB"/>
        </w:rPr>
        <w:t>in 2019</w:t>
      </w:r>
      <w:r w:rsidRPr="00DE0AA0">
        <w:rPr>
          <w:lang w:val="en-GB"/>
        </w:rPr>
        <w:t xml:space="preserve"> on Revenue Determinants of TSO and DSO</w:t>
      </w:r>
      <w:r w:rsidR="0075093C" w:rsidRPr="00DE0AA0">
        <w:rPr>
          <w:rStyle w:val="FootnoteReference"/>
          <w:lang w:val="en-GB"/>
        </w:rPr>
        <w:footnoteReference w:id="8"/>
      </w:r>
      <w:r w:rsidR="0075093C" w:rsidRPr="00DE0AA0">
        <w:rPr>
          <w:lang w:val="en-GB"/>
        </w:rPr>
        <w:t xml:space="preserve"> </w:t>
      </w:r>
      <w:r w:rsidR="00AB6976" w:rsidRPr="00DE0AA0">
        <w:rPr>
          <w:lang w:val="en-GB"/>
        </w:rPr>
        <w:t>a</w:t>
      </w:r>
      <w:r w:rsidR="00C71B6A" w:rsidRPr="00DE0AA0">
        <w:rPr>
          <w:lang w:val="en-GB"/>
        </w:rPr>
        <w:t>s well as</w:t>
      </w:r>
      <w:r w:rsidR="00A77D26" w:rsidRPr="00DE0AA0">
        <w:rPr>
          <w:lang w:val="en-GB"/>
        </w:rPr>
        <w:t xml:space="preserve"> the publication of CEER Report on Regulatory Frameworks for European Energy Networks</w:t>
      </w:r>
      <w:r w:rsidR="0075093C" w:rsidRPr="00DE0AA0">
        <w:rPr>
          <w:rStyle w:val="FootnoteReference"/>
          <w:lang w:val="en-GB"/>
        </w:rPr>
        <w:footnoteReference w:id="9"/>
      </w:r>
      <w:r w:rsidR="0075093C" w:rsidRPr="00DE0AA0">
        <w:rPr>
          <w:lang w:val="en-GB"/>
        </w:rPr>
        <w:t xml:space="preserve"> </w:t>
      </w:r>
      <w:r w:rsidR="00122C81" w:rsidRPr="00DE0AA0">
        <w:rPr>
          <w:lang w:val="en-GB"/>
        </w:rPr>
        <w:t>published in the same year</w:t>
      </w:r>
      <w:r w:rsidR="0075093C" w:rsidRPr="00DE0AA0">
        <w:rPr>
          <w:lang w:val="en-GB"/>
        </w:rPr>
        <w:t xml:space="preserve">. </w:t>
      </w:r>
      <w:r w:rsidR="00AB6976" w:rsidRPr="00DE0AA0">
        <w:rPr>
          <w:lang w:val="en-GB"/>
        </w:rPr>
        <w:t>While ERO understands the claim that the effect of technological advancement affects asset life</w:t>
      </w:r>
      <w:r w:rsidR="00C71B6A" w:rsidRPr="00DE0AA0">
        <w:rPr>
          <w:lang w:val="en-GB"/>
        </w:rPr>
        <w:t>span</w:t>
      </w:r>
      <w:r w:rsidR="00AB6976" w:rsidRPr="00DE0AA0">
        <w:rPr>
          <w:lang w:val="en-GB"/>
        </w:rPr>
        <w:t>, no convincing evidence has been found in the regulatory examples mentioned above that regulators have reduced the life of IT assets to reflect this development.</w:t>
      </w:r>
    </w:p>
    <w:p w14:paraId="1FD92F5B" w14:textId="77777777" w:rsidR="0075093C" w:rsidRPr="00DE0AA0" w:rsidRDefault="00E15C17" w:rsidP="005F0EEB">
      <w:pPr>
        <w:jc w:val="both"/>
        <w:rPr>
          <w:lang w:val="en-GB"/>
        </w:rPr>
      </w:pPr>
      <w:r w:rsidRPr="00DE0AA0">
        <w:rPr>
          <w:lang w:val="en-GB"/>
        </w:rPr>
        <w:t>With regards to the</w:t>
      </w:r>
      <w:r w:rsidR="00216E6A" w:rsidRPr="00DE0AA0">
        <w:rPr>
          <w:lang w:val="en-GB"/>
        </w:rPr>
        <w:t xml:space="preserve"> evaluat</w:t>
      </w:r>
      <w:r w:rsidR="005C3CDB" w:rsidRPr="00DE0AA0">
        <w:rPr>
          <w:lang w:val="en-GB"/>
        </w:rPr>
        <w:t>ion for categorization of asset</w:t>
      </w:r>
      <w:r w:rsidRPr="00DE0AA0">
        <w:rPr>
          <w:lang w:val="en-GB"/>
        </w:rPr>
        <w:t>s</w:t>
      </w:r>
      <w:r w:rsidR="005C3CDB" w:rsidRPr="00DE0AA0">
        <w:rPr>
          <w:lang w:val="en-GB"/>
        </w:rPr>
        <w:t xml:space="preserve"> and</w:t>
      </w:r>
      <w:r w:rsidR="00216E6A" w:rsidRPr="00DE0AA0">
        <w:rPr>
          <w:lang w:val="en-GB"/>
        </w:rPr>
        <w:t xml:space="preserve"> proposal for their lifespan, there is little comparable information for this </w:t>
      </w:r>
      <w:r w:rsidR="005C3CDB" w:rsidRPr="00DE0AA0">
        <w:rPr>
          <w:lang w:val="en-GB"/>
        </w:rPr>
        <w:t>branch</w:t>
      </w:r>
      <w:r w:rsidR="00216E6A" w:rsidRPr="00DE0AA0">
        <w:rPr>
          <w:lang w:val="en-GB"/>
        </w:rPr>
        <w:t xml:space="preserve"> of industry (universal service </w:t>
      </w:r>
      <w:r w:rsidR="00207C6A" w:rsidRPr="00DE0AA0">
        <w:rPr>
          <w:lang w:val="en-GB"/>
        </w:rPr>
        <w:t xml:space="preserve">of </w:t>
      </w:r>
      <w:r w:rsidR="00216E6A" w:rsidRPr="00DE0AA0">
        <w:rPr>
          <w:lang w:val="en-GB"/>
        </w:rPr>
        <w:t>supply). Therefore, as the main source for classifying assets into groups and proposing their l</w:t>
      </w:r>
      <w:r w:rsidR="00207C6A" w:rsidRPr="00DE0AA0">
        <w:rPr>
          <w:lang w:val="en-GB"/>
        </w:rPr>
        <w:t>ifespan</w:t>
      </w:r>
      <w:r w:rsidR="00216E6A" w:rsidRPr="00DE0AA0">
        <w:rPr>
          <w:lang w:val="en-GB"/>
        </w:rPr>
        <w:t>, ERO has considered the recent review relat</w:t>
      </w:r>
      <w:r w:rsidR="00207C6A" w:rsidRPr="00DE0AA0">
        <w:rPr>
          <w:lang w:val="en-GB"/>
        </w:rPr>
        <w:t>ed</w:t>
      </w:r>
      <w:r w:rsidR="00216E6A" w:rsidRPr="00DE0AA0">
        <w:rPr>
          <w:lang w:val="en-GB"/>
        </w:rPr>
        <w:t xml:space="preserve"> to the categorization and l</w:t>
      </w:r>
      <w:r w:rsidR="00207C6A" w:rsidRPr="00DE0AA0">
        <w:rPr>
          <w:lang w:val="en-GB"/>
        </w:rPr>
        <w:t>ifespan</w:t>
      </w:r>
      <w:r w:rsidR="00216E6A" w:rsidRPr="00DE0AA0">
        <w:rPr>
          <w:lang w:val="en-GB"/>
        </w:rPr>
        <w:t xml:space="preserve"> of assets of Transmission System Operator and Distribution System Operator. During this review, ERO has considered assets that have analogies to the asset categories of the Supplier. Based on what was s</w:t>
      </w:r>
      <w:r w:rsidR="00832B36" w:rsidRPr="00DE0AA0">
        <w:rPr>
          <w:lang w:val="en-GB"/>
        </w:rPr>
        <w:t>aid</w:t>
      </w:r>
      <w:r w:rsidR="00216E6A" w:rsidRPr="00DE0AA0">
        <w:rPr>
          <w:lang w:val="en-GB"/>
        </w:rPr>
        <w:t xml:space="preserve"> above, ERO proposes the categorization and l</w:t>
      </w:r>
      <w:r w:rsidR="00832B36" w:rsidRPr="00DE0AA0">
        <w:rPr>
          <w:lang w:val="en-GB"/>
        </w:rPr>
        <w:t>ifespan</w:t>
      </w:r>
      <w:r w:rsidR="00216E6A" w:rsidRPr="00DE0AA0">
        <w:rPr>
          <w:lang w:val="en-GB"/>
        </w:rPr>
        <w:t xml:space="preserve"> as in the following table:</w:t>
      </w:r>
    </w:p>
    <w:p w14:paraId="69FA7E23" w14:textId="77777777" w:rsidR="0075093C" w:rsidRPr="00DE0AA0" w:rsidRDefault="00E15C17" w:rsidP="0075093C">
      <w:pPr>
        <w:pStyle w:val="Caption"/>
      </w:pPr>
      <w:r w:rsidRPr="00DE0AA0">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15</w:t>
      </w:r>
      <w:r w:rsidR="0075093C" w:rsidRPr="00DE0AA0">
        <w:fldChar w:fldCharType="end"/>
      </w:r>
      <w:r w:rsidR="00AE3E88" w:rsidRPr="00DE0AA0">
        <w:t xml:space="preserve"> </w:t>
      </w:r>
      <w:r w:rsidRPr="00DE0AA0">
        <w:t>ERO’s proposal for categorization and lifespan of assets</w:t>
      </w:r>
    </w:p>
    <w:tbl>
      <w:tblPr>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567"/>
        <w:gridCol w:w="7158"/>
        <w:gridCol w:w="1294"/>
      </w:tblGrid>
      <w:tr w:rsidR="0075093C" w:rsidRPr="00DE0AA0" w14:paraId="52A1F105" w14:textId="77777777" w:rsidTr="0075093C">
        <w:tc>
          <w:tcPr>
            <w:tcW w:w="567" w:type="dxa"/>
            <w:shd w:val="clear" w:color="auto" w:fill="003366"/>
          </w:tcPr>
          <w:p w14:paraId="49C5FAE0" w14:textId="77777777" w:rsidR="0075093C" w:rsidRPr="00DE0AA0" w:rsidRDefault="0075093C" w:rsidP="0075093C">
            <w:pPr>
              <w:spacing w:before="60" w:after="60"/>
              <w:jc w:val="center"/>
              <w:rPr>
                <w:lang w:val="en-GB"/>
              </w:rPr>
            </w:pPr>
          </w:p>
        </w:tc>
        <w:tc>
          <w:tcPr>
            <w:tcW w:w="7158" w:type="dxa"/>
            <w:shd w:val="clear" w:color="auto" w:fill="003366"/>
          </w:tcPr>
          <w:p w14:paraId="4B364E5F" w14:textId="77777777" w:rsidR="0075093C" w:rsidRPr="00DE0AA0" w:rsidRDefault="00590491" w:rsidP="0075093C">
            <w:pPr>
              <w:spacing w:before="60" w:after="60"/>
              <w:jc w:val="center"/>
              <w:rPr>
                <w:lang w:val="en-GB"/>
              </w:rPr>
            </w:pPr>
            <w:r w:rsidRPr="00DE0AA0">
              <w:rPr>
                <w:lang w:val="en-GB"/>
              </w:rPr>
              <w:t>Assets</w:t>
            </w:r>
          </w:p>
        </w:tc>
        <w:tc>
          <w:tcPr>
            <w:tcW w:w="1294" w:type="dxa"/>
            <w:shd w:val="clear" w:color="auto" w:fill="003366"/>
          </w:tcPr>
          <w:p w14:paraId="7D697B09" w14:textId="77777777" w:rsidR="0075093C" w:rsidRPr="00DE0AA0" w:rsidRDefault="00590491" w:rsidP="00590491">
            <w:pPr>
              <w:spacing w:before="60" w:after="60"/>
              <w:jc w:val="center"/>
              <w:rPr>
                <w:lang w:val="en-GB"/>
              </w:rPr>
            </w:pPr>
            <w:r w:rsidRPr="00DE0AA0">
              <w:rPr>
                <w:lang w:val="en-GB"/>
              </w:rPr>
              <w:t>Lifespan of assets</w:t>
            </w:r>
            <w:r w:rsidR="0075093C" w:rsidRPr="00DE0AA0">
              <w:rPr>
                <w:lang w:val="en-GB"/>
              </w:rPr>
              <w:t xml:space="preserve"> (</w:t>
            </w:r>
            <w:r w:rsidRPr="00DE0AA0">
              <w:rPr>
                <w:lang w:val="en-GB"/>
              </w:rPr>
              <w:t>years</w:t>
            </w:r>
            <w:r w:rsidR="0075093C" w:rsidRPr="00DE0AA0">
              <w:rPr>
                <w:lang w:val="en-GB"/>
              </w:rPr>
              <w:t>)</w:t>
            </w:r>
          </w:p>
        </w:tc>
      </w:tr>
      <w:tr w:rsidR="0075093C" w:rsidRPr="00DE0AA0" w14:paraId="57973664" w14:textId="77777777" w:rsidTr="0075093C">
        <w:tc>
          <w:tcPr>
            <w:tcW w:w="567" w:type="dxa"/>
            <w:shd w:val="clear" w:color="auto" w:fill="auto"/>
          </w:tcPr>
          <w:p w14:paraId="29A82442" w14:textId="77777777" w:rsidR="0075093C" w:rsidRPr="00DE0AA0" w:rsidRDefault="0075093C" w:rsidP="0075093C">
            <w:pPr>
              <w:spacing w:before="60" w:after="60"/>
              <w:rPr>
                <w:lang w:val="en-GB"/>
              </w:rPr>
            </w:pPr>
            <w:r w:rsidRPr="00DE0AA0">
              <w:rPr>
                <w:lang w:val="en-GB"/>
              </w:rPr>
              <w:t>I</w:t>
            </w:r>
          </w:p>
        </w:tc>
        <w:tc>
          <w:tcPr>
            <w:tcW w:w="7158" w:type="dxa"/>
            <w:shd w:val="clear" w:color="auto" w:fill="auto"/>
          </w:tcPr>
          <w:p w14:paraId="3283D0D8" w14:textId="77777777" w:rsidR="0075093C" w:rsidRPr="00DE0AA0" w:rsidRDefault="00590491" w:rsidP="00590491">
            <w:pPr>
              <w:spacing w:before="60" w:after="60"/>
              <w:rPr>
                <w:lang w:val="en-GB"/>
              </w:rPr>
            </w:pPr>
            <w:r w:rsidRPr="00DE0AA0">
              <w:rPr>
                <w:lang w:val="en-GB"/>
              </w:rPr>
              <w:t>Furniture</w:t>
            </w:r>
            <w:r w:rsidR="0075093C" w:rsidRPr="00DE0AA0">
              <w:rPr>
                <w:lang w:val="en-GB"/>
              </w:rPr>
              <w:t xml:space="preserve">, </w:t>
            </w:r>
            <w:r w:rsidRPr="00DE0AA0">
              <w:rPr>
                <w:lang w:val="en-GB"/>
              </w:rPr>
              <w:t>office equipment</w:t>
            </w:r>
          </w:p>
        </w:tc>
        <w:tc>
          <w:tcPr>
            <w:tcW w:w="1294" w:type="dxa"/>
            <w:shd w:val="clear" w:color="auto" w:fill="auto"/>
          </w:tcPr>
          <w:p w14:paraId="05EFB248" w14:textId="77777777" w:rsidR="0075093C" w:rsidRPr="00DE0AA0" w:rsidRDefault="0075093C" w:rsidP="0075093C">
            <w:pPr>
              <w:spacing w:before="60" w:after="60"/>
              <w:jc w:val="center"/>
              <w:rPr>
                <w:lang w:val="en-GB"/>
              </w:rPr>
            </w:pPr>
            <w:r w:rsidRPr="00DE0AA0">
              <w:rPr>
                <w:lang w:val="en-GB"/>
              </w:rPr>
              <w:t>7</w:t>
            </w:r>
          </w:p>
        </w:tc>
      </w:tr>
      <w:tr w:rsidR="0075093C" w:rsidRPr="00DE0AA0" w14:paraId="02B393A7" w14:textId="77777777" w:rsidTr="0075093C">
        <w:tc>
          <w:tcPr>
            <w:tcW w:w="567" w:type="dxa"/>
            <w:shd w:val="clear" w:color="auto" w:fill="auto"/>
          </w:tcPr>
          <w:p w14:paraId="5F0E8A0B" w14:textId="77777777" w:rsidR="0075093C" w:rsidRPr="00DE0AA0" w:rsidRDefault="0075093C" w:rsidP="0075093C">
            <w:pPr>
              <w:spacing w:before="60" w:after="60"/>
              <w:rPr>
                <w:lang w:val="en-GB"/>
              </w:rPr>
            </w:pPr>
            <w:r w:rsidRPr="00DE0AA0">
              <w:rPr>
                <w:lang w:val="en-GB"/>
              </w:rPr>
              <w:t>II</w:t>
            </w:r>
          </w:p>
        </w:tc>
        <w:tc>
          <w:tcPr>
            <w:tcW w:w="7158" w:type="dxa"/>
            <w:shd w:val="clear" w:color="auto" w:fill="auto"/>
          </w:tcPr>
          <w:p w14:paraId="4BD2C188" w14:textId="77777777" w:rsidR="0075093C" w:rsidRPr="00DE0AA0" w:rsidRDefault="00590491" w:rsidP="00590491">
            <w:pPr>
              <w:spacing w:before="60" w:after="60"/>
              <w:rPr>
                <w:lang w:val="en-GB"/>
              </w:rPr>
            </w:pPr>
            <w:r w:rsidRPr="00DE0AA0">
              <w:rPr>
                <w:lang w:val="en-GB"/>
              </w:rPr>
              <w:t>Work equipment, reading devices, cars, computers, IT equipment and software</w:t>
            </w:r>
          </w:p>
        </w:tc>
        <w:tc>
          <w:tcPr>
            <w:tcW w:w="1294" w:type="dxa"/>
            <w:shd w:val="clear" w:color="auto" w:fill="auto"/>
          </w:tcPr>
          <w:p w14:paraId="6F5749B5" w14:textId="77777777" w:rsidR="0075093C" w:rsidRPr="00DE0AA0" w:rsidRDefault="0075093C" w:rsidP="0075093C">
            <w:pPr>
              <w:spacing w:before="60" w:after="60"/>
              <w:jc w:val="center"/>
              <w:rPr>
                <w:lang w:val="en-GB"/>
              </w:rPr>
            </w:pPr>
            <w:r w:rsidRPr="00DE0AA0">
              <w:rPr>
                <w:lang w:val="en-GB"/>
              </w:rPr>
              <w:t>5</w:t>
            </w:r>
          </w:p>
        </w:tc>
      </w:tr>
    </w:tbl>
    <w:p w14:paraId="3E341A8D" w14:textId="77777777" w:rsidR="0075093C" w:rsidRPr="00DE0AA0" w:rsidRDefault="00380CA5" w:rsidP="0075093C">
      <w:pPr>
        <w:pStyle w:val="Heading1"/>
      </w:pPr>
      <w:bookmarkStart w:id="25" w:name="_Toc89262442"/>
      <w:r w:rsidRPr="00DE0AA0">
        <w:lastRenderedPageBreak/>
        <w:t xml:space="preserve">Proposal for Input Values </w:t>
      </w:r>
      <w:r w:rsidR="007451A4" w:rsidRPr="00DE0AA0">
        <w:t>a</w:t>
      </w:r>
      <w:r w:rsidRPr="00DE0AA0">
        <w:t>nd Operating Expenses</w:t>
      </w:r>
      <w:bookmarkEnd w:id="25"/>
    </w:p>
    <w:p w14:paraId="6FEB657E" w14:textId="38C1355F" w:rsidR="0075093C" w:rsidRPr="00DE0AA0" w:rsidRDefault="004018CC" w:rsidP="005F0EEB">
      <w:pPr>
        <w:jc w:val="both"/>
        <w:rPr>
          <w:lang w:val="en-GB"/>
        </w:rPr>
      </w:pPr>
      <w:r w:rsidRPr="00DE0AA0">
        <w:rPr>
          <w:lang w:val="en-GB"/>
        </w:rPr>
        <w:t xml:space="preserve">The following table presents the </w:t>
      </w:r>
      <w:r w:rsidR="00B41270" w:rsidRPr="00DE0AA0">
        <w:rPr>
          <w:lang w:val="en-GB"/>
        </w:rPr>
        <w:t xml:space="preserve">summarized proposal of ERO </w:t>
      </w:r>
      <w:r w:rsidR="004634DF">
        <w:rPr>
          <w:lang w:val="en-GB"/>
        </w:rPr>
        <w:t>for</w:t>
      </w:r>
      <w:r w:rsidR="004634DF" w:rsidRPr="00DE0AA0">
        <w:rPr>
          <w:lang w:val="en-GB"/>
        </w:rPr>
        <w:t xml:space="preserve"> </w:t>
      </w:r>
      <w:r w:rsidR="00B41270" w:rsidRPr="00DE0AA0">
        <w:rPr>
          <w:lang w:val="en-GB"/>
        </w:rPr>
        <w:t>Input Values and Operating e</w:t>
      </w:r>
      <w:r w:rsidRPr="00DE0AA0">
        <w:rPr>
          <w:lang w:val="en-GB"/>
        </w:rPr>
        <w:t xml:space="preserve">xpenses. </w:t>
      </w:r>
    </w:p>
    <w:p w14:paraId="34A1948D" w14:textId="34659345" w:rsidR="0075093C" w:rsidRPr="00DE0AA0" w:rsidRDefault="000654DE" w:rsidP="0075093C">
      <w:pPr>
        <w:pStyle w:val="Caption"/>
      </w:pPr>
      <w:r w:rsidRPr="00DE0AA0">
        <w:t xml:space="preserve">Table  </w:t>
      </w:r>
      <w:r w:rsidR="0075093C" w:rsidRPr="00DE0AA0">
        <w:fldChar w:fldCharType="begin"/>
      </w:r>
      <w:r w:rsidR="0075093C" w:rsidRPr="00DE0AA0">
        <w:instrText xml:space="preserve"> SEQ Tabela_ \* ARABIC </w:instrText>
      </w:r>
      <w:r w:rsidR="0075093C" w:rsidRPr="00DE0AA0">
        <w:fldChar w:fldCharType="separate"/>
      </w:r>
      <w:r w:rsidR="00701D2D" w:rsidRPr="00DE0AA0">
        <w:t>16</w:t>
      </w:r>
      <w:r w:rsidR="0075093C" w:rsidRPr="00DE0AA0">
        <w:fldChar w:fldCharType="end"/>
      </w:r>
      <w:r w:rsidR="0075093C" w:rsidRPr="00DE0AA0">
        <w:t xml:space="preserve"> </w:t>
      </w:r>
      <w:r w:rsidRPr="00DE0AA0">
        <w:t xml:space="preserve">ERO’s proposal </w:t>
      </w:r>
      <w:r w:rsidR="0072791F">
        <w:t>for</w:t>
      </w:r>
      <w:r w:rsidRPr="00DE0AA0">
        <w:t xml:space="preserve"> Input Values and Operating Expenses</w:t>
      </w:r>
    </w:p>
    <w:tbl>
      <w:tblPr>
        <w:tblW w:w="5000" w:type="pct"/>
        <w:jc w:val="center"/>
        <w:tblLook w:val="04A0" w:firstRow="1" w:lastRow="0" w:firstColumn="1" w:lastColumn="0" w:noHBand="0" w:noVBand="1"/>
      </w:tblPr>
      <w:tblGrid>
        <w:gridCol w:w="6307"/>
        <w:gridCol w:w="805"/>
        <w:gridCol w:w="743"/>
        <w:gridCol w:w="743"/>
        <w:gridCol w:w="742"/>
      </w:tblGrid>
      <w:tr w:rsidR="0075093C" w:rsidRPr="00DE0AA0" w14:paraId="439B45FA" w14:textId="77777777" w:rsidTr="00AF6D35">
        <w:trPr>
          <w:trHeight w:val="269"/>
          <w:jc w:val="center"/>
        </w:trPr>
        <w:tc>
          <w:tcPr>
            <w:tcW w:w="3376"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14:paraId="35CCAFC7" w14:textId="1FE9419F" w:rsidR="0075093C" w:rsidRPr="00DE0AA0" w:rsidRDefault="000654DE" w:rsidP="0075093C">
            <w:pPr>
              <w:spacing w:after="0" w:line="240" w:lineRule="auto"/>
              <w:rPr>
                <w:rFonts w:eastAsia="Times New Roman" w:cstheme="minorHAnsi"/>
                <w:b/>
                <w:bCs/>
                <w:i/>
                <w:iCs/>
                <w:color w:val="FFFFFF"/>
                <w:sz w:val="20"/>
                <w:szCs w:val="20"/>
                <w:lang w:val="en-GB" w:eastAsia="en-GB"/>
              </w:rPr>
            </w:pPr>
            <w:r w:rsidRPr="00DE0AA0">
              <w:rPr>
                <w:rFonts w:eastAsia="Times New Roman" w:cstheme="minorHAnsi"/>
                <w:b/>
                <w:bCs/>
                <w:i/>
                <w:iCs/>
                <w:color w:val="FFFFFF"/>
                <w:sz w:val="20"/>
                <w:szCs w:val="20"/>
                <w:lang w:val="en-GB" w:eastAsia="en-GB"/>
              </w:rPr>
              <w:t>ER</w:t>
            </w:r>
            <w:r w:rsidR="00E12ED9">
              <w:rPr>
                <w:rFonts w:eastAsia="Times New Roman" w:cstheme="minorHAnsi"/>
                <w:b/>
                <w:bCs/>
                <w:i/>
                <w:iCs/>
                <w:color w:val="FFFFFF"/>
                <w:sz w:val="20"/>
                <w:szCs w:val="20"/>
                <w:lang w:val="en-GB" w:eastAsia="en-GB"/>
              </w:rPr>
              <w:t>O</w:t>
            </w:r>
            <w:r w:rsidRPr="00DE0AA0">
              <w:rPr>
                <w:rFonts w:eastAsia="Times New Roman" w:cstheme="minorHAnsi"/>
                <w:b/>
                <w:bCs/>
                <w:i/>
                <w:iCs/>
                <w:color w:val="FFFFFF"/>
                <w:sz w:val="20"/>
                <w:szCs w:val="20"/>
                <w:lang w:val="en-GB" w:eastAsia="en-GB"/>
              </w:rPr>
              <w:t xml:space="preserve">’s proposal </w:t>
            </w:r>
            <w:r w:rsidR="005D6EDC">
              <w:rPr>
                <w:rFonts w:eastAsia="Times New Roman" w:cstheme="minorHAnsi"/>
                <w:b/>
                <w:bCs/>
                <w:i/>
                <w:iCs/>
                <w:color w:val="FFFFFF"/>
                <w:sz w:val="20"/>
                <w:szCs w:val="20"/>
                <w:lang w:val="en-GB" w:eastAsia="en-GB"/>
              </w:rPr>
              <w:t>for</w:t>
            </w:r>
            <w:r w:rsidRPr="00DE0AA0">
              <w:rPr>
                <w:rFonts w:eastAsia="Times New Roman" w:cstheme="minorHAnsi"/>
                <w:b/>
                <w:bCs/>
                <w:i/>
                <w:iCs/>
                <w:color w:val="FFFFFF"/>
                <w:sz w:val="20"/>
                <w:szCs w:val="20"/>
                <w:lang w:val="en-GB" w:eastAsia="en-GB"/>
              </w:rPr>
              <w:t xml:space="preserve"> Input Values and Operating Expenses of USS</w:t>
            </w:r>
          </w:p>
        </w:tc>
        <w:tc>
          <w:tcPr>
            <w:tcW w:w="431"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14:paraId="088034DF" w14:textId="77777777" w:rsidR="0075093C" w:rsidRPr="00DE0AA0" w:rsidRDefault="000654DE" w:rsidP="0075093C">
            <w:pPr>
              <w:spacing w:after="0" w:line="240" w:lineRule="auto"/>
              <w:rPr>
                <w:rFonts w:eastAsia="Times New Roman" w:cstheme="minorHAnsi"/>
                <w:b/>
                <w:bCs/>
                <w:color w:val="FFFFFF"/>
                <w:sz w:val="20"/>
                <w:szCs w:val="20"/>
                <w:lang w:val="en-GB" w:eastAsia="en-GB"/>
              </w:rPr>
            </w:pPr>
            <w:r w:rsidRPr="00DE0AA0">
              <w:rPr>
                <w:rFonts w:eastAsia="Times New Roman" w:cstheme="minorHAnsi"/>
                <w:b/>
                <w:bCs/>
                <w:color w:val="FFFFFF"/>
                <w:sz w:val="20"/>
                <w:szCs w:val="20"/>
                <w:lang w:val="en-GB" w:eastAsia="en-GB"/>
              </w:rPr>
              <w:t>Unit</w:t>
            </w:r>
          </w:p>
        </w:tc>
        <w:tc>
          <w:tcPr>
            <w:tcW w:w="398"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14:paraId="3978FEBE" w14:textId="77777777" w:rsidR="0075093C" w:rsidRPr="00DE0AA0" w:rsidRDefault="0075093C" w:rsidP="0075093C">
            <w:pPr>
              <w:spacing w:after="0" w:line="240" w:lineRule="auto"/>
              <w:jc w:val="center"/>
              <w:rPr>
                <w:rFonts w:eastAsia="Times New Roman" w:cstheme="minorHAnsi"/>
                <w:b/>
                <w:bCs/>
                <w:color w:val="FFFFFF"/>
                <w:sz w:val="20"/>
                <w:szCs w:val="20"/>
                <w:lang w:val="en-GB" w:eastAsia="en-GB"/>
              </w:rPr>
            </w:pPr>
            <w:r w:rsidRPr="00DE0AA0">
              <w:rPr>
                <w:rFonts w:eastAsia="Times New Roman" w:cstheme="minorHAnsi"/>
                <w:b/>
                <w:bCs/>
                <w:color w:val="FFFFFF"/>
                <w:sz w:val="20"/>
                <w:szCs w:val="20"/>
                <w:lang w:val="en-GB" w:eastAsia="en-GB"/>
              </w:rPr>
              <w:t>2022</w:t>
            </w:r>
          </w:p>
        </w:tc>
        <w:tc>
          <w:tcPr>
            <w:tcW w:w="398"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14:paraId="71D18D8C" w14:textId="77777777" w:rsidR="0075093C" w:rsidRPr="00DE0AA0" w:rsidRDefault="0075093C" w:rsidP="0075093C">
            <w:pPr>
              <w:spacing w:after="0" w:line="240" w:lineRule="auto"/>
              <w:jc w:val="center"/>
              <w:rPr>
                <w:rFonts w:eastAsia="Times New Roman" w:cstheme="minorHAnsi"/>
                <w:b/>
                <w:bCs/>
                <w:color w:val="FFFFFF"/>
                <w:sz w:val="20"/>
                <w:szCs w:val="20"/>
                <w:lang w:val="en-GB" w:eastAsia="en-GB"/>
              </w:rPr>
            </w:pPr>
            <w:r w:rsidRPr="00DE0AA0">
              <w:rPr>
                <w:rFonts w:eastAsia="Times New Roman" w:cstheme="minorHAnsi"/>
                <w:b/>
                <w:bCs/>
                <w:color w:val="FFFFFF"/>
                <w:sz w:val="20"/>
                <w:szCs w:val="20"/>
                <w:lang w:val="en-GB" w:eastAsia="en-GB"/>
              </w:rPr>
              <w:t>2023</w:t>
            </w:r>
          </w:p>
        </w:tc>
        <w:tc>
          <w:tcPr>
            <w:tcW w:w="397"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14:paraId="0F301B7D" w14:textId="77777777" w:rsidR="0075093C" w:rsidRPr="00DE0AA0" w:rsidRDefault="0075093C" w:rsidP="0075093C">
            <w:pPr>
              <w:spacing w:after="0" w:line="240" w:lineRule="auto"/>
              <w:jc w:val="center"/>
              <w:rPr>
                <w:rFonts w:eastAsia="Times New Roman" w:cstheme="minorHAnsi"/>
                <w:b/>
                <w:bCs/>
                <w:color w:val="FFFFFF"/>
                <w:sz w:val="20"/>
                <w:szCs w:val="20"/>
                <w:lang w:val="en-GB" w:eastAsia="en-GB"/>
              </w:rPr>
            </w:pPr>
            <w:r w:rsidRPr="00DE0AA0">
              <w:rPr>
                <w:rFonts w:eastAsia="Times New Roman" w:cstheme="minorHAnsi"/>
                <w:b/>
                <w:bCs/>
                <w:color w:val="FFFFFF"/>
                <w:sz w:val="20"/>
                <w:szCs w:val="20"/>
                <w:lang w:val="en-GB" w:eastAsia="en-GB"/>
              </w:rPr>
              <w:t>2024</w:t>
            </w:r>
          </w:p>
        </w:tc>
      </w:tr>
      <w:tr w:rsidR="0075093C" w:rsidRPr="00DE0AA0" w14:paraId="5FF773F7" w14:textId="77777777" w:rsidTr="00AF6D35">
        <w:trPr>
          <w:trHeight w:val="269"/>
          <w:jc w:val="center"/>
        </w:trPr>
        <w:tc>
          <w:tcPr>
            <w:tcW w:w="3376" w:type="pct"/>
            <w:vMerge/>
            <w:tcBorders>
              <w:top w:val="single" w:sz="8" w:space="0" w:color="FFFFFF"/>
              <w:left w:val="single" w:sz="8" w:space="0" w:color="FFFFFF"/>
              <w:bottom w:val="single" w:sz="8" w:space="0" w:color="FFFFFF"/>
              <w:right w:val="single" w:sz="8" w:space="0" w:color="FFFFFF"/>
            </w:tcBorders>
            <w:vAlign w:val="center"/>
            <w:hideMark/>
          </w:tcPr>
          <w:p w14:paraId="36D8712C" w14:textId="77777777" w:rsidR="0075093C" w:rsidRPr="00DE0AA0" w:rsidRDefault="0075093C" w:rsidP="0075093C">
            <w:pPr>
              <w:spacing w:after="0" w:line="240" w:lineRule="auto"/>
              <w:rPr>
                <w:rFonts w:eastAsia="Times New Roman" w:cstheme="minorHAnsi"/>
                <w:b/>
                <w:bCs/>
                <w:i/>
                <w:iCs/>
                <w:color w:val="FFFFFF"/>
                <w:sz w:val="20"/>
                <w:szCs w:val="20"/>
                <w:lang w:val="en-GB" w:eastAsia="en-GB"/>
              </w:rPr>
            </w:pPr>
          </w:p>
        </w:tc>
        <w:tc>
          <w:tcPr>
            <w:tcW w:w="431" w:type="pct"/>
            <w:vMerge/>
            <w:tcBorders>
              <w:top w:val="single" w:sz="8" w:space="0" w:color="FFFFFF"/>
              <w:left w:val="single" w:sz="8" w:space="0" w:color="FFFFFF"/>
              <w:bottom w:val="single" w:sz="8" w:space="0" w:color="FFFFFF"/>
              <w:right w:val="single" w:sz="8" w:space="0" w:color="FFFFFF"/>
            </w:tcBorders>
            <w:vAlign w:val="center"/>
            <w:hideMark/>
          </w:tcPr>
          <w:p w14:paraId="287A674C" w14:textId="77777777" w:rsidR="0075093C" w:rsidRPr="00DE0AA0" w:rsidRDefault="0075093C" w:rsidP="0075093C">
            <w:pPr>
              <w:spacing w:after="0" w:line="240" w:lineRule="auto"/>
              <w:rPr>
                <w:rFonts w:eastAsia="Times New Roman" w:cstheme="minorHAnsi"/>
                <w:b/>
                <w:bCs/>
                <w:color w:val="FFFFFF"/>
                <w:sz w:val="20"/>
                <w:szCs w:val="20"/>
                <w:lang w:val="en-GB" w:eastAsia="en-GB"/>
              </w:rPr>
            </w:pPr>
          </w:p>
        </w:tc>
        <w:tc>
          <w:tcPr>
            <w:tcW w:w="398" w:type="pct"/>
            <w:vMerge/>
            <w:tcBorders>
              <w:top w:val="single" w:sz="8" w:space="0" w:color="FFFFFF"/>
              <w:left w:val="single" w:sz="8" w:space="0" w:color="FFFFFF"/>
              <w:bottom w:val="single" w:sz="8" w:space="0" w:color="FFFFFF"/>
              <w:right w:val="single" w:sz="8" w:space="0" w:color="FFFFFF"/>
            </w:tcBorders>
            <w:vAlign w:val="center"/>
            <w:hideMark/>
          </w:tcPr>
          <w:p w14:paraId="7AD99EEE" w14:textId="77777777" w:rsidR="0075093C" w:rsidRPr="00DE0AA0" w:rsidRDefault="0075093C" w:rsidP="0075093C">
            <w:pPr>
              <w:spacing w:after="0" w:line="240" w:lineRule="auto"/>
              <w:jc w:val="center"/>
              <w:rPr>
                <w:rFonts w:eastAsia="Times New Roman" w:cstheme="minorHAnsi"/>
                <w:b/>
                <w:bCs/>
                <w:color w:val="FFFFFF"/>
                <w:sz w:val="20"/>
                <w:szCs w:val="20"/>
                <w:lang w:val="en-GB" w:eastAsia="en-GB"/>
              </w:rPr>
            </w:pPr>
          </w:p>
        </w:tc>
        <w:tc>
          <w:tcPr>
            <w:tcW w:w="398" w:type="pct"/>
            <w:vMerge/>
            <w:tcBorders>
              <w:top w:val="single" w:sz="8" w:space="0" w:color="FFFFFF"/>
              <w:left w:val="single" w:sz="8" w:space="0" w:color="FFFFFF"/>
              <w:bottom w:val="single" w:sz="8" w:space="0" w:color="FFFFFF"/>
              <w:right w:val="single" w:sz="8" w:space="0" w:color="FFFFFF"/>
            </w:tcBorders>
            <w:vAlign w:val="center"/>
            <w:hideMark/>
          </w:tcPr>
          <w:p w14:paraId="09B305E1" w14:textId="77777777" w:rsidR="0075093C" w:rsidRPr="00DE0AA0" w:rsidRDefault="0075093C" w:rsidP="0075093C">
            <w:pPr>
              <w:spacing w:after="0" w:line="240" w:lineRule="auto"/>
              <w:jc w:val="center"/>
              <w:rPr>
                <w:rFonts w:eastAsia="Times New Roman" w:cstheme="minorHAnsi"/>
                <w:b/>
                <w:bCs/>
                <w:color w:val="FFFFFF"/>
                <w:sz w:val="20"/>
                <w:szCs w:val="20"/>
                <w:lang w:val="en-GB" w:eastAsia="en-GB"/>
              </w:rPr>
            </w:pPr>
          </w:p>
        </w:tc>
        <w:tc>
          <w:tcPr>
            <w:tcW w:w="397" w:type="pct"/>
            <w:vMerge/>
            <w:tcBorders>
              <w:top w:val="single" w:sz="8" w:space="0" w:color="FFFFFF"/>
              <w:left w:val="single" w:sz="8" w:space="0" w:color="FFFFFF"/>
              <w:bottom w:val="single" w:sz="8" w:space="0" w:color="FFFFFF"/>
              <w:right w:val="single" w:sz="8" w:space="0" w:color="FFFFFF"/>
            </w:tcBorders>
            <w:vAlign w:val="center"/>
            <w:hideMark/>
          </w:tcPr>
          <w:p w14:paraId="33F52E21" w14:textId="77777777" w:rsidR="0075093C" w:rsidRPr="00DE0AA0" w:rsidRDefault="0075093C" w:rsidP="0075093C">
            <w:pPr>
              <w:spacing w:after="0" w:line="240" w:lineRule="auto"/>
              <w:jc w:val="center"/>
              <w:rPr>
                <w:rFonts w:eastAsia="Times New Roman" w:cstheme="minorHAnsi"/>
                <w:b/>
                <w:bCs/>
                <w:color w:val="FFFFFF"/>
                <w:sz w:val="20"/>
                <w:szCs w:val="20"/>
                <w:lang w:val="en-GB" w:eastAsia="en-GB"/>
              </w:rPr>
            </w:pPr>
          </w:p>
        </w:tc>
      </w:tr>
      <w:tr w:rsidR="0075093C" w:rsidRPr="00DE0AA0" w14:paraId="15A01961" w14:textId="77777777"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14:paraId="3328AB9D" w14:textId="52873DA3" w:rsidR="0075093C" w:rsidRPr="00DE0AA0" w:rsidRDefault="007D0FE2"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Retail</w:t>
            </w:r>
            <w:r w:rsidR="000654DE" w:rsidRPr="00DE0AA0">
              <w:rPr>
                <w:rFonts w:eastAsia="Times New Roman" w:cstheme="minorHAnsi"/>
                <w:color w:val="000000"/>
                <w:sz w:val="20"/>
                <w:szCs w:val="20"/>
                <w:lang w:val="en-GB" w:eastAsia="en-GB"/>
              </w:rPr>
              <w:t xml:space="preserve"> Margin</w:t>
            </w:r>
          </w:p>
        </w:tc>
        <w:tc>
          <w:tcPr>
            <w:tcW w:w="431" w:type="pct"/>
            <w:tcBorders>
              <w:top w:val="nil"/>
              <w:left w:val="nil"/>
              <w:bottom w:val="single" w:sz="8" w:space="0" w:color="003366"/>
              <w:right w:val="single" w:sz="8" w:space="0" w:color="003366"/>
            </w:tcBorders>
            <w:shd w:val="clear" w:color="auto" w:fill="auto"/>
            <w:vAlign w:val="center"/>
            <w:hideMark/>
          </w:tcPr>
          <w:p w14:paraId="3A4C7A8E" w14:textId="77777777" w:rsidR="0075093C" w:rsidRPr="00DE0AA0" w:rsidRDefault="0075093C"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w:t>
            </w:r>
          </w:p>
        </w:tc>
        <w:tc>
          <w:tcPr>
            <w:tcW w:w="398" w:type="pct"/>
            <w:tcBorders>
              <w:top w:val="nil"/>
              <w:left w:val="nil"/>
              <w:bottom w:val="single" w:sz="8" w:space="0" w:color="003366"/>
              <w:right w:val="single" w:sz="8" w:space="0" w:color="003366"/>
            </w:tcBorders>
            <w:shd w:val="clear" w:color="auto" w:fill="auto"/>
            <w:vAlign w:val="center"/>
            <w:hideMark/>
          </w:tcPr>
          <w:p w14:paraId="23066F3B"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2.54</w:t>
            </w:r>
          </w:p>
        </w:tc>
        <w:tc>
          <w:tcPr>
            <w:tcW w:w="398" w:type="pct"/>
            <w:tcBorders>
              <w:top w:val="nil"/>
              <w:left w:val="nil"/>
              <w:bottom w:val="single" w:sz="8" w:space="0" w:color="003366"/>
              <w:right w:val="single" w:sz="8" w:space="0" w:color="003366"/>
            </w:tcBorders>
            <w:shd w:val="clear" w:color="auto" w:fill="auto"/>
            <w:vAlign w:val="center"/>
            <w:hideMark/>
          </w:tcPr>
          <w:p w14:paraId="48E5F583"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2.54</w:t>
            </w:r>
          </w:p>
        </w:tc>
        <w:tc>
          <w:tcPr>
            <w:tcW w:w="397" w:type="pct"/>
            <w:tcBorders>
              <w:top w:val="nil"/>
              <w:left w:val="nil"/>
              <w:bottom w:val="single" w:sz="8" w:space="0" w:color="003366"/>
              <w:right w:val="single" w:sz="8" w:space="0" w:color="003366"/>
            </w:tcBorders>
            <w:shd w:val="clear" w:color="auto" w:fill="auto"/>
            <w:vAlign w:val="center"/>
            <w:hideMark/>
          </w:tcPr>
          <w:p w14:paraId="39087C94"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2.54</w:t>
            </w:r>
          </w:p>
        </w:tc>
      </w:tr>
      <w:tr w:rsidR="0075093C" w:rsidRPr="00DE0AA0" w14:paraId="1127AE5B" w14:textId="77777777"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14:paraId="39FA4906" w14:textId="77777777" w:rsidR="0075093C" w:rsidRPr="00DE0AA0" w:rsidRDefault="004466FC" w:rsidP="0075093C">
            <w:pPr>
              <w:spacing w:after="0" w:line="240" w:lineRule="auto"/>
              <w:rPr>
                <w:rFonts w:eastAsia="Times New Roman" w:cstheme="minorHAnsi"/>
                <w:sz w:val="20"/>
                <w:szCs w:val="20"/>
                <w:lang w:val="en-GB" w:eastAsia="en-GB"/>
              </w:rPr>
            </w:pPr>
            <w:r w:rsidRPr="00DE0AA0">
              <w:rPr>
                <w:rFonts w:eastAsia="Times New Roman" w:cstheme="minorHAnsi"/>
                <w:sz w:val="20"/>
                <w:szCs w:val="20"/>
                <w:lang w:val="en-GB" w:eastAsia="en-GB"/>
              </w:rPr>
              <w:t>Bad Debt</w:t>
            </w:r>
          </w:p>
        </w:tc>
        <w:tc>
          <w:tcPr>
            <w:tcW w:w="431" w:type="pct"/>
            <w:tcBorders>
              <w:top w:val="nil"/>
              <w:left w:val="nil"/>
              <w:bottom w:val="single" w:sz="8" w:space="0" w:color="003366"/>
              <w:right w:val="single" w:sz="8" w:space="0" w:color="003366"/>
            </w:tcBorders>
            <w:shd w:val="clear" w:color="auto" w:fill="auto"/>
            <w:vAlign w:val="center"/>
            <w:hideMark/>
          </w:tcPr>
          <w:p w14:paraId="51D03A27" w14:textId="77777777" w:rsidR="0075093C" w:rsidRPr="00DE0AA0" w:rsidRDefault="0075093C" w:rsidP="0075093C">
            <w:pPr>
              <w:spacing w:after="0" w:line="240" w:lineRule="auto"/>
              <w:rPr>
                <w:rFonts w:eastAsia="Times New Roman" w:cstheme="minorHAnsi"/>
                <w:sz w:val="20"/>
                <w:szCs w:val="20"/>
                <w:lang w:val="en-GB" w:eastAsia="en-GB"/>
              </w:rPr>
            </w:pPr>
            <w:r w:rsidRPr="00DE0AA0">
              <w:rPr>
                <w:rFonts w:eastAsia="Times New Roman" w:cstheme="minorHAnsi"/>
                <w:sz w:val="20"/>
                <w:szCs w:val="20"/>
                <w:lang w:val="en-GB" w:eastAsia="en-GB"/>
              </w:rPr>
              <w:t>%</w:t>
            </w:r>
          </w:p>
        </w:tc>
        <w:tc>
          <w:tcPr>
            <w:tcW w:w="398" w:type="pct"/>
            <w:tcBorders>
              <w:top w:val="nil"/>
              <w:left w:val="nil"/>
              <w:bottom w:val="single" w:sz="8" w:space="0" w:color="003366"/>
              <w:right w:val="single" w:sz="8" w:space="0" w:color="003366"/>
            </w:tcBorders>
            <w:shd w:val="clear" w:color="auto" w:fill="auto"/>
            <w:vAlign w:val="center"/>
            <w:hideMark/>
          </w:tcPr>
          <w:p w14:paraId="3C53D53E" w14:textId="77777777" w:rsidR="0075093C" w:rsidRPr="00DE0AA0" w:rsidRDefault="0075093C" w:rsidP="0075093C">
            <w:pPr>
              <w:spacing w:after="0" w:line="240" w:lineRule="auto"/>
              <w:jc w:val="center"/>
              <w:rPr>
                <w:rFonts w:eastAsia="Times New Roman" w:cstheme="minorHAnsi"/>
                <w:sz w:val="20"/>
                <w:szCs w:val="20"/>
                <w:lang w:val="en-GB" w:eastAsia="en-GB"/>
              </w:rPr>
            </w:pPr>
            <w:r w:rsidRPr="00DE0AA0">
              <w:rPr>
                <w:rFonts w:eastAsia="Times New Roman" w:cstheme="minorHAnsi"/>
                <w:sz w:val="20"/>
                <w:szCs w:val="20"/>
                <w:lang w:val="en-GB" w:eastAsia="en-GB"/>
              </w:rPr>
              <w:t>2.4</w:t>
            </w:r>
          </w:p>
        </w:tc>
        <w:tc>
          <w:tcPr>
            <w:tcW w:w="398" w:type="pct"/>
            <w:tcBorders>
              <w:top w:val="nil"/>
              <w:left w:val="nil"/>
              <w:bottom w:val="single" w:sz="8" w:space="0" w:color="003366"/>
              <w:right w:val="single" w:sz="8" w:space="0" w:color="003366"/>
            </w:tcBorders>
            <w:shd w:val="clear" w:color="auto" w:fill="auto"/>
            <w:vAlign w:val="center"/>
            <w:hideMark/>
          </w:tcPr>
          <w:p w14:paraId="772874A7" w14:textId="77777777" w:rsidR="0075093C" w:rsidRPr="00DE0AA0" w:rsidRDefault="0075093C" w:rsidP="0075093C">
            <w:pPr>
              <w:spacing w:after="0" w:line="240" w:lineRule="auto"/>
              <w:jc w:val="center"/>
              <w:rPr>
                <w:rFonts w:eastAsia="Times New Roman" w:cstheme="minorHAnsi"/>
                <w:sz w:val="20"/>
                <w:szCs w:val="20"/>
                <w:lang w:val="en-GB" w:eastAsia="en-GB"/>
              </w:rPr>
            </w:pPr>
            <w:r w:rsidRPr="00DE0AA0">
              <w:rPr>
                <w:rFonts w:eastAsia="Times New Roman" w:cstheme="minorHAnsi"/>
                <w:sz w:val="20"/>
                <w:szCs w:val="20"/>
                <w:lang w:val="en-GB" w:eastAsia="en-GB"/>
              </w:rPr>
              <w:t>2.2</w:t>
            </w:r>
          </w:p>
        </w:tc>
        <w:tc>
          <w:tcPr>
            <w:tcW w:w="397" w:type="pct"/>
            <w:tcBorders>
              <w:top w:val="nil"/>
              <w:left w:val="nil"/>
              <w:bottom w:val="single" w:sz="8" w:space="0" w:color="003366"/>
              <w:right w:val="single" w:sz="8" w:space="0" w:color="003366"/>
            </w:tcBorders>
            <w:shd w:val="clear" w:color="auto" w:fill="auto"/>
            <w:vAlign w:val="center"/>
            <w:hideMark/>
          </w:tcPr>
          <w:p w14:paraId="66100F4B" w14:textId="77777777" w:rsidR="0075093C" w:rsidRPr="00DE0AA0" w:rsidRDefault="0075093C" w:rsidP="0075093C">
            <w:pPr>
              <w:spacing w:after="0" w:line="240" w:lineRule="auto"/>
              <w:jc w:val="center"/>
              <w:rPr>
                <w:rFonts w:eastAsia="Times New Roman" w:cstheme="minorHAnsi"/>
                <w:sz w:val="20"/>
                <w:szCs w:val="20"/>
                <w:lang w:val="en-GB" w:eastAsia="en-GB"/>
              </w:rPr>
            </w:pPr>
            <w:r w:rsidRPr="00DE0AA0">
              <w:rPr>
                <w:rFonts w:eastAsia="Times New Roman" w:cstheme="minorHAnsi"/>
                <w:sz w:val="20"/>
                <w:szCs w:val="20"/>
                <w:lang w:val="en-GB" w:eastAsia="en-GB"/>
              </w:rPr>
              <w:t>2.0</w:t>
            </w:r>
          </w:p>
        </w:tc>
      </w:tr>
      <w:tr w:rsidR="0075093C" w:rsidRPr="00DE0AA0" w14:paraId="718AAF4C" w14:textId="77777777"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14:paraId="3A588112" w14:textId="77777777" w:rsidR="0075093C" w:rsidRPr="00DE0AA0" w:rsidRDefault="004466FC" w:rsidP="0075093C">
            <w:pPr>
              <w:spacing w:after="0" w:line="240" w:lineRule="auto"/>
              <w:rPr>
                <w:rFonts w:eastAsia="Times New Roman" w:cstheme="minorHAnsi"/>
                <w:color w:val="000000"/>
                <w:sz w:val="20"/>
                <w:szCs w:val="20"/>
                <w:lang w:val="en-GB" w:eastAsia="en-GB"/>
              </w:rPr>
            </w:pPr>
            <w:r w:rsidRPr="00DE0AA0">
              <w:rPr>
                <w:rFonts w:eastAsia="Calibri" w:cstheme="minorHAnsi"/>
                <w:color w:val="000000"/>
                <w:sz w:val="20"/>
                <w:szCs w:val="20"/>
                <w:lang w:val="en-GB" w:eastAsia="en-GB"/>
              </w:rPr>
              <w:t>Imbalance Sharing Factor</w:t>
            </w:r>
          </w:p>
        </w:tc>
        <w:tc>
          <w:tcPr>
            <w:tcW w:w="431" w:type="pct"/>
            <w:tcBorders>
              <w:top w:val="nil"/>
              <w:left w:val="nil"/>
              <w:bottom w:val="single" w:sz="8" w:space="0" w:color="003366"/>
              <w:right w:val="single" w:sz="8" w:space="0" w:color="003366"/>
            </w:tcBorders>
            <w:shd w:val="clear" w:color="auto" w:fill="auto"/>
            <w:vAlign w:val="center"/>
            <w:hideMark/>
          </w:tcPr>
          <w:p w14:paraId="705C693A" w14:textId="77777777" w:rsidR="0075093C" w:rsidRPr="00DE0AA0" w:rsidRDefault="0075093C"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w:t>
            </w:r>
          </w:p>
        </w:tc>
        <w:tc>
          <w:tcPr>
            <w:tcW w:w="398" w:type="pct"/>
            <w:tcBorders>
              <w:top w:val="nil"/>
              <w:left w:val="nil"/>
              <w:bottom w:val="single" w:sz="8" w:space="0" w:color="003366"/>
              <w:right w:val="single" w:sz="8" w:space="0" w:color="003366"/>
            </w:tcBorders>
            <w:shd w:val="clear" w:color="auto" w:fill="auto"/>
            <w:vAlign w:val="center"/>
            <w:hideMark/>
          </w:tcPr>
          <w:p w14:paraId="243DC02C"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100</w:t>
            </w:r>
          </w:p>
        </w:tc>
        <w:tc>
          <w:tcPr>
            <w:tcW w:w="398" w:type="pct"/>
            <w:tcBorders>
              <w:top w:val="nil"/>
              <w:left w:val="nil"/>
              <w:bottom w:val="single" w:sz="8" w:space="0" w:color="003366"/>
              <w:right w:val="single" w:sz="8" w:space="0" w:color="003366"/>
            </w:tcBorders>
            <w:shd w:val="clear" w:color="auto" w:fill="auto"/>
            <w:vAlign w:val="center"/>
            <w:hideMark/>
          </w:tcPr>
          <w:p w14:paraId="70021340"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100</w:t>
            </w:r>
          </w:p>
        </w:tc>
        <w:tc>
          <w:tcPr>
            <w:tcW w:w="397" w:type="pct"/>
            <w:tcBorders>
              <w:top w:val="nil"/>
              <w:left w:val="nil"/>
              <w:bottom w:val="single" w:sz="8" w:space="0" w:color="003366"/>
              <w:right w:val="single" w:sz="8" w:space="0" w:color="003366"/>
            </w:tcBorders>
            <w:shd w:val="clear" w:color="auto" w:fill="auto"/>
            <w:vAlign w:val="center"/>
            <w:hideMark/>
          </w:tcPr>
          <w:p w14:paraId="1AA97217"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100</w:t>
            </w:r>
          </w:p>
        </w:tc>
      </w:tr>
      <w:tr w:rsidR="0075093C" w:rsidRPr="00DE0AA0" w14:paraId="4B7A63DC" w14:textId="77777777"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14:paraId="7073F9BB" w14:textId="77777777" w:rsidR="0075093C" w:rsidRPr="00DE0AA0" w:rsidRDefault="004466FC"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Operating Expenses with Efficiency</w:t>
            </w:r>
            <w:r w:rsidR="0075093C" w:rsidRPr="00DE0AA0">
              <w:rPr>
                <w:rFonts w:eastAsia="Times New Roman" w:cstheme="minorHAnsi"/>
                <w:color w:val="000000"/>
                <w:sz w:val="20"/>
                <w:szCs w:val="20"/>
                <w:lang w:val="en-GB" w:eastAsia="en-GB"/>
              </w:rPr>
              <w:t xml:space="preserve"> €</w:t>
            </w:r>
          </w:p>
        </w:tc>
        <w:tc>
          <w:tcPr>
            <w:tcW w:w="431" w:type="pct"/>
            <w:tcBorders>
              <w:top w:val="nil"/>
              <w:left w:val="nil"/>
              <w:bottom w:val="single" w:sz="8" w:space="0" w:color="003366"/>
              <w:right w:val="single" w:sz="8" w:space="0" w:color="003366"/>
            </w:tcBorders>
            <w:shd w:val="clear" w:color="auto" w:fill="auto"/>
            <w:vAlign w:val="center"/>
            <w:hideMark/>
          </w:tcPr>
          <w:p w14:paraId="2C407658" w14:textId="77777777" w:rsidR="0075093C" w:rsidRPr="00DE0AA0" w:rsidRDefault="0075093C"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€000</w:t>
            </w:r>
          </w:p>
        </w:tc>
        <w:tc>
          <w:tcPr>
            <w:tcW w:w="398" w:type="pct"/>
            <w:tcBorders>
              <w:top w:val="nil"/>
              <w:left w:val="nil"/>
              <w:bottom w:val="single" w:sz="8" w:space="0" w:color="003366"/>
              <w:right w:val="single" w:sz="8" w:space="0" w:color="003366"/>
            </w:tcBorders>
            <w:shd w:val="clear" w:color="auto" w:fill="auto"/>
            <w:vAlign w:val="center"/>
            <w:hideMark/>
          </w:tcPr>
          <w:p w14:paraId="4008C7BD" w14:textId="43EE796C" w:rsidR="0075093C" w:rsidRPr="00DE0AA0" w:rsidRDefault="00D844B3" w:rsidP="0075093C">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5,169</w:t>
            </w:r>
          </w:p>
        </w:tc>
        <w:tc>
          <w:tcPr>
            <w:tcW w:w="398" w:type="pct"/>
            <w:tcBorders>
              <w:top w:val="nil"/>
              <w:left w:val="nil"/>
              <w:bottom w:val="single" w:sz="8" w:space="0" w:color="003366"/>
              <w:right w:val="single" w:sz="8" w:space="0" w:color="003366"/>
            </w:tcBorders>
            <w:shd w:val="clear" w:color="auto" w:fill="auto"/>
            <w:vAlign w:val="center"/>
            <w:hideMark/>
          </w:tcPr>
          <w:p w14:paraId="2BE37939"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5,187</w:t>
            </w:r>
          </w:p>
        </w:tc>
        <w:tc>
          <w:tcPr>
            <w:tcW w:w="397" w:type="pct"/>
            <w:tcBorders>
              <w:top w:val="nil"/>
              <w:left w:val="nil"/>
              <w:bottom w:val="single" w:sz="8" w:space="0" w:color="003366"/>
              <w:right w:val="single" w:sz="8" w:space="0" w:color="003366"/>
            </w:tcBorders>
            <w:shd w:val="clear" w:color="auto" w:fill="auto"/>
            <w:vAlign w:val="center"/>
            <w:hideMark/>
          </w:tcPr>
          <w:p w14:paraId="50AE5832"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5,204</w:t>
            </w:r>
          </w:p>
        </w:tc>
      </w:tr>
      <w:tr w:rsidR="0075093C" w:rsidRPr="00DE0AA0" w14:paraId="30C59147" w14:textId="77777777"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14:paraId="3155C5C4" w14:textId="77777777" w:rsidR="0075093C" w:rsidRPr="00DE0AA0" w:rsidRDefault="00355BBB"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Efficiency Factor</w:t>
            </w:r>
          </w:p>
        </w:tc>
        <w:tc>
          <w:tcPr>
            <w:tcW w:w="431" w:type="pct"/>
            <w:tcBorders>
              <w:top w:val="nil"/>
              <w:left w:val="nil"/>
              <w:bottom w:val="single" w:sz="8" w:space="0" w:color="003366"/>
              <w:right w:val="single" w:sz="8" w:space="0" w:color="003366"/>
            </w:tcBorders>
            <w:shd w:val="clear" w:color="auto" w:fill="auto"/>
            <w:vAlign w:val="center"/>
            <w:hideMark/>
          </w:tcPr>
          <w:p w14:paraId="4290B7AF" w14:textId="77777777" w:rsidR="0075093C" w:rsidRPr="00DE0AA0" w:rsidRDefault="0075093C"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w:t>
            </w:r>
          </w:p>
        </w:tc>
        <w:tc>
          <w:tcPr>
            <w:tcW w:w="398" w:type="pct"/>
            <w:tcBorders>
              <w:top w:val="nil"/>
              <w:left w:val="nil"/>
              <w:bottom w:val="single" w:sz="8" w:space="0" w:color="003366"/>
              <w:right w:val="single" w:sz="8" w:space="0" w:color="003366"/>
            </w:tcBorders>
            <w:shd w:val="clear" w:color="auto" w:fill="auto"/>
            <w:vAlign w:val="center"/>
            <w:hideMark/>
          </w:tcPr>
          <w:p w14:paraId="44E3995A"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0</w:t>
            </w:r>
          </w:p>
        </w:tc>
        <w:tc>
          <w:tcPr>
            <w:tcW w:w="398" w:type="pct"/>
            <w:tcBorders>
              <w:top w:val="nil"/>
              <w:left w:val="nil"/>
              <w:bottom w:val="single" w:sz="8" w:space="0" w:color="003366"/>
              <w:right w:val="single" w:sz="8" w:space="0" w:color="003366"/>
            </w:tcBorders>
            <w:shd w:val="clear" w:color="auto" w:fill="auto"/>
            <w:vAlign w:val="center"/>
            <w:hideMark/>
          </w:tcPr>
          <w:p w14:paraId="6A7EF74C"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0.5</w:t>
            </w:r>
          </w:p>
        </w:tc>
        <w:tc>
          <w:tcPr>
            <w:tcW w:w="397" w:type="pct"/>
            <w:tcBorders>
              <w:top w:val="nil"/>
              <w:left w:val="nil"/>
              <w:bottom w:val="single" w:sz="8" w:space="0" w:color="003366"/>
              <w:right w:val="single" w:sz="8" w:space="0" w:color="003366"/>
            </w:tcBorders>
            <w:shd w:val="clear" w:color="auto" w:fill="auto"/>
            <w:vAlign w:val="center"/>
            <w:hideMark/>
          </w:tcPr>
          <w:p w14:paraId="23E20424"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0.5</w:t>
            </w:r>
          </w:p>
        </w:tc>
      </w:tr>
      <w:tr w:rsidR="0075093C" w:rsidRPr="00DE0AA0" w14:paraId="5DB8E723" w14:textId="77777777" w:rsidTr="00AF6D35">
        <w:trPr>
          <w:trHeight w:val="502"/>
          <w:jc w:val="center"/>
        </w:trPr>
        <w:tc>
          <w:tcPr>
            <w:tcW w:w="3376" w:type="pct"/>
            <w:vMerge w:val="restart"/>
            <w:tcBorders>
              <w:top w:val="nil"/>
              <w:left w:val="single" w:sz="8" w:space="0" w:color="003366"/>
              <w:bottom w:val="single" w:sz="8" w:space="0" w:color="003366"/>
              <w:right w:val="single" w:sz="8" w:space="0" w:color="003366"/>
            </w:tcBorders>
            <w:shd w:val="clear" w:color="auto" w:fill="auto"/>
            <w:vAlign w:val="center"/>
            <w:hideMark/>
          </w:tcPr>
          <w:p w14:paraId="26630D1D" w14:textId="77777777" w:rsidR="0075093C" w:rsidRPr="00DE0AA0" w:rsidRDefault="00426B47"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Categorization and lifespan of assets</w:t>
            </w:r>
          </w:p>
          <w:p w14:paraId="40FACD7A" w14:textId="77777777" w:rsidR="0075093C" w:rsidRPr="00DE0AA0" w:rsidRDefault="00426B47" w:rsidP="0075093C">
            <w:pPr>
              <w:pStyle w:val="ListParagraph"/>
              <w:numPr>
                <w:ilvl w:val="0"/>
                <w:numId w:val="18"/>
              </w:numPr>
              <w:spacing w:after="0" w:line="240" w:lineRule="auto"/>
              <w:ind w:left="420" w:hanging="270"/>
              <w:jc w:val="left"/>
              <w:rPr>
                <w:rFonts w:asciiTheme="minorHAnsi" w:hAnsiTheme="minorHAnsi" w:cstheme="minorHAnsi"/>
                <w:color w:val="000000"/>
                <w:sz w:val="20"/>
                <w:szCs w:val="20"/>
                <w:lang w:eastAsia="en-GB"/>
              </w:rPr>
            </w:pPr>
            <w:r w:rsidRPr="00DE0AA0">
              <w:rPr>
                <w:rFonts w:asciiTheme="minorHAnsi" w:hAnsiTheme="minorHAnsi" w:cstheme="minorHAnsi"/>
                <w:color w:val="000000"/>
                <w:sz w:val="20"/>
                <w:szCs w:val="20"/>
                <w:lang w:eastAsia="en-GB"/>
              </w:rPr>
              <w:t>Furniture</w:t>
            </w:r>
            <w:r w:rsidR="0075093C" w:rsidRPr="00DE0AA0">
              <w:rPr>
                <w:rFonts w:asciiTheme="minorHAnsi" w:hAnsiTheme="minorHAnsi" w:cstheme="minorHAnsi"/>
                <w:color w:val="000000"/>
                <w:sz w:val="20"/>
                <w:szCs w:val="20"/>
                <w:lang w:eastAsia="en-GB"/>
              </w:rPr>
              <w:t xml:space="preserve">, </w:t>
            </w:r>
            <w:r w:rsidRPr="00DE0AA0">
              <w:rPr>
                <w:rFonts w:asciiTheme="minorHAnsi" w:hAnsiTheme="minorHAnsi" w:cstheme="minorHAnsi"/>
                <w:color w:val="000000"/>
                <w:sz w:val="20"/>
                <w:szCs w:val="20"/>
                <w:lang w:eastAsia="en-GB"/>
              </w:rPr>
              <w:t>office equipment</w:t>
            </w:r>
            <w:r w:rsidR="0075093C" w:rsidRPr="00DE0AA0">
              <w:rPr>
                <w:rFonts w:asciiTheme="minorHAnsi" w:hAnsiTheme="minorHAnsi" w:cstheme="minorHAnsi"/>
                <w:color w:val="000000"/>
                <w:sz w:val="20"/>
                <w:szCs w:val="20"/>
                <w:lang w:eastAsia="en-GB"/>
              </w:rPr>
              <w:t xml:space="preserve">; </w:t>
            </w:r>
          </w:p>
          <w:p w14:paraId="70A9A725" w14:textId="77777777" w:rsidR="0075093C" w:rsidRPr="00DE0AA0" w:rsidRDefault="00930916" w:rsidP="0075093C">
            <w:pPr>
              <w:pStyle w:val="ListParagraph"/>
              <w:numPr>
                <w:ilvl w:val="0"/>
                <w:numId w:val="18"/>
              </w:numPr>
              <w:spacing w:after="0" w:line="240" w:lineRule="auto"/>
              <w:ind w:left="420" w:hanging="270"/>
              <w:jc w:val="left"/>
              <w:rPr>
                <w:rFonts w:asciiTheme="minorHAnsi" w:hAnsiTheme="minorHAnsi" w:cstheme="minorHAnsi"/>
                <w:color w:val="000000"/>
                <w:sz w:val="20"/>
                <w:szCs w:val="20"/>
                <w:lang w:eastAsia="en-GB"/>
              </w:rPr>
            </w:pPr>
            <w:r w:rsidRPr="00DE0AA0">
              <w:rPr>
                <w:rFonts w:asciiTheme="minorHAnsi" w:hAnsiTheme="minorHAnsi" w:cstheme="minorHAnsi"/>
                <w:color w:val="000000"/>
                <w:sz w:val="20"/>
                <w:szCs w:val="20"/>
                <w:lang w:eastAsia="en-GB"/>
              </w:rPr>
              <w:t>Work equipment, reading devices, cars, computers, IT equipment and software</w:t>
            </w:r>
          </w:p>
        </w:tc>
        <w:tc>
          <w:tcPr>
            <w:tcW w:w="431" w:type="pct"/>
            <w:vMerge w:val="restart"/>
            <w:tcBorders>
              <w:top w:val="nil"/>
              <w:left w:val="single" w:sz="8" w:space="0" w:color="003366"/>
              <w:bottom w:val="single" w:sz="8" w:space="0" w:color="003366"/>
              <w:right w:val="single" w:sz="8" w:space="0" w:color="003366"/>
            </w:tcBorders>
            <w:shd w:val="clear" w:color="auto" w:fill="auto"/>
            <w:vAlign w:val="center"/>
            <w:hideMark/>
          </w:tcPr>
          <w:p w14:paraId="377E30E0" w14:textId="77777777" w:rsidR="0075093C" w:rsidRPr="00DE0AA0" w:rsidRDefault="00930916" w:rsidP="0075093C">
            <w:pPr>
              <w:spacing w:after="0" w:line="240" w:lineRule="auto"/>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Years</w:t>
            </w:r>
          </w:p>
        </w:tc>
        <w:tc>
          <w:tcPr>
            <w:tcW w:w="398" w:type="pct"/>
            <w:tcBorders>
              <w:top w:val="nil"/>
              <w:left w:val="nil"/>
              <w:bottom w:val="single" w:sz="8" w:space="0" w:color="003366"/>
              <w:right w:val="single" w:sz="8" w:space="0" w:color="003366"/>
            </w:tcBorders>
            <w:shd w:val="clear" w:color="auto" w:fill="auto"/>
            <w:vAlign w:val="center"/>
            <w:hideMark/>
          </w:tcPr>
          <w:p w14:paraId="7F25D3B8"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7</w:t>
            </w:r>
          </w:p>
        </w:tc>
        <w:tc>
          <w:tcPr>
            <w:tcW w:w="398" w:type="pct"/>
            <w:tcBorders>
              <w:top w:val="nil"/>
              <w:left w:val="nil"/>
              <w:bottom w:val="single" w:sz="8" w:space="0" w:color="003366"/>
              <w:right w:val="single" w:sz="8" w:space="0" w:color="003366"/>
            </w:tcBorders>
            <w:shd w:val="clear" w:color="auto" w:fill="auto"/>
            <w:vAlign w:val="center"/>
            <w:hideMark/>
          </w:tcPr>
          <w:p w14:paraId="69382B95"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7</w:t>
            </w:r>
          </w:p>
        </w:tc>
        <w:tc>
          <w:tcPr>
            <w:tcW w:w="397" w:type="pct"/>
            <w:tcBorders>
              <w:top w:val="nil"/>
              <w:left w:val="nil"/>
              <w:bottom w:val="single" w:sz="8" w:space="0" w:color="003366"/>
              <w:right w:val="single" w:sz="8" w:space="0" w:color="003366"/>
            </w:tcBorders>
            <w:shd w:val="clear" w:color="auto" w:fill="auto"/>
            <w:vAlign w:val="center"/>
            <w:hideMark/>
          </w:tcPr>
          <w:p w14:paraId="2AECE924"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7</w:t>
            </w:r>
          </w:p>
        </w:tc>
      </w:tr>
      <w:tr w:rsidR="0075093C" w:rsidRPr="00DE0AA0" w14:paraId="65A380D6" w14:textId="77777777" w:rsidTr="00AF6D35">
        <w:trPr>
          <w:trHeight w:val="251"/>
          <w:jc w:val="center"/>
        </w:trPr>
        <w:tc>
          <w:tcPr>
            <w:tcW w:w="3376" w:type="pct"/>
            <w:vMerge/>
            <w:tcBorders>
              <w:top w:val="nil"/>
              <w:left w:val="single" w:sz="8" w:space="0" w:color="003366"/>
              <w:bottom w:val="single" w:sz="8" w:space="0" w:color="003366"/>
              <w:right w:val="single" w:sz="8" w:space="0" w:color="003366"/>
            </w:tcBorders>
            <w:vAlign w:val="center"/>
            <w:hideMark/>
          </w:tcPr>
          <w:p w14:paraId="19881A7C" w14:textId="77777777" w:rsidR="0075093C" w:rsidRPr="00DE0AA0" w:rsidRDefault="0075093C" w:rsidP="0075093C">
            <w:pPr>
              <w:spacing w:after="0" w:line="240" w:lineRule="auto"/>
              <w:rPr>
                <w:rFonts w:eastAsia="Times New Roman" w:cstheme="minorHAnsi"/>
                <w:color w:val="000000"/>
                <w:sz w:val="20"/>
                <w:szCs w:val="20"/>
                <w:lang w:val="en-GB" w:eastAsia="en-GB"/>
              </w:rPr>
            </w:pPr>
          </w:p>
        </w:tc>
        <w:tc>
          <w:tcPr>
            <w:tcW w:w="431" w:type="pct"/>
            <w:vMerge/>
            <w:tcBorders>
              <w:top w:val="nil"/>
              <w:left w:val="single" w:sz="8" w:space="0" w:color="003366"/>
              <w:bottom w:val="single" w:sz="8" w:space="0" w:color="003366"/>
              <w:right w:val="single" w:sz="8" w:space="0" w:color="003366"/>
            </w:tcBorders>
            <w:vAlign w:val="center"/>
            <w:hideMark/>
          </w:tcPr>
          <w:p w14:paraId="156CC8B0" w14:textId="77777777" w:rsidR="0075093C" w:rsidRPr="00DE0AA0" w:rsidRDefault="0075093C" w:rsidP="0075093C">
            <w:pPr>
              <w:spacing w:after="0" w:line="240" w:lineRule="auto"/>
              <w:rPr>
                <w:rFonts w:eastAsia="Times New Roman" w:cstheme="minorHAnsi"/>
                <w:color w:val="000000"/>
                <w:sz w:val="20"/>
                <w:szCs w:val="20"/>
                <w:lang w:val="en-GB" w:eastAsia="en-GB"/>
              </w:rPr>
            </w:pPr>
          </w:p>
        </w:tc>
        <w:tc>
          <w:tcPr>
            <w:tcW w:w="398" w:type="pct"/>
            <w:tcBorders>
              <w:top w:val="nil"/>
              <w:left w:val="nil"/>
              <w:bottom w:val="single" w:sz="8" w:space="0" w:color="003366"/>
              <w:right w:val="single" w:sz="8" w:space="0" w:color="003366"/>
            </w:tcBorders>
            <w:shd w:val="clear" w:color="auto" w:fill="auto"/>
            <w:vAlign w:val="center"/>
            <w:hideMark/>
          </w:tcPr>
          <w:p w14:paraId="095BBFEA"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5</w:t>
            </w:r>
          </w:p>
        </w:tc>
        <w:tc>
          <w:tcPr>
            <w:tcW w:w="398" w:type="pct"/>
            <w:tcBorders>
              <w:top w:val="nil"/>
              <w:left w:val="nil"/>
              <w:bottom w:val="single" w:sz="8" w:space="0" w:color="003366"/>
              <w:right w:val="single" w:sz="8" w:space="0" w:color="003366"/>
            </w:tcBorders>
            <w:shd w:val="clear" w:color="auto" w:fill="auto"/>
            <w:vAlign w:val="center"/>
            <w:hideMark/>
          </w:tcPr>
          <w:p w14:paraId="1FDE1B6C"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5</w:t>
            </w:r>
          </w:p>
        </w:tc>
        <w:tc>
          <w:tcPr>
            <w:tcW w:w="397" w:type="pct"/>
            <w:tcBorders>
              <w:top w:val="nil"/>
              <w:left w:val="nil"/>
              <w:bottom w:val="single" w:sz="8" w:space="0" w:color="003366"/>
              <w:right w:val="single" w:sz="8" w:space="0" w:color="003366"/>
            </w:tcBorders>
            <w:shd w:val="clear" w:color="auto" w:fill="auto"/>
            <w:vAlign w:val="center"/>
            <w:hideMark/>
          </w:tcPr>
          <w:p w14:paraId="26CEC68B" w14:textId="77777777" w:rsidR="0075093C" w:rsidRPr="00DE0AA0" w:rsidRDefault="0075093C" w:rsidP="0075093C">
            <w:pPr>
              <w:spacing w:after="0" w:line="240" w:lineRule="auto"/>
              <w:jc w:val="center"/>
              <w:rPr>
                <w:rFonts w:eastAsia="Times New Roman" w:cstheme="minorHAnsi"/>
                <w:color w:val="000000"/>
                <w:sz w:val="20"/>
                <w:szCs w:val="20"/>
                <w:lang w:val="en-GB" w:eastAsia="en-GB"/>
              </w:rPr>
            </w:pPr>
            <w:r w:rsidRPr="00DE0AA0">
              <w:rPr>
                <w:rFonts w:eastAsia="Times New Roman" w:cstheme="minorHAnsi"/>
                <w:color w:val="000000"/>
                <w:sz w:val="20"/>
                <w:szCs w:val="20"/>
                <w:lang w:val="en-GB" w:eastAsia="en-GB"/>
              </w:rPr>
              <w:t>5</w:t>
            </w:r>
          </w:p>
        </w:tc>
      </w:tr>
    </w:tbl>
    <w:p w14:paraId="4C927060" w14:textId="77777777" w:rsidR="0075093C" w:rsidRPr="00DE0AA0" w:rsidRDefault="0075093C" w:rsidP="0075093C">
      <w:pPr>
        <w:rPr>
          <w:lang w:val="en-GB"/>
        </w:rPr>
      </w:pPr>
    </w:p>
    <w:p w14:paraId="28EDFC87" w14:textId="77777777" w:rsidR="0075093C" w:rsidRPr="00DE0AA0" w:rsidRDefault="0075093C">
      <w:pPr>
        <w:rPr>
          <w:lang w:val="en-GB"/>
        </w:rPr>
      </w:pPr>
    </w:p>
    <w:sectPr w:rsidR="0075093C" w:rsidRPr="00DE0AA0" w:rsidSect="00C85B1F">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7B64" w14:textId="77777777" w:rsidR="002A0045" w:rsidRDefault="002A0045" w:rsidP="0075093C">
      <w:pPr>
        <w:spacing w:after="0" w:line="240" w:lineRule="auto"/>
      </w:pPr>
      <w:r>
        <w:separator/>
      </w:r>
    </w:p>
  </w:endnote>
  <w:endnote w:type="continuationSeparator" w:id="0">
    <w:p w14:paraId="161E2FA8" w14:textId="77777777" w:rsidR="002A0045" w:rsidRDefault="002A0045" w:rsidP="0075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q-AL"/>
      </w:rPr>
      <w:id w:val="2085035100"/>
      <w:docPartObj>
        <w:docPartGallery w:val="Page Numbers (Bottom of Page)"/>
        <w:docPartUnique/>
      </w:docPartObj>
    </w:sdtPr>
    <w:sdtContent>
      <w:sdt>
        <w:sdtPr>
          <w:rPr>
            <w:lang w:val="sq-AL"/>
          </w:rPr>
          <w:id w:val="-1769616900"/>
          <w:docPartObj>
            <w:docPartGallery w:val="Page Numbers (Top of Page)"/>
            <w:docPartUnique/>
          </w:docPartObj>
        </w:sdtPr>
        <w:sdtContent>
          <w:p w14:paraId="29440297" w14:textId="2B4EC4AC" w:rsidR="00D844B3" w:rsidRPr="00C85B1F" w:rsidRDefault="00D844B3">
            <w:pPr>
              <w:pStyle w:val="Footer"/>
              <w:jc w:val="right"/>
              <w:rPr>
                <w:lang w:val="sq-AL"/>
              </w:rPr>
            </w:pPr>
            <w:r w:rsidRPr="00C85B1F">
              <w:rPr>
                <w:rFonts w:asciiTheme="minorHAnsi" w:hAnsiTheme="minorHAnsi" w:cstheme="minorHAnsi"/>
                <w:szCs w:val="22"/>
                <w:lang w:val="sq-AL"/>
              </w:rPr>
              <w:t xml:space="preserve">Faqe </w:t>
            </w:r>
            <w:r w:rsidRPr="00C85B1F">
              <w:rPr>
                <w:rFonts w:asciiTheme="minorHAnsi" w:hAnsiTheme="minorHAnsi" w:cstheme="minorHAnsi"/>
                <w:bCs/>
                <w:szCs w:val="22"/>
                <w:lang w:val="sq-AL"/>
              </w:rPr>
              <w:fldChar w:fldCharType="begin"/>
            </w:r>
            <w:r w:rsidRPr="00C85B1F">
              <w:rPr>
                <w:rFonts w:asciiTheme="minorHAnsi" w:hAnsiTheme="minorHAnsi" w:cstheme="minorHAnsi"/>
                <w:bCs/>
                <w:szCs w:val="22"/>
                <w:lang w:val="sq-AL"/>
              </w:rPr>
              <w:instrText xml:space="preserve"> PAGE </w:instrText>
            </w:r>
            <w:r w:rsidRPr="00C85B1F">
              <w:rPr>
                <w:rFonts w:asciiTheme="minorHAnsi" w:hAnsiTheme="minorHAnsi" w:cstheme="minorHAnsi"/>
                <w:bCs/>
                <w:szCs w:val="22"/>
                <w:lang w:val="sq-AL"/>
              </w:rPr>
              <w:fldChar w:fldCharType="separate"/>
            </w:r>
            <w:r w:rsidR="003E4423">
              <w:rPr>
                <w:rFonts w:asciiTheme="minorHAnsi" w:hAnsiTheme="minorHAnsi" w:cstheme="minorHAnsi"/>
                <w:bCs/>
                <w:noProof/>
                <w:szCs w:val="22"/>
                <w:lang w:val="sq-AL"/>
              </w:rPr>
              <w:t>23</w:t>
            </w:r>
            <w:r w:rsidRPr="00C85B1F">
              <w:rPr>
                <w:rFonts w:asciiTheme="minorHAnsi" w:hAnsiTheme="minorHAnsi" w:cstheme="minorHAnsi"/>
                <w:bCs/>
                <w:szCs w:val="22"/>
                <w:lang w:val="sq-AL"/>
              </w:rPr>
              <w:fldChar w:fldCharType="end"/>
            </w:r>
            <w:r w:rsidRPr="00C85B1F">
              <w:rPr>
                <w:rFonts w:asciiTheme="minorHAnsi" w:hAnsiTheme="minorHAnsi" w:cstheme="minorHAnsi"/>
                <w:szCs w:val="22"/>
                <w:lang w:val="sq-AL"/>
              </w:rPr>
              <w:t xml:space="preserve"> nga </w:t>
            </w:r>
            <w:r w:rsidRPr="00C85B1F">
              <w:rPr>
                <w:rFonts w:asciiTheme="minorHAnsi" w:hAnsiTheme="minorHAnsi" w:cstheme="minorHAnsi"/>
                <w:bCs/>
                <w:szCs w:val="22"/>
                <w:lang w:val="sq-AL"/>
              </w:rPr>
              <w:fldChar w:fldCharType="begin"/>
            </w:r>
            <w:r w:rsidRPr="00C85B1F">
              <w:rPr>
                <w:rFonts w:asciiTheme="minorHAnsi" w:hAnsiTheme="minorHAnsi" w:cstheme="minorHAnsi"/>
                <w:bCs/>
                <w:szCs w:val="22"/>
                <w:lang w:val="sq-AL"/>
              </w:rPr>
              <w:instrText xml:space="preserve"> NUMPAGES  </w:instrText>
            </w:r>
            <w:r w:rsidRPr="00C85B1F">
              <w:rPr>
                <w:rFonts w:asciiTheme="minorHAnsi" w:hAnsiTheme="minorHAnsi" w:cstheme="minorHAnsi"/>
                <w:bCs/>
                <w:szCs w:val="22"/>
                <w:lang w:val="sq-AL"/>
              </w:rPr>
              <w:fldChar w:fldCharType="separate"/>
            </w:r>
            <w:r w:rsidR="003E4423">
              <w:rPr>
                <w:rFonts w:asciiTheme="minorHAnsi" w:hAnsiTheme="minorHAnsi" w:cstheme="minorHAnsi"/>
                <w:bCs/>
                <w:noProof/>
                <w:szCs w:val="22"/>
                <w:lang w:val="sq-AL"/>
              </w:rPr>
              <w:t>23</w:t>
            </w:r>
            <w:r w:rsidRPr="00C85B1F">
              <w:rPr>
                <w:rFonts w:asciiTheme="minorHAnsi" w:hAnsiTheme="minorHAnsi" w:cstheme="minorHAnsi"/>
                <w:bCs/>
                <w:szCs w:val="22"/>
                <w:lang w:val="sq-AL"/>
              </w:rPr>
              <w:fldChar w:fldCharType="end"/>
            </w:r>
          </w:p>
        </w:sdtContent>
      </w:sdt>
    </w:sdtContent>
  </w:sdt>
  <w:p w14:paraId="31242CE7" w14:textId="77777777" w:rsidR="00D844B3" w:rsidRDefault="00D844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73A5" w14:textId="77777777" w:rsidR="00D844B3" w:rsidRDefault="00D844B3" w:rsidP="00C85B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0C044787" w14:textId="77777777" w:rsidR="00D844B3" w:rsidRPr="00C85B1F" w:rsidRDefault="00D844B3" w:rsidP="00C85B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lok. 101, Fax: 038 247 620, E-mail: info@ero-ks.org, </w:t>
    </w:r>
    <w:r>
      <w:rPr>
        <w:rFonts w:ascii="Calibri" w:hAnsi="Calibri"/>
        <w:color w:val="005F91"/>
        <w:sz w:val="18"/>
        <w:szCs w:val="18"/>
      </w:rPr>
      <w:t>w</w:t>
    </w:r>
    <w:r w:rsidRPr="00661073">
      <w:rPr>
        <w:rFonts w:ascii="Calibri" w:hAnsi="Calibri"/>
        <w:color w:val="005F91"/>
        <w:sz w:val="18"/>
        <w:szCs w:val="18"/>
      </w:rPr>
      <w:t xml:space="preserve">eb: </w:t>
    </w:r>
    <w:r>
      <w:rPr>
        <w:rFonts w:ascii="Calibri" w:hAnsi="Calibri"/>
        <w:color w:val="005F91"/>
        <w:sz w:val="18"/>
        <w:szCs w:val="18"/>
      </w:rPr>
      <w:t>www</w:t>
    </w:r>
    <w:r w:rsidRPr="00661073">
      <w:rPr>
        <w:rFonts w:ascii="Calibri" w:hAnsi="Calibri"/>
        <w:color w:val="005F91"/>
        <w:sz w:val="18"/>
        <w:szCs w:val="18"/>
      </w:rPr>
      <w:t>.ero-ks.org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83F0" w14:textId="77777777" w:rsidR="002A0045" w:rsidRDefault="002A0045" w:rsidP="0075093C">
      <w:pPr>
        <w:spacing w:after="0" w:line="240" w:lineRule="auto"/>
      </w:pPr>
      <w:r>
        <w:separator/>
      </w:r>
    </w:p>
  </w:footnote>
  <w:footnote w:type="continuationSeparator" w:id="0">
    <w:p w14:paraId="047CC509" w14:textId="77777777" w:rsidR="002A0045" w:rsidRDefault="002A0045" w:rsidP="0075093C">
      <w:pPr>
        <w:spacing w:after="0" w:line="240" w:lineRule="auto"/>
      </w:pPr>
      <w:r>
        <w:continuationSeparator/>
      </w:r>
    </w:p>
  </w:footnote>
  <w:footnote w:id="1">
    <w:p w14:paraId="4A5BE7F9" w14:textId="77777777" w:rsidR="00D844B3" w:rsidRPr="001401E6" w:rsidRDefault="00D844B3" w:rsidP="0075093C">
      <w:pPr>
        <w:pStyle w:val="FootnoteText"/>
        <w:rPr>
          <w:lang w:val="en-US"/>
        </w:rPr>
      </w:pPr>
      <w:r>
        <w:rPr>
          <w:rStyle w:val="FootnoteReference"/>
        </w:rPr>
        <w:footnoteRef/>
      </w:r>
      <w:r>
        <w:t xml:space="preserve"> </w:t>
      </w:r>
      <w:hyperlink r:id="rId1" w:history="1">
        <w:r>
          <w:rPr>
            <w:rStyle w:val="Hyperlink"/>
          </w:rPr>
          <w:t>Metodologjia_FSHU-1.pdf (ere.gov.al)</w:t>
        </w:r>
      </w:hyperlink>
      <w:r>
        <w:t xml:space="preserve"> </w:t>
      </w:r>
    </w:p>
  </w:footnote>
  <w:footnote w:id="2">
    <w:p w14:paraId="42DF0EDA" w14:textId="68C5C30B" w:rsidR="00D844B3" w:rsidRPr="00FC34BF" w:rsidRDefault="00D844B3" w:rsidP="0075093C">
      <w:pPr>
        <w:pStyle w:val="FootnoteText"/>
        <w:tabs>
          <w:tab w:val="clear" w:pos="288"/>
          <w:tab w:val="left" w:pos="180"/>
        </w:tabs>
        <w:rPr>
          <w:lang w:val="en-US"/>
        </w:rPr>
      </w:pPr>
      <w:r>
        <w:rPr>
          <w:rStyle w:val="FootnoteReference"/>
        </w:rPr>
        <w:footnoteRef/>
      </w:r>
      <w:r>
        <w:t xml:space="preserve"> </w:t>
      </w:r>
      <w:r>
        <w:tab/>
        <w:t xml:space="preserve">Commission for Regulation of Utilises. 2017. </w:t>
      </w:r>
      <w:hyperlink r:id="rId2" w:history="1">
        <w:r>
          <w:rPr>
            <w:rStyle w:val="Hyperlink"/>
          </w:rPr>
          <w:t>Energy Supply Costs: Information Paper</w:t>
        </w:r>
      </w:hyperlink>
      <w:r>
        <w:t xml:space="preserve"> </w:t>
      </w:r>
    </w:p>
  </w:footnote>
  <w:footnote w:id="3">
    <w:p w14:paraId="0249A168" w14:textId="77777777" w:rsidR="00D844B3" w:rsidRPr="005C4984" w:rsidRDefault="00D844B3" w:rsidP="0075093C">
      <w:pPr>
        <w:pStyle w:val="FootnoteText"/>
        <w:rPr>
          <w:lang w:val="en-US"/>
        </w:rPr>
      </w:pPr>
      <w:r>
        <w:rPr>
          <w:rStyle w:val="FootnoteReference"/>
        </w:rPr>
        <w:footnoteRef/>
      </w:r>
      <w:r>
        <w:t xml:space="preserve"> </w:t>
      </w:r>
      <w:hyperlink r:id="rId3" w:history="1">
        <w:r>
          <w:rPr>
            <w:rStyle w:val="Hyperlink"/>
          </w:rPr>
          <w:t>EPDK | Enerji Piyasası Düzenleme Kurumu</w:t>
        </w:r>
      </w:hyperlink>
      <w:r>
        <w:t xml:space="preserve">; </w:t>
      </w:r>
      <w:hyperlink r:id="rId4" w:history="1">
        <w:r w:rsidRPr="00307BB2">
          <w:rPr>
            <w:rStyle w:val="Hyperlink"/>
          </w:rPr>
          <w:t>https://www.epdk.gov.tr/Detay/SiteSearch?st=2021-2025</w:t>
        </w:r>
      </w:hyperlink>
      <w:r>
        <w:t xml:space="preserve"> </w:t>
      </w:r>
    </w:p>
  </w:footnote>
  <w:footnote w:id="4">
    <w:p w14:paraId="5DC1CEF2" w14:textId="77777777" w:rsidR="00D844B3" w:rsidRPr="009324DA" w:rsidRDefault="00D844B3" w:rsidP="0075093C">
      <w:pPr>
        <w:pStyle w:val="FootnoteText"/>
        <w:tabs>
          <w:tab w:val="clear" w:pos="288"/>
        </w:tabs>
        <w:rPr>
          <w:lang w:val="en-US"/>
        </w:rPr>
      </w:pPr>
      <w:r>
        <w:rPr>
          <w:rStyle w:val="FootnoteReference"/>
        </w:rPr>
        <w:footnoteRef/>
      </w:r>
      <w:hyperlink r:id="rId5" w:history="1">
        <w:r>
          <w:rPr>
            <w:rStyle w:val="Hyperlink"/>
          </w:rPr>
          <w:t>USS TARIFF SETTING METHODOLOGY-12.21.2020 (approved).pdf (gnerc.org)</w:t>
        </w:r>
      </w:hyperlink>
      <w:r>
        <w:t xml:space="preserve">; </w:t>
      </w:r>
      <w:hyperlink r:id="rId6" w:history="1">
        <w:r w:rsidRPr="0008623B">
          <w:rPr>
            <w:rStyle w:val="Hyperlink"/>
          </w:rPr>
          <w:t>https://gnerc.org/files/Legal%20Acts%20in%20english/USS%20TARIFF%20SETTING%20METHODOLOGY-12.21.2020%20(approved).pdf</w:t>
        </w:r>
      </w:hyperlink>
      <w:r>
        <w:t xml:space="preserve"> </w:t>
      </w:r>
    </w:p>
  </w:footnote>
  <w:footnote w:id="5">
    <w:p w14:paraId="6F2D14A5" w14:textId="77777777" w:rsidR="00D844B3" w:rsidRPr="00993D06" w:rsidRDefault="00D844B3" w:rsidP="0075093C">
      <w:pPr>
        <w:pStyle w:val="FootnoteText"/>
        <w:rPr>
          <w:lang w:val="en-US"/>
        </w:rPr>
      </w:pPr>
      <w:r>
        <w:rPr>
          <w:rStyle w:val="FootnoteReference"/>
        </w:rPr>
        <w:footnoteRef/>
      </w:r>
      <w:r>
        <w:t xml:space="preserve"> </w:t>
      </w:r>
      <w:hyperlink r:id="rId7" w:history="1">
        <w:r>
          <w:rPr>
            <w:rStyle w:val="Hyperlink"/>
          </w:rPr>
          <w:t>HANRE65/2018 (legis.md)</w:t>
        </w:r>
      </w:hyperlink>
      <w:r>
        <w:t xml:space="preserve">; </w:t>
      </w:r>
      <w:hyperlink r:id="rId8" w:history="1">
        <w:r w:rsidRPr="0008623B">
          <w:rPr>
            <w:rStyle w:val="Hyperlink"/>
          </w:rPr>
          <w:t>https://www.legis.md/cautare/getResults?doc_id=103740&amp;lang=ro</w:t>
        </w:r>
      </w:hyperlink>
      <w:r>
        <w:t xml:space="preserve"> </w:t>
      </w:r>
    </w:p>
  </w:footnote>
  <w:footnote w:id="6">
    <w:p w14:paraId="2F7E0304" w14:textId="77777777" w:rsidR="00D844B3" w:rsidRPr="00665ED7" w:rsidRDefault="00D844B3" w:rsidP="0075093C">
      <w:pPr>
        <w:pStyle w:val="FootnoteText"/>
        <w:rPr>
          <w:lang w:val="en-US"/>
        </w:rPr>
      </w:pPr>
      <w:r>
        <w:rPr>
          <w:rStyle w:val="FootnoteReference"/>
        </w:rPr>
        <w:footnoteRef/>
      </w:r>
      <w:r>
        <w:rPr>
          <w:sz w:val="18"/>
        </w:rPr>
        <w:t xml:space="preserve"> </w:t>
      </w:r>
      <w:hyperlink r:id="rId9" w:history="1">
        <w:r w:rsidRPr="00665ED7">
          <w:rPr>
            <w:rStyle w:val="Hyperlink"/>
            <w:sz w:val="18"/>
          </w:rPr>
          <w:t>https://www.energy-community.org/dam/jcr:f0feeb6e-96c9-48fd-b72e-d6cc7d8b0ef1/ECRB_revenue_determination.pdf</w:t>
        </w:r>
      </w:hyperlink>
      <w:r w:rsidRPr="00665ED7">
        <w:rPr>
          <w:sz w:val="18"/>
        </w:rPr>
        <w:t xml:space="preserve"> </w:t>
      </w:r>
    </w:p>
  </w:footnote>
  <w:footnote w:id="7">
    <w:p w14:paraId="10467AB6" w14:textId="77777777" w:rsidR="00D844B3" w:rsidRPr="00CA414A" w:rsidRDefault="00D844B3" w:rsidP="0075093C">
      <w:pPr>
        <w:pStyle w:val="FootnoteText"/>
        <w:rPr>
          <w:lang w:val="en-US"/>
        </w:rPr>
      </w:pPr>
      <w:r>
        <w:rPr>
          <w:rStyle w:val="FootnoteReference"/>
        </w:rPr>
        <w:footnoteRef/>
      </w:r>
      <w:r>
        <w:t xml:space="preserve"> </w:t>
      </w:r>
      <w:hyperlink r:id="rId10" w:history="1">
        <w:r w:rsidRPr="00A12683">
          <w:rPr>
            <w:rStyle w:val="Hyperlink"/>
          </w:rPr>
          <w:t>http://ero-ks.org/2017/Tarifat/Raport_Konsultativ_per_jetegjatesine_e_aseteve_04072017.pdf</w:t>
        </w:r>
      </w:hyperlink>
      <w:r>
        <w:t xml:space="preserve"> </w:t>
      </w:r>
    </w:p>
  </w:footnote>
  <w:footnote w:id="8">
    <w:p w14:paraId="7ADE4BD0" w14:textId="77777777" w:rsidR="00D844B3" w:rsidRPr="00CA414A" w:rsidRDefault="00D844B3" w:rsidP="0075093C">
      <w:pPr>
        <w:pStyle w:val="FootnoteText"/>
        <w:rPr>
          <w:lang w:val="en-US"/>
        </w:rPr>
      </w:pPr>
      <w:r>
        <w:rPr>
          <w:rStyle w:val="FootnoteReference"/>
        </w:rPr>
        <w:footnoteRef/>
      </w:r>
      <w:r>
        <w:t xml:space="preserve"> </w:t>
      </w:r>
      <w:hyperlink r:id="rId11" w:history="1">
        <w:r w:rsidRPr="00A12683">
          <w:rPr>
            <w:rStyle w:val="Hyperlink"/>
          </w:rPr>
          <w:t>https://erranet.org/electricity-tso-dso-revenue-study-published/#</w:t>
        </w:r>
      </w:hyperlink>
      <w:r>
        <w:t xml:space="preserve"> </w:t>
      </w:r>
    </w:p>
  </w:footnote>
  <w:footnote w:id="9">
    <w:p w14:paraId="3D0F7781" w14:textId="77777777" w:rsidR="00D844B3" w:rsidRPr="00CA414A" w:rsidRDefault="00D844B3" w:rsidP="0075093C">
      <w:pPr>
        <w:pStyle w:val="FootnoteText"/>
        <w:rPr>
          <w:lang w:val="en-US"/>
        </w:rPr>
      </w:pPr>
      <w:r>
        <w:rPr>
          <w:rStyle w:val="FootnoteReference"/>
        </w:rPr>
        <w:footnoteRef/>
      </w:r>
      <w:r>
        <w:t xml:space="preserve"> </w:t>
      </w:r>
      <w:hyperlink r:id="rId12" w:history="1">
        <w:r w:rsidRPr="00A12683">
          <w:rPr>
            <w:rStyle w:val="Hyperlink"/>
          </w:rPr>
          <w:t>https://www.ceer.eu/documents/104400/-/-/9665e39a-3d8b-25dd-7545-09a247f9c2ff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E143" w14:textId="77777777" w:rsidR="00D844B3" w:rsidRDefault="00D844B3">
    <w:pPr>
      <w:pStyle w:val="Header"/>
    </w:pPr>
    <w:r>
      <w:object w:dxaOrig="1171" w:dyaOrig="1740" w14:anchorId="5C6AB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7.75pt">
          <v:imagedata r:id="rId1" o:title=""/>
        </v:shape>
        <o:OLEObject Type="Embed" ProgID="CorelDRAW.Graphic.14" ShapeID="_x0000_i1025" DrawAspect="Content" ObjectID="_1699875212"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5201" w14:textId="77777777" w:rsidR="00D844B3" w:rsidRDefault="00D844B3">
    <w:pPr>
      <w:pStyle w:val="Header"/>
    </w:pPr>
    <w:r>
      <w:rPr>
        <w:noProof/>
        <w:lang w:val="en-US"/>
      </w:rPr>
      <w:drawing>
        <wp:inline distT="0" distB="0" distL="0" distR="0" wp14:anchorId="05F0AE3A" wp14:editId="7D589513">
          <wp:extent cx="5739130" cy="11734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529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B12BA"/>
    <w:multiLevelType w:val="hybridMultilevel"/>
    <w:tmpl w:val="E83CF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94D40"/>
    <w:multiLevelType w:val="hybridMultilevel"/>
    <w:tmpl w:val="6FC2F7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E5E54"/>
    <w:multiLevelType w:val="hybridMultilevel"/>
    <w:tmpl w:val="15B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C8D"/>
    <w:multiLevelType w:val="hybridMultilevel"/>
    <w:tmpl w:val="5228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F64CE"/>
    <w:multiLevelType w:val="hybridMultilevel"/>
    <w:tmpl w:val="EFE4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45C8E"/>
    <w:multiLevelType w:val="hybridMultilevel"/>
    <w:tmpl w:val="1A8264B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40303057"/>
    <w:multiLevelType w:val="hybridMultilevel"/>
    <w:tmpl w:val="680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65C8C"/>
    <w:multiLevelType w:val="hybridMultilevel"/>
    <w:tmpl w:val="6EBE0F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810"/>
        </w:tabs>
        <w:ind w:left="810" w:hanging="720"/>
      </w:pPr>
      <w:rPr>
        <w:rFonts w:ascii="Calibri" w:hAnsi="Calibri" w:hint="default"/>
        <w:b/>
        <w:i w:val="0"/>
        <w:sz w:val="24"/>
      </w:rPr>
    </w:lvl>
    <w:lvl w:ilvl="2">
      <w:start w:val="1"/>
      <w:numFmt w:val="decimal"/>
      <w:pStyle w:val="Heading3"/>
      <w:lvlText w:val="%1.%2.%3"/>
      <w:lvlJc w:val="left"/>
      <w:pPr>
        <w:tabs>
          <w:tab w:val="num" w:pos="2700"/>
        </w:tabs>
        <w:ind w:left="241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E334D9F"/>
    <w:multiLevelType w:val="hybridMultilevel"/>
    <w:tmpl w:val="2D1E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A5ABF"/>
    <w:multiLevelType w:val="hybridMultilevel"/>
    <w:tmpl w:val="41D0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946EF"/>
    <w:multiLevelType w:val="hybridMultilevel"/>
    <w:tmpl w:val="1B2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94401"/>
    <w:multiLevelType w:val="hybridMultilevel"/>
    <w:tmpl w:val="424C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E2EF3"/>
    <w:multiLevelType w:val="hybridMultilevel"/>
    <w:tmpl w:val="97867788"/>
    <w:lvl w:ilvl="0" w:tplc="D8BC65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77C4F"/>
    <w:multiLevelType w:val="hybridMultilevel"/>
    <w:tmpl w:val="7F1C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7" w15:restartNumberingAfterBreak="0">
    <w:nsid w:val="7D074505"/>
    <w:multiLevelType w:val="hybridMultilevel"/>
    <w:tmpl w:val="0786F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5"/>
  </w:num>
  <w:num w:numId="5">
    <w:abstractNumId w:val="7"/>
  </w:num>
  <w:num w:numId="6">
    <w:abstractNumId w:val="3"/>
  </w:num>
  <w:num w:numId="7">
    <w:abstractNumId w:val="12"/>
  </w:num>
  <w:num w:numId="8">
    <w:abstractNumId w:val="6"/>
  </w:num>
  <w:num w:numId="9">
    <w:abstractNumId w:val="11"/>
  </w:num>
  <w:num w:numId="10">
    <w:abstractNumId w:val="2"/>
  </w:num>
  <w:num w:numId="11">
    <w:abstractNumId w:val="10"/>
  </w:num>
  <w:num w:numId="12">
    <w:abstractNumId w:val="4"/>
  </w:num>
  <w:num w:numId="13">
    <w:abstractNumId w:val="17"/>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C"/>
    <w:rsid w:val="00001B4E"/>
    <w:rsid w:val="000026B9"/>
    <w:rsid w:val="00004889"/>
    <w:rsid w:val="00011B81"/>
    <w:rsid w:val="000127D5"/>
    <w:rsid w:val="00014F0E"/>
    <w:rsid w:val="000171F4"/>
    <w:rsid w:val="000228E1"/>
    <w:rsid w:val="00025E72"/>
    <w:rsid w:val="00026AF1"/>
    <w:rsid w:val="000320AA"/>
    <w:rsid w:val="00033B0E"/>
    <w:rsid w:val="00036BDA"/>
    <w:rsid w:val="00040360"/>
    <w:rsid w:val="000406A9"/>
    <w:rsid w:val="00041E5A"/>
    <w:rsid w:val="0004253A"/>
    <w:rsid w:val="000454C6"/>
    <w:rsid w:val="00046CE5"/>
    <w:rsid w:val="00050199"/>
    <w:rsid w:val="000548CF"/>
    <w:rsid w:val="000607C5"/>
    <w:rsid w:val="000614DC"/>
    <w:rsid w:val="0006211E"/>
    <w:rsid w:val="000654DE"/>
    <w:rsid w:val="0007015A"/>
    <w:rsid w:val="00070DD3"/>
    <w:rsid w:val="0007356F"/>
    <w:rsid w:val="00075BC2"/>
    <w:rsid w:val="00080DC1"/>
    <w:rsid w:val="000843D6"/>
    <w:rsid w:val="00084918"/>
    <w:rsid w:val="00084E63"/>
    <w:rsid w:val="000A1516"/>
    <w:rsid w:val="000A28C6"/>
    <w:rsid w:val="000A33F3"/>
    <w:rsid w:val="000A51FE"/>
    <w:rsid w:val="000B1C9B"/>
    <w:rsid w:val="000B1CFC"/>
    <w:rsid w:val="000B28B9"/>
    <w:rsid w:val="000B2A33"/>
    <w:rsid w:val="000B4546"/>
    <w:rsid w:val="000B4A67"/>
    <w:rsid w:val="000C79EF"/>
    <w:rsid w:val="000D079C"/>
    <w:rsid w:val="000D2E4B"/>
    <w:rsid w:val="000D3042"/>
    <w:rsid w:val="000D3378"/>
    <w:rsid w:val="000D4772"/>
    <w:rsid w:val="000D59BE"/>
    <w:rsid w:val="000D76D2"/>
    <w:rsid w:val="000E0A9F"/>
    <w:rsid w:val="000E15A0"/>
    <w:rsid w:val="000E7335"/>
    <w:rsid w:val="000F0C25"/>
    <w:rsid w:val="000F399C"/>
    <w:rsid w:val="000F4234"/>
    <w:rsid w:val="000F78DE"/>
    <w:rsid w:val="000F7B7D"/>
    <w:rsid w:val="00100775"/>
    <w:rsid w:val="00113993"/>
    <w:rsid w:val="00122C81"/>
    <w:rsid w:val="00130069"/>
    <w:rsid w:val="0013166A"/>
    <w:rsid w:val="00133C8E"/>
    <w:rsid w:val="00135E87"/>
    <w:rsid w:val="001417B9"/>
    <w:rsid w:val="00142D77"/>
    <w:rsid w:val="001458BF"/>
    <w:rsid w:val="00146A2D"/>
    <w:rsid w:val="00147F84"/>
    <w:rsid w:val="00151DE8"/>
    <w:rsid w:val="00153D05"/>
    <w:rsid w:val="001575EB"/>
    <w:rsid w:val="001578DE"/>
    <w:rsid w:val="00162402"/>
    <w:rsid w:val="0017016D"/>
    <w:rsid w:val="00170BBC"/>
    <w:rsid w:val="00171F12"/>
    <w:rsid w:val="00180D03"/>
    <w:rsid w:val="00181859"/>
    <w:rsid w:val="001833B9"/>
    <w:rsid w:val="001836FC"/>
    <w:rsid w:val="001926FD"/>
    <w:rsid w:val="001959FE"/>
    <w:rsid w:val="00195FF6"/>
    <w:rsid w:val="001A0EE5"/>
    <w:rsid w:val="001A24C8"/>
    <w:rsid w:val="001A31AB"/>
    <w:rsid w:val="001A659D"/>
    <w:rsid w:val="001B01CD"/>
    <w:rsid w:val="001B6CE3"/>
    <w:rsid w:val="001B781B"/>
    <w:rsid w:val="001C1517"/>
    <w:rsid w:val="001C1637"/>
    <w:rsid w:val="001D27F1"/>
    <w:rsid w:val="001D2F6F"/>
    <w:rsid w:val="001D3C4A"/>
    <w:rsid w:val="001E0EA1"/>
    <w:rsid w:val="001E1F33"/>
    <w:rsid w:val="001E5186"/>
    <w:rsid w:val="001E7E33"/>
    <w:rsid w:val="001F03BA"/>
    <w:rsid w:val="001F4D8B"/>
    <w:rsid w:val="001F4DAE"/>
    <w:rsid w:val="001F6565"/>
    <w:rsid w:val="001F6A00"/>
    <w:rsid w:val="001F7227"/>
    <w:rsid w:val="002007A5"/>
    <w:rsid w:val="00203D95"/>
    <w:rsid w:val="0020632D"/>
    <w:rsid w:val="00207C6A"/>
    <w:rsid w:val="002131B0"/>
    <w:rsid w:val="00216E6A"/>
    <w:rsid w:val="00217F50"/>
    <w:rsid w:val="002233B9"/>
    <w:rsid w:val="00225EBA"/>
    <w:rsid w:val="00243821"/>
    <w:rsid w:val="00244279"/>
    <w:rsid w:val="0025386C"/>
    <w:rsid w:val="00264680"/>
    <w:rsid w:val="00264BE9"/>
    <w:rsid w:val="00267821"/>
    <w:rsid w:val="00280CC8"/>
    <w:rsid w:val="00297252"/>
    <w:rsid w:val="002A0045"/>
    <w:rsid w:val="002A1311"/>
    <w:rsid w:val="002A20BD"/>
    <w:rsid w:val="002A453F"/>
    <w:rsid w:val="002A782F"/>
    <w:rsid w:val="002B1D61"/>
    <w:rsid w:val="002B4793"/>
    <w:rsid w:val="002C3A15"/>
    <w:rsid w:val="002C437D"/>
    <w:rsid w:val="002C7A54"/>
    <w:rsid w:val="002E0385"/>
    <w:rsid w:val="002E3BD0"/>
    <w:rsid w:val="002E67F1"/>
    <w:rsid w:val="002F19A5"/>
    <w:rsid w:val="002F47C1"/>
    <w:rsid w:val="002F5697"/>
    <w:rsid w:val="002F6B42"/>
    <w:rsid w:val="003032A5"/>
    <w:rsid w:val="00305516"/>
    <w:rsid w:val="00306611"/>
    <w:rsid w:val="00307884"/>
    <w:rsid w:val="00313BB1"/>
    <w:rsid w:val="00316213"/>
    <w:rsid w:val="00317A1A"/>
    <w:rsid w:val="00323481"/>
    <w:rsid w:val="00324A3D"/>
    <w:rsid w:val="00325A89"/>
    <w:rsid w:val="00330346"/>
    <w:rsid w:val="00332A94"/>
    <w:rsid w:val="0033317B"/>
    <w:rsid w:val="00333293"/>
    <w:rsid w:val="00334F76"/>
    <w:rsid w:val="00336D79"/>
    <w:rsid w:val="00340E84"/>
    <w:rsid w:val="00343011"/>
    <w:rsid w:val="00347603"/>
    <w:rsid w:val="003505C0"/>
    <w:rsid w:val="0035161C"/>
    <w:rsid w:val="00355BBB"/>
    <w:rsid w:val="00360C6E"/>
    <w:rsid w:val="00364604"/>
    <w:rsid w:val="00367953"/>
    <w:rsid w:val="00370D3A"/>
    <w:rsid w:val="00370D3F"/>
    <w:rsid w:val="00374E4D"/>
    <w:rsid w:val="00376E3E"/>
    <w:rsid w:val="00380CA5"/>
    <w:rsid w:val="00383590"/>
    <w:rsid w:val="003869E3"/>
    <w:rsid w:val="00386B65"/>
    <w:rsid w:val="00386BB9"/>
    <w:rsid w:val="00391717"/>
    <w:rsid w:val="00391E18"/>
    <w:rsid w:val="00393D5E"/>
    <w:rsid w:val="003A1BCC"/>
    <w:rsid w:val="003A27D1"/>
    <w:rsid w:val="003A2F7F"/>
    <w:rsid w:val="003A3FAA"/>
    <w:rsid w:val="003A4746"/>
    <w:rsid w:val="003A65B2"/>
    <w:rsid w:val="003A6CB7"/>
    <w:rsid w:val="003B2728"/>
    <w:rsid w:val="003B6CD0"/>
    <w:rsid w:val="003B6D1F"/>
    <w:rsid w:val="003C1CEC"/>
    <w:rsid w:val="003C2EB3"/>
    <w:rsid w:val="003D0545"/>
    <w:rsid w:val="003D31C7"/>
    <w:rsid w:val="003D5EC0"/>
    <w:rsid w:val="003D7775"/>
    <w:rsid w:val="003E4423"/>
    <w:rsid w:val="003F10A4"/>
    <w:rsid w:val="00400F17"/>
    <w:rsid w:val="004018CC"/>
    <w:rsid w:val="00403D29"/>
    <w:rsid w:val="00412BD4"/>
    <w:rsid w:val="00414249"/>
    <w:rsid w:val="00414878"/>
    <w:rsid w:val="00416931"/>
    <w:rsid w:val="00422A11"/>
    <w:rsid w:val="00424334"/>
    <w:rsid w:val="0042508D"/>
    <w:rsid w:val="00426B47"/>
    <w:rsid w:val="004308FE"/>
    <w:rsid w:val="00431B8C"/>
    <w:rsid w:val="00433B45"/>
    <w:rsid w:val="00443A7D"/>
    <w:rsid w:val="004448AC"/>
    <w:rsid w:val="00444B96"/>
    <w:rsid w:val="004466FC"/>
    <w:rsid w:val="00447003"/>
    <w:rsid w:val="004500A7"/>
    <w:rsid w:val="004528D3"/>
    <w:rsid w:val="00453B00"/>
    <w:rsid w:val="00456A10"/>
    <w:rsid w:val="00456E49"/>
    <w:rsid w:val="0046275F"/>
    <w:rsid w:val="00462BCB"/>
    <w:rsid w:val="004634DF"/>
    <w:rsid w:val="00465284"/>
    <w:rsid w:val="004671D5"/>
    <w:rsid w:val="0047152F"/>
    <w:rsid w:val="00472076"/>
    <w:rsid w:val="00473E11"/>
    <w:rsid w:val="004761B3"/>
    <w:rsid w:val="00477772"/>
    <w:rsid w:val="00477FBB"/>
    <w:rsid w:val="00480ECD"/>
    <w:rsid w:val="00481010"/>
    <w:rsid w:val="00483927"/>
    <w:rsid w:val="00486DDC"/>
    <w:rsid w:val="0049422D"/>
    <w:rsid w:val="004946DF"/>
    <w:rsid w:val="004A4F82"/>
    <w:rsid w:val="004A7284"/>
    <w:rsid w:val="004B1732"/>
    <w:rsid w:val="004B2C8B"/>
    <w:rsid w:val="004B2D91"/>
    <w:rsid w:val="004D177E"/>
    <w:rsid w:val="004D1785"/>
    <w:rsid w:val="004D2E0B"/>
    <w:rsid w:val="004D7B2D"/>
    <w:rsid w:val="004E2D54"/>
    <w:rsid w:val="004E460B"/>
    <w:rsid w:val="004E7859"/>
    <w:rsid w:val="004F1254"/>
    <w:rsid w:val="004F3D94"/>
    <w:rsid w:val="004F60E2"/>
    <w:rsid w:val="004F638A"/>
    <w:rsid w:val="00500BCB"/>
    <w:rsid w:val="00503313"/>
    <w:rsid w:val="00505F11"/>
    <w:rsid w:val="00513C39"/>
    <w:rsid w:val="00513E9C"/>
    <w:rsid w:val="00516255"/>
    <w:rsid w:val="00517B4D"/>
    <w:rsid w:val="0052336F"/>
    <w:rsid w:val="00524471"/>
    <w:rsid w:val="005271A1"/>
    <w:rsid w:val="00530637"/>
    <w:rsid w:val="00531320"/>
    <w:rsid w:val="00532F98"/>
    <w:rsid w:val="0053514E"/>
    <w:rsid w:val="00535786"/>
    <w:rsid w:val="00535B75"/>
    <w:rsid w:val="00545D33"/>
    <w:rsid w:val="005465CA"/>
    <w:rsid w:val="00546A67"/>
    <w:rsid w:val="00547C7B"/>
    <w:rsid w:val="005505B3"/>
    <w:rsid w:val="0055424E"/>
    <w:rsid w:val="00560925"/>
    <w:rsid w:val="00562833"/>
    <w:rsid w:val="0056418E"/>
    <w:rsid w:val="00570838"/>
    <w:rsid w:val="00571BFD"/>
    <w:rsid w:val="005738AD"/>
    <w:rsid w:val="005744AD"/>
    <w:rsid w:val="005774CC"/>
    <w:rsid w:val="0058157D"/>
    <w:rsid w:val="00585593"/>
    <w:rsid w:val="0058567A"/>
    <w:rsid w:val="005866FB"/>
    <w:rsid w:val="00590491"/>
    <w:rsid w:val="00591BFD"/>
    <w:rsid w:val="0059335E"/>
    <w:rsid w:val="00594027"/>
    <w:rsid w:val="00596A23"/>
    <w:rsid w:val="00596D5B"/>
    <w:rsid w:val="00597CE1"/>
    <w:rsid w:val="005A3850"/>
    <w:rsid w:val="005A50B2"/>
    <w:rsid w:val="005A7C87"/>
    <w:rsid w:val="005B0010"/>
    <w:rsid w:val="005B074B"/>
    <w:rsid w:val="005B2152"/>
    <w:rsid w:val="005B2E95"/>
    <w:rsid w:val="005B5EB1"/>
    <w:rsid w:val="005B6F32"/>
    <w:rsid w:val="005C09B5"/>
    <w:rsid w:val="005C1191"/>
    <w:rsid w:val="005C2EA9"/>
    <w:rsid w:val="005C37A9"/>
    <w:rsid w:val="005C3CDB"/>
    <w:rsid w:val="005C4211"/>
    <w:rsid w:val="005C6A3F"/>
    <w:rsid w:val="005D0E09"/>
    <w:rsid w:val="005D5149"/>
    <w:rsid w:val="005D5CB3"/>
    <w:rsid w:val="005D64AB"/>
    <w:rsid w:val="005D6EDC"/>
    <w:rsid w:val="005D720D"/>
    <w:rsid w:val="005D72B5"/>
    <w:rsid w:val="005F0EEB"/>
    <w:rsid w:val="00607367"/>
    <w:rsid w:val="0060792D"/>
    <w:rsid w:val="00613E98"/>
    <w:rsid w:val="00622BA1"/>
    <w:rsid w:val="00627DA7"/>
    <w:rsid w:val="006302C2"/>
    <w:rsid w:val="00632F8F"/>
    <w:rsid w:val="00633296"/>
    <w:rsid w:val="00635964"/>
    <w:rsid w:val="00636A61"/>
    <w:rsid w:val="00641BCA"/>
    <w:rsid w:val="006463D9"/>
    <w:rsid w:val="006465D1"/>
    <w:rsid w:val="0065010D"/>
    <w:rsid w:val="00650342"/>
    <w:rsid w:val="006516EC"/>
    <w:rsid w:val="00652EB8"/>
    <w:rsid w:val="0065588A"/>
    <w:rsid w:val="0066318E"/>
    <w:rsid w:val="00665D24"/>
    <w:rsid w:val="006703E7"/>
    <w:rsid w:val="00670E5A"/>
    <w:rsid w:val="0067179D"/>
    <w:rsid w:val="0067471B"/>
    <w:rsid w:val="00683E29"/>
    <w:rsid w:val="00691BA4"/>
    <w:rsid w:val="0069521E"/>
    <w:rsid w:val="006955A0"/>
    <w:rsid w:val="0069595C"/>
    <w:rsid w:val="00696529"/>
    <w:rsid w:val="0069766B"/>
    <w:rsid w:val="006A1A5D"/>
    <w:rsid w:val="006A1B40"/>
    <w:rsid w:val="006A4059"/>
    <w:rsid w:val="006B1FD6"/>
    <w:rsid w:val="006C04F5"/>
    <w:rsid w:val="006C20DB"/>
    <w:rsid w:val="006C59C3"/>
    <w:rsid w:val="006C5AEB"/>
    <w:rsid w:val="006D08A2"/>
    <w:rsid w:val="006D2DD0"/>
    <w:rsid w:val="006D7569"/>
    <w:rsid w:val="006E2736"/>
    <w:rsid w:val="00701D2D"/>
    <w:rsid w:val="0070275A"/>
    <w:rsid w:val="00704B53"/>
    <w:rsid w:val="007172A6"/>
    <w:rsid w:val="007203C0"/>
    <w:rsid w:val="00726B70"/>
    <w:rsid w:val="0072791F"/>
    <w:rsid w:val="00730E6B"/>
    <w:rsid w:val="00732050"/>
    <w:rsid w:val="00733E90"/>
    <w:rsid w:val="0073762A"/>
    <w:rsid w:val="00740B44"/>
    <w:rsid w:val="00742D47"/>
    <w:rsid w:val="007451A4"/>
    <w:rsid w:val="0075041C"/>
    <w:rsid w:val="0075093C"/>
    <w:rsid w:val="00751C92"/>
    <w:rsid w:val="00756146"/>
    <w:rsid w:val="007574D7"/>
    <w:rsid w:val="0076105B"/>
    <w:rsid w:val="00765F14"/>
    <w:rsid w:val="00766EA9"/>
    <w:rsid w:val="0077018B"/>
    <w:rsid w:val="00771B4C"/>
    <w:rsid w:val="0077267D"/>
    <w:rsid w:val="00775FD0"/>
    <w:rsid w:val="00776F24"/>
    <w:rsid w:val="00780DA3"/>
    <w:rsid w:val="00782525"/>
    <w:rsid w:val="007930E7"/>
    <w:rsid w:val="00793EE8"/>
    <w:rsid w:val="007A0FF6"/>
    <w:rsid w:val="007A1C31"/>
    <w:rsid w:val="007A57B1"/>
    <w:rsid w:val="007A76DB"/>
    <w:rsid w:val="007C1614"/>
    <w:rsid w:val="007C292B"/>
    <w:rsid w:val="007C2BEF"/>
    <w:rsid w:val="007C3A9D"/>
    <w:rsid w:val="007C6E9C"/>
    <w:rsid w:val="007D0FE2"/>
    <w:rsid w:val="007D5EA8"/>
    <w:rsid w:val="007D62F4"/>
    <w:rsid w:val="007E1272"/>
    <w:rsid w:val="007E2FB4"/>
    <w:rsid w:val="007E367B"/>
    <w:rsid w:val="007E3B56"/>
    <w:rsid w:val="007E71CD"/>
    <w:rsid w:val="007E753C"/>
    <w:rsid w:val="007F18BA"/>
    <w:rsid w:val="007F3158"/>
    <w:rsid w:val="007F31B6"/>
    <w:rsid w:val="007F3D22"/>
    <w:rsid w:val="007F47BF"/>
    <w:rsid w:val="007F5F1E"/>
    <w:rsid w:val="007F675B"/>
    <w:rsid w:val="007F6C73"/>
    <w:rsid w:val="00802424"/>
    <w:rsid w:val="0080309D"/>
    <w:rsid w:val="00807AE5"/>
    <w:rsid w:val="00807D7C"/>
    <w:rsid w:val="00810319"/>
    <w:rsid w:val="00816B5C"/>
    <w:rsid w:val="00820A8B"/>
    <w:rsid w:val="00832B36"/>
    <w:rsid w:val="00840B82"/>
    <w:rsid w:val="00845430"/>
    <w:rsid w:val="00853026"/>
    <w:rsid w:val="0086271E"/>
    <w:rsid w:val="00862F0C"/>
    <w:rsid w:val="00863714"/>
    <w:rsid w:val="00865163"/>
    <w:rsid w:val="008657C8"/>
    <w:rsid w:val="0086694A"/>
    <w:rsid w:val="0087409A"/>
    <w:rsid w:val="0087707F"/>
    <w:rsid w:val="00880207"/>
    <w:rsid w:val="00882C92"/>
    <w:rsid w:val="008867AD"/>
    <w:rsid w:val="008874C3"/>
    <w:rsid w:val="00895741"/>
    <w:rsid w:val="00896B00"/>
    <w:rsid w:val="008A1D6F"/>
    <w:rsid w:val="008A1DB6"/>
    <w:rsid w:val="008A27AF"/>
    <w:rsid w:val="008A5596"/>
    <w:rsid w:val="008B34C2"/>
    <w:rsid w:val="008B5F3C"/>
    <w:rsid w:val="008C01F3"/>
    <w:rsid w:val="008C1751"/>
    <w:rsid w:val="008C1D30"/>
    <w:rsid w:val="008C1D88"/>
    <w:rsid w:val="008C22DD"/>
    <w:rsid w:val="008C335B"/>
    <w:rsid w:val="008D2D62"/>
    <w:rsid w:val="008D77FF"/>
    <w:rsid w:val="008E32D5"/>
    <w:rsid w:val="008E7AD9"/>
    <w:rsid w:val="008F05D0"/>
    <w:rsid w:val="008F0FBD"/>
    <w:rsid w:val="00911BAB"/>
    <w:rsid w:val="00911E73"/>
    <w:rsid w:val="00913331"/>
    <w:rsid w:val="0091369E"/>
    <w:rsid w:val="0091406B"/>
    <w:rsid w:val="009154F6"/>
    <w:rsid w:val="009207AD"/>
    <w:rsid w:val="009247F4"/>
    <w:rsid w:val="00925BBD"/>
    <w:rsid w:val="009277F3"/>
    <w:rsid w:val="00930916"/>
    <w:rsid w:val="00932086"/>
    <w:rsid w:val="009364DC"/>
    <w:rsid w:val="00940D6A"/>
    <w:rsid w:val="00942FEA"/>
    <w:rsid w:val="009457D5"/>
    <w:rsid w:val="0095707D"/>
    <w:rsid w:val="009574B0"/>
    <w:rsid w:val="00961ABD"/>
    <w:rsid w:val="00962A42"/>
    <w:rsid w:val="00963B0C"/>
    <w:rsid w:val="00972E9F"/>
    <w:rsid w:val="00977162"/>
    <w:rsid w:val="00977474"/>
    <w:rsid w:val="009774EC"/>
    <w:rsid w:val="00985E81"/>
    <w:rsid w:val="00990F7E"/>
    <w:rsid w:val="00994C88"/>
    <w:rsid w:val="009A01CB"/>
    <w:rsid w:val="009A1C68"/>
    <w:rsid w:val="009A22F0"/>
    <w:rsid w:val="009A28AE"/>
    <w:rsid w:val="009A41F5"/>
    <w:rsid w:val="009A5974"/>
    <w:rsid w:val="009A6625"/>
    <w:rsid w:val="009A7CAF"/>
    <w:rsid w:val="009B16D8"/>
    <w:rsid w:val="009B2F03"/>
    <w:rsid w:val="009B56DF"/>
    <w:rsid w:val="009C08C2"/>
    <w:rsid w:val="009C0E16"/>
    <w:rsid w:val="009C0FBD"/>
    <w:rsid w:val="009C3A41"/>
    <w:rsid w:val="009C4E18"/>
    <w:rsid w:val="009C60B0"/>
    <w:rsid w:val="009C7877"/>
    <w:rsid w:val="009D2952"/>
    <w:rsid w:val="009D3B75"/>
    <w:rsid w:val="009D4CDA"/>
    <w:rsid w:val="009D5210"/>
    <w:rsid w:val="009D551A"/>
    <w:rsid w:val="009D5E0C"/>
    <w:rsid w:val="009F1A0E"/>
    <w:rsid w:val="009F1C9F"/>
    <w:rsid w:val="009F3DE3"/>
    <w:rsid w:val="009F444E"/>
    <w:rsid w:val="009F45EC"/>
    <w:rsid w:val="009F5997"/>
    <w:rsid w:val="00A0247B"/>
    <w:rsid w:val="00A02B15"/>
    <w:rsid w:val="00A02F29"/>
    <w:rsid w:val="00A03383"/>
    <w:rsid w:val="00A0382C"/>
    <w:rsid w:val="00A111DA"/>
    <w:rsid w:val="00A234E2"/>
    <w:rsid w:val="00A23FEE"/>
    <w:rsid w:val="00A242FD"/>
    <w:rsid w:val="00A30365"/>
    <w:rsid w:val="00A31208"/>
    <w:rsid w:val="00A328C1"/>
    <w:rsid w:val="00A36A55"/>
    <w:rsid w:val="00A37BF7"/>
    <w:rsid w:val="00A46102"/>
    <w:rsid w:val="00A461C7"/>
    <w:rsid w:val="00A4794D"/>
    <w:rsid w:val="00A51AC9"/>
    <w:rsid w:val="00A53E10"/>
    <w:rsid w:val="00A57004"/>
    <w:rsid w:val="00A575B5"/>
    <w:rsid w:val="00A63F9B"/>
    <w:rsid w:val="00A64C96"/>
    <w:rsid w:val="00A70595"/>
    <w:rsid w:val="00A73894"/>
    <w:rsid w:val="00A77D26"/>
    <w:rsid w:val="00A809C1"/>
    <w:rsid w:val="00A83F0D"/>
    <w:rsid w:val="00A84768"/>
    <w:rsid w:val="00A86649"/>
    <w:rsid w:val="00A905B3"/>
    <w:rsid w:val="00A92044"/>
    <w:rsid w:val="00A926BC"/>
    <w:rsid w:val="00A92AE4"/>
    <w:rsid w:val="00A95E2D"/>
    <w:rsid w:val="00AA0AD0"/>
    <w:rsid w:val="00AA3379"/>
    <w:rsid w:val="00AA43C0"/>
    <w:rsid w:val="00AA43FA"/>
    <w:rsid w:val="00AA5ED2"/>
    <w:rsid w:val="00AA7239"/>
    <w:rsid w:val="00AA737B"/>
    <w:rsid w:val="00AB0050"/>
    <w:rsid w:val="00AB1006"/>
    <w:rsid w:val="00AB4934"/>
    <w:rsid w:val="00AB4C14"/>
    <w:rsid w:val="00AB6976"/>
    <w:rsid w:val="00AC0209"/>
    <w:rsid w:val="00AC237A"/>
    <w:rsid w:val="00AC29BB"/>
    <w:rsid w:val="00AC2E7A"/>
    <w:rsid w:val="00AC4B02"/>
    <w:rsid w:val="00AC4FE7"/>
    <w:rsid w:val="00AC7D1D"/>
    <w:rsid w:val="00AD2035"/>
    <w:rsid w:val="00AD2AC7"/>
    <w:rsid w:val="00AD2F17"/>
    <w:rsid w:val="00AD6BDB"/>
    <w:rsid w:val="00AE1834"/>
    <w:rsid w:val="00AE1E28"/>
    <w:rsid w:val="00AE2C7C"/>
    <w:rsid w:val="00AE3E88"/>
    <w:rsid w:val="00AF3452"/>
    <w:rsid w:val="00AF4FA6"/>
    <w:rsid w:val="00AF6D35"/>
    <w:rsid w:val="00B03196"/>
    <w:rsid w:val="00B07E8D"/>
    <w:rsid w:val="00B112B0"/>
    <w:rsid w:val="00B11E83"/>
    <w:rsid w:val="00B13296"/>
    <w:rsid w:val="00B161E3"/>
    <w:rsid w:val="00B200B5"/>
    <w:rsid w:val="00B20392"/>
    <w:rsid w:val="00B3291E"/>
    <w:rsid w:val="00B32982"/>
    <w:rsid w:val="00B35AEF"/>
    <w:rsid w:val="00B36793"/>
    <w:rsid w:val="00B36BD4"/>
    <w:rsid w:val="00B41270"/>
    <w:rsid w:val="00B44B95"/>
    <w:rsid w:val="00B45159"/>
    <w:rsid w:val="00B459FA"/>
    <w:rsid w:val="00B465BA"/>
    <w:rsid w:val="00B50121"/>
    <w:rsid w:val="00B511EA"/>
    <w:rsid w:val="00B51848"/>
    <w:rsid w:val="00B5374E"/>
    <w:rsid w:val="00B55EAC"/>
    <w:rsid w:val="00B55FE3"/>
    <w:rsid w:val="00B5616D"/>
    <w:rsid w:val="00B56B00"/>
    <w:rsid w:val="00B57801"/>
    <w:rsid w:val="00B65555"/>
    <w:rsid w:val="00B66A4C"/>
    <w:rsid w:val="00B719A3"/>
    <w:rsid w:val="00B7251B"/>
    <w:rsid w:val="00B81CF9"/>
    <w:rsid w:val="00B8505D"/>
    <w:rsid w:val="00B910AC"/>
    <w:rsid w:val="00B959AA"/>
    <w:rsid w:val="00B97C6A"/>
    <w:rsid w:val="00BA777C"/>
    <w:rsid w:val="00BB0E2F"/>
    <w:rsid w:val="00BC51AD"/>
    <w:rsid w:val="00BC65BE"/>
    <w:rsid w:val="00BC6D04"/>
    <w:rsid w:val="00BD0E08"/>
    <w:rsid w:val="00BD41A7"/>
    <w:rsid w:val="00BD4A76"/>
    <w:rsid w:val="00BD5854"/>
    <w:rsid w:val="00BD5C3B"/>
    <w:rsid w:val="00BD687D"/>
    <w:rsid w:val="00BE26C7"/>
    <w:rsid w:val="00BE289A"/>
    <w:rsid w:val="00BE3747"/>
    <w:rsid w:val="00BE466B"/>
    <w:rsid w:val="00BE4A7E"/>
    <w:rsid w:val="00BF5283"/>
    <w:rsid w:val="00C00ECE"/>
    <w:rsid w:val="00C06923"/>
    <w:rsid w:val="00C10C21"/>
    <w:rsid w:val="00C12983"/>
    <w:rsid w:val="00C162BD"/>
    <w:rsid w:val="00C179D3"/>
    <w:rsid w:val="00C23443"/>
    <w:rsid w:val="00C25DE5"/>
    <w:rsid w:val="00C25FFB"/>
    <w:rsid w:val="00C32A98"/>
    <w:rsid w:val="00C41161"/>
    <w:rsid w:val="00C4461A"/>
    <w:rsid w:val="00C44B45"/>
    <w:rsid w:val="00C509A6"/>
    <w:rsid w:val="00C51855"/>
    <w:rsid w:val="00C543C5"/>
    <w:rsid w:val="00C6132F"/>
    <w:rsid w:val="00C61778"/>
    <w:rsid w:val="00C663DA"/>
    <w:rsid w:val="00C67C10"/>
    <w:rsid w:val="00C713DA"/>
    <w:rsid w:val="00C71B19"/>
    <w:rsid w:val="00C71B6A"/>
    <w:rsid w:val="00C7589A"/>
    <w:rsid w:val="00C764A0"/>
    <w:rsid w:val="00C80305"/>
    <w:rsid w:val="00C806DA"/>
    <w:rsid w:val="00C8241B"/>
    <w:rsid w:val="00C843FE"/>
    <w:rsid w:val="00C85B1F"/>
    <w:rsid w:val="00C86C5D"/>
    <w:rsid w:val="00C94803"/>
    <w:rsid w:val="00C975DB"/>
    <w:rsid w:val="00C97B42"/>
    <w:rsid w:val="00CA17BB"/>
    <w:rsid w:val="00CA322E"/>
    <w:rsid w:val="00CA5BBE"/>
    <w:rsid w:val="00CA7877"/>
    <w:rsid w:val="00CB37CA"/>
    <w:rsid w:val="00CB4981"/>
    <w:rsid w:val="00CB5BF6"/>
    <w:rsid w:val="00CC02A7"/>
    <w:rsid w:val="00CE5AA7"/>
    <w:rsid w:val="00CE614F"/>
    <w:rsid w:val="00CF567B"/>
    <w:rsid w:val="00CF7621"/>
    <w:rsid w:val="00D0253F"/>
    <w:rsid w:val="00D06570"/>
    <w:rsid w:val="00D0667B"/>
    <w:rsid w:val="00D10B89"/>
    <w:rsid w:val="00D11B1F"/>
    <w:rsid w:val="00D178E3"/>
    <w:rsid w:val="00D20283"/>
    <w:rsid w:val="00D22812"/>
    <w:rsid w:val="00D243BE"/>
    <w:rsid w:val="00D24532"/>
    <w:rsid w:val="00D24BF3"/>
    <w:rsid w:val="00D30C77"/>
    <w:rsid w:val="00D342CA"/>
    <w:rsid w:val="00D34E98"/>
    <w:rsid w:val="00D35310"/>
    <w:rsid w:val="00D421AC"/>
    <w:rsid w:val="00D43C82"/>
    <w:rsid w:val="00D465D5"/>
    <w:rsid w:val="00D470D3"/>
    <w:rsid w:val="00D51F06"/>
    <w:rsid w:val="00D572B0"/>
    <w:rsid w:val="00D574D0"/>
    <w:rsid w:val="00D577D3"/>
    <w:rsid w:val="00D60DFD"/>
    <w:rsid w:val="00D65AC0"/>
    <w:rsid w:val="00D67F07"/>
    <w:rsid w:val="00D7452E"/>
    <w:rsid w:val="00D8098F"/>
    <w:rsid w:val="00D80ABE"/>
    <w:rsid w:val="00D83C70"/>
    <w:rsid w:val="00D844B3"/>
    <w:rsid w:val="00D85D17"/>
    <w:rsid w:val="00D94AA4"/>
    <w:rsid w:val="00D95150"/>
    <w:rsid w:val="00D9518B"/>
    <w:rsid w:val="00DA63FF"/>
    <w:rsid w:val="00DB2808"/>
    <w:rsid w:val="00DB6639"/>
    <w:rsid w:val="00DC17DA"/>
    <w:rsid w:val="00DC195B"/>
    <w:rsid w:val="00DC2C00"/>
    <w:rsid w:val="00DC5209"/>
    <w:rsid w:val="00DC5EE1"/>
    <w:rsid w:val="00DC6551"/>
    <w:rsid w:val="00DD18B3"/>
    <w:rsid w:val="00DE0AA0"/>
    <w:rsid w:val="00DE5E68"/>
    <w:rsid w:val="00DF0E39"/>
    <w:rsid w:val="00DF2CB2"/>
    <w:rsid w:val="00DF686A"/>
    <w:rsid w:val="00E12ED9"/>
    <w:rsid w:val="00E13E4C"/>
    <w:rsid w:val="00E13EBD"/>
    <w:rsid w:val="00E151D0"/>
    <w:rsid w:val="00E15B9F"/>
    <w:rsid w:val="00E15C17"/>
    <w:rsid w:val="00E17F72"/>
    <w:rsid w:val="00E200D8"/>
    <w:rsid w:val="00E20388"/>
    <w:rsid w:val="00E2262A"/>
    <w:rsid w:val="00E25459"/>
    <w:rsid w:val="00E278D5"/>
    <w:rsid w:val="00E343AE"/>
    <w:rsid w:val="00E363AA"/>
    <w:rsid w:val="00E376CF"/>
    <w:rsid w:val="00E42F83"/>
    <w:rsid w:val="00E4337A"/>
    <w:rsid w:val="00E53FCA"/>
    <w:rsid w:val="00E5481F"/>
    <w:rsid w:val="00E624EF"/>
    <w:rsid w:val="00E634B5"/>
    <w:rsid w:val="00E63F3B"/>
    <w:rsid w:val="00E7088F"/>
    <w:rsid w:val="00E742CD"/>
    <w:rsid w:val="00E76E85"/>
    <w:rsid w:val="00E83882"/>
    <w:rsid w:val="00E83F1F"/>
    <w:rsid w:val="00E92D18"/>
    <w:rsid w:val="00E94F58"/>
    <w:rsid w:val="00E975D3"/>
    <w:rsid w:val="00EA3868"/>
    <w:rsid w:val="00EA7BD3"/>
    <w:rsid w:val="00EA7D4F"/>
    <w:rsid w:val="00EB07F2"/>
    <w:rsid w:val="00EB18CA"/>
    <w:rsid w:val="00EB3A44"/>
    <w:rsid w:val="00EB6CF5"/>
    <w:rsid w:val="00EC0991"/>
    <w:rsid w:val="00EC421A"/>
    <w:rsid w:val="00ED1C20"/>
    <w:rsid w:val="00EE1AC8"/>
    <w:rsid w:val="00EE35F0"/>
    <w:rsid w:val="00EE4704"/>
    <w:rsid w:val="00EE7D80"/>
    <w:rsid w:val="00EF1930"/>
    <w:rsid w:val="00EF2A7B"/>
    <w:rsid w:val="00EF478F"/>
    <w:rsid w:val="00F0182E"/>
    <w:rsid w:val="00F1122D"/>
    <w:rsid w:val="00F15C05"/>
    <w:rsid w:val="00F210EB"/>
    <w:rsid w:val="00F21722"/>
    <w:rsid w:val="00F3145D"/>
    <w:rsid w:val="00F35773"/>
    <w:rsid w:val="00F5124F"/>
    <w:rsid w:val="00F5411E"/>
    <w:rsid w:val="00F6061A"/>
    <w:rsid w:val="00F635D8"/>
    <w:rsid w:val="00F650CB"/>
    <w:rsid w:val="00F77438"/>
    <w:rsid w:val="00F77DA9"/>
    <w:rsid w:val="00F83CCA"/>
    <w:rsid w:val="00F85CA9"/>
    <w:rsid w:val="00F8655D"/>
    <w:rsid w:val="00F86A3C"/>
    <w:rsid w:val="00F8701A"/>
    <w:rsid w:val="00F91619"/>
    <w:rsid w:val="00F948C5"/>
    <w:rsid w:val="00FA0282"/>
    <w:rsid w:val="00FA1007"/>
    <w:rsid w:val="00FA2350"/>
    <w:rsid w:val="00FB2B6C"/>
    <w:rsid w:val="00FB324C"/>
    <w:rsid w:val="00FB5C42"/>
    <w:rsid w:val="00FC06D6"/>
    <w:rsid w:val="00FC193C"/>
    <w:rsid w:val="00FC3ABD"/>
    <w:rsid w:val="00FC6BAA"/>
    <w:rsid w:val="00FC73D8"/>
    <w:rsid w:val="00FD57A9"/>
    <w:rsid w:val="00FD61BA"/>
    <w:rsid w:val="00FD7508"/>
    <w:rsid w:val="00FE2E06"/>
    <w:rsid w:val="00FE3CA1"/>
    <w:rsid w:val="00FF070F"/>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F9AD"/>
  <w15:chartTrackingRefBased/>
  <w15:docId w15:val="{88DB52E4-165B-443F-A097-E547F05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5093C"/>
    <w:pPr>
      <w:keepNext/>
      <w:numPr>
        <w:numId w:val="1"/>
      </w:numPr>
      <w:spacing w:before="360" w:after="200" w:line="276" w:lineRule="auto"/>
      <w:jc w:val="both"/>
      <w:outlineLvl w:val="0"/>
    </w:pPr>
    <w:rPr>
      <w:rFonts w:ascii="Calibri" w:eastAsia="Times New Roman" w:hAnsi="Calibri" w:cs="Arial"/>
      <w:b/>
      <w:bCs/>
      <w:color w:val="003366"/>
      <w:sz w:val="28"/>
      <w:szCs w:val="24"/>
      <w:lang w:val="en-GB"/>
    </w:rPr>
  </w:style>
  <w:style w:type="paragraph" w:styleId="Heading2">
    <w:name w:val="heading 2"/>
    <w:basedOn w:val="Normal"/>
    <w:next w:val="Normal"/>
    <w:link w:val="Heading2Char"/>
    <w:qFormat/>
    <w:rsid w:val="0075093C"/>
    <w:pPr>
      <w:keepNext/>
      <w:numPr>
        <w:ilvl w:val="1"/>
        <w:numId w:val="1"/>
      </w:numPr>
      <w:autoSpaceDE w:val="0"/>
      <w:autoSpaceDN w:val="0"/>
      <w:adjustRightInd w:val="0"/>
      <w:spacing w:after="200" w:line="276" w:lineRule="auto"/>
      <w:jc w:val="both"/>
      <w:outlineLvl w:val="1"/>
    </w:pPr>
    <w:rPr>
      <w:rFonts w:ascii="Calibri" w:eastAsia="Times New Roman" w:hAnsi="Calibri" w:cs="Arial"/>
      <w:b/>
      <w:bCs/>
      <w:color w:val="003366"/>
      <w:sz w:val="24"/>
      <w:lang w:val="en-GB"/>
    </w:rPr>
  </w:style>
  <w:style w:type="paragraph" w:styleId="Heading3">
    <w:name w:val="heading 3"/>
    <w:basedOn w:val="Heading2"/>
    <w:next w:val="Normal"/>
    <w:link w:val="Heading3Char"/>
    <w:uiPriority w:val="99"/>
    <w:qFormat/>
    <w:rsid w:val="0075093C"/>
    <w:pPr>
      <w:numPr>
        <w:ilvl w:val="2"/>
      </w:numPr>
      <w:tabs>
        <w:tab w:val="left" w:pos="2160"/>
      </w:tabs>
      <w:spacing w:after="120"/>
      <w:outlineLvl w:val="2"/>
    </w:pPr>
    <w:rPr>
      <w:i/>
      <w:sz w:val="22"/>
      <w:szCs w:val="20"/>
    </w:rPr>
  </w:style>
  <w:style w:type="paragraph" w:styleId="Heading4">
    <w:name w:val="heading 4"/>
    <w:basedOn w:val="Normal"/>
    <w:next w:val="Normal"/>
    <w:link w:val="Heading4Char"/>
    <w:uiPriority w:val="9"/>
    <w:unhideWhenUsed/>
    <w:qFormat/>
    <w:rsid w:val="0075093C"/>
    <w:pPr>
      <w:keepNext/>
      <w:keepLines/>
      <w:spacing w:before="40" w:after="0" w:line="276"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5093C"/>
    <w:pPr>
      <w:keepNext/>
      <w:keepLines/>
      <w:spacing w:before="40" w:after="0" w:line="276" w:lineRule="auto"/>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93C"/>
    <w:rPr>
      <w:rFonts w:ascii="Calibri" w:eastAsia="Times New Roman" w:hAnsi="Calibri" w:cs="Arial"/>
      <w:b/>
      <w:bCs/>
      <w:color w:val="003366"/>
      <w:sz w:val="28"/>
      <w:szCs w:val="24"/>
      <w:lang w:val="en-GB"/>
    </w:rPr>
  </w:style>
  <w:style w:type="character" w:customStyle="1" w:styleId="Heading2Char">
    <w:name w:val="Heading 2 Char"/>
    <w:basedOn w:val="DefaultParagraphFont"/>
    <w:link w:val="Heading2"/>
    <w:rsid w:val="0075093C"/>
    <w:rPr>
      <w:rFonts w:ascii="Calibri" w:eastAsia="Times New Roman" w:hAnsi="Calibri" w:cs="Arial"/>
      <w:b/>
      <w:bCs/>
      <w:color w:val="003366"/>
      <w:sz w:val="24"/>
      <w:lang w:val="en-GB"/>
    </w:rPr>
  </w:style>
  <w:style w:type="character" w:customStyle="1" w:styleId="Heading3Char">
    <w:name w:val="Heading 3 Char"/>
    <w:basedOn w:val="DefaultParagraphFont"/>
    <w:link w:val="Heading3"/>
    <w:uiPriority w:val="99"/>
    <w:rsid w:val="0075093C"/>
    <w:rPr>
      <w:rFonts w:ascii="Calibri" w:eastAsia="Times New Roman" w:hAnsi="Calibri" w:cs="Arial"/>
      <w:b/>
      <w:bCs/>
      <w:i/>
      <w:color w:val="003366"/>
      <w:szCs w:val="20"/>
      <w:lang w:val="en-GB"/>
    </w:rPr>
  </w:style>
  <w:style w:type="character" w:customStyle="1" w:styleId="Heading4Char">
    <w:name w:val="Heading 4 Char"/>
    <w:basedOn w:val="DefaultParagraphFont"/>
    <w:link w:val="Heading4"/>
    <w:uiPriority w:val="9"/>
    <w:rsid w:val="0075093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5093C"/>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rsid w:val="0075093C"/>
    <w:pPr>
      <w:tabs>
        <w:tab w:val="center" w:pos="4320"/>
        <w:tab w:val="right" w:pos="8640"/>
      </w:tabs>
      <w:spacing w:after="0" w:line="240" w:lineRule="auto"/>
      <w:jc w:val="both"/>
    </w:pPr>
    <w:rPr>
      <w:rFonts w:ascii="Calibri" w:eastAsia="Times New Roman" w:hAnsi="Calibri" w:cs="Arial"/>
      <w:b/>
      <w:color w:val="FFCC00"/>
      <w:szCs w:val="24"/>
      <w:lang w:val="en-GB"/>
    </w:rPr>
  </w:style>
  <w:style w:type="character" w:customStyle="1" w:styleId="HeaderChar">
    <w:name w:val="Header Char"/>
    <w:basedOn w:val="DefaultParagraphFont"/>
    <w:link w:val="Header"/>
    <w:uiPriority w:val="99"/>
    <w:rsid w:val="0075093C"/>
    <w:rPr>
      <w:rFonts w:ascii="Calibri" w:eastAsia="Times New Roman" w:hAnsi="Calibri" w:cs="Arial"/>
      <w:b/>
      <w:color w:val="FFCC00"/>
      <w:szCs w:val="24"/>
      <w:lang w:val="en-GB"/>
    </w:rPr>
  </w:style>
  <w:style w:type="paragraph" w:styleId="Footer">
    <w:name w:val="footer"/>
    <w:basedOn w:val="Normal"/>
    <w:link w:val="FooterChar"/>
    <w:uiPriority w:val="99"/>
    <w:rsid w:val="0075093C"/>
    <w:pPr>
      <w:tabs>
        <w:tab w:val="center" w:pos="4320"/>
        <w:tab w:val="right" w:pos="8640"/>
      </w:tabs>
      <w:spacing w:after="200" w:line="276" w:lineRule="auto"/>
      <w:jc w:val="both"/>
    </w:pPr>
    <w:rPr>
      <w:rFonts w:ascii="Arial" w:eastAsia="Times New Roman" w:hAnsi="Arial" w:cs="Arial"/>
      <w:szCs w:val="24"/>
      <w:lang w:val="en-GB"/>
    </w:rPr>
  </w:style>
  <w:style w:type="character" w:customStyle="1" w:styleId="FooterChar">
    <w:name w:val="Footer Char"/>
    <w:basedOn w:val="DefaultParagraphFont"/>
    <w:link w:val="Footer"/>
    <w:uiPriority w:val="99"/>
    <w:rsid w:val="0075093C"/>
    <w:rPr>
      <w:rFonts w:ascii="Arial" w:eastAsia="Times New Roman" w:hAnsi="Arial" w:cs="Arial"/>
      <w:szCs w:val="24"/>
      <w:lang w:val="en-GB"/>
    </w:rPr>
  </w:style>
  <w:style w:type="character" w:styleId="PageNumber">
    <w:name w:val="page number"/>
    <w:basedOn w:val="DefaultParagraphFont"/>
    <w:uiPriority w:val="99"/>
    <w:rsid w:val="0075093C"/>
    <w:rPr>
      <w:rFonts w:ascii="Calibri" w:hAnsi="Calibri"/>
      <w:sz w:val="18"/>
    </w:rPr>
  </w:style>
  <w:style w:type="paragraph" w:styleId="Title">
    <w:name w:val="Title"/>
    <w:basedOn w:val="Normal"/>
    <w:link w:val="TitleChar"/>
    <w:uiPriority w:val="99"/>
    <w:qFormat/>
    <w:rsid w:val="0075093C"/>
    <w:pPr>
      <w:shd w:val="clear" w:color="auto" w:fill="002060"/>
      <w:tabs>
        <w:tab w:val="center" w:pos="4320"/>
      </w:tabs>
      <w:spacing w:before="240" w:after="200" w:line="276" w:lineRule="auto"/>
      <w:jc w:val="both"/>
    </w:pPr>
    <w:rPr>
      <w:rFonts w:ascii="Calibri" w:eastAsia="Times New Roman" w:hAnsi="Calibri" w:cs="Arial Bold"/>
      <w:b/>
      <w:bCs/>
      <w:color w:val="FFC000"/>
      <w:sz w:val="48"/>
      <w:szCs w:val="24"/>
      <w:lang w:val="sq-AL"/>
    </w:rPr>
  </w:style>
  <w:style w:type="character" w:customStyle="1" w:styleId="TitleChar">
    <w:name w:val="Title Char"/>
    <w:basedOn w:val="DefaultParagraphFont"/>
    <w:link w:val="Title"/>
    <w:uiPriority w:val="99"/>
    <w:rsid w:val="0075093C"/>
    <w:rPr>
      <w:rFonts w:ascii="Calibri" w:eastAsia="Times New Roman" w:hAnsi="Calibri" w:cs="Arial Bold"/>
      <w:b/>
      <w:bCs/>
      <w:color w:val="FFC000"/>
      <w:sz w:val="48"/>
      <w:szCs w:val="24"/>
      <w:shd w:val="clear" w:color="auto" w:fill="002060"/>
      <w:lang w:val="sq-AL"/>
    </w:rPr>
  </w:style>
  <w:style w:type="paragraph" w:styleId="Caption">
    <w:name w:val="caption"/>
    <w:aliases w:val="Tabellen"/>
    <w:basedOn w:val="Normal"/>
    <w:next w:val="Normal"/>
    <w:qFormat/>
    <w:rsid w:val="0075093C"/>
    <w:pPr>
      <w:keepNext/>
      <w:spacing w:after="200" w:line="276" w:lineRule="auto"/>
      <w:jc w:val="both"/>
    </w:pPr>
    <w:rPr>
      <w:rFonts w:ascii="Calibri" w:eastAsia="Times New Roman" w:hAnsi="Calibri" w:cs="Arial"/>
      <w:b/>
      <w:bCs/>
      <w:i/>
      <w:color w:val="003366"/>
      <w:szCs w:val="24"/>
      <w:lang w:val="en-GB"/>
    </w:rPr>
  </w:style>
  <w:style w:type="paragraph" w:styleId="FootnoteText">
    <w:name w:val="footnote text"/>
    <w:basedOn w:val="Normal"/>
    <w:link w:val="FootnoteTextChar"/>
    <w:semiHidden/>
    <w:rsid w:val="0075093C"/>
    <w:pPr>
      <w:tabs>
        <w:tab w:val="left" w:pos="288"/>
      </w:tabs>
      <w:spacing w:after="60" w:line="276" w:lineRule="auto"/>
      <w:ind w:left="288" w:hanging="288"/>
      <w:jc w:val="both"/>
    </w:pPr>
    <w:rPr>
      <w:rFonts w:ascii="Calibri" w:eastAsia="Times New Roman" w:hAnsi="Calibri" w:cs="Arial"/>
      <w:sz w:val="20"/>
      <w:szCs w:val="24"/>
      <w:lang w:val="en-GB"/>
    </w:rPr>
  </w:style>
  <w:style w:type="character" w:customStyle="1" w:styleId="FootnoteTextChar">
    <w:name w:val="Footnote Text Char"/>
    <w:basedOn w:val="DefaultParagraphFont"/>
    <w:link w:val="FootnoteText"/>
    <w:semiHidden/>
    <w:rsid w:val="0075093C"/>
    <w:rPr>
      <w:rFonts w:ascii="Calibri" w:eastAsia="Times New Roman" w:hAnsi="Calibri" w:cs="Arial"/>
      <w:sz w:val="20"/>
      <w:szCs w:val="24"/>
      <w:lang w:val="en-GB"/>
    </w:rPr>
  </w:style>
  <w:style w:type="character" w:styleId="FootnoteReference">
    <w:name w:val="footnote reference"/>
    <w:basedOn w:val="DefaultParagraphFont"/>
    <w:semiHidden/>
    <w:rsid w:val="0075093C"/>
    <w:rPr>
      <w:vertAlign w:val="superscript"/>
    </w:rPr>
  </w:style>
  <w:style w:type="character" w:styleId="Hyperlink">
    <w:name w:val="Hyperlink"/>
    <w:basedOn w:val="DefaultParagraphFont"/>
    <w:uiPriority w:val="99"/>
    <w:rsid w:val="0075093C"/>
    <w:rPr>
      <w:color w:val="0000FF"/>
      <w:u w:val="single"/>
    </w:rPr>
  </w:style>
  <w:style w:type="paragraph" w:styleId="ListBullet">
    <w:name w:val="List Bullet"/>
    <w:basedOn w:val="Normal"/>
    <w:uiPriority w:val="99"/>
    <w:rsid w:val="0075093C"/>
    <w:pPr>
      <w:numPr>
        <w:numId w:val="2"/>
      </w:numPr>
      <w:tabs>
        <w:tab w:val="clear" w:pos="360"/>
        <w:tab w:val="num" w:pos="720"/>
      </w:tabs>
      <w:spacing w:after="200" w:line="276" w:lineRule="auto"/>
      <w:ind w:left="720"/>
      <w:jc w:val="both"/>
    </w:pPr>
    <w:rPr>
      <w:rFonts w:ascii="Calibri" w:eastAsia="Times New Roman" w:hAnsi="Calibri" w:cs="Arial"/>
      <w:szCs w:val="24"/>
      <w:lang w:val="en-GB"/>
    </w:rPr>
  </w:style>
  <w:style w:type="paragraph" w:styleId="TOC1">
    <w:name w:val="toc 1"/>
    <w:basedOn w:val="Normal"/>
    <w:next w:val="Normal"/>
    <w:autoRedefine/>
    <w:uiPriority w:val="39"/>
    <w:rsid w:val="00B65555"/>
    <w:pPr>
      <w:tabs>
        <w:tab w:val="left" w:pos="475"/>
        <w:tab w:val="right" w:leader="dot" w:pos="9350"/>
      </w:tabs>
      <w:spacing w:before="200" w:after="200" w:line="276" w:lineRule="auto"/>
      <w:jc w:val="both"/>
    </w:pPr>
    <w:rPr>
      <w:rFonts w:ascii="Calibri" w:eastAsia="Times New Roman" w:hAnsi="Calibri" w:cs="Arial"/>
      <w:b/>
      <w:szCs w:val="24"/>
      <w:lang w:val="en-GB"/>
    </w:rPr>
  </w:style>
  <w:style w:type="paragraph" w:styleId="TOC2">
    <w:name w:val="toc 2"/>
    <w:basedOn w:val="Normal"/>
    <w:next w:val="Normal"/>
    <w:autoRedefine/>
    <w:uiPriority w:val="39"/>
    <w:rsid w:val="00472076"/>
    <w:pPr>
      <w:tabs>
        <w:tab w:val="left" w:pos="880"/>
        <w:tab w:val="right" w:leader="dot" w:pos="9350"/>
      </w:tabs>
      <w:spacing w:after="100" w:line="276" w:lineRule="auto"/>
      <w:ind w:left="245"/>
      <w:jc w:val="both"/>
    </w:pPr>
    <w:rPr>
      <w:rFonts w:ascii="Calibri" w:eastAsia="Times New Roman" w:hAnsi="Calibri" w:cs="Arial"/>
      <w:szCs w:val="24"/>
      <w:lang w:val="en-GB"/>
    </w:rPr>
  </w:style>
  <w:style w:type="paragraph" w:styleId="TOC3">
    <w:name w:val="toc 3"/>
    <w:basedOn w:val="Normal"/>
    <w:next w:val="Normal"/>
    <w:autoRedefine/>
    <w:uiPriority w:val="39"/>
    <w:rsid w:val="0075093C"/>
    <w:pPr>
      <w:spacing w:after="120" w:line="276" w:lineRule="auto"/>
      <w:ind w:left="475"/>
      <w:jc w:val="both"/>
    </w:pPr>
    <w:rPr>
      <w:rFonts w:ascii="Calibri" w:eastAsia="Times New Roman" w:hAnsi="Calibri" w:cs="Arial"/>
      <w:sz w:val="20"/>
      <w:szCs w:val="24"/>
      <w:lang w:val="en-GB"/>
    </w:rPr>
  </w:style>
  <w:style w:type="character" w:customStyle="1" w:styleId="BalloonTextChar">
    <w:name w:val="Balloon Text Char"/>
    <w:basedOn w:val="DefaultParagraphFont"/>
    <w:link w:val="BalloonText"/>
    <w:uiPriority w:val="99"/>
    <w:semiHidden/>
    <w:rsid w:val="0075093C"/>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75093C"/>
    <w:pPr>
      <w:spacing w:after="0" w:line="240" w:lineRule="auto"/>
      <w:jc w:val="both"/>
    </w:pPr>
    <w:rPr>
      <w:rFonts w:ascii="Tahoma" w:eastAsia="Times New Roman" w:hAnsi="Tahoma" w:cs="Tahoma"/>
      <w:sz w:val="16"/>
      <w:szCs w:val="16"/>
      <w:lang w:val="en-GB"/>
    </w:rPr>
  </w:style>
  <w:style w:type="character" w:customStyle="1" w:styleId="CommentTextChar">
    <w:name w:val="Comment Text Char"/>
    <w:basedOn w:val="DefaultParagraphFont"/>
    <w:link w:val="CommentText"/>
    <w:uiPriority w:val="99"/>
    <w:semiHidden/>
    <w:rsid w:val="0075093C"/>
    <w:rPr>
      <w:rFonts w:ascii="Calibri" w:eastAsia="Times New Roman" w:hAnsi="Calibri" w:cs="Arial"/>
      <w:sz w:val="20"/>
      <w:szCs w:val="20"/>
      <w:lang w:val="en-GB"/>
    </w:rPr>
  </w:style>
  <w:style w:type="paragraph" w:styleId="CommentText">
    <w:name w:val="annotation text"/>
    <w:basedOn w:val="Normal"/>
    <w:link w:val="CommentTextChar"/>
    <w:uiPriority w:val="99"/>
    <w:semiHidden/>
    <w:unhideWhenUsed/>
    <w:rsid w:val="0075093C"/>
    <w:pPr>
      <w:spacing w:after="200" w:line="240" w:lineRule="auto"/>
      <w:jc w:val="both"/>
    </w:pPr>
    <w:rPr>
      <w:rFonts w:ascii="Calibri" w:eastAsia="Times New Roman" w:hAnsi="Calibri" w:cs="Arial"/>
      <w:sz w:val="20"/>
      <w:szCs w:val="20"/>
      <w:lang w:val="en-GB"/>
    </w:rPr>
  </w:style>
  <w:style w:type="character" w:customStyle="1" w:styleId="CommentTextChar1">
    <w:name w:val="Comment Text Char1"/>
    <w:basedOn w:val="DefaultParagraphFont"/>
    <w:uiPriority w:val="99"/>
    <w:semiHidden/>
    <w:rsid w:val="0075093C"/>
    <w:rPr>
      <w:sz w:val="20"/>
      <w:szCs w:val="20"/>
    </w:rPr>
  </w:style>
  <w:style w:type="character" w:customStyle="1" w:styleId="CommentSubjectChar">
    <w:name w:val="Comment Subject Char"/>
    <w:basedOn w:val="CommentTextChar"/>
    <w:link w:val="CommentSubject"/>
    <w:uiPriority w:val="99"/>
    <w:semiHidden/>
    <w:rsid w:val="0075093C"/>
    <w:rPr>
      <w:rFonts w:ascii="Calibri" w:eastAsia="Times New Roman" w:hAnsi="Calibri" w:cs="Arial"/>
      <w:b/>
      <w:bCs/>
      <w:sz w:val="20"/>
      <w:szCs w:val="20"/>
      <w:lang w:val="en-GB"/>
    </w:rPr>
  </w:style>
  <w:style w:type="paragraph" w:styleId="CommentSubject">
    <w:name w:val="annotation subject"/>
    <w:basedOn w:val="CommentText"/>
    <w:next w:val="CommentText"/>
    <w:link w:val="CommentSubjectChar"/>
    <w:uiPriority w:val="99"/>
    <w:semiHidden/>
    <w:unhideWhenUsed/>
    <w:rsid w:val="0075093C"/>
    <w:rPr>
      <w:b/>
      <w:bCs/>
    </w:rPr>
  </w:style>
  <w:style w:type="character" w:customStyle="1" w:styleId="CommentSubjectChar1">
    <w:name w:val="Comment Subject Char1"/>
    <w:basedOn w:val="CommentTextChar1"/>
    <w:uiPriority w:val="99"/>
    <w:semiHidden/>
    <w:rsid w:val="0075093C"/>
    <w:rPr>
      <w:b/>
      <w:bCs/>
      <w:sz w:val="20"/>
      <w:szCs w:val="20"/>
    </w:rPr>
  </w:style>
  <w:style w:type="character" w:customStyle="1" w:styleId="hps">
    <w:name w:val="hps"/>
    <w:basedOn w:val="DefaultParagraphFont"/>
    <w:uiPriority w:val="99"/>
    <w:rsid w:val="0075093C"/>
    <w:rPr>
      <w:rFonts w:cs="Times New Roman"/>
    </w:rPr>
  </w:style>
  <w:style w:type="paragraph" w:styleId="ListParagraph">
    <w:name w:val="List Paragraph"/>
    <w:aliases w:val="Bullets,Medium Grid 1 - Accent 22,List Paragraph1"/>
    <w:basedOn w:val="Normal"/>
    <w:link w:val="ListParagraphChar"/>
    <w:uiPriority w:val="34"/>
    <w:qFormat/>
    <w:rsid w:val="0075093C"/>
    <w:pPr>
      <w:spacing w:after="200" w:line="276" w:lineRule="auto"/>
      <w:ind w:left="720"/>
      <w:jc w:val="both"/>
    </w:pPr>
    <w:rPr>
      <w:rFonts w:ascii="Calibri" w:eastAsia="Times New Roman" w:hAnsi="Calibri" w:cs="Arial"/>
      <w:szCs w:val="24"/>
      <w:lang w:val="en-GB"/>
    </w:rPr>
  </w:style>
  <w:style w:type="character" w:customStyle="1" w:styleId="ListParagraphChar">
    <w:name w:val="List Paragraph Char"/>
    <w:aliases w:val="Bullets Char,Medium Grid 1 - Accent 22 Char,List Paragraph1 Char"/>
    <w:basedOn w:val="DefaultParagraphFont"/>
    <w:link w:val="ListParagraph"/>
    <w:uiPriority w:val="34"/>
    <w:locked/>
    <w:rsid w:val="0075093C"/>
    <w:rPr>
      <w:rFonts w:ascii="Calibri" w:eastAsia="Times New Roman" w:hAnsi="Calibri" w:cs="Arial"/>
      <w:szCs w:val="24"/>
      <w:lang w:val="en-GB"/>
    </w:rPr>
  </w:style>
  <w:style w:type="paragraph" w:customStyle="1" w:styleId="HeadingS">
    <w:name w:val="Heading S"/>
    <w:basedOn w:val="Heading1"/>
    <w:next w:val="TextS"/>
    <w:qFormat/>
    <w:rsid w:val="0075093C"/>
    <w:pPr>
      <w:pageBreakBefore/>
      <w:numPr>
        <w:numId w:val="0"/>
      </w:numPr>
      <w:spacing w:before="480" w:after="480" w:line="312" w:lineRule="auto"/>
      <w:ind w:left="360" w:hanging="360"/>
      <w:jc w:val="center"/>
    </w:pPr>
    <w:rPr>
      <w:rFonts w:cs="Times New Roman"/>
      <w:bCs w:val="0"/>
      <w:caps/>
      <w:color w:val="auto"/>
      <w:sz w:val="22"/>
      <w:szCs w:val="22"/>
      <w:lang w:val="en-AU" w:eastAsia="en-GB"/>
    </w:rPr>
  </w:style>
  <w:style w:type="paragraph" w:customStyle="1" w:styleId="TextS">
    <w:name w:val="TextS"/>
    <w:basedOn w:val="Normal"/>
    <w:link w:val="TextSChar"/>
    <w:qFormat/>
    <w:rsid w:val="0075093C"/>
    <w:pPr>
      <w:spacing w:before="240" w:after="240" w:line="240" w:lineRule="auto"/>
      <w:ind w:left="720" w:hanging="720"/>
      <w:jc w:val="both"/>
    </w:pPr>
    <w:rPr>
      <w:rFonts w:ascii="Calibri" w:eastAsia="Times New Roman" w:hAnsi="Calibri" w:cs="Times New Roman"/>
      <w:szCs w:val="24"/>
      <w:lang w:val="en-AU" w:eastAsia="en-GB"/>
    </w:rPr>
  </w:style>
  <w:style w:type="character" w:customStyle="1" w:styleId="TextSChar">
    <w:name w:val="TextS Char"/>
    <w:basedOn w:val="DefaultParagraphFont"/>
    <w:link w:val="TextS"/>
    <w:rsid w:val="0075093C"/>
    <w:rPr>
      <w:rFonts w:ascii="Calibri" w:eastAsia="Times New Roman" w:hAnsi="Calibri" w:cs="Times New Roman"/>
      <w:szCs w:val="24"/>
      <w:lang w:val="en-AU" w:eastAsia="en-GB"/>
    </w:rPr>
  </w:style>
  <w:style w:type="paragraph" w:customStyle="1" w:styleId="Equation">
    <w:name w:val="Equation"/>
    <w:basedOn w:val="TextS"/>
    <w:link w:val="EquationChar"/>
    <w:qFormat/>
    <w:rsid w:val="0075093C"/>
    <w:pPr>
      <w:ind w:left="2160" w:hanging="1440"/>
    </w:pPr>
    <w:rPr>
      <w:i/>
      <w:lang w:val="en-GB"/>
    </w:rPr>
  </w:style>
  <w:style w:type="character" w:customStyle="1" w:styleId="EquationChar">
    <w:name w:val="Equation Char"/>
    <w:basedOn w:val="TextSChar"/>
    <w:link w:val="Equation"/>
    <w:rsid w:val="0075093C"/>
    <w:rPr>
      <w:rFonts w:ascii="Calibri" w:eastAsia="Times New Roman" w:hAnsi="Calibri" w:cs="Times New Roman"/>
      <w:i/>
      <w:szCs w:val="24"/>
      <w:lang w:val="en-GB" w:eastAsia="en-GB"/>
    </w:rPr>
  </w:style>
  <w:style w:type="character" w:customStyle="1" w:styleId="spelle">
    <w:name w:val="spelle"/>
    <w:basedOn w:val="DefaultParagraphFont"/>
    <w:rsid w:val="0075093C"/>
  </w:style>
  <w:style w:type="paragraph" w:styleId="Subtitle">
    <w:name w:val="Subtitle"/>
    <w:basedOn w:val="Normal"/>
    <w:next w:val="Normal"/>
    <w:link w:val="SubtitleChar"/>
    <w:uiPriority w:val="11"/>
    <w:qFormat/>
    <w:rsid w:val="0075093C"/>
    <w:pPr>
      <w:numPr>
        <w:ilvl w:val="1"/>
      </w:numPr>
      <w:shd w:val="clear" w:color="auto" w:fill="002060"/>
      <w:spacing w:before="240" w:after="200" w:line="276" w:lineRule="auto"/>
      <w:jc w:val="center"/>
    </w:pPr>
    <w:rPr>
      <w:rFonts w:ascii="Calibri" w:eastAsiaTheme="majorEastAsia" w:hAnsi="Calibri" w:cstheme="majorBidi"/>
      <w:iCs/>
      <w:color w:val="FFC000"/>
      <w:spacing w:val="15"/>
      <w:sz w:val="48"/>
      <w:szCs w:val="24"/>
    </w:rPr>
  </w:style>
  <w:style w:type="character" w:customStyle="1" w:styleId="SubtitleChar">
    <w:name w:val="Subtitle Char"/>
    <w:basedOn w:val="DefaultParagraphFont"/>
    <w:link w:val="Subtitle"/>
    <w:uiPriority w:val="11"/>
    <w:rsid w:val="0075093C"/>
    <w:rPr>
      <w:rFonts w:ascii="Calibri" w:eastAsiaTheme="majorEastAsia" w:hAnsi="Calibri" w:cstheme="majorBidi"/>
      <w:iCs/>
      <w:color w:val="FFC000"/>
      <w:spacing w:val="15"/>
      <w:sz w:val="48"/>
      <w:szCs w:val="24"/>
      <w:shd w:val="clear" w:color="auto" w:fill="002060"/>
    </w:rPr>
  </w:style>
  <w:style w:type="paragraph" w:customStyle="1" w:styleId="ReportDate">
    <w:name w:val="Report Date"/>
    <w:basedOn w:val="Normal"/>
    <w:link w:val="ReportDateChar"/>
    <w:qFormat/>
    <w:rsid w:val="0075093C"/>
    <w:pPr>
      <w:tabs>
        <w:tab w:val="left" w:pos="2175"/>
      </w:tabs>
      <w:spacing w:after="200" w:line="276" w:lineRule="auto"/>
      <w:jc w:val="center"/>
    </w:pPr>
    <w:rPr>
      <w:b/>
      <w:bCs/>
      <w:color w:val="005D97"/>
      <w:sz w:val="36"/>
      <w:szCs w:val="36"/>
    </w:rPr>
  </w:style>
  <w:style w:type="character" w:customStyle="1" w:styleId="ReportDateChar">
    <w:name w:val="Report Date Char"/>
    <w:basedOn w:val="DefaultParagraphFont"/>
    <w:link w:val="ReportDate"/>
    <w:rsid w:val="0075093C"/>
    <w:rPr>
      <w:b/>
      <w:bCs/>
      <w:color w:val="005D97"/>
      <w:sz w:val="36"/>
      <w:szCs w:val="36"/>
    </w:rPr>
  </w:style>
  <w:style w:type="paragraph" w:customStyle="1" w:styleId="Bullet1">
    <w:name w:val="Bullet 1"/>
    <w:basedOn w:val="Normal"/>
    <w:rsid w:val="0075093C"/>
    <w:pPr>
      <w:numPr>
        <w:numId w:val="3"/>
      </w:numPr>
      <w:spacing w:before="100" w:after="0" w:line="312" w:lineRule="auto"/>
      <w:jc w:val="both"/>
    </w:pPr>
    <w:rPr>
      <w:rFonts w:ascii="Arial" w:eastAsia="Cambria" w:hAnsi="Arial" w:cs="Arial"/>
      <w:sz w:val="20"/>
      <w:szCs w:val="20"/>
      <w:lang w:val="en-AU" w:eastAsia="en-GB"/>
    </w:rPr>
  </w:style>
  <w:style w:type="table" w:styleId="LightShading-Accent5">
    <w:name w:val="Light Shading Accent 5"/>
    <w:basedOn w:val="TableNormal"/>
    <w:uiPriority w:val="60"/>
    <w:rsid w:val="0075093C"/>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eGrid">
    <w:name w:val="Table Grid"/>
    <w:basedOn w:val="TableNormal"/>
    <w:rsid w:val="0075093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093C"/>
    <w:pPr>
      <w:autoSpaceDE w:val="0"/>
      <w:autoSpaceDN w:val="0"/>
      <w:adjustRightInd w:val="0"/>
      <w:spacing w:after="0" w:line="240" w:lineRule="auto"/>
    </w:pPr>
    <w:rPr>
      <w:rFonts w:ascii="Calibri" w:hAnsi="Calibri" w:cs="Calibri"/>
      <w:color w:val="000000"/>
      <w:sz w:val="24"/>
      <w:szCs w:val="24"/>
      <w:lang w:bidi="th-TH"/>
    </w:rPr>
  </w:style>
  <w:style w:type="paragraph" w:customStyle="1" w:styleId="Text">
    <w:name w:val="Text"/>
    <w:basedOn w:val="Normal"/>
    <w:link w:val="TextChar"/>
    <w:qFormat/>
    <w:rsid w:val="0075093C"/>
    <w:pPr>
      <w:spacing w:before="240" w:after="240" w:line="240" w:lineRule="auto"/>
      <w:ind w:left="720" w:hanging="720"/>
      <w:jc w:val="both"/>
    </w:pPr>
    <w:rPr>
      <w:rFonts w:ascii="Calibri" w:eastAsia="Times New Roman" w:hAnsi="Calibri" w:cs="Times New Roman"/>
      <w:lang w:val="en-GB"/>
    </w:rPr>
  </w:style>
  <w:style w:type="character" w:customStyle="1" w:styleId="TextChar">
    <w:name w:val="Text Char"/>
    <w:link w:val="Text"/>
    <w:rsid w:val="0075093C"/>
    <w:rPr>
      <w:rFonts w:ascii="Calibri" w:eastAsia="Times New Roman" w:hAnsi="Calibri" w:cs="Times New Roman"/>
      <w:lang w:val="en-GB"/>
    </w:rPr>
  </w:style>
  <w:style w:type="paragraph" w:styleId="Revision">
    <w:name w:val="Revision"/>
    <w:hidden/>
    <w:uiPriority w:val="99"/>
    <w:semiHidden/>
    <w:rsid w:val="0075093C"/>
    <w:pPr>
      <w:spacing w:after="0" w:line="240" w:lineRule="auto"/>
    </w:pPr>
  </w:style>
  <w:style w:type="paragraph" w:styleId="NormalWeb">
    <w:name w:val="Normal (Web)"/>
    <w:basedOn w:val="Normal"/>
    <w:uiPriority w:val="99"/>
    <w:semiHidden/>
    <w:unhideWhenUsed/>
    <w:rsid w:val="0075093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TableParagraph">
    <w:name w:val="Table Paragraph"/>
    <w:basedOn w:val="Normal"/>
    <w:uiPriority w:val="1"/>
    <w:qFormat/>
    <w:rsid w:val="0075093C"/>
    <w:pPr>
      <w:widowControl w:val="0"/>
      <w:autoSpaceDE w:val="0"/>
      <w:autoSpaceDN w:val="0"/>
      <w:spacing w:after="0" w:line="240" w:lineRule="auto"/>
      <w:ind w:left="107"/>
    </w:pPr>
    <w:rPr>
      <w:rFonts w:ascii="Calibri" w:eastAsia="Calibri" w:hAnsi="Calibri" w:cs="Calibri"/>
    </w:rPr>
  </w:style>
  <w:style w:type="table" w:customStyle="1" w:styleId="GridTable4-Accent51">
    <w:name w:val="Grid Table 4 - Accent 51"/>
    <w:basedOn w:val="TableNormal"/>
    <w:uiPriority w:val="49"/>
    <w:rsid w:val="007509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4">
    <w:name w:val="toc 4"/>
    <w:basedOn w:val="Normal"/>
    <w:next w:val="Normal"/>
    <w:autoRedefine/>
    <w:uiPriority w:val="39"/>
    <w:unhideWhenUsed/>
    <w:rsid w:val="0075093C"/>
    <w:pPr>
      <w:spacing w:after="100" w:line="276" w:lineRule="auto"/>
      <w:ind w:left="660"/>
      <w:jc w:val="both"/>
    </w:pPr>
  </w:style>
  <w:style w:type="paragraph" w:styleId="TOC5">
    <w:name w:val="toc 5"/>
    <w:basedOn w:val="Normal"/>
    <w:next w:val="Normal"/>
    <w:autoRedefine/>
    <w:uiPriority w:val="39"/>
    <w:unhideWhenUsed/>
    <w:rsid w:val="0075093C"/>
    <w:pPr>
      <w:spacing w:after="100" w:line="276" w:lineRule="auto"/>
      <w:ind w:left="880"/>
      <w:jc w:val="both"/>
    </w:pPr>
  </w:style>
  <w:style w:type="character" w:styleId="FollowedHyperlink">
    <w:name w:val="FollowedHyperlink"/>
    <w:basedOn w:val="DefaultParagraphFont"/>
    <w:uiPriority w:val="99"/>
    <w:semiHidden/>
    <w:unhideWhenUsed/>
    <w:rsid w:val="00AA737B"/>
    <w:rPr>
      <w:color w:val="954F72" w:themeColor="followedHyperlink"/>
      <w:u w:val="single"/>
    </w:rPr>
  </w:style>
  <w:style w:type="character" w:styleId="CommentReference">
    <w:name w:val="annotation reference"/>
    <w:basedOn w:val="DefaultParagraphFont"/>
    <w:uiPriority w:val="99"/>
    <w:semiHidden/>
    <w:unhideWhenUsed/>
    <w:rsid w:val="00632F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2544">
      <w:bodyDiv w:val="1"/>
      <w:marLeft w:val="0"/>
      <w:marRight w:val="0"/>
      <w:marTop w:val="0"/>
      <w:marBottom w:val="0"/>
      <w:divBdr>
        <w:top w:val="none" w:sz="0" w:space="0" w:color="auto"/>
        <w:left w:val="none" w:sz="0" w:space="0" w:color="auto"/>
        <w:bottom w:val="none" w:sz="0" w:space="0" w:color="auto"/>
        <w:right w:val="none" w:sz="0" w:space="0" w:color="auto"/>
      </w:divBdr>
    </w:div>
    <w:div w:id="837304644">
      <w:bodyDiv w:val="1"/>
      <w:marLeft w:val="0"/>
      <w:marRight w:val="0"/>
      <w:marTop w:val="0"/>
      <w:marBottom w:val="0"/>
      <w:divBdr>
        <w:top w:val="none" w:sz="0" w:space="0" w:color="auto"/>
        <w:left w:val="none" w:sz="0" w:space="0" w:color="auto"/>
        <w:bottom w:val="none" w:sz="0" w:space="0" w:color="auto"/>
        <w:right w:val="none" w:sz="0" w:space="0" w:color="auto"/>
      </w:divBdr>
      <w:divsChild>
        <w:div w:id="218513864">
          <w:marLeft w:val="0"/>
          <w:marRight w:val="0"/>
          <w:marTop w:val="100"/>
          <w:marBottom w:val="0"/>
          <w:divBdr>
            <w:top w:val="none" w:sz="0" w:space="0" w:color="auto"/>
            <w:left w:val="none" w:sz="0" w:space="0" w:color="auto"/>
            <w:bottom w:val="none" w:sz="0" w:space="0" w:color="auto"/>
            <w:right w:val="none" w:sz="0" w:space="0" w:color="auto"/>
          </w:divBdr>
          <w:divsChild>
            <w:div w:id="1338777002">
              <w:marLeft w:val="0"/>
              <w:marRight w:val="0"/>
              <w:marTop w:val="60"/>
              <w:marBottom w:val="0"/>
              <w:divBdr>
                <w:top w:val="none" w:sz="0" w:space="0" w:color="auto"/>
                <w:left w:val="none" w:sz="0" w:space="0" w:color="auto"/>
                <w:bottom w:val="none" w:sz="0" w:space="0" w:color="auto"/>
                <w:right w:val="none" w:sz="0" w:space="0" w:color="auto"/>
              </w:divBdr>
            </w:div>
          </w:divsChild>
        </w:div>
        <w:div w:id="1398671392">
          <w:marLeft w:val="0"/>
          <w:marRight w:val="0"/>
          <w:marTop w:val="0"/>
          <w:marBottom w:val="0"/>
          <w:divBdr>
            <w:top w:val="none" w:sz="0" w:space="0" w:color="auto"/>
            <w:left w:val="none" w:sz="0" w:space="0" w:color="auto"/>
            <w:bottom w:val="none" w:sz="0" w:space="0" w:color="auto"/>
            <w:right w:val="none" w:sz="0" w:space="0" w:color="auto"/>
          </w:divBdr>
          <w:divsChild>
            <w:div w:id="2133866358">
              <w:marLeft w:val="0"/>
              <w:marRight w:val="0"/>
              <w:marTop w:val="0"/>
              <w:marBottom w:val="0"/>
              <w:divBdr>
                <w:top w:val="none" w:sz="0" w:space="0" w:color="auto"/>
                <w:left w:val="none" w:sz="0" w:space="0" w:color="auto"/>
                <w:bottom w:val="none" w:sz="0" w:space="0" w:color="auto"/>
                <w:right w:val="none" w:sz="0" w:space="0" w:color="auto"/>
              </w:divBdr>
              <w:divsChild>
                <w:div w:id="5758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7282">
      <w:bodyDiv w:val="1"/>
      <w:marLeft w:val="0"/>
      <w:marRight w:val="0"/>
      <w:marTop w:val="0"/>
      <w:marBottom w:val="0"/>
      <w:divBdr>
        <w:top w:val="none" w:sz="0" w:space="0" w:color="auto"/>
        <w:left w:val="none" w:sz="0" w:space="0" w:color="auto"/>
        <w:bottom w:val="none" w:sz="0" w:space="0" w:color="auto"/>
        <w:right w:val="none" w:sz="0" w:space="0" w:color="auto"/>
      </w:divBdr>
      <w:divsChild>
        <w:div w:id="2045127745">
          <w:marLeft w:val="0"/>
          <w:marRight w:val="0"/>
          <w:marTop w:val="100"/>
          <w:marBottom w:val="0"/>
          <w:divBdr>
            <w:top w:val="none" w:sz="0" w:space="0" w:color="auto"/>
            <w:left w:val="none" w:sz="0" w:space="0" w:color="auto"/>
            <w:bottom w:val="none" w:sz="0" w:space="0" w:color="auto"/>
            <w:right w:val="none" w:sz="0" w:space="0" w:color="auto"/>
          </w:divBdr>
          <w:divsChild>
            <w:div w:id="1813667419">
              <w:marLeft w:val="0"/>
              <w:marRight w:val="0"/>
              <w:marTop w:val="60"/>
              <w:marBottom w:val="0"/>
              <w:divBdr>
                <w:top w:val="none" w:sz="0" w:space="0" w:color="auto"/>
                <w:left w:val="none" w:sz="0" w:space="0" w:color="auto"/>
                <w:bottom w:val="none" w:sz="0" w:space="0" w:color="auto"/>
                <w:right w:val="none" w:sz="0" w:space="0" w:color="auto"/>
              </w:divBdr>
            </w:div>
          </w:divsChild>
        </w:div>
        <w:div w:id="1019357599">
          <w:marLeft w:val="0"/>
          <w:marRight w:val="0"/>
          <w:marTop w:val="0"/>
          <w:marBottom w:val="0"/>
          <w:divBdr>
            <w:top w:val="none" w:sz="0" w:space="0" w:color="auto"/>
            <w:left w:val="none" w:sz="0" w:space="0" w:color="auto"/>
            <w:bottom w:val="none" w:sz="0" w:space="0" w:color="auto"/>
            <w:right w:val="none" w:sz="0" w:space="0" w:color="auto"/>
          </w:divBdr>
          <w:divsChild>
            <w:div w:id="617420473">
              <w:marLeft w:val="0"/>
              <w:marRight w:val="0"/>
              <w:marTop w:val="0"/>
              <w:marBottom w:val="0"/>
              <w:divBdr>
                <w:top w:val="none" w:sz="0" w:space="0" w:color="auto"/>
                <w:left w:val="none" w:sz="0" w:space="0" w:color="auto"/>
                <w:bottom w:val="none" w:sz="0" w:space="0" w:color="auto"/>
                <w:right w:val="none" w:sz="0" w:space="0" w:color="auto"/>
              </w:divBdr>
              <w:divsChild>
                <w:div w:id="1492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4124">
      <w:bodyDiv w:val="1"/>
      <w:marLeft w:val="0"/>
      <w:marRight w:val="0"/>
      <w:marTop w:val="0"/>
      <w:marBottom w:val="0"/>
      <w:divBdr>
        <w:top w:val="none" w:sz="0" w:space="0" w:color="auto"/>
        <w:left w:val="none" w:sz="0" w:space="0" w:color="auto"/>
        <w:bottom w:val="none" w:sz="0" w:space="0" w:color="auto"/>
        <w:right w:val="none" w:sz="0" w:space="0" w:color="auto"/>
      </w:divBdr>
      <w:divsChild>
        <w:div w:id="634992689">
          <w:marLeft w:val="0"/>
          <w:marRight w:val="0"/>
          <w:marTop w:val="100"/>
          <w:marBottom w:val="0"/>
          <w:divBdr>
            <w:top w:val="none" w:sz="0" w:space="0" w:color="auto"/>
            <w:left w:val="none" w:sz="0" w:space="0" w:color="auto"/>
            <w:bottom w:val="none" w:sz="0" w:space="0" w:color="auto"/>
            <w:right w:val="none" w:sz="0" w:space="0" w:color="auto"/>
          </w:divBdr>
          <w:divsChild>
            <w:div w:id="1637836498">
              <w:marLeft w:val="0"/>
              <w:marRight w:val="0"/>
              <w:marTop w:val="60"/>
              <w:marBottom w:val="0"/>
              <w:divBdr>
                <w:top w:val="none" w:sz="0" w:space="0" w:color="auto"/>
                <w:left w:val="none" w:sz="0" w:space="0" w:color="auto"/>
                <w:bottom w:val="none" w:sz="0" w:space="0" w:color="auto"/>
                <w:right w:val="none" w:sz="0" w:space="0" w:color="auto"/>
              </w:divBdr>
            </w:div>
          </w:divsChild>
        </w:div>
        <w:div w:id="1565066533">
          <w:marLeft w:val="0"/>
          <w:marRight w:val="0"/>
          <w:marTop w:val="0"/>
          <w:marBottom w:val="0"/>
          <w:divBdr>
            <w:top w:val="none" w:sz="0" w:space="0" w:color="auto"/>
            <w:left w:val="none" w:sz="0" w:space="0" w:color="auto"/>
            <w:bottom w:val="none" w:sz="0" w:space="0" w:color="auto"/>
            <w:right w:val="none" w:sz="0" w:space="0" w:color="auto"/>
          </w:divBdr>
          <w:divsChild>
            <w:div w:id="1170561830">
              <w:marLeft w:val="0"/>
              <w:marRight w:val="0"/>
              <w:marTop w:val="0"/>
              <w:marBottom w:val="0"/>
              <w:divBdr>
                <w:top w:val="none" w:sz="0" w:space="0" w:color="auto"/>
                <w:left w:val="none" w:sz="0" w:space="0" w:color="auto"/>
                <w:bottom w:val="none" w:sz="0" w:space="0" w:color="auto"/>
                <w:right w:val="none" w:sz="0" w:space="0" w:color="auto"/>
              </w:divBdr>
              <w:divsChild>
                <w:div w:id="13656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o-ks.org/2016/Ligjet/LIGJI_PER_RREGULLATORIN_E_ENERGJISEang.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o-ks.org/zrre/sites/default/files/Publikimet/Pjesemarresit%20ne%20Treg/Furnizim/Propozimi%20per%20Vlerat%20Hyrese%202022-2024%20per%20FSHU_KESC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o-ks.org/2017/Rregullat/USS%20Pricing%20Rule.pdf" TargetMode="External"/><Relationship Id="rId14" Type="http://schemas.openxmlformats.org/officeDocument/2006/relationships/hyperlink" Target="https://einvestingforbeginners.com/computer-software-depreciation-account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md/cautare/getResults?doc_id=103740&amp;lang=ro" TargetMode="External"/><Relationship Id="rId3" Type="http://schemas.openxmlformats.org/officeDocument/2006/relationships/hyperlink" Target="https://www.epdk.gov.tr/Detay/SiteSearch?st=2021-2025" TargetMode="External"/><Relationship Id="rId7" Type="http://schemas.openxmlformats.org/officeDocument/2006/relationships/hyperlink" Target="https://www.legis.md/cautare/getResults?doc_id=103740&amp;lang=ro" TargetMode="External"/><Relationship Id="rId12" Type="http://schemas.openxmlformats.org/officeDocument/2006/relationships/hyperlink" Target="https://www.ceer.eu/documents/104400/-/-/9665e39a-3d8b-25dd-7545-09a247f9c2ff" TargetMode="External"/><Relationship Id="rId2" Type="http://schemas.openxmlformats.org/officeDocument/2006/relationships/hyperlink" Target="https://www.cru.ie/wp-content/uploads/2017/10/CRU17291-RFI-Information-paper.pdf" TargetMode="External"/><Relationship Id="rId1" Type="http://schemas.openxmlformats.org/officeDocument/2006/relationships/hyperlink" Target="http://ere.gov.al/doc/Metodologjia_FSHU-1.pdf" TargetMode="External"/><Relationship Id="rId6" Type="http://schemas.openxmlformats.org/officeDocument/2006/relationships/hyperlink" Target="https://gnerc.org/files/Legal%20Acts%20in%20english/USS%20TARIFF%20SETTING%20METHODOLOGY-12.21.2020%20(approved).pdf" TargetMode="External"/><Relationship Id="rId11" Type="http://schemas.openxmlformats.org/officeDocument/2006/relationships/hyperlink" Target="https://erranet.org/electricity-tso-dso-revenue-study-published/" TargetMode="External"/><Relationship Id="rId5" Type="http://schemas.openxmlformats.org/officeDocument/2006/relationships/hyperlink" Target="https://gnerc.org/files/Legal%20Acts%20in%20english/USS%20TARIFF%20SETTING%20METHODOLOGY-12.21.2020%20(approved).pdf" TargetMode="External"/><Relationship Id="rId10" Type="http://schemas.openxmlformats.org/officeDocument/2006/relationships/hyperlink" Target="http://ero-ks.org/2017/Tarifat/Raport_Konsultativ_per_jetegjatesine_e_aseteve_04072017.pdf" TargetMode="External"/><Relationship Id="rId4" Type="http://schemas.openxmlformats.org/officeDocument/2006/relationships/hyperlink" Target="https://www.epdk.gov.tr/Detay/SiteSearch?st=2021-2025" TargetMode="External"/><Relationship Id="rId9" Type="http://schemas.openxmlformats.org/officeDocument/2006/relationships/hyperlink" Target="https://www.energy-community.org/dam/jcr:f0feeb6e-96c9-48fd-b72e-d6cc7d8b0ef1/ECRB_revenue_determination.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Erofs\ero\DTC\2021\Shqyrtimi%20i%20parametrave%20hyres_FSHU\Input%20Values_OPEX_2022-2024%20-%20e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rofs\ero\DTC\2021\Shqyrtimi%20i%20parametrave%20hyres_FSHU\Input%20Values_OPEX_2022-2024%20-%20en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Actual operating and maintenance costs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OPEX!$B$4</c:f>
              <c:strCache>
                <c:ptCount val="1"/>
                <c:pt idx="0">
                  <c:v>Personnel expenses</c:v>
                </c:pt>
              </c:strCache>
            </c:strRef>
          </c:tx>
          <c:spPr>
            <a:solidFill>
              <a:schemeClr val="accent1"/>
            </a:solidFill>
            <a:ln>
              <a:noFill/>
            </a:ln>
            <a:effectLst/>
          </c:spPr>
          <c:invertIfNegative val="0"/>
          <c:cat>
            <c:strRef>
              <c:f>OPEX!$C$2:$G$2</c:f>
              <c:strCache>
                <c:ptCount val="5"/>
                <c:pt idx="0">
                  <c:v>2016</c:v>
                </c:pt>
                <c:pt idx="1">
                  <c:v>2017</c:v>
                </c:pt>
                <c:pt idx="2">
                  <c:v>2018</c:v>
                </c:pt>
                <c:pt idx="3">
                  <c:v>2019</c:v>
                </c:pt>
                <c:pt idx="4">
                  <c:v>2020</c:v>
                </c:pt>
              </c:strCache>
            </c:strRef>
          </c:cat>
          <c:val>
            <c:numRef>
              <c:f>OPEX!$C$4:$G$4</c:f>
              <c:numCache>
                <c:formatCode>#,##0</c:formatCode>
                <c:ptCount val="5"/>
                <c:pt idx="0">
                  <c:v>1784.2326460782738</c:v>
                </c:pt>
                <c:pt idx="1">
                  <c:v>2035.9496807022385</c:v>
                </c:pt>
                <c:pt idx="2">
                  <c:v>1670.44852692162</c:v>
                </c:pt>
                <c:pt idx="3">
                  <c:v>1952.9720594999999</c:v>
                </c:pt>
                <c:pt idx="4">
                  <c:v>1939.0283999999999</c:v>
                </c:pt>
              </c:numCache>
            </c:numRef>
          </c:val>
          <c:extLst>
            <c:ext xmlns:c16="http://schemas.microsoft.com/office/drawing/2014/chart" uri="{C3380CC4-5D6E-409C-BE32-E72D297353CC}">
              <c16:uniqueId val="{00000000-F92F-417B-8648-44B5330BADD2}"/>
            </c:ext>
          </c:extLst>
        </c:ser>
        <c:ser>
          <c:idx val="1"/>
          <c:order val="1"/>
          <c:tx>
            <c:strRef>
              <c:f>OPEX!$B$5</c:f>
              <c:strCache>
                <c:ptCount val="1"/>
                <c:pt idx="0">
                  <c:v>Maintenance, Inventory and Supplies</c:v>
                </c:pt>
              </c:strCache>
            </c:strRef>
          </c:tx>
          <c:spPr>
            <a:solidFill>
              <a:schemeClr val="accent2"/>
            </a:solidFill>
            <a:ln>
              <a:noFill/>
            </a:ln>
            <a:effectLst/>
          </c:spPr>
          <c:invertIfNegative val="0"/>
          <c:cat>
            <c:strRef>
              <c:f>OPEX!$C$2:$G$2</c:f>
              <c:strCache>
                <c:ptCount val="5"/>
                <c:pt idx="0">
                  <c:v>2016</c:v>
                </c:pt>
                <c:pt idx="1">
                  <c:v>2017</c:v>
                </c:pt>
                <c:pt idx="2">
                  <c:v>2018</c:v>
                </c:pt>
                <c:pt idx="3">
                  <c:v>2019</c:v>
                </c:pt>
                <c:pt idx="4">
                  <c:v>2020</c:v>
                </c:pt>
              </c:strCache>
            </c:strRef>
          </c:cat>
          <c:val>
            <c:numRef>
              <c:f>OPEX!$C$5:$G$5</c:f>
              <c:numCache>
                <c:formatCode>General</c:formatCode>
                <c:ptCount val="5"/>
                <c:pt idx="0">
                  <c:v>90</c:v>
                </c:pt>
                <c:pt idx="1">
                  <c:v>80</c:v>
                </c:pt>
                <c:pt idx="2">
                  <c:v>81</c:v>
                </c:pt>
                <c:pt idx="3">
                  <c:v>88</c:v>
                </c:pt>
                <c:pt idx="4">
                  <c:v>66</c:v>
                </c:pt>
              </c:numCache>
            </c:numRef>
          </c:val>
          <c:extLst>
            <c:ext xmlns:c16="http://schemas.microsoft.com/office/drawing/2014/chart" uri="{C3380CC4-5D6E-409C-BE32-E72D297353CC}">
              <c16:uniqueId val="{00000001-F92F-417B-8648-44B5330BADD2}"/>
            </c:ext>
          </c:extLst>
        </c:ser>
        <c:ser>
          <c:idx val="2"/>
          <c:order val="2"/>
          <c:tx>
            <c:strRef>
              <c:f>OPEX!$B$6</c:f>
              <c:strCache>
                <c:ptCount val="1"/>
                <c:pt idx="0">
                  <c:v>Security</c:v>
                </c:pt>
              </c:strCache>
            </c:strRef>
          </c:tx>
          <c:spPr>
            <a:solidFill>
              <a:schemeClr val="accent3"/>
            </a:solidFill>
            <a:ln>
              <a:noFill/>
            </a:ln>
            <a:effectLst/>
          </c:spPr>
          <c:invertIfNegative val="0"/>
          <c:cat>
            <c:strRef>
              <c:f>OPEX!$C$2:$G$2</c:f>
              <c:strCache>
                <c:ptCount val="5"/>
                <c:pt idx="0">
                  <c:v>2016</c:v>
                </c:pt>
                <c:pt idx="1">
                  <c:v>2017</c:v>
                </c:pt>
                <c:pt idx="2">
                  <c:v>2018</c:v>
                </c:pt>
                <c:pt idx="3">
                  <c:v>2019</c:v>
                </c:pt>
                <c:pt idx="4">
                  <c:v>2020</c:v>
                </c:pt>
              </c:strCache>
            </c:strRef>
          </c:cat>
          <c:val>
            <c:numRef>
              <c:f>OPEX!$C$6:$G$6</c:f>
              <c:numCache>
                <c:formatCode>General</c:formatCode>
                <c:ptCount val="5"/>
                <c:pt idx="0">
                  <c:v>377</c:v>
                </c:pt>
                <c:pt idx="1">
                  <c:v>364</c:v>
                </c:pt>
                <c:pt idx="2">
                  <c:v>340</c:v>
                </c:pt>
                <c:pt idx="3">
                  <c:v>312</c:v>
                </c:pt>
                <c:pt idx="4">
                  <c:v>307</c:v>
                </c:pt>
              </c:numCache>
            </c:numRef>
          </c:val>
          <c:extLst>
            <c:ext xmlns:c16="http://schemas.microsoft.com/office/drawing/2014/chart" uri="{C3380CC4-5D6E-409C-BE32-E72D297353CC}">
              <c16:uniqueId val="{00000002-F92F-417B-8648-44B5330BADD2}"/>
            </c:ext>
          </c:extLst>
        </c:ser>
        <c:ser>
          <c:idx val="3"/>
          <c:order val="3"/>
          <c:tx>
            <c:strRef>
              <c:f>OPEX!$B$7</c:f>
              <c:strCache>
                <c:ptCount val="1"/>
                <c:pt idx="0">
                  <c:v>Other expenses</c:v>
                </c:pt>
              </c:strCache>
            </c:strRef>
          </c:tx>
          <c:spPr>
            <a:solidFill>
              <a:schemeClr val="accent4"/>
            </a:solidFill>
            <a:ln>
              <a:noFill/>
            </a:ln>
            <a:effectLst/>
          </c:spPr>
          <c:invertIfNegative val="0"/>
          <c:cat>
            <c:strRef>
              <c:f>OPEX!$C$2:$G$2</c:f>
              <c:strCache>
                <c:ptCount val="5"/>
                <c:pt idx="0">
                  <c:v>2016</c:v>
                </c:pt>
                <c:pt idx="1">
                  <c:v>2017</c:v>
                </c:pt>
                <c:pt idx="2">
                  <c:v>2018</c:v>
                </c:pt>
                <c:pt idx="3">
                  <c:v>2019</c:v>
                </c:pt>
                <c:pt idx="4">
                  <c:v>2020</c:v>
                </c:pt>
              </c:strCache>
            </c:strRef>
          </c:cat>
          <c:val>
            <c:numRef>
              <c:f>OPEX!$C$7:$G$7</c:f>
              <c:numCache>
                <c:formatCode>#,##0</c:formatCode>
                <c:ptCount val="5"/>
                <c:pt idx="0" formatCode="General">
                  <c:v>747</c:v>
                </c:pt>
                <c:pt idx="1">
                  <c:v>1157</c:v>
                </c:pt>
                <c:pt idx="2">
                  <c:v>1930</c:v>
                </c:pt>
                <c:pt idx="3">
                  <c:v>999</c:v>
                </c:pt>
                <c:pt idx="4">
                  <c:v>900</c:v>
                </c:pt>
              </c:numCache>
            </c:numRef>
          </c:val>
          <c:extLst>
            <c:ext xmlns:c16="http://schemas.microsoft.com/office/drawing/2014/chart" uri="{C3380CC4-5D6E-409C-BE32-E72D297353CC}">
              <c16:uniqueId val="{00000003-F92F-417B-8648-44B5330BADD2}"/>
            </c:ext>
          </c:extLst>
        </c:ser>
        <c:ser>
          <c:idx val="4"/>
          <c:order val="4"/>
          <c:tx>
            <c:strRef>
              <c:f>OPEX!$B$8</c:f>
              <c:strCache>
                <c:ptCount val="1"/>
                <c:pt idx="0">
                  <c:v>Shared services and rent expenses</c:v>
                </c:pt>
              </c:strCache>
            </c:strRef>
          </c:tx>
          <c:spPr>
            <a:solidFill>
              <a:schemeClr val="accent5"/>
            </a:solidFill>
            <a:ln>
              <a:noFill/>
            </a:ln>
            <a:effectLst/>
          </c:spPr>
          <c:invertIfNegative val="0"/>
          <c:cat>
            <c:strRef>
              <c:f>OPEX!$C$2:$G$2</c:f>
              <c:strCache>
                <c:ptCount val="5"/>
                <c:pt idx="0">
                  <c:v>2016</c:v>
                </c:pt>
                <c:pt idx="1">
                  <c:v>2017</c:v>
                </c:pt>
                <c:pt idx="2">
                  <c:v>2018</c:v>
                </c:pt>
                <c:pt idx="3">
                  <c:v>2019</c:v>
                </c:pt>
                <c:pt idx="4">
                  <c:v>2020</c:v>
                </c:pt>
              </c:strCache>
            </c:strRef>
          </c:cat>
          <c:val>
            <c:numRef>
              <c:f>OPEX!$C$8:$G$8</c:f>
              <c:numCache>
                <c:formatCode>#,##0</c:formatCode>
                <c:ptCount val="5"/>
                <c:pt idx="0">
                  <c:v>1063</c:v>
                </c:pt>
                <c:pt idx="1">
                  <c:v>991</c:v>
                </c:pt>
                <c:pt idx="2">
                  <c:v>1044</c:v>
                </c:pt>
                <c:pt idx="3">
                  <c:v>1147</c:v>
                </c:pt>
                <c:pt idx="4">
                  <c:v>1165</c:v>
                </c:pt>
              </c:numCache>
            </c:numRef>
          </c:val>
          <c:extLst>
            <c:ext xmlns:c16="http://schemas.microsoft.com/office/drawing/2014/chart" uri="{C3380CC4-5D6E-409C-BE32-E72D297353CC}">
              <c16:uniqueId val="{00000004-F92F-417B-8648-44B5330BADD2}"/>
            </c:ext>
          </c:extLst>
        </c:ser>
        <c:ser>
          <c:idx val="5"/>
          <c:order val="5"/>
          <c:tx>
            <c:strRef>
              <c:f>OPEX!$B$9</c:f>
              <c:strCache>
                <c:ptCount val="1"/>
                <c:pt idx="0">
                  <c:v>The right of asset use</c:v>
                </c:pt>
              </c:strCache>
            </c:strRef>
          </c:tx>
          <c:spPr>
            <a:solidFill>
              <a:schemeClr val="accent6"/>
            </a:solidFill>
            <a:ln>
              <a:noFill/>
            </a:ln>
            <a:effectLst/>
          </c:spPr>
          <c:invertIfNegative val="0"/>
          <c:cat>
            <c:strRef>
              <c:f>OPEX!$C$2:$G$2</c:f>
              <c:strCache>
                <c:ptCount val="5"/>
                <c:pt idx="0">
                  <c:v>2016</c:v>
                </c:pt>
                <c:pt idx="1">
                  <c:v>2017</c:v>
                </c:pt>
                <c:pt idx="2">
                  <c:v>2018</c:v>
                </c:pt>
                <c:pt idx="3">
                  <c:v>2019</c:v>
                </c:pt>
                <c:pt idx="4">
                  <c:v>2020</c:v>
                </c:pt>
              </c:strCache>
            </c:strRef>
          </c:cat>
          <c:val>
            <c:numRef>
              <c:f>OPEX!$C$9:$G$9</c:f>
              <c:numCache>
                <c:formatCode>General</c:formatCode>
                <c:ptCount val="5"/>
                <c:pt idx="0">
                  <c:v>473</c:v>
                </c:pt>
                <c:pt idx="1">
                  <c:v>473</c:v>
                </c:pt>
                <c:pt idx="2">
                  <c:v>473</c:v>
                </c:pt>
                <c:pt idx="3">
                  <c:v>473</c:v>
                </c:pt>
                <c:pt idx="4">
                  <c:v>473</c:v>
                </c:pt>
              </c:numCache>
            </c:numRef>
          </c:val>
          <c:extLst>
            <c:ext xmlns:c16="http://schemas.microsoft.com/office/drawing/2014/chart" uri="{C3380CC4-5D6E-409C-BE32-E72D297353CC}">
              <c16:uniqueId val="{00000005-F92F-417B-8648-44B5330BADD2}"/>
            </c:ext>
          </c:extLst>
        </c:ser>
        <c:ser>
          <c:idx val="6"/>
          <c:order val="6"/>
          <c:tx>
            <c:strRef>
              <c:f>OPEX!$B$10</c:f>
              <c:strCache>
                <c:ptCount val="1"/>
                <c:pt idx="0">
                  <c:v>Financial expenses</c:v>
                </c:pt>
              </c:strCache>
            </c:strRef>
          </c:tx>
          <c:spPr>
            <a:solidFill>
              <a:schemeClr val="accent1">
                <a:lumMod val="60000"/>
              </a:schemeClr>
            </a:solidFill>
            <a:ln>
              <a:noFill/>
            </a:ln>
            <a:effectLst/>
          </c:spPr>
          <c:invertIfNegative val="0"/>
          <c:val>
            <c:numRef>
              <c:f>OPEX!$C$10:$G$10</c:f>
              <c:numCache>
                <c:formatCode>0</c:formatCode>
                <c:ptCount val="5"/>
                <c:pt idx="0">
                  <c:v>429.65159999999997</c:v>
                </c:pt>
                <c:pt idx="1">
                  <c:v>207.08799999999999</c:v>
                </c:pt>
                <c:pt idx="2">
                  <c:v>450.58100000000002</c:v>
                </c:pt>
                <c:pt idx="3">
                  <c:v>500.77</c:v>
                </c:pt>
                <c:pt idx="4">
                  <c:v>524.17200000000003</c:v>
                </c:pt>
              </c:numCache>
            </c:numRef>
          </c:val>
          <c:extLst>
            <c:ext xmlns:c16="http://schemas.microsoft.com/office/drawing/2014/chart" uri="{C3380CC4-5D6E-409C-BE32-E72D297353CC}">
              <c16:uniqueId val="{00000006-F92F-417B-8648-44B5330BADD2}"/>
            </c:ext>
          </c:extLst>
        </c:ser>
        <c:dLbls>
          <c:showLegendKey val="0"/>
          <c:showVal val="0"/>
          <c:showCatName val="0"/>
          <c:showSerName val="0"/>
          <c:showPercent val="0"/>
          <c:showBubbleSize val="0"/>
        </c:dLbls>
        <c:gapWidth val="150"/>
        <c:overlap val="100"/>
        <c:axId val="1628466160"/>
        <c:axId val="1628461168"/>
      </c:barChart>
      <c:catAx>
        <c:axId val="162846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461168"/>
        <c:crosses val="autoZero"/>
        <c:auto val="1"/>
        <c:lblAlgn val="ctr"/>
        <c:lblOffset val="100"/>
        <c:noMultiLvlLbl val="0"/>
      </c:catAx>
      <c:valAx>
        <c:axId val="162846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'000</a:t>
                </a:r>
                <a:r>
                  <a:rPr lang="en-US" baseline="0"/>
                  <a:t> EUR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466160"/>
        <c:crosses val="autoZero"/>
        <c:crossBetween val="between"/>
      </c:valAx>
      <c:spPr>
        <a:noFill/>
        <a:ln>
          <a:noFill/>
        </a:ln>
        <a:effectLst/>
      </c:spPr>
    </c:plotArea>
    <c:legend>
      <c:legendPos val="b"/>
      <c:layout>
        <c:manualLayout>
          <c:xMode val="edge"/>
          <c:yMode val="edge"/>
          <c:x val="9.2441884684312126E-3"/>
          <c:y val="0.79316389040516055"/>
          <c:w val="0.98801465549152379"/>
          <c:h val="0.168590641209426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Efficiency factor</a:t>
            </a:r>
          </a:p>
        </c:rich>
      </c:tx>
      <c:layout>
        <c:manualLayout>
          <c:xMode val="edge"/>
          <c:yMode val="edge"/>
          <c:x val="0.4115810523684539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6286137309759356E-2"/>
          <c:y val="0.24097548110915101"/>
          <c:w val="0.87708382606020396"/>
          <c:h val="0.65170615214308536"/>
        </c:manualLayout>
      </c:layout>
      <c:barChart>
        <c:barDir val="col"/>
        <c:grouping val="clustered"/>
        <c:varyColors val="0"/>
        <c:ser>
          <c:idx val="0"/>
          <c:order val="0"/>
          <c:tx>
            <c:strRef>
              <c:f>OPEX!$D$64:$D$65</c:f>
              <c:strCache>
                <c:ptCount val="2"/>
                <c:pt idx="0">
                  <c:v>Initial Opex</c:v>
                </c:pt>
                <c:pt idx="1">
                  <c:v>Average Opex</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OPEX!$D$64:$D$65</c:f>
              <c:strCache>
                <c:ptCount val="2"/>
                <c:pt idx="0">
                  <c:v>Initial Opex</c:v>
                </c:pt>
                <c:pt idx="1">
                  <c:v>Average Opex</c:v>
                </c:pt>
              </c:strCache>
            </c:strRef>
          </c:cat>
          <c:val>
            <c:numRef>
              <c:f>OPEX!$E$64:$E$65</c:f>
              <c:numCache>
                <c:formatCode>#,##0</c:formatCode>
                <c:ptCount val="2"/>
                <c:pt idx="0">
                  <c:v>3740.3287826404267</c:v>
                </c:pt>
                <c:pt idx="1">
                  <c:v>3670.7287826404267</c:v>
                </c:pt>
              </c:numCache>
            </c:numRef>
          </c:val>
          <c:extLst>
            <c:ext xmlns:c16="http://schemas.microsoft.com/office/drawing/2014/chart" uri="{C3380CC4-5D6E-409C-BE32-E72D297353CC}">
              <c16:uniqueId val="{00000000-8640-4F5F-90EC-3727D89205D2}"/>
            </c:ext>
          </c:extLst>
        </c:ser>
        <c:dLbls>
          <c:showLegendKey val="0"/>
          <c:showVal val="0"/>
          <c:showCatName val="0"/>
          <c:showSerName val="0"/>
          <c:showPercent val="0"/>
          <c:showBubbleSize val="0"/>
        </c:dLbls>
        <c:gapWidth val="219"/>
        <c:overlap val="-27"/>
        <c:axId val="614630576"/>
        <c:axId val="614638896"/>
      </c:barChart>
      <c:catAx>
        <c:axId val="61463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638896"/>
        <c:crosses val="autoZero"/>
        <c:auto val="1"/>
        <c:lblAlgn val="ctr"/>
        <c:lblOffset val="100"/>
        <c:noMultiLvlLbl val="0"/>
      </c:catAx>
      <c:valAx>
        <c:axId val="614638896"/>
        <c:scaling>
          <c:orientation val="minMax"/>
          <c:min val="35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63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9C15-34A6-45CF-95D1-3D09E9EF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Ymer Rudari</dc:creator>
  <cp:keywords/>
  <dc:description/>
  <cp:lastModifiedBy>Ymer Rudari</cp:lastModifiedBy>
  <cp:revision>3</cp:revision>
  <cp:lastPrinted>2021-11-22T08:44:00Z</cp:lastPrinted>
  <dcterms:created xsi:type="dcterms:W3CDTF">2021-12-01T13:47:00Z</dcterms:created>
  <dcterms:modified xsi:type="dcterms:W3CDTF">2021-12-01T13:47:00Z</dcterms:modified>
</cp:coreProperties>
</file>