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D623" w14:textId="77777777" w:rsidR="00907115" w:rsidRPr="0050005A" w:rsidRDefault="00907115" w:rsidP="002F09BD">
      <w:pPr>
        <w:rPr>
          <w:lang w:val="sq-AL"/>
        </w:rPr>
      </w:pPr>
      <w:bookmarkStart w:id="0" w:name="_GoBack"/>
      <w:bookmarkEnd w:id="0"/>
    </w:p>
    <w:p w14:paraId="55AFD8B7" w14:textId="77777777" w:rsidR="00907115" w:rsidRPr="0050005A" w:rsidRDefault="00907115" w:rsidP="002F09BD">
      <w:pPr>
        <w:rPr>
          <w:lang w:val="sq-AL"/>
        </w:rPr>
      </w:pPr>
    </w:p>
    <w:p w14:paraId="5619D77F" w14:textId="77777777" w:rsidR="002F09BD" w:rsidRPr="0050005A" w:rsidRDefault="002F09BD" w:rsidP="002F09BD">
      <w:pPr>
        <w:rPr>
          <w:lang w:val="sq-AL"/>
        </w:rPr>
      </w:pPr>
    </w:p>
    <w:p w14:paraId="386CF602" w14:textId="77777777" w:rsidR="00907115" w:rsidRPr="0050005A" w:rsidRDefault="00907115" w:rsidP="00907115">
      <w:pPr>
        <w:pStyle w:val="Title"/>
        <w:shd w:val="clear" w:color="auto" w:fill="005D97"/>
        <w:spacing w:before="0" w:after="0"/>
        <w:jc w:val="center"/>
        <w:rPr>
          <w:color w:val="DF8D1D"/>
          <w:sz w:val="48"/>
          <w:szCs w:val="40"/>
        </w:rPr>
      </w:pPr>
    </w:p>
    <w:p w14:paraId="47268085" w14:textId="77777777" w:rsidR="00417A40" w:rsidRPr="0050005A" w:rsidRDefault="00417A40" w:rsidP="00417A40">
      <w:pPr>
        <w:pStyle w:val="ReportTitle"/>
        <w:rPr>
          <w:color w:val="F79646"/>
          <w:lang w:val="sq-AL"/>
        </w:rPr>
      </w:pPr>
      <w:r w:rsidRPr="0050005A">
        <w:rPr>
          <w:color w:val="F79646"/>
          <w:lang w:val="sq-AL"/>
        </w:rPr>
        <w:t xml:space="preserve">Raport Konsultativ </w:t>
      </w:r>
    </w:p>
    <w:p w14:paraId="2B1D4755" w14:textId="77777777" w:rsidR="00417A40" w:rsidRPr="0050005A" w:rsidRDefault="00417A40" w:rsidP="00417A40">
      <w:pPr>
        <w:pStyle w:val="Title"/>
        <w:shd w:val="clear" w:color="auto" w:fill="005D97"/>
        <w:spacing w:before="0" w:after="0"/>
        <w:jc w:val="center"/>
        <w:rPr>
          <w:color w:val="F79646"/>
        </w:rPr>
      </w:pPr>
    </w:p>
    <w:p w14:paraId="1D4659A1" w14:textId="5BE4E2D1" w:rsidR="00417A40" w:rsidRPr="0050005A" w:rsidRDefault="0075459B" w:rsidP="00417A40">
      <w:pPr>
        <w:pStyle w:val="Title"/>
        <w:shd w:val="clear" w:color="auto" w:fill="005D97"/>
        <w:spacing w:before="0" w:after="0"/>
        <w:jc w:val="center"/>
        <w:rPr>
          <w:color w:val="F79646"/>
          <w:sz w:val="28"/>
        </w:rPr>
      </w:pPr>
      <w:r>
        <w:rPr>
          <w:color w:val="F79646"/>
          <w:sz w:val="28"/>
        </w:rPr>
        <w:t>P</w:t>
      </w:r>
      <w:r w:rsidR="002C13E9">
        <w:rPr>
          <w:color w:val="F79646"/>
          <w:sz w:val="28"/>
        </w:rPr>
        <w:t>ë</w:t>
      </w:r>
      <w:r>
        <w:rPr>
          <w:color w:val="F79646"/>
          <w:sz w:val="28"/>
        </w:rPr>
        <w:t>rshta</w:t>
      </w:r>
      <w:r w:rsidR="00883824" w:rsidRPr="0050005A">
        <w:rPr>
          <w:color w:val="F79646"/>
          <w:sz w:val="28"/>
        </w:rPr>
        <w:t>tjet vjetore t</w:t>
      </w:r>
      <w:r w:rsidR="002C13E9">
        <w:rPr>
          <w:color w:val="F79646"/>
          <w:sz w:val="28"/>
        </w:rPr>
        <w:t>ë</w:t>
      </w:r>
      <w:r w:rsidR="00883824" w:rsidRPr="0050005A">
        <w:rPr>
          <w:color w:val="F79646"/>
          <w:sz w:val="28"/>
        </w:rPr>
        <w:t xml:space="preserve"> </w:t>
      </w:r>
      <w:r w:rsidR="008D0695">
        <w:rPr>
          <w:color w:val="F79646"/>
          <w:sz w:val="28"/>
        </w:rPr>
        <w:t>t</w:t>
      </w:r>
      <w:r w:rsidR="002C13E9">
        <w:rPr>
          <w:color w:val="F79646"/>
          <w:sz w:val="28"/>
        </w:rPr>
        <w:t>ë</w:t>
      </w:r>
      <w:r w:rsidR="00883824" w:rsidRPr="0050005A">
        <w:rPr>
          <w:color w:val="F79646"/>
          <w:sz w:val="28"/>
        </w:rPr>
        <w:t xml:space="preserve"> Hyrave t</w:t>
      </w:r>
      <w:r w:rsidR="002C13E9">
        <w:rPr>
          <w:color w:val="F79646"/>
          <w:sz w:val="28"/>
        </w:rPr>
        <w:t>ë</w:t>
      </w:r>
      <w:r w:rsidR="00883824" w:rsidRPr="0050005A">
        <w:rPr>
          <w:color w:val="F79646"/>
          <w:sz w:val="28"/>
        </w:rPr>
        <w:t xml:space="preserve"> Lejuara Maksimale</w:t>
      </w:r>
      <w:r w:rsidR="00AC7EB7">
        <w:rPr>
          <w:color w:val="F79646"/>
          <w:sz w:val="28"/>
        </w:rPr>
        <w:t xml:space="preserve"> p</w:t>
      </w:r>
      <w:r w:rsidR="00AC7EB7" w:rsidRPr="00AC7EB7">
        <w:rPr>
          <w:rFonts w:cs="Calibri"/>
          <w:color w:val="F79646"/>
          <w:sz w:val="28"/>
        </w:rPr>
        <w:t>ë</w:t>
      </w:r>
      <w:r w:rsidR="00AC7EB7">
        <w:rPr>
          <w:color w:val="F79646"/>
          <w:sz w:val="28"/>
        </w:rPr>
        <w:t>r KEDS</w:t>
      </w:r>
      <w:r w:rsidR="00417A40" w:rsidRPr="0050005A">
        <w:rPr>
          <w:color w:val="F79646"/>
          <w:sz w:val="28"/>
        </w:rPr>
        <w:t xml:space="preserve"> </w:t>
      </w:r>
    </w:p>
    <w:p w14:paraId="2EE92F7C" w14:textId="77777777" w:rsidR="00417A40" w:rsidRPr="0050005A" w:rsidRDefault="00417A40" w:rsidP="00417A40">
      <w:pPr>
        <w:pStyle w:val="Title"/>
        <w:shd w:val="clear" w:color="auto" w:fill="005D97"/>
        <w:spacing w:before="0" w:after="0"/>
        <w:jc w:val="center"/>
        <w:rPr>
          <w:color w:val="F79646"/>
          <w:sz w:val="28"/>
        </w:rPr>
      </w:pPr>
    </w:p>
    <w:p w14:paraId="42CF7227" w14:textId="1B62EF20" w:rsidR="00417A40" w:rsidRPr="0050005A" w:rsidRDefault="00C85E1B" w:rsidP="00417A40">
      <w:pPr>
        <w:pStyle w:val="Title"/>
        <w:shd w:val="clear" w:color="auto" w:fill="005D97"/>
        <w:spacing w:before="0" w:after="0"/>
        <w:jc w:val="center"/>
        <w:rPr>
          <w:color w:val="F79646"/>
          <w:sz w:val="28"/>
        </w:rPr>
      </w:pPr>
      <w:r>
        <w:rPr>
          <w:color w:val="F79646"/>
          <w:sz w:val="28"/>
        </w:rPr>
        <w:t>(</w:t>
      </w:r>
      <w:r w:rsidR="00841886">
        <w:rPr>
          <w:color w:val="F79646"/>
          <w:sz w:val="28"/>
        </w:rPr>
        <w:t>Viti relevant tarifor 2021</w:t>
      </w:r>
      <w:r w:rsidR="00883824" w:rsidRPr="0050005A">
        <w:rPr>
          <w:color w:val="F79646"/>
          <w:sz w:val="28"/>
        </w:rPr>
        <w:t>)</w:t>
      </w:r>
    </w:p>
    <w:p w14:paraId="2B5B0E4C" w14:textId="77777777" w:rsidR="00417A40" w:rsidRPr="0050005A" w:rsidRDefault="00417A40" w:rsidP="00417A40">
      <w:pPr>
        <w:pStyle w:val="Title"/>
        <w:shd w:val="clear" w:color="auto" w:fill="005D97"/>
        <w:spacing w:before="0" w:after="0"/>
        <w:jc w:val="center"/>
        <w:rPr>
          <w:color w:val="F79646"/>
          <w:sz w:val="28"/>
        </w:rPr>
      </w:pPr>
    </w:p>
    <w:p w14:paraId="5F404210" w14:textId="77777777" w:rsidR="00907115" w:rsidRPr="0050005A" w:rsidRDefault="00907115" w:rsidP="00907115">
      <w:pPr>
        <w:pStyle w:val="Title"/>
        <w:shd w:val="clear" w:color="auto" w:fill="005D97"/>
        <w:spacing w:before="0" w:after="0"/>
        <w:jc w:val="center"/>
        <w:rPr>
          <w:color w:val="F79646"/>
          <w:sz w:val="28"/>
        </w:rPr>
      </w:pPr>
    </w:p>
    <w:p w14:paraId="3F335274" w14:textId="77777777" w:rsidR="00907115" w:rsidRPr="0050005A" w:rsidRDefault="00907115" w:rsidP="002F09BD">
      <w:pPr>
        <w:rPr>
          <w:lang w:val="sq-AL"/>
        </w:rPr>
      </w:pPr>
    </w:p>
    <w:p w14:paraId="2EEF0289" w14:textId="77777777" w:rsidR="00907115" w:rsidRPr="0050005A" w:rsidRDefault="00907115" w:rsidP="002F09BD">
      <w:pPr>
        <w:rPr>
          <w:lang w:val="sq-AL"/>
        </w:rPr>
      </w:pPr>
    </w:p>
    <w:p w14:paraId="224105CE" w14:textId="77777777" w:rsidR="00907115" w:rsidRPr="0050005A" w:rsidRDefault="00907115" w:rsidP="002F09BD">
      <w:pPr>
        <w:rPr>
          <w:lang w:val="sq-AL"/>
        </w:rPr>
      </w:pPr>
    </w:p>
    <w:p w14:paraId="338886FB" w14:textId="77777777" w:rsidR="00907115" w:rsidRPr="0050005A" w:rsidRDefault="00907115" w:rsidP="002F09BD">
      <w:pPr>
        <w:rPr>
          <w:lang w:val="sq-AL"/>
        </w:rPr>
      </w:pPr>
    </w:p>
    <w:p w14:paraId="17AF082E" w14:textId="77777777" w:rsidR="00907115" w:rsidRPr="0050005A" w:rsidRDefault="00907115" w:rsidP="002F09BD">
      <w:pPr>
        <w:rPr>
          <w:lang w:val="sq-AL"/>
        </w:rPr>
      </w:pPr>
    </w:p>
    <w:p w14:paraId="30D97AA5" w14:textId="77777777" w:rsidR="00907115" w:rsidRPr="0050005A" w:rsidRDefault="00907115" w:rsidP="002F09BD">
      <w:pPr>
        <w:rPr>
          <w:lang w:val="sq-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99"/>
      </w:tblGrid>
      <w:tr w:rsidR="002F09BD" w:rsidRPr="0050005A" w14:paraId="2A130D89" w14:textId="77777777" w:rsidTr="002F09BD">
        <w:tc>
          <w:tcPr>
            <w:tcW w:w="9198" w:type="dxa"/>
            <w:shd w:val="clear" w:color="auto" w:fill="E0E0E0"/>
          </w:tcPr>
          <w:p w14:paraId="2242CCAE" w14:textId="77777777" w:rsidR="00925225" w:rsidRPr="0050005A" w:rsidRDefault="00925225" w:rsidP="00925225">
            <w:pPr>
              <w:spacing w:before="120"/>
              <w:jc w:val="center"/>
              <w:rPr>
                <w:b/>
                <w:color w:val="005D97"/>
                <w:lang w:val="sq-AL"/>
              </w:rPr>
            </w:pPr>
            <w:r w:rsidRPr="0050005A">
              <w:rPr>
                <w:b/>
                <w:color w:val="005D97"/>
                <w:lang w:val="sq-AL"/>
              </w:rPr>
              <w:t>DEKLARATË</w:t>
            </w:r>
          </w:p>
          <w:p w14:paraId="77B306A6" w14:textId="77777777" w:rsidR="002F09BD" w:rsidRPr="0050005A" w:rsidRDefault="00925225" w:rsidP="00925225">
            <w:pPr>
              <w:keepNext/>
              <w:rPr>
                <w:b/>
                <w:bCs/>
                <w:lang w:val="sq-AL"/>
              </w:rPr>
            </w:pPr>
            <w:r w:rsidRPr="0050005A">
              <w:rPr>
                <w:b/>
                <w:color w:val="005D97"/>
                <w:lang w:val="sq-AL"/>
              </w:rPr>
              <w:t xml:space="preserve">Ky Raport Konsultativ është përgatitur nga ZRRE me qëllim të informimit të palëve të interesit. </w:t>
            </w:r>
            <w:r w:rsidR="00CB29D4" w:rsidRPr="0050005A">
              <w:rPr>
                <w:b/>
                <w:color w:val="005D97"/>
                <w:u w:val="single"/>
                <w:lang w:val="sq-AL"/>
              </w:rPr>
              <w:t>Raporti nuk paraqet Vendim të ZRRE‐së dhe nuk duhet të konsiderohet si i tillë.</w:t>
            </w:r>
          </w:p>
        </w:tc>
      </w:tr>
    </w:tbl>
    <w:p w14:paraId="37FB04BB" w14:textId="77777777" w:rsidR="002F09BD" w:rsidRPr="0050005A" w:rsidRDefault="002F09BD" w:rsidP="002F09BD">
      <w:pPr>
        <w:rPr>
          <w:lang w:val="sq-AL"/>
        </w:rPr>
      </w:pPr>
    </w:p>
    <w:p w14:paraId="33F14A1C" w14:textId="77777777" w:rsidR="00907115" w:rsidRPr="0050005A" w:rsidRDefault="00907115" w:rsidP="002F09BD">
      <w:pPr>
        <w:rPr>
          <w:lang w:val="sq-AL"/>
        </w:rPr>
      </w:pPr>
    </w:p>
    <w:p w14:paraId="4AB4D549" w14:textId="77777777" w:rsidR="00417A40" w:rsidRPr="0050005A" w:rsidRDefault="00417A40" w:rsidP="002F09BD">
      <w:pPr>
        <w:rPr>
          <w:lang w:val="sq-AL"/>
        </w:rPr>
      </w:pPr>
    </w:p>
    <w:p w14:paraId="16672571" w14:textId="77777777" w:rsidR="00883824" w:rsidRPr="0050005A" w:rsidRDefault="00883824" w:rsidP="00417A40">
      <w:pPr>
        <w:tabs>
          <w:tab w:val="left" w:pos="2175"/>
        </w:tabs>
        <w:jc w:val="center"/>
        <w:rPr>
          <w:b/>
          <w:bCs/>
          <w:color w:val="005D97"/>
          <w:sz w:val="24"/>
          <w:szCs w:val="24"/>
          <w:lang w:val="sq-AL"/>
        </w:rPr>
      </w:pPr>
    </w:p>
    <w:p w14:paraId="0E142450" w14:textId="53C3DACC" w:rsidR="002F09BD" w:rsidRPr="0050005A" w:rsidRDefault="00F62178" w:rsidP="00417A40">
      <w:pPr>
        <w:tabs>
          <w:tab w:val="left" w:pos="2175"/>
        </w:tabs>
        <w:jc w:val="center"/>
        <w:rPr>
          <w:sz w:val="24"/>
          <w:szCs w:val="24"/>
          <w:lang w:val="sq-AL"/>
        </w:rPr>
        <w:sectPr w:rsidR="002F09BD" w:rsidRPr="0050005A" w:rsidSect="00907115">
          <w:headerReference w:type="default" r:id="rId8"/>
          <w:footerReference w:type="default" r:id="rId9"/>
          <w:headerReference w:type="first" r:id="rId10"/>
          <w:footerReference w:type="first" r:id="rId11"/>
          <w:pgSz w:w="11909" w:h="16834" w:code="9"/>
          <w:pgMar w:top="1440" w:right="1440" w:bottom="1440" w:left="1440" w:header="720" w:footer="403" w:gutter="0"/>
          <w:pgNumType w:fmt="lowerRoman" w:start="1"/>
          <w:cols w:space="720"/>
          <w:titlePg/>
          <w:docGrid w:linePitch="360"/>
        </w:sectPr>
      </w:pPr>
      <w:r>
        <w:rPr>
          <w:b/>
          <w:bCs/>
          <w:color w:val="005D97"/>
          <w:sz w:val="24"/>
          <w:szCs w:val="24"/>
          <w:lang w:val="sq-AL"/>
        </w:rPr>
        <w:t>Gusht</w:t>
      </w:r>
      <w:r w:rsidRPr="0050005A">
        <w:rPr>
          <w:b/>
          <w:bCs/>
          <w:color w:val="005D97"/>
          <w:sz w:val="24"/>
          <w:szCs w:val="24"/>
          <w:lang w:val="sq-AL"/>
        </w:rPr>
        <w:t xml:space="preserve"> </w:t>
      </w:r>
      <w:r w:rsidR="00883824" w:rsidRPr="0050005A">
        <w:rPr>
          <w:b/>
          <w:bCs/>
          <w:color w:val="005D97"/>
          <w:sz w:val="24"/>
          <w:szCs w:val="24"/>
          <w:lang w:val="sq-AL"/>
        </w:rPr>
        <w:t>20</w:t>
      </w:r>
      <w:r w:rsidR="00C85E1B">
        <w:rPr>
          <w:b/>
          <w:bCs/>
          <w:color w:val="005D97"/>
          <w:sz w:val="24"/>
          <w:szCs w:val="24"/>
          <w:lang w:val="sq-AL"/>
        </w:rPr>
        <w:t>2</w:t>
      </w:r>
      <w:r w:rsidR="00CA1142">
        <w:rPr>
          <w:b/>
          <w:bCs/>
          <w:color w:val="005D97"/>
          <w:sz w:val="24"/>
          <w:szCs w:val="24"/>
          <w:lang w:val="sq-AL"/>
        </w:rPr>
        <w:t>1</w:t>
      </w:r>
    </w:p>
    <w:p w14:paraId="35C1D6BF" w14:textId="77777777" w:rsidR="00417A40" w:rsidRPr="0050005A" w:rsidRDefault="00033CDB">
      <w:pPr>
        <w:pStyle w:val="TOCHeading"/>
        <w:rPr>
          <w:lang w:val="sq-AL"/>
        </w:rPr>
      </w:pPr>
      <w:bookmarkStart w:id="1" w:name="_Toc411331414"/>
      <w:r w:rsidRPr="0050005A">
        <w:rPr>
          <w:lang w:val="sq-AL"/>
        </w:rPr>
        <w:lastRenderedPageBreak/>
        <w:t>Përmbajtja</w:t>
      </w:r>
    </w:p>
    <w:p w14:paraId="10EAE6AD" w14:textId="1E031BC5" w:rsidR="00F527A5" w:rsidRDefault="00F527A5">
      <w:pPr>
        <w:pStyle w:val="TOC1"/>
        <w:tabs>
          <w:tab w:val="left" w:pos="440"/>
          <w:tab w:val="right" w:leader="dot" w:pos="9017"/>
        </w:tabs>
        <w:rPr>
          <w:rFonts w:asciiTheme="minorHAnsi" w:eastAsiaTheme="minorEastAsia" w:hAnsiTheme="minorHAnsi" w:cstheme="minorBidi"/>
          <w:b w:val="0"/>
          <w:noProof/>
          <w:szCs w:val="22"/>
          <w:lang w:val="en-US"/>
        </w:rPr>
      </w:pPr>
      <w:r>
        <w:rPr>
          <w:b w:val="0"/>
          <w:lang w:val="sq-AL"/>
        </w:rPr>
        <w:fldChar w:fldCharType="begin"/>
      </w:r>
      <w:r>
        <w:rPr>
          <w:b w:val="0"/>
          <w:lang w:val="sq-AL"/>
        </w:rPr>
        <w:instrText xml:space="preserve"> TOC \o "1-3" \h \z \u </w:instrText>
      </w:r>
      <w:r>
        <w:rPr>
          <w:b w:val="0"/>
          <w:lang w:val="sq-AL"/>
        </w:rPr>
        <w:fldChar w:fldCharType="separate"/>
      </w:r>
      <w:hyperlink w:anchor="_Toc80691539" w:history="1">
        <w:r w:rsidRPr="00551CBA">
          <w:rPr>
            <w:rStyle w:val="Hyperlink"/>
            <w:noProof/>
            <w:lang w:val="sq-AL"/>
          </w:rPr>
          <w:t>1</w:t>
        </w:r>
        <w:r>
          <w:rPr>
            <w:rFonts w:asciiTheme="minorHAnsi" w:eastAsiaTheme="minorEastAsia" w:hAnsiTheme="minorHAnsi" w:cstheme="minorBidi"/>
            <w:b w:val="0"/>
            <w:noProof/>
            <w:szCs w:val="22"/>
            <w:lang w:val="en-US"/>
          </w:rPr>
          <w:tab/>
        </w:r>
        <w:r w:rsidRPr="00551CBA">
          <w:rPr>
            <w:rStyle w:val="Hyperlink"/>
            <w:noProof/>
            <w:lang w:val="sq-AL"/>
          </w:rPr>
          <w:t>Hyrje</w:t>
        </w:r>
        <w:r>
          <w:rPr>
            <w:noProof/>
            <w:webHidden/>
          </w:rPr>
          <w:tab/>
        </w:r>
        <w:r>
          <w:rPr>
            <w:noProof/>
            <w:webHidden/>
          </w:rPr>
          <w:fldChar w:fldCharType="begin"/>
        </w:r>
        <w:r>
          <w:rPr>
            <w:noProof/>
            <w:webHidden/>
          </w:rPr>
          <w:instrText xml:space="preserve"> PAGEREF _Toc80691539 \h </w:instrText>
        </w:r>
        <w:r>
          <w:rPr>
            <w:noProof/>
            <w:webHidden/>
          </w:rPr>
        </w:r>
        <w:r>
          <w:rPr>
            <w:noProof/>
            <w:webHidden/>
          </w:rPr>
          <w:fldChar w:fldCharType="separate"/>
        </w:r>
        <w:r>
          <w:rPr>
            <w:noProof/>
            <w:webHidden/>
          </w:rPr>
          <w:t>3</w:t>
        </w:r>
        <w:r>
          <w:rPr>
            <w:noProof/>
            <w:webHidden/>
          </w:rPr>
          <w:fldChar w:fldCharType="end"/>
        </w:r>
      </w:hyperlink>
    </w:p>
    <w:p w14:paraId="1EA04361" w14:textId="7B654E9A" w:rsidR="00F527A5" w:rsidRDefault="0063004C">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0" w:history="1">
        <w:r w:rsidR="00F527A5" w:rsidRPr="00551CBA">
          <w:rPr>
            <w:rStyle w:val="Hyperlink"/>
            <w:noProof/>
            <w:lang w:val="sq-AL"/>
          </w:rPr>
          <w:t>2</w:t>
        </w:r>
        <w:r w:rsidR="00F527A5">
          <w:rPr>
            <w:rFonts w:asciiTheme="minorHAnsi" w:eastAsiaTheme="minorEastAsia" w:hAnsiTheme="minorHAnsi" w:cstheme="minorBidi"/>
            <w:b w:val="0"/>
            <w:noProof/>
            <w:szCs w:val="22"/>
            <w:lang w:val="en-US"/>
          </w:rPr>
          <w:tab/>
        </w:r>
        <w:r w:rsidR="00F527A5" w:rsidRPr="00551CBA">
          <w:rPr>
            <w:rStyle w:val="Hyperlink"/>
            <w:noProof/>
            <w:lang w:val="sq-AL"/>
          </w:rPr>
          <w:t>Përshtatja e të Hyrave të Lejuara Maksimale</w:t>
        </w:r>
        <w:r w:rsidR="00F527A5">
          <w:rPr>
            <w:noProof/>
            <w:webHidden/>
          </w:rPr>
          <w:tab/>
        </w:r>
        <w:r w:rsidR="00F527A5">
          <w:rPr>
            <w:noProof/>
            <w:webHidden/>
          </w:rPr>
          <w:fldChar w:fldCharType="begin"/>
        </w:r>
        <w:r w:rsidR="00F527A5">
          <w:rPr>
            <w:noProof/>
            <w:webHidden/>
          </w:rPr>
          <w:instrText xml:space="preserve"> PAGEREF _Toc80691540 \h </w:instrText>
        </w:r>
        <w:r w:rsidR="00F527A5">
          <w:rPr>
            <w:noProof/>
            <w:webHidden/>
          </w:rPr>
        </w:r>
        <w:r w:rsidR="00F527A5">
          <w:rPr>
            <w:noProof/>
            <w:webHidden/>
          </w:rPr>
          <w:fldChar w:fldCharType="separate"/>
        </w:r>
        <w:r w:rsidR="00F527A5">
          <w:rPr>
            <w:noProof/>
            <w:webHidden/>
          </w:rPr>
          <w:t>4</w:t>
        </w:r>
        <w:r w:rsidR="00F527A5">
          <w:rPr>
            <w:noProof/>
            <w:webHidden/>
          </w:rPr>
          <w:fldChar w:fldCharType="end"/>
        </w:r>
      </w:hyperlink>
    </w:p>
    <w:p w14:paraId="0545B37D" w14:textId="1B36C252" w:rsidR="00F527A5" w:rsidRDefault="0063004C">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1" w:history="1">
        <w:r w:rsidR="00F527A5" w:rsidRPr="00551CBA">
          <w:rPr>
            <w:rStyle w:val="Hyperlink"/>
            <w:noProof/>
            <w:lang w:val="sq-AL"/>
          </w:rPr>
          <w:t>3</w:t>
        </w:r>
        <w:r w:rsidR="00F527A5">
          <w:rPr>
            <w:rFonts w:asciiTheme="minorHAnsi" w:eastAsiaTheme="minorEastAsia" w:hAnsiTheme="minorHAnsi" w:cstheme="minorBidi"/>
            <w:b w:val="0"/>
            <w:noProof/>
            <w:szCs w:val="22"/>
            <w:lang w:val="en-US"/>
          </w:rPr>
          <w:tab/>
        </w:r>
        <w:r w:rsidR="00F527A5" w:rsidRPr="00551CBA">
          <w:rPr>
            <w:rStyle w:val="Hyperlink"/>
            <w:noProof/>
            <w:lang w:val="sq-AL"/>
          </w:rPr>
          <w:t>Bilanci i Energjisë Elektrike</w:t>
        </w:r>
        <w:r w:rsidR="00F527A5">
          <w:rPr>
            <w:noProof/>
            <w:webHidden/>
          </w:rPr>
          <w:tab/>
        </w:r>
        <w:r w:rsidR="00F527A5">
          <w:rPr>
            <w:noProof/>
            <w:webHidden/>
          </w:rPr>
          <w:fldChar w:fldCharType="begin"/>
        </w:r>
        <w:r w:rsidR="00F527A5">
          <w:rPr>
            <w:noProof/>
            <w:webHidden/>
          </w:rPr>
          <w:instrText xml:space="preserve"> PAGEREF _Toc80691541 \h </w:instrText>
        </w:r>
        <w:r w:rsidR="00F527A5">
          <w:rPr>
            <w:noProof/>
            <w:webHidden/>
          </w:rPr>
        </w:r>
        <w:r w:rsidR="00F527A5">
          <w:rPr>
            <w:noProof/>
            <w:webHidden/>
          </w:rPr>
          <w:fldChar w:fldCharType="separate"/>
        </w:r>
        <w:r w:rsidR="00F527A5">
          <w:rPr>
            <w:noProof/>
            <w:webHidden/>
          </w:rPr>
          <w:t>4</w:t>
        </w:r>
        <w:r w:rsidR="00F527A5">
          <w:rPr>
            <w:noProof/>
            <w:webHidden/>
          </w:rPr>
          <w:fldChar w:fldCharType="end"/>
        </w:r>
      </w:hyperlink>
    </w:p>
    <w:p w14:paraId="5E036E51" w14:textId="7DD5D11E" w:rsidR="00F527A5" w:rsidRDefault="0063004C">
      <w:pPr>
        <w:pStyle w:val="TOC2"/>
        <w:tabs>
          <w:tab w:val="left" w:pos="880"/>
          <w:tab w:val="right" w:leader="dot" w:pos="9017"/>
        </w:tabs>
        <w:rPr>
          <w:rFonts w:asciiTheme="minorHAnsi" w:eastAsiaTheme="minorEastAsia" w:hAnsiTheme="minorHAnsi" w:cstheme="minorBidi"/>
          <w:noProof/>
          <w:szCs w:val="22"/>
          <w:lang w:val="en-US"/>
        </w:rPr>
      </w:pPr>
      <w:hyperlink w:anchor="_Toc80691542" w:history="1">
        <w:r w:rsidR="00F527A5" w:rsidRPr="00551CBA">
          <w:rPr>
            <w:rStyle w:val="Hyperlink"/>
            <w:noProof/>
            <w:lang w:val="sq-AL"/>
          </w:rPr>
          <w:t>3.1</w:t>
        </w:r>
        <w:r w:rsidR="00F527A5">
          <w:rPr>
            <w:rFonts w:asciiTheme="minorHAnsi" w:eastAsiaTheme="minorEastAsia" w:hAnsiTheme="minorHAnsi" w:cstheme="minorBidi"/>
            <w:noProof/>
            <w:szCs w:val="22"/>
            <w:lang w:val="en-US"/>
          </w:rPr>
          <w:tab/>
        </w:r>
        <w:r w:rsidR="00F527A5" w:rsidRPr="00551CBA">
          <w:rPr>
            <w:rStyle w:val="Hyperlink"/>
            <w:noProof/>
            <w:lang w:val="sq-AL"/>
          </w:rPr>
          <w:t>Vlerësimi i Bilancit të Energjisë Elektrike të Realizuar dhe të Parashikuar</w:t>
        </w:r>
        <w:r w:rsidR="00F527A5">
          <w:rPr>
            <w:noProof/>
            <w:webHidden/>
          </w:rPr>
          <w:tab/>
        </w:r>
        <w:r w:rsidR="00F527A5">
          <w:rPr>
            <w:noProof/>
            <w:webHidden/>
          </w:rPr>
          <w:fldChar w:fldCharType="begin"/>
        </w:r>
        <w:r w:rsidR="00F527A5">
          <w:rPr>
            <w:noProof/>
            <w:webHidden/>
          </w:rPr>
          <w:instrText xml:space="preserve"> PAGEREF _Toc80691542 \h </w:instrText>
        </w:r>
        <w:r w:rsidR="00F527A5">
          <w:rPr>
            <w:noProof/>
            <w:webHidden/>
          </w:rPr>
        </w:r>
        <w:r w:rsidR="00F527A5">
          <w:rPr>
            <w:noProof/>
            <w:webHidden/>
          </w:rPr>
          <w:fldChar w:fldCharType="separate"/>
        </w:r>
        <w:r w:rsidR="00F527A5">
          <w:rPr>
            <w:noProof/>
            <w:webHidden/>
          </w:rPr>
          <w:t>5</w:t>
        </w:r>
        <w:r w:rsidR="00F527A5">
          <w:rPr>
            <w:noProof/>
            <w:webHidden/>
          </w:rPr>
          <w:fldChar w:fldCharType="end"/>
        </w:r>
      </w:hyperlink>
    </w:p>
    <w:p w14:paraId="44AC0433" w14:textId="7B92F47D" w:rsidR="00F527A5" w:rsidRDefault="0063004C">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3" w:history="1">
        <w:r w:rsidR="00F527A5" w:rsidRPr="00551CBA">
          <w:rPr>
            <w:rStyle w:val="Hyperlink"/>
            <w:noProof/>
            <w:lang w:val="sq-AL"/>
          </w:rPr>
          <w:t>4</w:t>
        </w:r>
        <w:r w:rsidR="00F527A5">
          <w:rPr>
            <w:rFonts w:asciiTheme="minorHAnsi" w:eastAsiaTheme="minorEastAsia" w:hAnsiTheme="minorHAnsi" w:cstheme="minorBidi"/>
            <w:b w:val="0"/>
            <w:noProof/>
            <w:szCs w:val="22"/>
            <w:lang w:val="en-US"/>
          </w:rPr>
          <w:tab/>
        </w:r>
        <w:r w:rsidR="00F527A5" w:rsidRPr="00551CBA">
          <w:rPr>
            <w:rStyle w:val="Hyperlink"/>
            <w:noProof/>
            <w:lang w:val="sq-AL"/>
          </w:rPr>
          <w:t>Përshtatjet e rregullta</w:t>
        </w:r>
        <w:r w:rsidR="00F527A5">
          <w:rPr>
            <w:noProof/>
            <w:webHidden/>
          </w:rPr>
          <w:tab/>
        </w:r>
        <w:r w:rsidR="00F527A5">
          <w:rPr>
            <w:noProof/>
            <w:webHidden/>
          </w:rPr>
          <w:fldChar w:fldCharType="begin"/>
        </w:r>
        <w:r w:rsidR="00F527A5">
          <w:rPr>
            <w:noProof/>
            <w:webHidden/>
          </w:rPr>
          <w:instrText xml:space="preserve"> PAGEREF _Toc80691543 \h </w:instrText>
        </w:r>
        <w:r w:rsidR="00F527A5">
          <w:rPr>
            <w:noProof/>
            <w:webHidden/>
          </w:rPr>
        </w:r>
        <w:r w:rsidR="00F527A5">
          <w:rPr>
            <w:noProof/>
            <w:webHidden/>
          </w:rPr>
          <w:fldChar w:fldCharType="separate"/>
        </w:r>
        <w:r w:rsidR="00F527A5">
          <w:rPr>
            <w:noProof/>
            <w:webHidden/>
          </w:rPr>
          <w:t>6</w:t>
        </w:r>
        <w:r w:rsidR="00F527A5">
          <w:rPr>
            <w:noProof/>
            <w:webHidden/>
          </w:rPr>
          <w:fldChar w:fldCharType="end"/>
        </w:r>
      </w:hyperlink>
    </w:p>
    <w:p w14:paraId="1629EC26" w14:textId="2E615F42" w:rsidR="00F527A5" w:rsidRDefault="0063004C">
      <w:pPr>
        <w:pStyle w:val="TOC2"/>
        <w:tabs>
          <w:tab w:val="left" w:pos="880"/>
          <w:tab w:val="right" w:leader="dot" w:pos="9017"/>
        </w:tabs>
        <w:rPr>
          <w:rFonts w:asciiTheme="minorHAnsi" w:eastAsiaTheme="minorEastAsia" w:hAnsiTheme="minorHAnsi" w:cstheme="minorBidi"/>
          <w:noProof/>
          <w:szCs w:val="22"/>
          <w:lang w:val="en-US"/>
        </w:rPr>
      </w:pPr>
      <w:hyperlink w:anchor="_Toc80691544" w:history="1">
        <w:r w:rsidR="00F527A5" w:rsidRPr="00551CBA">
          <w:rPr>
            <w:rStyle w:val="Hyperlink"/>
            <w:noProof/>
            <w:lang w:val="sq-AL"/>
          </w:rPr>
          <w:t>4.1</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normën e inflacionit</w:t>
        </w:r>
        <w:r w:rsidR="00F527A5">
          <w:rPr>
            <w:noProof/>
            <w:webHidden/>
          </w:rPr>
          <w:tab/>
        </w:r>
        <w:r w:rsidR="00F527A5">
          <w:rPr>
            <w:noProof/>
            <w:webHidden/>
          </w:rPr>
          <w:fldChar w:fldCharType="begin"/>
        </w:r>
        <w:r w:rsidR="00F527A5">
          <w:rPr>
            <w:noProof/>
            <w:webHidden/>
          </w:rPr>
          <w:instrText xml:space="preserve"> PAGEREF _Toc80691544 \h </w:instrText>
        </w:r>
        <w:r w:rsidR="00F527A5">
          <w:rPr>
            <w:noProof/>
            <w:webHidden/>
          </w:rPr>
        </w:r>
        <w:r w:rsidR="00F527A5">
          <w:rPr>
            <w:noProof/>
            <w:webHidden/>
          </w:rPr>
          <w:fldChar w:fldCharType="separate"/>
        </w:r>
        <w:r w:rsidR="00F527A5">
          <w:rPr>
            <w:noProof/>
            <w:webHidden/>
          </w:rPr>
          <w:t>7</w:t>
        </w:r>
        <w:r w:rsidR="00F527A5">
          <w:rPr>
            <w:noProof/>
            <w:webHidden/>
          </w:rPr>
          <w:fldChar w:fldCharType="end"/>
        </w:r>
      </w:hyperlink>
    </w:p>
    <w:p w14:paraId="61553C8D" w14:textId="62E4A0E0" w:rsidR="00F527A5" w:rsidRDefault="0063004C">
      <w:pPr>
        <w:pStyle w:val="TOC2"/>
        <w:tabs>
          <w:tab w:val="left" w:pos="880"/>
          <w:tab w:val="right" w:leader="dot" w:pos="9017"/>
        </w:tabs>
        <w:rPr>
          <w:rFonts w:asciiTheme="minorHAnsi" w:eastAsiaTheme="minorEastAsia" w:hAnsiTheme="minorHAnsi" w:cstheme="minorBidi"/>
          <w:noProof/>
          <w:szCs w:val="22"/>
          <w:lang w:val="en-US"/>
        </w:rPr>
      </w:pPr>
      <w:hyperlink w:anchor="_Toc80691545" w:history="1">
        <w:r w:rsidR="00F527A5" w:rsidRPr="00551CBA">
          <w:rPr>
            <w:rStyle w:val="Hyperlink"/>
            <w:noProof/>
          </w:rPr>
          <w:t>4.2</w:t>
        </w:r>
        <w:r w:rsidR="00F527A5">
          <w:rPr>
            <w:rFonts w:asciiTheme="minorHAnsi" w:eastAsiaTheme="minorEastAsia" w:hAnsiTheme="minorHAnsi" w:cstheme="minorBidi"/>
            <w:noProof/>
            <w:szCs w:val="22"/>
            <w:lang w:val="en-US"/>
          </w:rPr>
          <w:tab/>
        </w:r>
        <w:r w:rsidR="00F527A5" w:rsidRPr="00551CBA">
          <w:rPr>
            <w:rStyle w:val="Hyperlink"/>
            <w:noProof/>
          </w:rPr>
          <w:t>Kostot shtesë që ndërlidhen me COVID-19</w:t>
        </w:r>
        <w:r w:rsidR="00F527A5">
          <w:rPr>
            <w:noProof/>
            <w:webHidden/>
          </w:rPr>
          <w:tab/>
        </w:r>
        <w:r w:rsidR="00F527A5">
          <w:rPr>
            <w:noProof/>
            <w:webHidden/>
          </w:rPr>
          <w:fldChar w:fldCharType="begin"/>
        </w:r>
        <w:r w:rsidR="00F527A5">
          <w:rPr>
            <w:noProof/>
            <w:webHidden/>
          </w:rPr>
          <w:instrText xml:space="preserve"> PAGEREF _Toc80691545 \h </w:instrText>
        </w:r>
        <w:r w:rsidR="00F527A5">
          <w:rPr>
            <w:noProof/>
            <w:webHidden/>
          </w:rPr>
        </w:r>
        <w:r w:rsidR="00F527A5">
          <w:rPr>
            <w:noProof/>
            <w:webHidden/>
          </w:rPr>
          <w:fldChar w:fldCharType="separate"/>
        </w:r>
        <w:r w:rsidR="00F527A5">
          <w:rPr>
            <w:noProof/>
            <w:webHidden/>
          </w:rPr>
          <w:t>7</w:t>
        </w:r>
        <w:r w:rsidR="00F527A5">
          <w:rPr>
            <w:noProof/>
            <w:webHidden/>
          </w:rPr>
          <w:fldChar w:fldCharType="end"/>
        </w:r>
      </w:hyperlink>
    </w:p>
    <w:p w14:paraId="1E00E9C2" w14:textId="70FF018B" w:rsidR="00F527A5" w:rsidRDefault="0063004C">
      <w:pPr>
        <w:pStyle w:val="TOC2"/>
        <w:tabs>
          <w:tab w:val="left" w:pos="880"/>
          <w:tab w:val="right" w:leader="dot" w:pos="9017"/>
        </w:tabs>
        <w:rPr>
          <w:rFonts w:asciiTheme="minorHAnsi" w:eastAsiaTheme="minorEastAsia" w:hAnsiTheme="minorHAnsi" w:cstheme="minorBidi"/>
          <w:noProof/>
          <w:szCs w:val="22"/>
          <w:lang w:val="en-US"/>
        </w:rPr>
      </w:pPr>
      <w:hyperlink w:anchor="_Toc80691546" w:history="1">
        <w:r w:rsidR="00F527A5" w:rsidRPr="00551CBA">
          <w:rPr>
            <w:rStyle w:val="Hyperlink"/>
            <w:noProof/>
            <w:lang w:val="sq-AL"/>
          </w:rPr>
          <w:t>4.3</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kostot e bartshme</w:t>
        </w:r>
        <w:r w:rsidR="00F527A5">
          <w:rPr>
            <w:noProof/>
            <w:webHidden/>
          </w:rPr>
          <w:tab/>
        </w:r>
        <w:r w:rsidR="00F527A5">
          <w:rPr>
            <w:noProof/>
            <w:webHidden/>
          </w:rPr>
          <w:fldChar w:fldCharType="begin"/>
        </w:r>
        <w:r w:rsidR="00F527A5">
          <w:rPr>
            <w:noProof/>
            <w:webHidden/>
          </w:rPr>
          <w:instrText xml:space="preserve"> PAGEREF _Toc80691546 \h </w:instrText>
        </w:r>
        <w:r w:rsidR="00F527A5">
          <w:rPr>
            <w:noProof/>
            <w:webHidden/>
          </w:rPr>
        </w:r>
        <w:r w:rsidR="00F527A5">
          <w:rPr>
            <w:noProof/>
            <w:webHidden/>
          </w:rPr>
          <w:fldChar w:fldCharType="separate"/>
        </w:r>
        <w:r w:rsidR="00F527A5">
          <w:rPr>
            <w:noProof/>
            <w:webHidden/>
          </w:rPr>
          <w:t>8</w:t>
        </w:r>
        <w:r w:rsidR="00F527A5">
          <w:rPr>
            <w:noProof/>
            <w:webHidden/>
          </w:rPr>
          <w:fldChar w:fldCharType="end"/>
        </w:r>
      </w:hyperlink>
    </w:p>
    <w:p w14:paraId="2414669C" w14:textId="1186C913" w:rsidR="00F527A5" w:rsidRDefault="0063004C">
      <w:pPr>
        <w:pStyle w:val="TOC2"/>
        <w:tabs>
          <w:tab w:val="left" w:pos="880"/>
          <w:tab w:val="right" w:leader="dot" w:pos="9017"/>
        </w:tabs>
        <w:rPr>
          <w:rFonts w:asciiTheme="minorHAnsi" w:eastAsiaTheme="minorEastAsia" w:hAnsiTheme="minorHAnsi" w:cstheme="minorBidi"/>
          <w:noProof/>
          <w:szCs w:val="22"/>
          <w:lang w:val="en-US"/>
        </w:rPr>
      </w:pPr>
      <w:hyperlink w:anchor="_Toc80691547" w:history="1">
        <w:r w:rsidR="00F527A5" w:rsidRPr="00551CBA">
          <w:rPr>
            <w:rStyle w:val="Hyperlink"/>
            <w:noProof/>
            <w:lang w:val="sq-AL"/>
          </w:rPr>
          <w:t>4.4</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e kostove të humbjeve</w:t>
        </w:r>
        <w:r w:rsidR="00F527A5">
          <w:rPr>
            <w:noProof/>
            <w:webHidden/>
          </w:rPr>
          <w:tab/>
        </w:r>
        <w:r w:rsidR="00F527A5">
          <w:rPr>
            <w:noProof/>
            <w:webHidden/>
          </w:rPr>
          <w:fldChar w:fldCharType="begin"/>
        </w:r>
        <w:r w:rsidR="00F527A5">
          <w:rPr>
            <w:noProof/>
            <w:webHidden/>
          </w:rPr>
          <w:instrText xml:space="preserve"> PAGEREF _Toc80691547 \h </w:instrText>
        </w:r>
        <w:r w:rsidR="00F527A5">
          <w:rPr>
            <w:noProof/>
            <w:webHidden/>
          </w:rPr>
        </w:r>
        <w:r w:rsidR="00F527A5">
          <w:rPr>
            <w:noProof/>
            <w:webHidden/>
          </w:rPr>
          <w:fldChar w:fldCharType="separate"/>
        </w:r>
        <w:r w:rsidR="00F527A5">
          <w:rPr>
            <w:noProof/>
            <w:webHidden/>
          </w:rPr>
          <w:t>8</w:t>
        </w:r>
        <w:r w:rsidR="00F527A5">
          <w:rPr>
            <w:noProof/>
            <w:webHidden/>
          </w:rPr>
          <w:fldChar w:fldCharType="end"/>
        </w:r>
      </w:hyperlink>
    </w:p>
    <w:p w14:paraId="3DB12BD0" w14:textId="2DA90A50" w:rsidR="00F527A5" w:rsidRDefault="0063004C">
      <w:pPr>
        <w:pStyle w:val="TOC2"/>
        <w:tabs>
          <w:tab w:val="left" w:pos="880"/>
          <w:tab w:val="right" w:leader="dot" w:pos="9017"/>
        </w:tabs>
        <w:rPr>
          <w:rFonts w:asciiTheme="minorHAnsi" w:eastAsiaTheme="minorEastAsia" w:hAnsiTheme="minorHAnsi" w:cstheme="minorBidi"/>
          <w:noProof/>
          <w:szCs w:val="22"/>
          <w:lang w:val="en-US"/>
        </w:rPr>
      </w:pPr>
      <w:hyperlink w:anchor="_Toc80691548" w:history="1">
        <w:r w:rsidR="00F527A5" w:rsidRPr="00551CBA">
          <w:rPr>
            <w:rStyle w:val="Hyperlink"/>
            <w:noProof/>
            <w:lang w:val="sq-AL"/>
          </w:rPr>
          <w:t>4.5</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të hyrat jo tarifore</w:t>
        </w:r>
        <w:r w:rsidR="00F527A5">
          <w:rPr>
            <w:noProof/>
            <w:webHidden/>
          </w:rPr>
          <w:tab/>
        </w:r>
        <w:r w:rsidR="00F527A5">
          <w:rPr>
            <w:noProof/>
            <w:webHidden/>
          </w:rPr>
          <w:fldChar w:fldCharType="begin"/>
        </w:r>
        <w:r w:rsidR="00F527A5">
          <w:rPr>
            <w:noProof/>
            <w:webHidden/>
          </w:rPr>
          <w:instrText xml:space="preserve"> PAGEREF _Toc80691548 \h </w:instrText>
        </w:r>
        <w:r w:rsidR="00F527A5">
          <w:rPr>
            <w:noProof/>
            <w:webHidden/>
          </w:rPr>
        </w:r>
        <w:r w:rsidR="00F527A5">
          <w:rPr>
            <w:noProof/>
            <w:webHidden/>
          </w:rPr>
          <w:fldChar w:fldCharType="separate"/>
        </w:r>
        <w:r w:rsidR="00F527A5">
          <w:rPr>
            <w:noProof/>
            <w:webHidden/>
          </w:rPr>
          <w:t>9</w:t>
        </w:r>
        <w:r w:rsidR="00F527A5">
          <w:rPr>
            <w:noProof/>
            <w:webHidden/>
          </w:rPr>
          <w:fldChar w:fldCharType="end"/>
        </w:r>
      </w:hyperlink>
    </w:p>
    <w:p w14:paraId="50EAACCB" w14:textId="265BC630" w:rsidR="00F527A5" w:rsidRDefault="0063004C">
      <w:pPr>
        <w:pStyle w:val="TOC2"/>
        <w:tabs>
          <w:tab w:val="left" w:pos="880"/>
          <w:tab w:val="right" w:leader="dot" w:pos="9017"/>
        </w:tabs>
        <w:rPr>
          <w:rFonts w:asciiTheme="minorHAnsi" w:eastAsiaTheme="minorEastAsia" w:hAnsiTheme="minorHAnsi" w:cstheme="minorBidi"/>
          <w:noProof/>
          <w:szCs w:val="22"/>
          <w:lang w:val="en-US"/>
        </w:rPr>
      </w:pPr>
      <w:hyperlink w:anchor="_Toc80691549" w:history="1">
        <w:r w:rsidR="00F527A5" w:rsidRPr="00551CBA">
          <w:rPr>
            <w:rStyle w:val="Hyperlink"/>
            <w:noProof/>
            <w:lang w:val="sq-AL"/>
          </w:rPr>
          <w:t>4.6</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faktorin korrigjues të të hyrave</w:t>
        </w:r>
        <w:r w:rsidR="00F527A5">
          <w:rPr>
            <w:noProof/>
            <w:webHidden/>
          </w:rPr>
          <w:tab/>
        </w:r>
        <w:r w:rsidR="00F527A5">
          <w:rPr>
            <w:noProof/>
            <w:webHidden/>
          </w:rPr>
          <w:fldChar w:fldCharType="begin"/>
        </w:r>
        <w:r w:rsidR="00F527A5">
          <w:rPr>
            <w:noProof/>
            <w:webHidden/>
          </w:rPr>
          <w:instrText xml:space="preserve"> PAGEREF _Toc80691549 \h </w:instrText>
        </w:r>
        <w:r w:rsidR="00F527A5">
          <w:rPr>
            <w:noProof/>
            <w:webHidden/>
          </w:rPr>
        </w:r>
        <w:r w:rsidR="00F527A5">
          <w:rPr>
            <w:noProof/>
            <w:webHidden/>
          </w:rPr>
          <w:fldChar w:fldCharType="separate"/>
        </w:r>
        <w:r w:rsidR="00F527A5">
          <w:rPr>
            <w:noProof/>
            <w:webHidden/>
          </w:rPr>
          <w:t>10</w:t>
        </w:r>
        <w:r w:rsidR="00F527A5">
          <w:rPr>
            <w:noProof/>
            <w:webHidden/>
          </w:rPr>
          <w:fldChar w:fldCharType="end"/>
        </w:r>
      </w:hyperlink>
    </w:p>
    <w:p w14:paraId="55F3C69B" w14:textId="7A789345" w:rsidR="00F527A5" w:rsidRDefault="0063004C">
      <w:pPr>
        <w:pStyle w:val="TOC1"/>
        <w:tabs>
          <w:tab w:val="left" w:pos="440"/>
          <w:tab w:val="right" w:leader="dot" w:pos="9017"/>
        </w:tabs>
        <w:rPr>
          <w:rFonts w:asciiTheme="minorHAnsi" w:eastAsiaTheme="minorEastAsia" w:hAnsiTheme="minorHAnsi" w:cstheme="minorBidi"/>
          <w:b w:val="0"/>
          <w:noProof/>
          <w:szCs w:val="22"/>
          <w:lang w:val="en-US"/>
        </w:rPr>
      </w:pPr>
      <w:hyperlink w:anchor="_Toc80691550" w:history="1">
        <w:r w:rsidR="00F527A5" w:rsidRPr="00551CBA">
          <w:rPr>
            <w:rStyle w:val="Hyperlink"/>
            <w:noProof/>
            <w:lang w:val="sq-AL"/>
          </w:rPr>
          <w:t>5</w:t>
        </w:r>
        <w:r w:rsidR="00F527A5">
          <w:rPr>
            <w:rFonts w:asciiTheme="minorHAnsi" w:eastAsiaTheme="minorEastAsia" w:hAnsiTheme="minorHAnsi" w:cstheme="minorBidi"/>
            <w:b w:val="0"/>
            <w:noProof/>
            <w:szCs w:val="22"/>
            <w:lang w:val="en-US"/>
          </w:rPr>
          <w:tab/>
        </w:r>
        <w:r w:rsidR="00F527A5" w:rsidRPr="00551CBA">
          <w:rPr>
            <w:rStyle w:val="Hyperlink"/>
            <w:noProof/>
            <w:lang w:val="sq-AL"/>
          </w:rPr>
          <w:t>Propozimi për të Hyrat e Lejuara Maksimale të OSSH-së</w:t>
        </w:r>
        <w:r w:rsidR="00F527A5">
          <w:rPr>
            <w:noProof/>
            <w:webHidden/>
          </w:rPr>
          <w:tab/>
        </w:r>
        <w:r w:rsidR="00F527A5">
          <w:rPr>
            <w:noProof/>
            <w:webHidden/>
          </w:rPr>
          <w:fldChar w:fldCharType="begin"/>
        </w:r>
        <w:r w:rsidR="00F527A5">
          <w:rPr>
            <w:noProof/>
            <w:webHidden/>
          </w:rPr>
          <w:instrText xml:space="preserve"> PAGEREF _Toc80691550 \h </w:instrText>
        </w:r>
        <w:r w:rsidR="00F527A5">
          <w:rPr>
            <w:noProof/>
            <w:webHidden/>
          </w:rPr>
        </w:r>
        <w:r w:rsidR="00F527A5">
          <w:rPr>
            <w:noProof/>
            <w:webHidden/>
          </w:rPr>
          <w:fldChar w:fldCharType="separate"/>
        </w:r>
        <w:r w:rsidR="00F527A5">
          <w:rPr>
            <w:noProof/>
            <w:webHidden/>
          </w:rPr>
          <w:t>10</w:t>
        </w:r>
        <w:r w:rsidR="00F527A5">
          <w:rPr>
            <w:noProof/>
            <w:webHidden/>
          </w:rPr>
          <w:fldChar w:fldCharType="end"/>
        </w:r>
      </w:hyperlink>
    </w:p>
    <w:p w14:paraId="5650EAAD" w14:textId="11E40E86" w:rsidR="00417A40" w:rsidRPr="0050005A" w:rsidRDefault="00F527A5">
      <w:pPr>
        <w:rPr>
          <w:lang w:val="sq-AL"/>
        </w:rPr>
      </w:pPr>
      <w:r>
        <w:rPr>
          <w:rFonts w:eastAsia="Times New Roman" w:cs="Arial"/>
          <w:b/>
          <w:szCs w:val="24"/>
          <w:lang w:val="sq-AL"/>
        </w:rPr>
        <w:fldChar w:fldCharType="end"/>
      </w:r>
    </w:p>
    <w:p w14:paraId="7947D785" w14:textId="77777777" w:rsidR="001929A5" w:rsidRPr="0050005A" w:rsidRDefault="001929A5">
      <w:pPr>
        <w:spacing w:after="0" w:line="240" w:lineRule="auto"/>
        <w:rPr>
          <w:lang w:val="sq-AL"/>
        </w:rPr>
      </w:pPr>
      <w:r w:rsidRPr="0050005A">
        <w:rPr>
          <w:lang w:val="sq-AL"/>
        </w:rPr>
        <w:br w:type="page"/>
      </w:r>
    </w:p>
    <w:p w14:paraId="54240000" w14:textId="77777777" w:rsidR="005A4350" w:rsidRPr="0050005A" w:rsidRDefault="003838CA" w:rsidP="005A4350">
      <w:pPr>
        <w:pStyle w:val="Heading1"/>
        <w:rPr>
          <w:lang w:val="sq-AL"/>
        </w:rPr>
      </w:pPr>
      <w:bookmarkStart w:id="2" w:name="_Toc80691539"/>
      <w:r>
        <w:rPr>
          <w:lang w:val="sq-AL"/>
        </w:rPr>
        <w:lastRenderedPageBreak/>
        <w:t>Hyrje</w:t>
      </w:r>
      <w:bookmarkEnd w:id="2"/>
    </w:p>
    <w:p w14:paraId="0420F56B" w14:textId="4FBE1947" w:rsidR="00C85E1B" w:rsidRPr="008E6219" w:rsidRDefault="00C85E1B" w:rsidP="00C85E1B">
      <w:pPr>
        <w:jc w:val="both"/>
        <w:rPr>
          <w:rFonts w:cs="Calibri"/>
          <w:lang w:val="sq-AL"/>
        </w:rPr>
      </w:pPr>
      <w:r w:rsidRPr="008E6219">
        <w:rPr>
          <w:rFonts w:cs="Calibri"/>
          <w:lang w:val="sq-AL"/>
        </w:rPr>
        <w:t xml:space="preserve">Zyra e Rregullatorit për Energji (ZRRE) aktualisht është duke kryer Përshtatjen e Rregullt Vjetore për të Hyrat e Lejuara Maksimale (MAR) që do të mbulohen nga Kompanitë e Rregulluara. Në këtë proces, ZRRE-ja do të bëjë propozimin fillestar për MAR-in e azhurnuar për Operatorin e Sistemit të Transmetimit dhe Tregut (OST/OT, KOSTT), Operatorin e Sistemit të Shpërndarjes (OSSH, KEDS) dhe </w:t>
      </w:r>
      <w:r w:rsidR="005A449F">
        <w:rPr>
          <w:rFonts w:cs="Calibri"/>
          <w:lang w:val="sq-AL"/>
        </w:rPr>
        <w:t>do të përcaktojë të hyrat e Furnizuesit</w:t>
      </w:r>
      <w:r w:rsidRPr="008E6219">
        <w:rPr>
          <w:rFonts w:cs="Calibri"/>
          <w:lang w:val="sq-AL"/>
        </w:rPr>
        <w:t xml:space="preserve"> me Shërbim Universal (FSHU). Ky vlerësim fillestar bazohet në propozimet e dorëzuara nga kompanitë e rregulluara si dhe vendimet për Të Hyrat e Lejuara Maksimale për periudhën rregullative 2018-2022</w:t>
      </w:r>
      <w:r w:rsidR="003436E2">
        <w:rPr>
          <w:rFonts w:cs="Calibri"/>
          <w:lang w:val="sq-AL"/>
        </w:rPr>
        <w:t xml:space="preserve"> për OST/OT dhe OSSH</w:t>
      </w:r>
      <w:r w:rsidRPr="008E6219">
        <w:rPr>
          <w:rFonts w:cs="Calibri"/>
          <w:lang w:val="sq-AL"/>
        </w:rPr>
        <w:t xml:space="preserve">. </w:t>
      </w:r>
    </w:p>
    <w:p w14:paraId="7F73AF2F" w14:textId="0C9AD0F0" w:rsidR="00C85E1B" w:rsidRPr="008E6219" w:rsidRDefault="00C85E1B" w:rsidP="00C85E1B">
      <w:pPr>
        <w:jc w:val="both"/>
        <w:rPr>
          <w:rFonts w:cs="Calibri"/>
          <w:lang w:val="sq-AL"/>
        </w:rPr>
      </w:pPr>
      <w:r w:rsidRPr="008E6219">
        <w:rPr>
          <w:rFonts w:cs="Calibri"/>
          <w:lang w:val="sq-AL"/>
        </w:rPr>
        <w:t>Rregullimi i Çmimit është mjet që përdoret nga ZRRE në mënyrë që të përcaktohen Të Hyrat e Lejuara Maksimale – MAR, të cilat Kompanitë e Rregulluara do ti mbledhin për ofrimin e shërbimeve të rregulluara. MAR caktohet në nivelin që mundëson të licencuarit e rregulluar t’i mbuloj</w:t>
      </w:r>
      <w:r w:rsidR="005A449F">
        <w:rPr>
          <w:rFonts w:cs="Calibri"/>
          <w:lang w:val="sq-AL"/>
        </w:rPr>
        <w:t>n</w:t>
      </w:r>
      <w:r w:rsidRPr="008E6219">
        <w:rPr>
          <w:rFonts w:cs="Calibri"/>
          <w:lang w:val="sq-AL"/>
        </w:rPr>
        <w:t>ë kostot e arsyeshme operative dhe të mirëmbajtjes së aseteve të tyre dhe të realizojnë kthim të arsyeshëm në investimet e tyre. Gjithashtu, ZRRE përcakton caqe të efikasitetit</w:t>
      </w:r>
      <w:r w:rsidR="003436E2">
        <w:rPr>
          <w:rFonts w:cs="Calibri"/>
          <w:lang w:val="sq-AL"/>
        </w:rPr>
        <w:t>,</w:t>
      </w:r>
      <w:r w:rsidRPr="008E6219">
        <w:rPr>
          <w:rFonts w:cs="Calibri"/>
          <w:lang w:val="sq-AL"/>
        </w:rPr>
        <w:t xml:space="preserve"> caqet </w:t>
      </w:r>
      <w:r w:rsidR="0009487F" w:rsidRPr="008E6219">
        <w:rPr>
          <w:rFonts w:cs="Calibri"/>
          <w:lang w:val="sq-AL"/>
        </w:rPr>
        <w:t>për</w:t>
      </w:r>
      <w:r w:rsidRPr="008E6219">
        <w:rPr>
          <w:rFonts w:cs="Calibri"/>
          <w:lang w:val="sq-AL"/>
        </w:rPr>
        <w:t xml:space="preserve"> </w:t>
      </w:r>
      <w:r w:rsidR="0009487F" w:rsidRPr="008E6219">
        <w:rPr>
          <w:rFonts w:cs="Calibri"/>
          <w:lang w:val="sq-AL"/>
        </w:rPr>
        <w:t>zvogëlimin</w:t>
      </w:r>
      <w:r w:rsidRPr="008E6219">
        <w:rPr>
          <w:rFonts w:cs="Calibri"/>
          <w:lang w:val="sq-AL"/>
        </w:rPr>
        <w:t xml:space="preserve"> e humbjeve, </w:t>
      </w:r>
      <w:r w:rsidR="0009487F" w:rsidRPr="008E6219">
        <w:rPr>
          <w:rFonts w:cs="Calibri"/>
          <w:lang w:val="sq-AL"/>
        </w:rPr>
        <w:t>përmirësimin</w:t>
      </w:r>
      <w:r w:rsidRPr="008E6219">
        <w:rPr>
          <w:rFonts w:cs="Calibri"/>
          <w:lang w:val="sq-AL"/>
        </w:rPr>
        <w:t xml:space="preserve"> e </w:t>
      </w:r>
      <w:r w:rsidR="0009487F" w:rsidRPr="008E6219">
        <w:rPr>
          <w:rFonts w:cs="Calibri"/>
          <w:lang w:val="sq-AL"/>
        </w:rPr>
        <w:t>performancës</w:t>
      </w:r>
      <w:r w:rsidR="00CA1142">
        <w:rPr>
          <w:rFonts w:cs="Calibri"/>
          <w:lang w:val="sq-AL"/>
        </w:rPr>
        <w:t>,</w:t>
      </w:r>
      <w:r w:rsidRPr="008E6219">
        <w:rPr>
          <w:rFonts w:cs="Calibri"/>
          <w:lang w:val="sq-AL"/>
        </w:rPr>
        <w:t xml:space="preserve"> të cilat synojnë ngritjen e efikasitetit operativ të </w:t>
      </w:r>
      <w:r w:rsidRPr="008E6219">
        <w:rPr>
          <w:rFonts w:cs="Calibri"/>
          <w:lang w:val="sq-AL"/>
        </w:rPr>
        <w:lastRenderedPageBreak/>
        <w:t xml:space="preserve">kompanive dhe të ofrojnë nxitje për arritjen e caqeve apo ndëshkime nëse kompanitë dështojnë t’i arrijnë ato. </w:t>
      </w:r>
    </w:p>
    <w:p w14:paraId="14148973" w14:textId="618DA7C3" w:rsidR="00C85E1B" w:rsidRDefault="00C85E1B" w:rsidP="00C85E1B">
      <w:pPr>
        <w:jc w:val="both"/>
        <w:rPr>
          <w:rFonts w:cs="Calibri"/>
          <w:lang w:val="sq-AL"/>
        </w:rPr>
      </w:pPr>
      <w:r w:rsidRPr="008E6219">
        <w:rPr>
          <w:rFonts w:cs="Calibri"/>
          <w:lang w:val="sq-AL"/>
        </w:rPr>
        <w:t xml:space="preserve">Vlerat bazë për komponentët e MAR janë përcaktuar në Shqyrtimin Periodik të bërë në vitin 2018 dhe mbesin të vlefshme për një periudhë pesëvjeçare. Shqyrtimi aktual ka të bëjë me vlerësimin e propozimeve për MAR të paraqitura nga kompanitë e rregulluara, duke </w:t>
      </w:r>
      <w:r w:rsidR="0009487F" w:rsidRPr="008E6219">
        <w:rPr>
          <w:rFonts w:cs="Calibri"/>
          <w:lang w:val="sq-AL"/>
        </w:rPr>
        <w:t>marr</w:t>
      </w:r>
      <w:r w:rsidR="0009487F">
        <w:rPr>
          <w:rFonts w:cs="Calibri"/>
          <w:lang w:val="sq-AL"/>
        </w:rPr>
        <w:t>ë</w:t>
      </w:r>
      <w:r w:rsidRPr="008E6219">
        <w:rPr>
          <w:rFonts w:cs="Calibri"/>
          <w:lang w:val="sq-AL"/>
        </w:rPr>
        <w:t xml:space="preserve"> </w:t>
      </w:r>
      <w:r w:rsidR="0009487F" w:rsidRPr="008E6219">
        <w:rPr>
          <w:rFonts w:cs="Calibri"/>
          <w:lang w:val="sq-AL"/>
        </w:rPr>
        <w:t>në</w:t>
      </w:r>
      <w:r w:rsidRPr="008E6219">
        <w:rPr>
          <w:rFonts w:cs="Calibri"/>
          <w:lang w:val="sq-AL"/>
        </w:rPr>
        <w:t xml:space="preserve"> </w:t>
      </w:r>
      <w:r w:rsidR="0009487F" w:rsidRPr="008E6219">
        <w:rPr>
          <w:rFonts w:cs="Calibri"/>
          <w:lang w:val="sq-AL"/>
        </w:rPr>
        <w:t>konsideratë</w:t>
      </w:r>
      <w:r w:rsidRPr="008E6219">
        <w:rPr>
          <w:rFonts w:cs="Calibri"/>
          <w:lang w:val="sq-AL"/>
        </w:rPr>
        <w:t xml:space="preserve"> edhe </w:t>
      </w:r>
      <w:r w:rsidR="0009487F">
        <w:rPr>
          <w:rFonts w:cs="Calibri"/>
          <w:lang w:val="sq-AL"/>
        </w:rPr>
        <w:t>të</w:t>
      </w:r>
      <w:r w:rsidRPr="008E6219">
        <w:rPr>
          <w:rFonts w:cs="Calibri"/>
          <w:lang w:val="sq-AL"/>
        </w:rPr>
        <w:t xml:space="preserve"> </w:t>
      </w:r>
      <w:r w:rsidR="0009487F" w:rsidRPr="008E6219">
        <w:rPr>
          <w:rFonts w:cs="Calibri"/>
          <w:lang w:val="sq-AL"/>
        </w:rPr>
        <w:t>dhënat</w:t>
      </w:r>
      <w:r w:rsidRPr="008E6219">
        <w:rPr>
          <w:rFonts w:cs="Calibri"/>
          <w:lang w:val="sq-AL"/>
        </w:rPr>
        <w:t xml:space="preserve"> aktuale </w:t>
      </w:r>
      <w:r w:rsidR="0009487F" w:rsidRPr="008E6219">
        <w:rPr>
          <w:rFonts w:cs="Calibri"/>
          <w:lang w:val="sq-AL"/>
        </w:rPr>
        <w:t>të</w:t>
      </w:r>
      <w:r w:rsidR="00CA1142">
        <w:rPr>
          <w:rFonts w:cs="Calibri"/>
          <w:lang w:val="sq-AL"/>
        </w:rPr>
        <w:t xml:space="preserve"> vitit 2020</w:t>
      </w:r>
      <w:r w:rsidRPr="008E6219">
        <w:rPr>
          <w:rFonts w:cs="Calibri"/>
          <w:lang w:val="sq-AL"/>
        </w:rPr>
        <w:t xml:space="preserve">, </w:t>
      </w:r>
      <w:r w:rsidR="0009487F" w:rsidRPr="008E6219">
        <w:rPr>
          <w:rFonts w:cs="Calibri"/>
          <w:lang w:val="sq-AL"/>
        </w:rPr>
        <w:t>në</w:t>
      </w:r>
      <w:r w:rsidRPr="008E6219">
        <w:rPr>
          <w:rFonts w:cs="Calibri"/>
          <w:lang w:val="sq-AL"/>
        </w:rPr>
        <w:t xml:space="preserve"> </w:t>
      </w:r>
      <w:r w:rsidR="0009487F" w:rsidRPr="008E6219">
        <w:rPr>
          <w:rFonts w:cs="Calibri"/>
          <w:lang w:val="sq-AL"/>
        </w:rPr>
        <w:t>mënyrë</w:t>
      </w:r>
      <w:r w:rsidRPr="008E6219">
        <w:rPr>
          <w:rFonts w:cs="Calibri"/>
          <w:lang w:val="sq-AL"/>
        </w:rPr>
        <w:t xml:space="preserve"> </w:t>
      </w:r>
      <w:r w:rsidR="0009487F" w:rsidRPr="008E6219">
        <w:rPr>
          <w:rFonts w:cs="Calibri"/>
          <w:lang w:val="sq-AL"/>
        </w:rPr>
        <w:t>që</w:t>
      </w:r>
      <w:r w:rsidRPr="008E6219">
        <w:rPr>
          <w:rFonts w:cs="Calibri"/>
          <w:lang w:val="sq-AL"/>
        </w:rPr>
        <w:t xml:space="preserve"> </w:t>
      </w:r>
      <w:r w:rsidR="0009487F" w:rsidRPr="008E6219">
        <w:rPr>
          <w:rFonts w:cs="Calibri"/>
          <w:lang w:val="sq-AL"/>
        </w:rPr>
        <w:t>të</w:t>
      </w:r>
      <w:r w:rsidRPr="008E6219">
        <w:rPr>
          <w:rFonts w:cs="Calibri"/>
          <w:lang w:val="sq-AL"/>
        </w:rPr>
        <w:t xml:space="preserve"> </w:t>
      </w:r>
      <w:r w:rsidR="0009487F" w:rsidRPr="008E6219">
        <w:rPr>
          <w:rFonts w:cs="Calibri"/>
          <w:lang w:val="sq-AL"/>
        </w:rPr>
        <w:t>vijmë</w:t>
      </w:r>
      <w:r w:rsidRPr="008E6219">
        <w:rPr>
          <w:rFonts w:cs="Calibri"/>
          <w:lang w:val="sq-AL"/>
        </w:rPr>
        <w:t xml:space="preserve"> deri te </w:t>
      </w:r>
      <w:r w:rsidR="0009487F" w:rsidRPr="008E6219">
        <w:rPr>
          <w:rFonts w:cs="Calibri"/>
          <w:lang w:val="sq-AL"/>
        </w:rPr>
        <w:t>përcaktimi</w:t>
      </w:r>
      <w:r w:rsidRPr="008E6219">
        <w:rPr>
          <w:rFonts w:cs="Calibri"/>
          <w:lang w:val="sq-AL"/>
        </w:rPr>
        <w:t xml:space="preserve"> i </w:t>
      </w:r>
      <w:r w:rsidR="0009487F" w:rsidRPr="008E6219">
        <w:rPr>
          <w:rFonts w:cs="Calibri"/>
          <w:lang w:val="sq-AL"/>
        </w:rPr>
        <w:t>të</w:t>
      </w:r>
      <w:r w:rsidRPr="008E6219">
        <w:rPr>
          <w:rFonts w:cs="Calibri"/>
          <w:lang w:val="sq-AL"/>
        </w:rPr>
        <w:t xml:space="preserve"> hyrave </w:t>
      </w:r>
      <w:r w:rsidR="0009487F" w:rsidRPr="008E6219">
        <w:rPr>
          <w:rFonts w:cs="Calibri"/>
          <w:lang w:val="sq-AL"/>
        </w:rPr>
        <w:t>për</w:t>
      </w:r>
      <w:r w:rsidR="00CA1142">
        <w:rPr>
          <w:rFonts w:cs="Calibri"/>
          <w:lang w:val="sq-AL"/>
        </w:rPr>
        <w:t xml:space="preserve"> vitin  relevant tarifor 2021</w:t>
      </w:r>
      <w:r w:rsidRPr="008E6219">
        <w:rPr>
          <w:rFonts w:cs="Calibri"/>
          <w:lang w:val="sq-AL"/>
        </w:rPr>
        <w:t>. Ky shqyrtim vlerëson nëse propozimet e të licencuarve janë llogaritur në përputhje me k</w:t>
      </w:r>
      <w:r w:rsidR="003436E2">
        <w:rPr>
          <w:rFonts w:cs="Calibri"/>
          <w:lang w:val="sq-AL"/>
        </w:rPr>
        <w:t xml:space="preserve">ornizen </w:t>
      </w:r>
      <w:r w:rsidRPr="008E6219">
        <w:rPr>
          <w:rFonts w:cs="Calibri"/>
          <w:lang w:val="sq-AL"/>
        </w:rPr>
        <w:t>ligjore</w:t>
      </w:r>
      <w:r w:rsidR="003436E2">
        <w:rPr>
          <w:rFonts w:cs="Calibri"/>
          <w:lang w:val="sq-AL"/>
        </w:rPr>
        <w:t xml:space="preserve"> dhe rregullative</w:t>
      </w:r>
      <w:r w:rsidRPr="008E6219">
        <w:rPr>
          <w:rFonts w:cs="Calibri"/>
          <w:lang w:val="sq-AL"/>
        </w:rPr>
        <w:t>.</w:t>
      </w:r>
    </w:p>
    <w:p w14:paraId="7448A094" w14:textId="417E6CF5" w:rsidR="007A3F5D" w:rsidRPr="00154C01" w:rsidRDefault="007A3F5D" w:rsidP="007A3F5D">
      <w:pPr>
        <w:jc w:val="both"/>
        <w:rPr>
          <w:rFonts w:cs="Calibri"/>
          <w:lang w:val="sq-AL"/>
        </w:rPr>
      </w:pPr>
      <w:r w:rsidRPr="00154C01">
        <w:rPr>
          <w:rFonts w:cs="Calibri"/>
          <w:lang w:val="sq-AL"/>
        </w:rPr>
        <w:t>Procesi i përshtatj</w:t>
      </w:r>
      <w:r w:rsidR="00B43C12" w:rsidRPr="00154C01">
        <w:rPr>
          <w:rFonts w:cs="Calibri"/>
          <w:lang w:val="sq-AL"/>
        </w:rPr>
        <w:t>e</w:t>
      </w:r>
      <w:r w:rsidRPr="00154C01">
        <w:rPr>
          <w:rFonts w:cs="Calibri"/>
          <w:lang w:val="sq-AL"/>
        </w:rPr>
        <w:t>ve për vitin relevant tarifor 2021 përfshin periudhën 1 prill 2021 - 31mars 2022, por duke marr parasysh mungesën e Bordit, procesi i tillë është shtyer. Vonesa e marrjes së vendimeve për të Hyrat e Lejuara Maksimale dhe të tarifave për këtë vit relevant tarifor, do të azhustohet në vitin e ardhshëm relevant tarifor 2022.</w:t>
      </w:r>
    </w:p>
    <w:p w14:paraId="72E9BF7D" w14:textId="6BF3DA16" w:rsidR="00C85E1B" w:rsidRDefault="00C85E1B" w:rsidP="00C85E1B">
      <w:pPr>
        <w:jc w:val="both"/>
        <w:rPr>
          <w:rFonts w:cs="Calibri"/>
          <w:lang w:val="sq-AL"/>
        </w:rPr>
      </w:pPr>
      <w:r w:rsidRPr="008E6219">
        <w:rPr>
          <w:rFonts w:cs="Calibri"/>
          <w:lang w:val="sq-AL"/>
        </w:rPr>
        <w:t xml:space="preserve">ZRRE fton kompanitë e licencuara, konsumatorët dhe të gjitha palët tjera të interesit, që të japin kontributin e tyre në këtë proces, duke shqyrtuar dhe komentuar të dhënat dhe pikëpamjet e paraqitura në këtë Raport Konsultativ, në mënyrë që vlerësimi </w:t>
      </w:r>
      <w:r w:rsidRPr="008E6219">
        <w:rPr>
          <w:rFonts w:cs="Calibri"/>
          <w:lang w:val="sq-AL"/>
        </w:rPr>
        <w:lastRenderedPageBreak/>
        <w:t xml:space="preserve">të jetë i saktë për të Hyrat e Lejuara Maksimale për Operatorin e Sistemit të </w:t>
      </w:r>
      <w:r w:rsidR="00243C4E" w:rsidRPr="008E6219">
        <w:rPr>
          <w:rFonts w:cs="Calibri"/>
          <w:lang w:val="sq-AL"/>
        </w:rPr>
        <w:t>Shpërndarjes</w:t>
      </w:r>
      <w:r w:rsidRPr="008E6219">
        <w:rPr>
          <w:rFonts w:cs="Calibri"/>
          <w:lang w:val="sq-AL"/>
        </w:rPr>
        <w:t xml:space="preserve"> (</w:t>
      </w:r>
      <w:r w:rsidRPr="008E6219">
        <w:rPr>
          <w:lang w:val="sq-AL"/>
        </w:rPr>
        <w:t>OS</w:t>
      </w:r>
      <w:r w:rsidR="00243C4E" w:rsidRPr="008E6219">
        <w:rPr>
          <w:lang w:val="sq-AL"/>
        </w:rPr>
        <w:t>SH/KEDS</w:t>
      </w:r>
      <w:r w:rsidRPr="008E6219">
        <w:rPr>
          <w:lang w:val="sq-AL"/>
        </w:rPr>
        <w:t>)</w:t>
      </w:r>
      <w:r w:rsidRPr="008E6219">
        <w:rPr>
          <w:rFonts w:cs="Calibri"/>
          <w:lang w:val="sq-AL"/>
        </w:rPr>
        <w:t xml:space="preserve">. </w:t>
      </w:r>
      <w:r w:rsidR="0009487F" w:rsidRPr="008E6219">
        <w:rPr>
          <w:rFonts w:cs="Calibri"/>
          <w:lang w:val="sq-AL"/>
        </w:rPr>
        <w:t>Këto</w:t>
      </w:r>
      <w:r w:rsidRPr="008E6219">
        <w:rPr>
          <w:rFonts w:cs="Calibri"/>
          <w:lang w:val="sq-AL"/>
        </w:rPr>
        <w:t xml:space="preserve"> raporte duhet </w:t>
      </w:r>
      <w:r w:rsidR="0009487F" w:rsidRPr="008E6219">
        <w:rPr>
          <w:rFonts w:cs="Calibri"/>
          <w:lang w:val="sq-AL"/>
        </w:rPr>
        <w:t>të</w:t>
      </w:r>
      <w:r w:rsidRPr="008E6219">
        <w:rPr>
          <w:rFonts w:cs="Calibri"/>
          <w:lang w:val="sq-AL"/>
        </w:rPr>
        <w:t xml:space="preserve"> analizohen, duke ju referuar gjithashtu edhe raporteve </w:t>
      </w:r>
      <w:r w:rsidR="0009487F" w:rsidRPr="008E6219">
        <w:rPr>
          <w:rFonts w:cs="Calibri"/>
          <w:lang w:val="sq-AL"/>
        </w:rPr>
        <w:t>përfundimtare</w:t>
      </w:r>
      <w:r w:rsidRPr="008E6219">
        <w:rPr>
          <w:rFonts w:cs="Calibri"/>
          <w:lang w:val="sq-AL"/>
        </w:rPr>
        <w:t xml:space="preserve"> </w:t>
      </w:r>
      <w:r w:rsidR="0009487F" w:rsidRPr="008E6219">
        <w:rPr>
          <w:rFonts w:cs="Calibri"/>
          <w:lang w:val="sq-AL"/>
        </w:rPr>
        <w:t>të</w:t>
      </w:r>
      <w:r w:rsidRPr="008E6219">
        <w:rPr>
          <w:rFonts w:cs="Calibri"/>
          <w:lang w:val="sq-AL"/>
        </w:rPr>
        <w:t xml:space="preserve"> Shqyrtimit Periodik 2018-2022.</w:t>
      </w:r>
    </w:p>
    <w:p w14:paraId="0C641FE4" w14:textId="58BA8BF8" w:rsidR="00C85E1B" w:rsidRPr="008E6219" w:rsidRDefault="00C85E1B" w:rsidP="00C85E1B">
      <w:pPr>
        <w:jc w:val="both"/>
        <w:rPr>
          <w:rFonts w:cs="Calibri"/>
          <w:lang w:val="sq-AL"/>
        </w:rPr>
      </w:pPr>
      <w:r w:rsidRPr="008E6219">
        <w:rPr>
          <w:rFonts w:cs="Calibri"/>
          <w:lang w:val="sq-AL"/>
        </w:rPr>
        <w:t>Palët të cilat dëshirojnë të paraqesin komentet e tyre eventuale rreth propozimeve të ZRRE-së</w:t>
      </w:r>
      <w:r w:rsidR="00CA1142">
        <w:rPr>
          <w:rFonts w:cs="Calibri"/>
          <w:lang w:val="sq-AL"/>
        </w:rPr>
        <w:t>,</w:t>
      </w:r>
      <w:r w:rsidRPr="008E6219">
        <w:rPr>
          <w:rFonts w:cs="Calibri"/>
          <w:lang w:val="sq-AL"/>
        </w:rPr>
        <w:t xml:space="preserve"> ftohen që të dorëzojnë komentet e tyre me shkrim në postën elektronike </w:t>
      </w:r>
      <w:hyperlink r:id="rId12" w:history="1">
        <w:r w:rsidRPr="008E6219">
          <w:rPr>
            <w:rStyle w:val="Hyperlink"/>
            <w:rFonts w:cs="Calibri"/>
            <w:lang w:val="sq-AL"/>
          </w:rPr>
          <w:t>ero.pricing-tariffs@ero-ks.org</w:t>
        </w:r>
      </w:hyperlink>
      <w:r w:rsidRPr="008E6219">
        <w:rPr>
          <w:rFonts w:cs="Calibri"/>
          <w:lang w:val="sq-AL"/>
        </w:rPr>
        <w:t xml:space="preserve"> jo më vonë se</w:t>
      </w:r>
      <w:r w:rsidR="00F62178">
        <w:rPr>
          <w:rFonts w:cs="Calibri"/>
          <w:lang w:val="sq-AL"/>
        </w:rPr>
        <w:t xml:space="preserve"> </w:t>
      </w:r>
      <w:r w:rsidR="009F0030" w:rsidRPr="009F0030">
        <w:rPr>
          <w:rFonts w:cs="Calibri"/>
          <w:lang w:val="sq-AL"/>
        </w:rPr>
        <w:t>0</w:t>
      </w:r>
      <w:r w:rsidR="005B6765">
        <w:rPr>
          <w:rFonts w:cs="Calibri"/>
          <w:lang w:val="sq-AL"/>
        </w:rPr>
        <w:t>7</w:t>
      </w:r>
      <w:r w:rsidR="00F62178" w:rsidRPr="009F0030">
        <w:rPr>
          <w:rFonts w:cs="Calibri"/>
          <w:lang w:val="sq-AL"/>
        </w:rPr>
        <w:t xml:space="preserve"> shtator</w:t>
      </w:r>
      <w:r w:rsidRPr="009F0030">
        <w:rPr>
          <w:rFonts w:cs="Calibri"/>
          <w:lang w:val="sq-AL"/>
        </w:rPr>
        <w:t xml:space="preserve"> 20</w:t>
      </w:r>
      <w:r w:rsidR="002D231D" w:rsidRPr="009F0030">
        <w:rPr>
          <w:rFonts w:cs="Calibri"/>
          <w:lang w:val="sq-AL"/>
        </w:rPr>
        <w:t>2</w:t>
      </w:r>
      <w:r w:rsidR="00CA1142" w:rsidRPr="00CD2CB9">
        <w:rPr>
          <w:rFonts w:cs="Calibri"/>
          <w:lang w:val="sq-AL"/>
        </w:rPr>
        <w:t>1</w:t>
      </w:r>
      <w:r w:rsidRPr="008E6219">
        <w:rPr>
          <w:rFonts w:cs="Calibri"/>
          <w:lang w:val="sq-AL"/>
        </w:rPr>
        <w:t>.</w:t>
      </w:r>
      <w:r w:rsidRPr="008E6219">
        <w:rPr>
          <w:rFonts w:cs="Calibri"/>
          <w:b/>
          <w:lang w:val="sq-AL"/>
        </w:rPr>
        <w:t xml:space="preserve"> </w:t>
      </w:r>
      <w:r w:rsidRPr="008E6219">
        <w:rPr>
          <w:rFonts w:cs="Calibri"/>
          <w:lang w:val="sq-AL"/>
        </w:rPr>
        <w:t>Gjithashtu,</w:t>
      </w:r>
      <w:r w:rsidRPr="008E6219">
        <w:rPr>
          <w:rFonts w:cs="Calibri"/>
          <w:b/>
          <w:lang w:val="sq-AL"/>
        </w:rPr>
        <w:t xml:space="preserve"> </w:t>
      </w:r>
      <w:r w:rsidRPr="008E6219">
        <w:rPr>
          <w:rFonts w:cs="Calibri"/>
          <w:lang w:val="sq-AL"/>
        </w:rPr>
        <w:t>komentet mund të dërgohen me postë në adresën:</w:t>
      </w:r>
    </w:p>
    <w:p w14:paraId="78281C81" w14:textId="77777777" w:rsidR="005A4350" w:rsidRPr="0050005A" w:rsidRDefault="005A4350" w:rsidP="005A4350">
      <w:pPr>
        <w:spacing w:after="0" w:line="240" w:lineRule="auto"/>
        <w:rPr>
          <w:rFonts w:cs="Calibri"/>
          <w:lang w:val="sq-AL"/>
        </w:rPr>
      </w:pPr>
      <w:r w:rsidRPr="0050005A">
        <w:rPr>
          <w:rFonts w:cs="Calibri"/>
          <w:lang w:val="sq-AL"/>
        </w:rPr>
        <w:t>Zyra e Rregullatorit për Energji</w:t>
      </w:r>
    </w:p>
    <w:p w14:paraId="35DA8749" w14:textId="77777777" w:rsidR="005A4350" w:rsidRPr="0050005A" w:rsidRDefault="005A4350" w:rsidP="005A4350">
      <w:pPr>
        <w:spacing w:after="0" w:line="240" w:lineRule="auto"/>
        <w:rPr>
          <w:rFonts w:cs="Calibri"/>
          <w:lang w:val="sq-AL"/>
        </w:rPr>
      </w:pPr>
      <w:r w:rsidRPr="0050005A">
        <w:rPr>
          <w:rFonts w:cs="Calibri"/>
          <w:lang w:val="sq-AL"/>
        </w:rPr>
        <w:t xml:space="preserve">Departamenti për Tarifa dhe </w:t>
      </w:r>
      <w:r w:rsidRPr="0050005A">
        <w:rPr>
          <w:rFonts w:cs="Calibri"/>
          <w:caps/>
          <w:lang w:val="sq-AL"/>
        </w:rPr>
        <w:t>ç</w:t>
      </w:r>
      <w:r w:rsidRPr="0050005A">
        <w:rPr>
          <w:rFonts w:cs="Calibri"/>
          <w:lang w:val="sq-AL"/>
        </w:rPr>
        <w:t>mime</w:t>
      </w:r>
    </w:p>
    <w:p w14:paraId="1B84D044" w14:textId="77777777" w:rsidR="005A4350" w:rsidRPr="0050005A" w:rsidRDefault="005A4350" w:rsidP="005A4350">
      <w:pPr>
        <w:spacing w:after="0" w:line="240" w:lineRule="auto"/>
        <w:rPr>
          <w:rFonts w:cs="Calibri"/>
          <w:lang w:val="sq-AL"/>
        </w:rPr>
      </w:pPr>
      <w:r w:rsidRPr="0050005A">
        <w:rPr>
          <w:rFonts w:cs="Calibri"/>
          <w:lang w:val="sq-AL"/>
        </w:rPr>
        <w:t>Rr. Dervish Rozhaja Nr. 12, Prishtinë, 10000, Kosovë</w:t>
      </w:r>
    </w:p>
    <w:p w14:paraId="513684E3" w14:textId="77777777" w:rsidR="005A4350" w:rsidRPr="0050005A" w:rsidRDefault="005A4350" w:rsidP="005A4350">
      <w:pPr>
        <w:spacing w:after="0" w:line="240" w:lineRule="auto"/>
        <w:rPr>
          <w:rFonts w:cs="Calibri"/>
          <w:lang w:val="sq-AL"/>
        </w:rPr>
      </w:pPr>
    </w:p>
    <w:p w14:paraId="3394DD8B" w14:textId="77777777" w:rsidR="005A4350" w:rsidRPr="0050005A" w:rsidRDefault="005A4350" w:rsidP="005A4350">
      <w:pPr>
        <w:rPr>
          <w:rFonts w:cs="Calibri"/>
          <w:b/>
          <w:lang w:val="sq-AL"/>
        </w:rPr>
      </w:pPr>
      <w:r w:rsidRPr="0050005A">
        <w:rPr>
          <w:rFonts w:cs="Calibri"/>
          <w:b/>
          <w:lang w:val="sq-AL"/>
        </w:rPr>
        <w:t xml:space="preserve">Dokumentet Relevante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41"/>
      </w:tblGrid>
      <w:tr w:rsidR="005A4350" w:rsidRPr="004C2F15" w14:paraId="0963459E" w14:textId="77777777" w:rsidTr="001929A5">
        <w:tc>
          <w:tcPr>
            <w:tcW w:w="4248" w:type="dxa"/>
            <w:shd w:val="clear" w:color="auto" w:fill="auto"/>
          </w:tcPr>
          <w:p w14:paraId="7103F89B" w14:textId="77777777" w:rsidR="005A4350" w:rsidRPr="006C2087" w:rsidRDefault="005A4350" w:rsidP="00200343">
            <w:pPr>
              <w:spacing w:after="0" w:line="240" w:lineRule="auto"/>
              <w:rPr>
                <w:rFonts w:cs="Calibri"/>
                <w:lang w:val="sq-AL"/>
              </w:rPr>
            </w:pPr>
            <w:r w:rsidRPr="006C2087">
              <w:rPr>
                <w:rFonts w:cs="Calibri"/>
                <w:lang w:val="sq-AL"/>
              </w:rPr>
              <w:t xml:space="preserve">Vlerësimi përfundimtar i MAR të OSSH në kuadër të procesit të Shqyrtimit Periodik – Vlerësim i detajuar </w:t>
            </w:r>
          </w:p>
        </w:tc>
        <w:tc>
          <w:tcPr>
            <w:tcW w:w="5041" w:type="dxa"/>
            <w:shd w:val="clear" w:color="auto" w:fill="auto"/>
          </w:tcPr>
          <w:p w14:paraId="40654DB7" w14:textId="77777777" w:rsidR="00A53A8A" w:rsidRPr="005A449F" w:rsidRDefault="00A53A8A" w:rsidP="00200343">
            <w:pPr>
              <w:spacing w:after="0" w:line="240" w:lineRule="auto"/>
            </w:pPr>
            <w:r w:rsidRPr="005A449F">
              <w:t>http://ero-ks.org/2018/Raportet/Pergjigje%20ndaj%20komenteve%20te%20KEDS_PRR2_final.pdf</w:t>
            </w:r>
          </w:p>
        </w:tc>
      </w:tr>
      <w:tr w:rsidR="00200343" w:rsidRPr="0050005A" w14:paraId="2C35D93C" w14:textId="77777777" w:rsidTr="004F2CDC">
        <w:trPr>
          <w:trHeight w:val="484"/>
        </w:trPr>
        <w:tc>
          <w:tcPr>
            <w:tcW w:w="4248" w:type="dxa"/>
            <w:shd w:val="clear" w:color="auto" w:fill="auto"/>
          </w:tcPr>
          <w:p w14:paraId="40727399" w14:textId="7542D301" w:rsidR="00200343" w:rsidRPr="006C2087" w:rsidRDefault="00200343" w:rsidP="002D231D">
            <w:pPr>
              <w:spacing w:after="0" w:line="240" w:lineRule="auto"/>
              <w:rPr>
                <w:rFonts w:cs="Calibri"/>
                <w:lang w:val="sq-AL"/>
              </w:rPr>
            </w:pPr>
            <w:r w:rsidRPr="006C2087">
              <w:rPr>
                <w:rFonts w:cs="Calibri"/>
                <w:lang w:val="sq-AL"/>
              </w:rPr>
              <w:t>Aplikacioni i KEDS-it për vitin 20</w:t>
            </w:r>
            <w:r w:rsidR="00556BA0" w:rsidRPr="006C2087">
              <w:rPr>
                <w:rFonts w:cs="Calibri"/>
                <w:lang w:val="sq-AL"/>
              </w:rPr>
              <w:t>21</w:t>
            </w:r>
          </w:p>
        </w:tc>
        <w:tc>
          <w:tcPr>
            <w:tcW w:w="5041" w:type="dxa"/>
            <w:shd w:val="clear" w:color="auto" w:fill="auto"/>
          </w:tcPr>
          <w:p w14:paraId="01C98D14" w14:textId="6EBA37D8" w:rsidR="00200343" w:rsidRPr="00A53A8A" w:rsidRDefault="004F2CDC" w:rsidP="00200343">
            <w:pPr>
              <w:spacing w:after="0" w:line="240" w:lineRule="auto"/>
            </w:pPr>
            <w:r w:rsidRPr="004F2CDC">
              <w:t>https://www.ero-ks.org/zrre/sites/default/files/Konsultimet%20Publike/Aplikimi%20i%20OSSH-s%C3%AB%202021%20-%208%20Mars%202021.pdf</w:t>
            </w:r>
          </w:p>
        </w:tc>
      </w:tr>
      <w:bookmarkEnd w:id="1"/>
    </w:tbl>
    <w:p w14:paraId="28DBA9A5" w14:textId="77777777" w:rsidR="00417A40" w:rsidRPr="0050005A" w:rsidRDefault="00417A40" w:rsidP="00EE3EC1">
      <w:pPr>
        <w:jc w:val="both"/>
        <w:rPr>
          <w:rFonts w:eastAsia="Times New Roman" w:cs="Arial"/>
          <w:b/>
          <w:bCs/>
          <w:color w:val="003366"/>
          <w:sz w:val="28"/>
          <w:szCs w:val="24"/>
          <w:lang w:val="sq-AL"/>
        </w:rPr>
      </w:pPr>
    </w:p>
    <w:p w14:paraId="0E07D711" w14:textId="77777777" w:rsidR="00417A40" w:rsidRPr="0050005A" w:rsidRDefault="009B1045" w:rsidP="00417A40">
      <w:pPr>
        <w:pStyle w:val="Heading1"/>
        <w:rPr>
          <w:lang w:val="sq-AL"/>
        </w:rPr>
      </w:pPr>
      <w:bookmarkStart w:id="3" w:name="_Toc80691540"/>
      <w:r w:rsidRPr="0050005A">
        <w:rPr>
          <w:lang w:val="sq-AL"/>
        </w:rPr>
        <w:lastRenderedPageBreak/>
        <w:t>P</w:t>
      </w:r>
      <w:r w:rsidR="001A59E2" w:rsidRPr="0050005A">
        <w:rPr>
          <w:lang w:val="sq-AL"/>
        </w:rPr>
        <w:t>ë</w:t>
      </w:r>
      <w:r w:rsidRPr="0050005A">
        <w:rPr>
          <w:lang w:val="sq-AL"/>
        </w:rPr>
        <w:t>rshtatja e</w:t>
      </w:r>
      <w:r w:rsidR="0057317C" w:rsidRPr="0050005A">
        <w:rPr>
          <w:lang w:val="sq-AL"/>
        </w:rPr>
        <w:t xml:space="preserve"> t</w:t>
      </w:r>
      <w:r w:rsidR="001A59E2" w:rsidRPr="0050005A">
        <w:rPr>
          <w:lang w:val="sq-AL"/>
        </w:rPr>
        <w:t>ë</w:t>
      </w:r>
      <w:r w:rsidR="0057317C" w:rsidRPr="0050005A">
        <w:rPr>
          <w:lang w:val="sq-AL"/>
        </w:rPr>
        <w:t xml:space="preserve"> Hyrave t</w:t>
      </w:r>
      <w:r w:rsidR="001A59E2" w:rsidRPr="0050005A">
        <w:rPr>
          <w:lang w:val="sq-AL"/>
        </w:rPr>
        <w:t>ë</w:t>
      </w:r>
      <w:r w:rsidR="0057317C" w:rsidRPr="0050005A">
        <w:rPr>
          <w:lang w:val="sq-AL"/>
        </w:rPr>
        <w:t xml:space="preserve"> Lejuara Maksimale</w:t>
      </w:r>
      <w:bookmarkEnd w:id="3"/>
    </w:p>
    <w:p w14:paraId="5DD25C86" w14:textId="77777777" w:rsidR="00417A40" w:rsidRPr="0050005A" w:rsidRDefault="004C2F15" w:rsidP="00417A40">
      <w:pPr>
        <w:jc w:val="both"/>
        <w:rPr>
          <w:rFonts w:cs="Calibri"/>
          <w:lang w:val="sq-AL"/>
        </w:rPr>
      </w:pPr>
      <w:r>
        <w:rPr>
          <w:rFonts w:cs="Calibri"/>
          <w:lang w:val="sq-AL"/>
        </w:rPr>
        <w:t>B</w:t>
      </w:r>
      <w:r w:rsidR="00036514" w:rsidRPr="0050005A">
        <w:rPr>
          <w:rFonts w:cs="Calibri"/>
          <w:lang w:val="sq-AL"/>
        </w:rPr>
        <w:t>azuar n</w:t>
      </w:r>
      <w:r w:rsidR="001A59E2" w:rsidRPr="0050005A">
        <w:rPr>
          <w:rFonts w:cs="Calibri"/>
          <w:lang w:val="sq-AL"/>
        </w:rPr>
        <w:t>ë</w:t>
      </w:r>
      <w:r w:rsidR="00036514" w:rsidRPr="0050005A">
        <w:rPr>
          <w:rFonts w:cs="Calibri"/>
          <w:lang w:val="sq-AL"/>
        </w:rPr>
        <w:t xml:space="preserve"> Rregull</w:t>
      </w:r>
      <w:r w:rsidR="001A59E2" w:rsidRPr="0050005A">
        <w:rPr>
          <w:rFonts w:cs="Calibri"/>
          <w:lang w:val="sq-AL"/>
        </w:rPr>
        <w:t>ë</w:t>
      </w:r>
      <w:r w:rsidR="00036514" w:rsidRPr="0050005A">
        <w:rPr>
          <w:rFonts w:cs="Calibri"/>
          <w:lang w:val="sq-AL"/>
        </w:rPr>
        <w:t>n p</w:t>
      </w:r>
      <w:r w:rsidR="001A59E2" w:rsidRPr="0050005A">
        <w:rPr>
          <w:rFonts w:cs="Calibri"/>
          <w:lang w:val="sq-AL"/>
        </w:rPr>
        <w:t>ë</w:t>
      </w:r>
      <w:r w:rsidR="00036514" w:rsidRPr="0050005A">
        <w:rPr>
          <w:rFonts w:cs="Calibri"/>
          <w:lang w:val="sq-AL"/>
        </w:rPr>
        <w:t>r Vendosjen t</w:t>
      </w:r>
      <w:r w:rsidR="001A59E2" w:rsidRPr="0050005A">
        <w:rPr>
          <w:rFonts w:cs="Calibri"/>
          <w:lang w:val="sq-AL"/>
        </w:rPr>
        <w:t>ë</w:t>
      </w:r>
      <w:r w:rsidR="00036514" w:rsidRPr="0050005A">
        <w:rPr>
          <w:rFonts w:cs="Calibri"/>
          <w:lang w:val="sq-AL"/>
        </w:rPr>
        <w:t xml:space="preserve"> Hyrave t</w:t>
      </w:r>
      <w:r w:rsidR="001A59E2" w:rsidRPr="0050005A">
        <w:rPr>
          <w:rFonts w:cs="Calibri"/>
          <w:lang w:val="sq-AL"/>
        </w:rPr>
        <w:t>ë</w:t>
      </w:r>
      <w:r w:rsidR="00036514" w:rsidRPr="0050005A">
        <w:rPr>
          <w:rFonts w:cs="Calibri"/>
          <w:lang w:val="sq-AL"/>
        </w:rPr>
        <w:t xml:space="preserve"> Lejuara Maksimale p</w:t>
      </w:r>
      <w:r w:rsidR="001A59E2" w:rsidRPr="0050005A">
        <w:rPr>
          <w:rFonts w:cs="Calibri"/>
          <w:lang w:val="sq-AL"/>
        </w:rPr>
        <w:t>ë</w:t>
      </w:r>
      <w:r w:rsidR="00036514" w:rsidRPr="0050005A">
        <w:rPr>
          <w:rFonts w:cs="Calibri"/>
          <w:lang w:val="sq-AL"/>
        </w:rPr>
        <w:t xml:space="preserve">r OSSH, </w:t>
      </w:r>
      <w:r w:rsidR="00243C4E" w:rsidRPr="00243C4E">
        <w:rPr>
          <w:rFonts w:cs="Calibri"/>
          <w:lang w:val="sq-AL"/>
        </w:rPr>
        <w:t xml:space="preserve">ZRRE </w:t>
      </w:r>
      <w:r w:rsidR="0009487F">
        <w:rPr>
          <w:rFonts w:cs="Calibri"/>
          <w:lang w:val="sq-AL"/>
        </w:rPr>
        <w:t>ka analizuar me kujdes të gjithë</w:t>
      </w:r>
      <w:r w:rsidR="00243C4E" w:rsidRPr="00243C4E">
        <w:rPr>
          <w:rFonts w:cs="Calibri"/>
          <w:lang w:val="sq-AL"/>
        </w:rPr>
        <w:t xml:space="preserve"> </w:t>
      </w:r>
      <w:r w:rsidR="0009487F" w:rsidRPr="00243C4E">
        <w:rPr>
          <w:rFonts w:cs="Calibri"/>
          <w:lang w:val="sq-AL"/>
        </w:rPr>
        <w:t>komponentët</w:t>
      </w:r>
      <w:r w:rsidR="00243C4E" w:rsidRPr="00243C4E">
        <w:rPr>
          <w:rFonts w:cs="Calibri"/>
          <w:lang w:val="sq-AL"/>
        </w:rPr>
        <w:t xml:space="preserve"> e kostove dhe kërkesat e të licencuarit të paraqitura në aplikacionin e tij për të Hyrat e Lejuara Maksimale. Gjatë procesit të Përshtatjes së Rregullt, ZRRE përdor vlerat e vendosura gjatë procesit të Shqyrtimit Periodik 2018-2022 dhe përshtat MAR-in për të reflektuar ndryshimet në mes të kostove që kanë qenë të parashikuara gjatë Shqyrtimit Periodik dhe kostove aktuale të arsyeshme të </w:t>
      </w:r>
      <w:r>
        <w:rPr>
          <w:rFonts w:cs="Calibri"/>
          <w:lang w:val="sq-AL"/>
        </w:rPr>
        <w:t>operatorëve të rregulluar</w:t>
      </w:r>
      <w:r w:rsidR="00243C4E" w:rsidRPr="00243C4E">
        <w:rPr>
          <w:rFonts w:cs="Calibri"/>
          <w:lang w:val="sq-AL"/>
        </w:rPr>
        <w:t>. Gjatë këtij procesi ZRRE do të</w:t>
      </w:r>
      <w:r w:rsidR="00036514" w:rsidRPr="0050005A">
        <w:rPr>
          <w:rFonts w:cs="Calibri"/>
          <w:lang w:val="sq-AL"/>
        </w:rPr>
        <w:t xml:space="preserve">: </w:t>
      </w:r>
    </w:p>
    <w:p w14:paraId="6A34671B" w14:textId="11F25768" w:rsidR="00417A40" w:rsidRPr="0050005A" w:rsidRDefault="00417A40" w:rsidP="00417A40">
      <w:pPr>
        <w:pStyle w:val="ListParagraph"/>
        <w:numPr>
          <w:ilvl w:val="0"/>
          <w:numId w:val="4"/>
        </w:numPr>
        <w:contextualSpacing w:val="0"/>
        <w:rPr>
          <w:lang w:val="sq-AL"/>
        </w:rPr>
      </w:pPr>
      <w:r w:rsidRPr="0050005A">
        <w:rPr>
          <w:lang w:val="sq-AL"/>
        </w:rPr>
        <w:t>Indeksojë Kostot Operative dhe të Mirëmbajtjes për Faktorin e Efikasitetit i cili caktohet gjatë procesit të Shqyrtimit Periodik dhe për Inflacionin Vjetor</w:t>
      </w:r>
      <w:r w:rsidR="00CD2CB9">
        <w:rPr>
          <w:lang w:val="sq-AL"/>
        </w:rPr>
        <w:t xml:space="preserve"> bazuar në </w:t>
      </w:r>
      <w:r w:rsidRPr="0050005A">
        <w:rPr>
          <w:lang w:val="sq-AL"/>
        </w:rPr>
        <w:t xml:space="preserve">Indekset e Harmonizuara të Çmimeve të Konsumit (HICP) </w:t>
      </w:r>
      <w:r w:rsidR="00CD2CB9">
        <w:rPr>
          <w:lang w:val="sq-AL"/>
        </w:rPr>
        <w:t xml:space="preserve">të publikuara </w:t>
      </w:r>
      <w:r w:rsidRPr="0050005A">
        <w:rPr>
          <w:lang w:val="sq-AL"/>
        </w:rPr>
        <w:t xml:space="preserve">për </w:t>
      </w:r>
      <w:r w:rsidR="00036514" w:rsidRPr="0050005A">
        <w:rPr>
          <w:lang w:val="sq-AL"/>
        </w:rPr>
        <w:t>vendet e Eurozon</w:t>
      </w:r>
      <w:r w:rsidR="001A59E2" w:rsidRPr="0050005A">
        <w:rPr>
          <w:lang w:val="sq-AL"/>
        </w:rPr>
        <w:t>ë</w:t>
      </w:r>
      <w:r w:rsidR="00036514" w:rsidRPr="0050005A">
        <w:rPr>
          <w:lang w:val="sq-AL"/>
        </w:rPr>
        <w:t>s</w:t>
      </w:r>
      <w:r w:rsidRPr="0050005A">
        <w:rPr>
          <w:lang w:val="sq-AL"/>
        </w:rPr>
        <w:t xml:space="preserve">; </w:t>
      </w:r>
    </w:p>
    <w:p w14:paraId="77645C42" w14:textId="77777777" w:rsidR="00417A40" w:rsidRPr="0050005A" w:rsidRDefault="00417A40" w:rsidP="00417A40">
      <w:pPr>
        <w:pStyle w:val="ListParagraph"/>
        <w:numPr>
          <w:ilvl w:val="0"/>
          <w:numId w:val="4"/>
        </w:numPr>
        <w:contextualSpacing w:val="0"/>
        <w:rPr>
          <w:lang w:val="sq-AL"/>
        </w:rPr>
      </w:pPr>
      <w:r w:rsidRPr="0050005A">
        <w:rPr>
          <w:lang w:val="sq-AL"/>
        </w:rPr>
        <w:t xml:space="preserve">Caktojë Kostot e Lejuara të Humbjeve (LSSCt) për OSSH, dhe t’i azhurnojë këto në mënyrë që të përfshijnë ndryshimin në mes të kostove të lejuara dhe të realizuara të humbjeve për Periudhën paraprake Rregullative, të cilat mund të kenë </w:t>
      </w:r>
      <w:r w:rsidR="00036514" w:rsidRPr="0050005A">
        <w:rPr>
          <w:lang w:val="sq-AL"/>
        </w:rPr>
        <w:lastRenderedPageBreak/>
        <w:t>ndodhur</w:t>
      </w:r>
      <w:r w:rsidRPr="0050005A">
        <w:rPr>
          <w:lang w:val="sq-AL"/>
        </w:rPr>
        <w:t xml:space="preserve"> si rezultat i ndryshimeve në kostot e blerjes së energjisë me shumicë apo i ndryshimeve në rrjedhat e energjisë elektrike në sistemin e shpërndarjes;</w:t>
      </w:r>
    </w:p>
    <w:p w14:paraId="60344DEE" w14:textId="77777777" w:rsidR="00036514" w:rsidRPr="0050005A" w:rsidRDefault="00417A40" w:rsidP="00036514">
      <w:pPr>
        <w:pStyle w:val="ListParagraph"/>
        <w:numPr>
          <w:ilvl w:val="0"/>
          <w:numId w:val="4"/>
        </w:numPr>
        <w:contextualSpacing w:val="0"/>
        <w:rPr>
          <w:lang w:val="sq-AL"/>
        </w:rPr>
      </w:pPr>
      <w:r w:rsidRPr="0050005A">
        <w:rPr>
          <w:lang w:val="sq-AL"/>
        </w:rPr>
        <w:t>Azhurnojë MAR</w:t>
      </w:r>
      <w:r w:rsidR="00036514" w:rsidRPr="0050005A">
        <w:rPr>
          <w:lang w:val="sq-AL"/>
        </w:rPr>
        <w:t>-in</w:t>
      </w:r>
      <w:r w:rsidRPr="0050005A">
        <w:rPr>
          <w:lang w:val="sq-AL"/>
        </w:rPr>
        <w:t xml:space="preserve"> e OSSH</w:t>
      </w:r>
      <w:r w:rsidR="00036514" w:rsidRPr="0050005A">
        <w:rPr>
          <w:lang w:val="sq-AL"/>
        </w:rPr>
        <w:t>-s</w:t>
      </w:r>
      <w:r w:rsidR="001A59E2" w:rsidRPr="0050005A">
        <w:rPr>
          <w:lang w:val="sq-AL"/>
        </w:rPr>
        <w:t>ë</w:t>
      </w:r>
      <w:r w:rsidRPr="0050005A">
        <w:rPr>
          <w:lang w:val="sq-AL"/>
        </w:rPr>
        <w:t xml:space="preserve"> në mënyrë që të reflektojë ndryshimin në mes të të Hyrave të Lejuara dhe të Realizuara në Vitin paraprak Relevant (t‐1)</w:t>
      </w:r>
      <w:r w:rsidR="00036514" w:rsidRPr="0050005A">
        <w:rPr>
          <w:lang w:val="sq-AL"/>
        </w:rPr>
        <w:t>, duke p</w:t>
      </w:r>
      <w:r w:rsidR="001A59E2" w:rsidRPr="0050005A">
        <w:rPr>
          <w:lang w:val="sq-AL"/>
        </w:rPr>
        <w:t>ë</w:t>
      </w:r>
      <w:r w:rsidR="00036514" w:rsidRPr="0050005A">
        <w:rPr>
          <w:lang w:val="sq-AL"/>
        </w:rPr>
        <w:t>rfshir</w:t>
      </w:r>
      <w:r w:rsidR="001A59E2" w:rsidRPr="0050005A">
        <w:rPr>
          <w:lang w:val="sq-AL"/>
        </w:rPr>
        <w:t>ë</w:t>
      </w:r>
      <w:r w:rsidR="00036514" w:rsidRPr="0050005A">
        <w:rPr>
          <w:lang w:val="sq-AL"/>
        </w:rPr>
        <w:t xml:space="preserve"> edhe t</w:t>
      </w:r>
      <w:r w:rsidR="001A59E2" w:rsidRPr="0050005A">
        <w:rPr>
          <w:lang w:val="sq-AL"/>
        </w:rPr>
        <w:t>ë</w:t>
      </w:r>
      <w:r w:rsidR="00036514" w:rsidRPr="0050005A">
        <w:rPr>
          <w:lang w:val="sq-AL"/>
        </w:rPr>
        <w:t xml:space="preserve"> hyrat e p</w:t>
      </w:r>
      <w:r w:rsidR="001A59E2" w:rsidRPr="0050005A">
        <w:rPr>
          <w:lang w:val="sq-AL"/>
        </w:rPr>
        <w:t>ë</w:t>
      </w:r>
      <w:r w:rsidR="00036514" w:rsidRPr="0050005A">
        <w:rPr>
          <w:lang w:val="sq-AL"/>
        </w:rPr>
        <w:t>rjashtuara</w:t>
      </w:r>
      <w:r w:rsidRPr="0050005A">
        <w:rPr>
          <w:lang w:val="sq-AL"/>
        </w:rPr>
        <w:t xml:space="preserve">; </w:t>
      </w:r>
    </w:p>
    <w:p w14:paraId="519E8A56" w14:textId="77777777" w:rsidR="00417A40" w:rsidRPr="0050005A" w:rsidRDefault="00417A40" w:rsidP="00417A40">
      <w:pPr>
        <w:pStyle w:val="ListParagraph"/>
        <w:numPr>
          <w:ilvl w:val="0"/>
          <w:numId w:val="4"/>
        </w:numPr>
        <w:contextualSpacing w:val="0"/>
        <w:rPr>
          <w:lang w:val="sq-AL"/>
        </w:rPr>
      </w:pPr>
      <w:r w:rsidRPr="0050005A">
        <w:rPr>
          <w:lang w:val="sq-AL"/>
        </w:rPr>
        <w:t>Caktojë MAR</w:t>
      </w:r>
      <w:r w:rsidR="00EA05B8" w:rsidRPr="0050005A">
        <w:rPr>
          <w:lang w:val="sq-AL"/>
        </w:rPr>
        <w:t>-in e</w:t>
      </w:r>
      <w:r w:rsidRPr="0050005A">
        <w:rPr>
          <w:lang w:val="sq-AL"/>
        </w:rPr>
        <w:t xml:space="preserve"> OSSH</w:t>
      </w:r>
      <w:r w:rsidR="00EA05B8" w:rsidRPr="0050005A">
        <w:rPr>
          <w:lang w:val="sq-AL"/>
        </w:rPr>
        <w:t>-s</w:t>
      </w:r>
      <w:r w:rsidR="001A59E2" w:rsidRPr="0050005A">
        <w:rPr>
          <w:lang w:val="sq-AL"/>
        </w:rPr>
        <w:t>ë</w:t>
      </w:r>
      <w:r w:rsidRPr="0050005A">
        <w:rPr>
          <w:lang w:val="sq-AL"/>
        </w:rPr>
        <w:t xml:space="preserve"> për Vitin Relevant t. </w:t>
      </w:r>
    </w:p>
    <w:p w14:paraId="4A2DEE24" w14:textId="77777777" w:rsidR="00417A40" w:rsidRPr="0009487F" w:rsidRDefault="002D307B" w:rsidP="00417A40">
      <w:pPr>
        <w:pStyle w:val="Heading1"/>
        <w:rPr>
          <w:lang w:val="sq-AL"/>
        </w:rPr>
      </w:pPr>
      <w:bookmarkStart w:id="4" w:name="_Toc443060564"/>
      <w:bookmarkStart w:id="5" w:name="_Toc80691541"/>
      <w:r w:rsidRPr="0009487F">
        <w:rPr>
          <w:lang w:val="sq-AL"/>
        </w:rPr>
        <w:t>Bi</w:t>
      </w:r>
      <w:r w:rsidR="00417A40" w:rsidRPr="0009487F">
        <w:rPr>
          <w:lang w:val="sq-AL"/>
        </w:rPr>
        <w:t>lanc</w:t>
      </w:r>
      <w:r w:rsidRPr="0009487F">
        <w:rPr>
          <w:lang w:val="sq-AL"/>
        </w:rPr>
        <w:t>i i</w:t>
      </w:r>
      <w:r w:rsidR="00417A40" w:rsidRPr="0009487F">
        <w:rPr>
          <w:lang w:val="sq-AL"/>
        </w:rPr>
        <w:t xml:space="preserve"> Energjisë</w:t>
      </w:r>
      <w:bookmarkEnd w:id="4"/>
      <w:r w:rsidRPr="0009487F">
        <w:rPr>
          <w:lang w:val="sq-AL"/>
        </w:rPr>
        <w:t xml:space="preserve"> Elektrike</w:t>
      </w:r>
      <w:bookmarkEnd w:id="5"/>
    </w:p>
    <w:p w14:paraId="5F15C04E" w14:textId="65F0A8FC" w:rsidR="00216C61" w:rsidRDefault="0076575E" w:rsidP="006951B0">
      <w:pPr>
        <w:jc w:val="both"/>
        <w:rPr>
          <w:lang w:val="sq-AL"/>
        </w:rPr>
      </w:pPr>
      <w:r w:rsidRPr="0009487F">
        <w:rPr>
          <w:lang w:val="sq-AL"/>
        </w:rPr>
        <w:t>Në këtë shqyrtim tarifor ZRRE ka përdorur bilancin e aprovuar</w:t>
      </w:r>
      <w:r w:rsidR="004C2F15">
        <w:rPr>
          <w:lang w:val="sq-AL"/>
        </w:rPr>
        <w:t xml:space="preserve"> p</w:t>
      </w:r>
      <w:r w:rsidR="00556BA0">
        <w:rPr>
          <w:lang w:val="sq-AL"/>
        </w:rPr>
        <w:t>ër vitin 2021. Megjithatë</w:t>
      </w:r>
      <w:r w:rsidR="004C2F15">
        <w:rPr>
          <w:lang w:val="sq-AL"/>
        </w:rPr>
        <w:t>, trajtimi i kons</w:t>
      </w:r>
      <w:r w:rsidR="00556BA0">
        <w:rPr>
          <w:lang w:val="sq-AL"/>
        </w:rPr>
        <w:t>u</w:t>
      </w:r>
      <w:r w:rsidR="004C2F15">
        <w:rPr>
          <w:lang w:val="sq-AL"/>
        </w:rPr>
        <w:t>mit t</w:t>
      </w:r>
      <w:r w:rsidR="00556BA0">
        <w:rPr>
          <w:lang w:val="sq-AL"/>
        </w:rPr>
        <w:t>ë</w:t>
      </w:r>
      <w:r w:rsidR="004C2F15">
        <w:rPr>
          <w:lang w:val="sq-AL"/>
        </w:rPr>
        <w:t xml:space="preserve"> energjis</w:t>
      </w:r>
      <w:r w:rsidR="00556BA0">
        <w:rPr>
          <w:lang w:val="sq-AL"/>
        </w:rPr>
        <w:t>ë</w:t>
      </w:r>
      <w:r w:rsidR="00FC734A">
        <w:rPr>
          <w:lang w:val="sq-AL"/>
        </w:rPr>
        <w:t xml:space="preserve"> elektrike për</w:t>
      </w:r>
      <w:r w:rsidR="004C2F15">
        <w:rPr>
          <w:lang w:val="sq-AL"/>
        </w:rPr>
        <w:t xml:space="preserve"> konsumator</w:t>
      </w:r>
      <w:r w:rsidR="00556BA0">
        <w:rPr>
          <w:lang w:val="sq-AL"/>
        </w:rPr>
        <w:t>ë</w:t>
      </w:r>
      <w:r w:rsidR="004C2F15">
        <w:rPr>
          <w:lang w:val="sq-AL"/>
        </w:rPr>
        <w:t xml:space="preserve">t e </w:t>
      </w:r>
      <w:r w:rsidRPr="0009487F">
        <w:rPr>
          <w:lang w:val="sq-AL"/>
        </w:rPr>
        <w:t>kyçur në nivelin e tensionit 35kV</w:t>
      </w:r>
      <w:r w:rsidR="004C2F15">
        <w:rPr>
          <w:lang w:val="sq-AL"/>
        </w:rPr>
        <w:t xml:space="preserve"> dhe 10</w:t>
      </w:r>
      <w:r w:rsidR="00556BA0">
        <w:rPr>
          <w:lang w:val="sq-AL"/>
        </w:rPr>
        <w:t>k</w:t>
      </w:r>
      <w:r w:rsidR="004C2F15">
        <w:rPr>
          <w:lang w:val="sq-AL"/>
        </w:rPr>
        <w:t xml:space="preserve">V, </w:t>
      </w:r>
      <w:r w:rsidR="00556BA0">
        <w:rPr>
          <w:lang w:val="sq-AL"/>
        </w:rPr>
        <w:t>ë</w:t>
      </w:r>
      <w:r w:rsidR="004C2F15">
        <w:rPr>
          <w:lang w:val="sq-AL"/>
        </w:rPr>
        <w:t>sht</w:t>
      </w:r>
      <w:r w:rsidR="00556BA0">
        <w:rPr>
          <w:lang w:val="sq-AL"/>
        </w:rPr>
        <w:t>ë</w:t>
      </w:r>
      <w:r w:rsidR="004C2F15">
        <w:rPr>
          <w:lang w:val="sq-AL"/>
        </w:rPr>
        <w:t xml:space="preserve"> b</w:t>
      </w:r>
      <w:r w:rsidR="00556BA0">
        <w:rPr>
          <w:lang w:val="sq-AL"/>
        </w:rPr>
        <w:t>ë</w:t>
      </w:r>
      <w:r w:rsidR="004C2F15">
        <w:rPr>
          <w:lang w:val="sq-AL"/>
        </w:rPr>
        <w:t>r</w:t>
      </w:r>
      <w:r w:rsidR="00556BA0">
        <w:rPr>
          <w:lang w:val="sq-AL"/>
        </w:rPr>
        <w:t>ë</w:t>
      </w:r>
      <w:r w:rsidR="004C2F15">
        <w:rPr>
          <w:lang w:val="sq-AL"/>
        </w:rPr>
        <w:t xml:space="preserve"> n</w:t>
      </w:r>
      <w:r w:rsidR="00556BA0">
        <w:rPr>
          <w:lang w:val="sq-AL"/>
        </w:rPr>
        <w:t>ë</w:t>
      </w:r>
      <w:r w:rsidR="004C2F15">
        <w:rPr>
          <w:lang w:val="sq-AL"/>
        </w:rPr>
        <w:t xml:space="preserve"> pajtim me q</w:t>
      </w:r>
      <w:r w:rsidR="00556BA0">
        <w:rPr>
          <w:lang w:val="sq-AL"/>
        </w:rPr>
        <w:t>ë</w:t>
      </w:r>
      <w:r w:rsidR="004C2F15">
        <w:rPr>
          <w:lang w:val="sq-AL"/>
        </w:rPr>
        <w:t>ndrimin e Bordit t</w:t>
      </w:r>
      <w:r w:rsidR="00556BA0">
        <w:rPr>
          <w:lang w:val="sq-AL"/>
        </w:rPr>
        <w:t>ë</w:t>
      </w:r>
      <w:r w:rsidR="004C2F15">
        <w:rPr>
          <w:lang w:val="sq-AL"/>
        </w:rPr>
        <w:t xml:space="preserve"> ZRRE-s</w:t>
      </w:r>
      <w:r w:rsidR="00556BA0">
        <w:rPr>
          <w:lang w:val="sq-AL"/>
        </w:rPr>
        <w:t>ë</w:t>
      </w:r>
      <w:r w:rsidR="004C2F15">
        <w:rPr>
          <w:lang w:val="sq-AL"/>
        </w:rPr>
        <w:t xml:space="preserve"> p</w:t>
      </w:r>
      <w:r w:rsidR="00556BA0">
        <w:rPr>
          <w:lang w:val="sq-AL"/>
        </w:rPr>
        <w:t>ë</w:t>
      </w:r>
      <w:r w:rsidR="004C2F15">
        <w:rPr>
          <w:lang w:val="sq-AL"/>
        </w:rPr>
        <w:t>r vazhdim t</w:t>
      </w:r>
      <w:r w:rsidR="00556BA0">
        <w:rPr>
          <w:lang w:val="sq-AL"/>
        </w:rPr>
        <w:t>ë</w:t>
      </w:r>
      <w:r w:rsidR="004C2F15">
        <w:rPr>
          <w:lang w:val="sq-AL"/>
        </w:rPr>
        <w:t xml:space="preserve"> furnizmit t</w:t>
      </w:r>
      <w:r w:rsidR="00556BA0">
        <w:rPr>
          <w:lang w:val="sq-AL"/>
        </w:rPr>
        <w:t>ë</w:t>
      </w:r>
      <w:r w:rsidR="004C2F15">
        <w:rPr>
          <w:lang w:val="sq-AL"/>
        </w:rPr>
        <w:t xml:space="preserve"> k</w:t>
      </w:r>
      <w:r w:rsidR="00556BA0">
        <w:rPr>
          <w:lang w:val="sq-AL"/>
        </w:rPr>
        <w:t>ëtyre konsumat</w:t>
      </w:r>
      <w:r w:rsidR="004C2F15">
        <w:rPr>
          <w:lang w:val="sq-AL"/>
        </w:rPr>
        <w:t>o</w:t>
      </w:r>
      <w:r w:rsidR="00556BA0">
        <w:rPr>
          <w:lang w:val="sq-AL"/>
        </w:rPr>
        <w:t>rë</w:t>
      </w:r>
      <w:r w:rsidR="004C2F15">
        <w:rPr>
          <w:lang w:val="sq-AL"/>
        </w:rPr>
        <w:t>ve nga FSHU, me tarifa t</w:t>
      </w:r>
      <w:r w:rsidR="00556BA0">
        <w:rPr>
          <w:lang w:val="sq-AL"/>
        </w:rPr>
        <w:t>ë</w:t>
      </w:r>
      <w:r w:rsidR="004C2F15">
        <w:rPr>
          <w:lang w:val="sq-AL"/>
        </w:rPr>
        <w:t xml:space="preserve"> rregulluara</w:t>
      </w:r>
      <w:r w:rsidRPr="0009487F">
        <w:rPr>
          <w:lang w:val="sq-AL"/>
        </w:rPr>
        <w:t>.</w:t>
      </w:r>
      <w:r w:rsidR="00BA4680" w:rsidRPr="0009487F">
        <w:rPr>
          <w:lang w:val="sq-AL"/>
        </w:rPr>
        <w:t xml:space="preserve"> </w:t>
      </w:r>
      <w:r w:rsidR="004C2F15">
        <w:rPr>
          <w:lang w:val="sq-AL"/>
        </w:rPr>
        <w:t>Duke qen</w:t>
      </w:r>
      <w:r w:rsidR="00556BA0">
        <w:rPr>
          <w:lang w:val="sq-AL"/>
        </w:rPr>
        <w:t>ë</w:t>
      </w:r>
      <w:r w:rsidR="004C2F15">
        <w:rPr>
          <w:lang w:val="sq-AL"/>
        </w:rPr>
        <w:t xml:space="preserve"> se KEDS ka a</w:t>
      </w:r>
      <w:r w:rsidR="00556BA0">
        <w:rPr>
          <w:lang w:val="sq-AL"/>
        </w:rPr>
        <w:t>p</w:t>
      </w:r>
      <w:r w:rsidR="004C2F15">
        <w:rPr>
          <w:lang w:val="sq-AL"/>
        </w:rPr>
        <w:t>likuar p</w:t>
      </w:r>
      <w:r w:rsidR="00556BA0">
        <w:rPr>
          <w:lang w:val="sq-AL"/>
        </w:rPr>
        <w:t>ë</w:t>
      </w:r>
      <w:r w:rsidR="004C2F15">
        <w:rPr>
          <w:lang w:val="sq-AL"/>
        </w:rPr>
        <w:t>r MAR-in e vitit 2021, duke marr</w:t>
      </w:r>
      <w:r w:rsidR="00556BA0">
        <w:rPr>
          <w:lang w:val="sq-AL"/>
        </w:rPr>
        <w:t>ë</w:t>
      </w:r>
      <w:r w:rsidR="004C2F15">
        <w:rPr>
          <w:lang w:val="sq-AL"/>
        </w:rPr>
        <w:t xml:space="preserve"> p</w:t>
      </w:r>
      <w:r w:rsidR="00556BA0">
        <w:rPr>
          <w:lang w:val="sq-AL"/>
        </w:rPr>
        <w:t>ë</w:t>
      </w:r>
      <w:r w:rsidR="004C2F15">
        <w:rPr>
          <w:lang w:val="sq-AL"/>
        </w:rPr>
        <w:t>r baz</w:t>
      </w:r>
      <w:r w:rsidR="00556BA0">
        <w:rPr>
          <w:lang w:val="sq-AL"/>
        </w:rPr>
        <w:t>ë</w:t>
      </w:r>
      <w:r w:rsidR="004C2F15">
        <w:rPr>
          <w:lang w:val="sq-AL"/>
        </w:rPr>
        <w:t xml:space="preserve"> edhe derregullimin e konsumator</w:t>
      </w:r>
      <w:r w:rsidR="00556BA0">
        <w:rPr>
          <w:lang w:val="sq-AL"/>
        </w:rPr>
        <w:t>ë</w:t>
      </w:r>
      <w:r w:rsidR="004C2F15">
        <w:rPr>
          <w:lang w:val="sq-AL"/>
        </w:rPr>
        <w:t>ve t</w:t>
      </w:r>
      <w:r w:rsidR="00556BA0">
        <w:rPr>
          <w:lang w:val="sq-AL"/>
        </w:rPr>
        <w:t>ë</w:t>
      </w:r>
      <w:r w:rsidR="004C2F15">
        <w:rPr>
          <w:lang w:val="sq-AL"/>
        </w:rPr>
        <w:t xml:space="preserve"> </w:t>
      </w:r>
      <w:r w:rsidR="004C2F15" w:rsidRPr="0009487F">
        <w:rPr>
          <w:lang w:val="sq-AL"/>
        </w:rPr>
        <w:t>kyçur në nivelin e tensionit 35kV</w:t>
      </w:r>
      <w:r w:rsidR="004C2F15">
        <w:rPr>
          <w:lang w:val="sq-AL"/>
        </w:rPr>
        <w:t xml:space="preserve"> dhe 10</w:t>
      </w:r>
      <w:r w:rsidR="00216C61">
        <w:rPr>
          <w:lang w:val="sq-AL"/>
        </w:rPr>
        <w:t>k</w:t>
      </w:r>
      <w:r w:rsidR="004C2F15">
        <w:rPr>
          <w:lang w:val="sq-AL"/>
        </w:rPr>
        <w:t>V</w:t>
      </w:r>
      <w:r w:rsidR="00216C61">
        <w:rPr>
          <w:lang w:val="sq-AL"/>
        </w:rPr>
        <w:t>, do t</w:t>
      </w:r>
      <w:r w:rsidR="00556BA0">
        <w:rPr>
          <w:lang w:val="sq-AL"/>
        </w:rPr>
        <w:t>ë</w:t>
      </w:r>
      <w:r w:rsidR="00216C61">
        <w:rPr>
          <w:lang w:val="sq-AL"/>
        </w:rPr>
        <w:t xml:space="preserve"> ket</w:t>
      </w:r>
      <w:r w:rsidR="00556BA0">
        <w:rPr>
          <w:lang w:val="sq-AL"/>
        </w:rPr>
        <w:t>ë</w:t>
      </w:r>
      <w:r w:rsidR="00216C61">
        <w:rPr>
          <w:lang w:val="sq-AL"/>
        </w:rPr>
        <w:t xml:space="preserve"> dallime n</w:t>
      </w:r>
      <w:r w:rsidR="00556BA0">
        <w:rPr>
          <w:lang w:val="sq-AL"/>
        </w:rPr>
        <w:t>ë</w:t>
      </w:r>
      <w:r w:rsidR="00216C61">
        <w:rPr>
          <w:lang w:val="sq-AL"/>
        </w:rPr>
        <w:t xml:space="preserve"> baz</w:t>
      </w:r>
      <w:r w:rsidR="00556BA0">
        <w:rPr>
          <w:lang w:val="sq-AL"/>
        </w:rPr>
        <w:t>ë</w:t>
      </w:r>
      <w:r w:rsidR="00216C61">
        <w:rPr>
          <w:lang w:val="sq-AL"/>
        </w:rPr>
        <w:t>n e analizave t</w:t>
      </w:r>
      <w:r w:rsidR="00556BA0">
        <w:rPr>
          <w:lang w:val="sq-AL"/>
        </w:rPr>
        <w:t>ë</w:t>
      </w:r>
      <w:r w:rsidR="00216C61">
        <w:rPr>
          <w:lang w:val="sq-AL"/>
        </w:rPr>
        <w:t xml:space="preserve"> p</w:t>
      </w:r>
      <w:r w:rsidR="00556BA0">
        <w:rPr>
          <w:lang w:val="sq-AL"/>
        </w:rPr>
        <w:t>ë</w:t>
      </w:r>
      <w:r w:rsidR="00216C61">
        <w:rPr>
          <w:lang w:val="sq-AL"/>
        </w:rPr>
        <w:t>rdorura nga ZRRE</w:t>
      </w:r>
      <w:r w:rsidR="00CD2CB9">
        <w:rPr>
          <w:lang w:val="sq-AL"/>
        </w:rPr>
        <w:t xml:space="preserve"> dhe aplikacionit te OSSH</w:t>
      </w:r>
      <w:r w:rsidR="00216C61">
        <w:rPr>
          <w:lang w:val="sq-AL"/>
        </w:rPr>
        <w:t>.</w:t>
      </w:r>
    </w:p>
    <w:p w14:paraId="607F5962" w14:textId="77777777" w:rsidR="00417A40" w:rsidRPr="0050005A" w:rsidRDefault="002D307B" w:rsidP="00417A40">
      <w:pPr>
        <w:pStyle w:val="Heading2"/>
        <w:rPr>
          <w:lang w:val="sq-AL"/>
        </w:rPr>
      </w:pPr>
      <w:bookmarkStart w:id="6" w:name="_Toc80691542"/>
      <w:bookmarkStart w:id="7" w:name="_Toc443060565"/>
      <w:r w:rsidRPr="0050005A">
        <w:rPr>
          <w:lang w:val="sq-AL"/>
        </w:rPr>
        <w:lastRenderedPageBreak/>
        <w:t xml:space="preserve">Vlerësimi </w:t>
      </w:r>
      <w:r w:rsidR="00162F92" w:rsidRPr="0050005A">
        <w:rPr>
          <w:lang w:val="sq-AL"/>
        </w:rPr>
        <w:t xml:space="preserve">i </w:t>
      </w:r>
      <w:r w:rsidR="00F65944" w:rsidRPr="0050005A">
        <w:rPr>
          <w:lang w:val="sq-AL"/>
        </w:rPr>
        <w:t>Bilanci</w:t>
      </w:r>
      <w:r w:rsidRPr="0050005A">
        <w:rPr>
          <w:lang w:val="sq-AL"/>
        </w:rPr>
        <w:t xml:space="preserve">t të Energjisë Elektrike të </w:t>
      </w:r>
      <w:r w:rsidR="00A715BF" w:rsidRPr="0050005A">
        <w:rPr>
          <w:lang w:val="sq-AL"/>
        </w:rPr>
        <w:t>R</w:t>
      </w:r>
      <w:r w:rsidRPr="0050005A">
        <w:rPr>
          <w:lang w:val="sq-AL"/>
        </w:rPr>
        <w:t xml:space="preserve">ealizuar dhe të </w:t>
      </w:r>
      <w:r w:rsidR="00A715BF" w:rsidRPr="0050005A">
        <w:rPr>
          <w:lang w:val="sq-AL"/>
        </w:rPr>
        <w:t>P</w:t>
      </w:r>
      <w:r w:rsidRPr="0050005A">
        <w:rPr>
          <w:lang w:val="sq-AL"/>
        </w:rPr>
        <w:t>arashikuar</w:t>
      </w:r>
      <w:bookmarkEnd w:id="6"/>
      <w:r w:rsidRPr="0050005A">
        <w:rPr>
          <w:lang w:val="sq-AL"/>
        </w:rPr>
        <w:t xml:space="preserve"> </w:t>
      </w:r>
      <w:r w:rsidR="00F65944" w:rsidRPr="0050005A">
        <w:rPr>
          <w:lang w:val="sq-AL"/>
        </w:rPr>
        <w:t xml:space="preserve"> </w:t>
      </w:r>
      <w:bookmarkEnd w:id="7"/>
    </w:p>
    <w:p w14:paraId="1094F7C5" w14:textId="77777777" w:rsidR="00723B45" w:rsidRDefault="004F3654" w:rsidP="004F3654">
      <w:pPr>
        <w:jc w:val="both"/>
        <w:rPr>
          <w:lang w:val="sq-AL"/>
        </w:rPr>
      </w:pPr>
      <w:r w:rsidRPr="0050005A">
        <w:rPr>
          <w:lang w:val="sq-AL"/>
        </w:rPr>
        <w:t>Me q</w:t>
      </w:r>
      <w:r w:rsidR="001A59E2" w:rsidRPr="0050005A">
        <w:rPr>
          <w:lang w:val="sq-AL"/>
        </w:rPr>
        <w:t>ë</w:t>
      </w:r>
      <w:r w:rsidRPr="0050005A">
        <w:rPr>
          <w:lang w:val="sq-AL"/>
        </w:rPr>
        <w:t>llim t</w:t>
      </w:r>
      <w:r w:rsidR="001A59E2" w:rsidRPr="0050005A">
        <w:rPr>
          <w:lang w:val="sq-AL"/>
        </w:rPr>
        <w:t>ë</w:t>
      </w:r>
      <w:r w:rsidRPr="0050005A">
        <w:rPr>
          <w:lang w:val="sq-AL"/>
        </w:rPr>
        <w:t xml:space="preserve"> vler</w:t>
      </w:r>
      <w:r w:rsidR="001A59E2" w:rsidRPr="0050005A">
        <w:rPr>
          <w:lang w:val="sq-AL"/>
        </w:rPr>
        <w:t>ë</w:t>
      </w:r>
      <w:r w:rsidRPr="0050005A">
        <w:rPr>
          <w:lang w:val="sq-AL"/>
        </w:rPr>
        <w:t>simit t</w:t>
      </w:r>
      <w:r w:rsidR="001A59E2" w:rsidRPr="0050005A">
        <w:rPr>
          <w:lang w:val="sq-AL"/>
        </w:rPr>
        <w:t>ë</w:t>
      </w:r>
      <w:r w:rsidRPr="0050005A">
        <w:rPr>
          <w:lang w:val="sq-AL"/>
        </w:rPr>
        <w:t xml:space="preserve"> kostove q</w:t>
      </w:r>
      <w:r w:rsidR="001A59E2" w:rsidRPr="0050005A">
        <w:rPr>
          <w:lang w:val="sq-AL"/>
        </w:rPr>
        <w:t>ë</w:t>
      </w:r>
      <w:r w:rsidRPr="0050005A">
        <w:rPr>
          <w:lang w:val="sq-AL"/>
        </w:rPr>
        <w:t xml:space="preserve"> kan</w:t>
      </w:r>
      <w:r w:rsidR="001A59E2" w:rsidRPr="0050005A">
        <w:rPr>
          <w:lang w:val="sq-AL"/>
        </w:rPr>
        <w:t>ë</w:t>
      </w:r>
      <w:r w:rsidRPr="0050005A">
        <w:rPr>
          <w:lang w:val="sq-AL"/>
        </w:rPr>
        <w:t xml:space="preserve"> t</w:t>
      </w:r>
      <w:r w:rsidR="001A59E2" w:rsidRPr="0050005A">
        <w:rPr>
          <w:lang w:val="sq-AL"/>
        </w:rPr>
        <w:t>ë</w:t>
      </w:r>
      <w:r w:rsidRPr="0050005A">
        <w:rPr>
          <w:lang w:val="sq-AL"/>
        </w:rPr>
        <w:t xml:space="preserve"> b</w:t>
      </w:r>
      <w:r w:rsidR="001A59E2" w:rsidRPr="0050005A">
        <w:rPr>
          <w:lang w:val="sq-AL"/>
        </w:rPr>
        <w:t>ë</w:t>
      </w:r>
      <w:r w:rsidRPr="0050005A">
        <w:rPr>
          <w:lang w:val="sq-AL"/>
        </w:rPr>
        <w:t>jn</w:t>
      </w:r>
      <w:r w:rsidR="001A59E2" w:rsidRPr="0050005A">
        <w:rPr>
          <w:lang w:val="sq-AL"/>
        </w:rPr>
        <w:t>ë</w:t>
      </w:r>
      <w:r w:rsidRPr="0050005A">
        <w:rPr>
          <w:lang w:val="sq-AL"/>
        </w:rPr>
        <w:t xml:space="preserve"> me blerjen e humbj</w:t>
      </w:r>
      <w:r w:rsidR="00162F92" w:rsidRPr="0050005A">
        <w:rPr>
          <w:lang w:val="sq-AL"/>
        </w:rPr>
        <w:t>e</w:t>
      </w:r>
      <w:r w:rsidRPr="0050005A">
        <w:rPr>
          <w:lang w:val="sq-AL"/>
        </w:rPr>
        <w:t>ve n</w:t>
      </w:r>
      <w:r w:rsidR="001A59E2" w:rsidRPr="0050005A">
        <w:rPr>
          <w:lang w:val="sq-AL"/>
        </w:rPr>
        <w:t>ë</w:t>
      </w:r>
      <w:r w:rsidRPr="0050005A">
        <w:rPr>
          <w:lang w:val="sq-AL"/>
        </w:rPr>
        <w:t xml:space="preserve"> nivel t</w:t>
      </w:r>
      <w:r w:rsidR="001A59E2" w:rsidRPr="0050005A">
        <w:rPr>
          <w:lang w:val="sq-AL"/>
        </w:rPr>
        <w:t>ë</w:t>
      </w:r>
      <w:r w:rsidRPr="0050005A">
        <w:rPr>
          <w:lang w:val="sq-AL"/>
        </w:rPr>
        <w:t xml:space="preserve"> OSSh-s</w:t>
      </w:r>
      <w:r w:rsidR="001A59E2" w:rsidRPr="0050005A">
        <w:rPr>
          <w:lang w:val="sq-AL"/>
        </w:rPr>
        <w:t>ë</w:t>
      </w:r>
      <w:r w:rsidRPr="0050005A">
        <w:rPr>
          <w:lang w:val="sq-AL"/>
        </w:rPr>
        <w:t>, ZRRE ka analizuar t</w:t>
      </w:r>
      <w:r w:rsidR="001A59E2" w:rsidRPr="0050005A">
        <w:rPr>
          <w:lang w:val="sq-AL"/>
        </w:rPr>
        <w:t>ë</w:t>
      </w:r>
      <w:r w:rsidRPr="0050005A">
        <w:rPr>
          <w:lang w:val="sq-AL"/>
        </w:rPr>
        <w:t xml:space="preserve"> dh</w:t>
      </w:r>
      <w:r w:rsidR="001A59E2" w:rsidRPr="0050005A">
        <w:rPr>
          <w:lang w:val="sq-AL"/>
        </w:rPr>
        <w:t>ë</w:t>
      </w:r>
      <w:r w:rsidRPr="0050005A">
        <w:rPr>
          <w:lang w:val="sq-AL"/>
        </w:rPr>
        <w:t>nat e raportuara nga KEDS p</w:t>
      </w:r>
      <w:r w:rsidR="001A59E2" w:rsidRPr="0050005A">
        <w:rPr>
          <w:lang w:val="sq-AL"/>
        </w:rPr>
        <w:t>ë</w:t>
      </w:r>
      <w:r w:rsidR="00216C61">
        <w:rPr>
          <w:lang w:val="sq-AL"/>
        </w:rPr>
        <w:t>r vitin 2020</w:t>
      </w:r>
      <w:r w:rsidRPr="0050005A">
        <w:rPr>
          <w:lang w:val="sq-AL"/>
        </w:rPr>
        <w:t xml:space="preserve"> dhe t</w:t>
      </w:r>
      <w:r w:rsidR="001A59E2" w:rsidRPr="0050005A">
        <w:rPr>
          <w:lang w:val="sq-AL"/>
        </w:rPr>
        <w:t>ë</w:t>
      </w:r>
      <w:r w:rsidRPr="0050005A">
        <w:rPr>
          <w:lang w:val="sq-AL"/>
        </w:rPr>
        <w:t xml:space="preserve"> dh</w:t>
      </w:r>
      <w:r w:rsidR="001A59E2" w:rsidRPr="0050005A">
        <w:rPr>
          <w:lang w:val="sq-AL"/>
        </w:rPr>
        <w:t>ë</w:t>
      </w:r>
      <w:r w:rsidRPr="0050005A">
        <w:rPr>
          <w:lang w:val="sq-AL"/>
        </w:rPr>
        <w:t>nat p</w:t>
      </w:r>
      <w:r w:rsidR="001A59E2" w:rsidRPr="0050005A">
        <w:rPr>
          <w:lang w:val="sq-AL"/>
        </w:rPr>
        <w:t>ë</w:t>
      </w:r>
      <w:r w:rsidRPr="0050005A">
        <w:rPr>
          <w:lang w:val="sq-AL"/>
        </w:rPr>
        <w:t>r parashikimin e bilancit p</w:t>
      </w:r>
      <w:r w:rsidR="001A59E2" w:rsidRPr="0050005A">
        <w:rPr>
          <w:lang w:val="sq-AL"/>
        </w:rPr>
        <w:t>ë</w:t>
      </w:r>
      <w:r w:rsidR="00791F17" w:rsidRPr="0050005A">
        <w:rPr>
          <w:lang w:val="sq-AL"/>
        </w:rPr>
        <w:t>r vitin 20</w:t>
      </w:r>
      <w:r w:rsidR="00216C61">
        <w:rPr>
          <w:lang w:val="sq-AL"/>
        </w:rPr>
        <w:t>21</w:t>
      </w:r>
      <w:r w:rsidRPr="0050005A">
        <w:rPr>
          <w:lang w:val="sq-AL"/>
        </w:rPr>
        <w:t>.</w:t>
      </w:r>
      <w:r w:rsidR="0014670E" w:rsidRPr="0050005A">
        <w:rPr>
          <w:lang w:val="sq-AL"/>
        </w:rPr>
        <w:t xml:space="preserve"> </w:t>
      </w:r>
      <w:r w:rsidR="00723B45" w:rsidRPr="0050005A">
        <w:rPr>
          <w:lang w:val="sq-AL"/>
        </w:rPr>
        <w:t>Analiza e bilancit t</w:t>
      </w:r>
      <w:r w:rsidR="001A59E2" w:rsidRPr="0050005A">
        <w:rPr>
          <w:lang w:val="sq-AL"/>
        </w:rPr>
        <w:t>ë</w:t>
      </w:r>
      <w:r w:rsidR="00723B45" w:rsidRPr="0050005A">
        <w:rPr>
          <w:lang w:val="sq-AL"/>
        </w:rPr>
        <w:t xml:space="preserve"> realizuar p</w:t>
      </w:r>
      <w:r w:rsidR="001A59E2" w:rsidRPr="0050005A">
        <w:rPr>
          <w:lang w:val="sq-AL"/>
        </w:rPr>
        <w:t>ë</w:t>
      </w:r>
      <w:r w:rsidR="00723B45" w:rsidRPr="0050005A">
        <w:rPr>
          <w:lang w:val="sq-AL"/>
        </w:rPr>
        <w:t>r vitin 20</w:t>
      </w:r>
      <w:r w:rsidR="00216C61">
        <w:rPr>
          <w:lang w:val="sq-AL"/>
        </w:rPr>
        <w:t>20</w:t>
      </w:r>
      <w:r w:rsidR="00723B45" w:rsidRPr="0050005A">
        <w:rPr>
          <w:lang w:val="sq-AL"/>
        </w:rPr>
        <w:t xml:space="preserve"> dhe atij t</w:t>
      </w:r>
      <w:r w:rsidR="001A59E2" w:rsidRPr="0050005A">
        <w:rPr>
          <w:lang w:val="sq-AL"/>
        </w:rPr>
        <w:t>ë</w:t>
      </w:r>
      <w:r w:rsidR="00723B45" w:rsidRPr="0050005A">
        <w:rPr>
          <w:lang w:val="sq-AL"/>
        </w:rPr>
        <w:t xml:space="preserve"> </w:t>
      </w:r>
      <w:r w:rsidR="001929A5" w:rsidRPr="0050005A">
        <w:rPr>
          <w:lang w:val="sq-AL"/>
        </w:rPr>
        <w:t>parashikuar</w:t>
      </w:r>
      <w:r w:rsidR="00723B45" w:rsidRPr="0050005A">
        <w:rPr>
          <w:lang w:val="sq-AL"/>
        </w:rPr>
        <w:t xml:space="preserve"> p</w:t>
      </w:r>
      <w:r w:rsidR="001A59E2" w:rsidRPr="0050005A">
        <w:rPr>
          <w:lang w:val="sq-AL"/>
        </w:rPr>
        <w:t>ë</w:t>
      </w:r>
      <w:r w:rsidR="00723B45" w:rsidRPr="0050005A">
        <w:rPr>
          <w:lang w:val="sq-AL"/>
        </w:rPr>
        <w:t>r vitin 20</w:t>
      </w:r>
      <w:r w:rsidR="00216C61">
        <w:rPr>
          <w:lang w:val="sq-AL"/>
        </w:rPr>
        <w:t>21</w:t>
      </w:r>
      <w:r w:rsidR="00791F17" w:rsidRPr="0050005A">
        <w:rPr>
          <w:lang w:val="sq-AL"/>
        </w:rPr>
        <w:t xml:space="preserve"> </w:t>
      </w:r>
      <w:r w:rsidR="001A59E2" w:rsidRPr="0050005A">
        <w:rPr>
          <w:lang w:val="sq-AL"/>
        </w:rPr>
        <w:t>ë</w:t>
      </w:r>
      <w:r w:rsidR="00723B45" w:rsidRPr="0050005A">
        <w:rPr>
          <w:lang w:val="sq-AL"/>
        </w:rPr>
        <w:t>sht</w:t>
      </w:r>
      <w:r w:rsidR="001A59E2" w:rsidRPr="0050005A">
        <w:rPr>
          <w:lang w:val="sq-AL"/>
        </w:rPr>
        <w:t>ë</w:t>
      </w:r>
      <w:r w:rsidR="00723B45" w:rsidRPr="0050005A">
        <w:rPr>
          <w:lang w:val="sq-AL"/>
        </w:rPr>
        <w:t xml:space="preserve"> paraqitur n</w:t>
      </w:r>
      <w:r w:rsidR="001A59E2" w:rsidRPr="0050005A">
        <w:rPr>
          <w:lang w:val="sq-AL"/>
        </w:rPr>
        <w:t>ë</w:t>
      </w:r>
      <w:r w:rsidR="00723B45" w:rsidRPr="0050005A">
        <w:rPr>
          <w:lang w:val="sq-AL"/>
        </w:rPr>
        <w:t xml:space="preserve"> tabel</w:t>
      </w:r>
      <w:r w:rsidR="001A59E2" w:rsidRPr="0050005A">
        <w:rPr>
          <w:lang w:val="sq-AL"/>
        </w:rPr>
        <w:t>ë</w:t>
      </w:r>
      <w:r w:rsidR="00723B45" w:rsidRPr="0050005A">
        <w:rPr>
          <w:lang w:val="sq-AL"/>
        </w:rPr>
        <w:t>n n</w:t>
      </w:r>
      <w:r w:rsidR="001A59E2" w:rsidRPr="0050005A">
        <w:rPr>
          <w:lang w:val="sq-AL"/>
        </w:rPr>
        <w:t>ë</w:t>
      </w:r>
      <w:r w:rsidR="00723B45" w:rsidRPr="0050005A">
        <w:rPr>
          <w:lang w:val="sq-AL"/>
        </w:rPr>
        <w:t xml:space="preserve"> vijim:</w:t>
      </w:r>
    </w:p>
    <w:p w14:paraId="3DF1FB03" w14:textId="77777777" w:rsidR="00E24FE1" w:rsidRPr="0050005A" w:rsidRDefault="00E24FE1" w:rsidP="00E24FE1">
      <w:pPr>
        <w:pStyle w:val="Caption"/>
        <w:spacing w:after="0"/>
        <w:ind w:left="720" w:firstLine="720"/>
        <w:rPr>
          <w:lang w:val="sq-AL"/>
        </w:rPr>
      </w:pPr>
      <w:r w:rsidRPr="0050005A">
        <w:rPr>
          <w:lang w:val="sq-AL"/>
        </w:rPr>
        <w:t xml:space="preserve">Tabela  </w:t>
      </w:r>
      <w:r>
        <w:rPr>
          <w:lang w:val="sq-AL"/>
        </w:rPr>
        <w:t>1</w:t>
      </w:r>
      <w:r w:rsidRPr="0050005A">
        <w:rPr>
          <w:lang w:val="sq-AL"/>
        </w:rPr>
        <w:t xml:space="preserve">: </w:t>
      </w:r>
      <w:r>
        <w:rPr>
          <w:lang w:val="sq-AL"/>
        </w:rPr>
        <w:t>Bilanci i energjisë elektrike</w:t>
      </w:r>
    </w:p>
    <w:tbl>
      <w:tblPr>
        <w:tblW w:w="0" w:type="auto"/>
        <w:jc w:val="right"/>
        <w:tblLook w:val="04A0" w:firstRow="1" w:lastRow="0" w:firstColumn="1" w:lastColumn="0" w:noHBand="0" w:noVBand="1"/>
      </w:tblPr>
      <w:tblGrid>
        <w:gridCol w:w="3920"/>
        <w:gridCol w:w="728"/>
        <w:gridCol w:w="1380"/>
        <w:gridCol w:w="1283"/>
        <w:gridCol w:w="1283"/>
      </w:tblGrid>
      <w:tr w:rsidR="00723B45" w:rsidRPr="00433712" w14:paraId="17DD2341" w14:textId="77777777" w:rsidTr="00A715BF">
        <w:trPr>
          <w:gridAfter w:val="1"/>
          <w:wAfter w:w="1283" w:type="dxa"/>
          <w:trHeight w:val="570"/>
          <w:jc w:val="right"/>
        </w:trPr>
        <w:tc>
          <w:tcPr>
            <w:tcW w:w="0" w:type="auto"/>
            <w:tcBorders>
              <w:top w:val="nil"/>
              <w:left w:val="nil"/>
              <w:bottom w:val="nil"/>
              <w:right w:val="nil"/>
            </w:tcBorders>
            <w:shd w:val="clear" w:color="000000" w:fill="002060"/>
            <w:vAlign w:val="center"/>
            <w:hideMark/>
          </w:tcPr>
          <w:p w14:paraId="07376FA5" w14:textId="77777777" w:rsidR="00723B45"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 xml:space="preserve">Bilanci i </w:t>
            </w:r>
            <w:r w:rsidR="001929A5" w:rsidRPr="00433712">
              <w:rPr>
                <w:rFonts w:eastAsia="Times New Roman" w:cs="Calibri"/>
                <w:b/>
                <w:color w:val="FFFFFF"/>
                <w:sz w:val="20"/>
                <w:szCs w:val="20"/>
                <w:lang w:val="sq-AL" w:eastAsia="en-GB"/>
              </w:rPr>
              <w:t>energjisë</w:t>
            </w:r>
            <w:r w:rsidRPr="00433712">
              <w:rPr>
                <w:rFonts w:eastAsia="Times New Roman" w:cs="Calibri"/>
                <w:b/>
                <w:color w:val="FFFFFF"/>
                <w:sz w:val="20"/>
                <w:szCs w:val="20"/>
                <w:lang w:val="sq-AL" w:eastAsia="en-GB"/>
              </w:rPr>
              <w:t xml:space="preserve"> elektrike ne OSSH</w:t>
            </w:r>
          </w:p>
        </w:tc>
        <w:tc>
          <w:tcPr>
            <w:tcW w:w="0" w:type="auto"/>
            <w:tcBorders>
              <w:top w:val="nil"/>
              <w:left w:val="nil"/>
              <w:bottom w:val="nil"/>
              <w:right w:val="nil"/>
            </w:tcBorders>
            <w:shd w:val="clear" w:color="000000" w:fill="002060"/>
            <w:vAlign w:val="center"/>
            <w:hideMark/>
          </w:tcPr>
          <w:p w14:paraId="74C2C057" w14:textId="77777777" w:rsidR="00723B45"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Njësia</w:t>
            </w:r>
          </w:p>
        </w:tc>
        <w:tc>
          <w:tcPr>
            <w:tcW w:w="1380" w:type="dxa"/>
            <w:tcBorders>
              <w:top w:val="nil"/>
              <w:left w:val="nil"/>
              <w:bottom w:val="nil"/>
              <w:right w:val="nil"/>
            </w:tcBorders>
            <w:shd w:val="clear" w:color="000000" w:fill="002060"/>
            <w:vAlign w:val="center"/>
            <w:hideMark/>
          </w:tcPr>
          <w:p w14:paraId="6E59BAAB" w14:textId="77777777" w:rsidR="00791F17"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Realizimi</w:t>
            </w:r>
          </w:p>
          <w:p w14:paraId="035B3613" w14:textId="77777777" w:rsidR="00723B45" w:rsidRPr="00433712" w:rsidRDefault="00FC7837" w:rsidP="00433712">
            <w:pPr>
              <w:spacing w:after="0" w:line="240" w:lineRule="auto"/>
              <w:jc w:val="center"/>
              <w:rPr>
                <w:rFonts w:eastAsia="Times New Roman" w:cs="Calibri"/>
                <w:b/>
                <w:color w:val="FFFFFF"/>
                <w:sz w:val="20"/>
                <w:szCs w:val="20"/>
                <w:lang w:val="sq-AL" w:eastAsia="en-GB"/>
              </w:rPr>
            </w:pPr>
            <w:r>
              <w:rPr>
                <w:rFonts w:eastAsia="Times New Roman" w:cs="Calibri"/>
                <w:b/>
                <w:color w:val="FFFFFF"/>
                <w:sz w:val="20"/>
                <w:szCs w:val="20"/>
                <w:lang w:val="sq-AL" w:eastAsia="en-GB"/>
              </w:rPr>
              <w:t>2020</w:t>
            </w:r>
          </w:p>
        </w:tc>
        <w:tc>
          <w:tcPr>
            <w:tcW w:w="1283" w:type="dxa"/>
            <w:tcBorders>
              <w:top w:val="nil"/>
              <w:left w:val="nil"/>
              <w:bottom w:val="nil"/>
              <w:right w:val="nil"/>
            </w:tcBorders>
            <w:shd w:val="clear" w:color="000000" w:fill="002060"/>
            <w:vAlign w:val="center"/>
            <w:hideMark/>
          </w:tcPr>
          <w:p w14:paraId="5D36256E" w14:textId="77777777" w:rsidR="00723B45"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Propozimi</w:t>
            </w:r>
          </w:p>
          <w:p w14:paraId="0146E573" w14:textId="77777777" w:rsidR="00791F17" w:rsidRPr="00433712" w:rsidRDefault="00791F17" w:rsidP="00433712">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20</w:t>
            </w:r>
            <w:r w:rsidR="00FC7837">
              <w:rPr>
                <w:rFonts w:eastAsia="Times New Roman" w:cs="Calibri"/>
                <w:b/>
                <w:color w:val="FFFFFF"/>
                <w:sz w:val="20"/>
                <w:szCs w:val="20"/>
                <w:lang w:val="sq-AL" w:eastAsia="en-GB"/>
              </w:rPr>
              <w:t>21</w:t>
            </w:r>
          </w:p>
        </w:tc>
      </w:tr>
      <w:tr w:rsidR="00723B45" w:rsidRPr="00433712" w14:paraId="502BA8A0"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199E2A1E"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Hyrja ne OSSh</w:t>
            </w:r>
          </w:p>
        </w:tc>
        <w:tc>
          <w:tcPr>
            <w:tcW w:w="0" w:type="auto"/>
            <w:tcBorders>
              <w:top w:val="nil"/>
              <w:left w:val="nil"/>
              <w:bottom w:val="nil"/>
              <w:right w:val="nil"/>
            </w:tcBorders>
            <w:shd w:val="clear" w:color="000000" w:fill="FFFFFF"/>
            <w:noWrap/>
            <w:vAlign w:val="bottom"/>
            <w:hideMark/>
          </w:tcPr>
          <w:p w14:paraId="63C27409"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35EA6921" w14:textId="77777777" w:rsidR="00723B45" w:rsidRPr="00433712" w:rsidRDefault="0031382E"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5,</w:t>
            </w:r>
            <w:r w:rsidR="00FC7837">
              <w:rPr>
                <w:rFonts w:eastAsia="Times New Roman" w:cs="Calibri"/>
                <w:color w:val="000000"/>
                <w:lang w:val="sq-AL" w:eastAsia="en-GB"/>
              </w:rPr>
              <w:t>549</w:t>
            </w:r>
          </w:p>
        </w:tc>
        <w:tc>
          <w:tcPr>
            <w:tcW w:w="1283" w:type="dxa"/>
            <w:tcBorders>
              <w:top w:val="nil"/>
              <w:left w:val="nil"/>
              <w:bottom w:val="nil"/>
              <w:right w:val="nil"/>
            </w:tcBorders>
            <w:shd w:val="clear" w:color="000000" w:fill="FFFFFF"/>
            <w:noWrap/>
            <w:vAlign w:val="bottom"/>
            <w:hideMark/>
          </w:tcPr>
          <w:p w14:paraId="7CCFEFB3" w14:textId="77777777" w:rsidR="00723B45" w:rsidRPr="00433712" w:rsidRDefault="006C37D2" w:rsidP="00FB7B4C">
            <w:pPr>
              <w:spacing w:after="0" w:line="240" w:lineRule="auto"/>
              <w:jc w:val="center"/>
              <w:rPr>
                <w:rFonts w:eastAsia="Times New Roman" w:cs="Calibri"/>
                <w:color w:val="000000"/>
                <w:lang w:val="sq-AL" w:eastAsia="en-GB"/>
              </w:rPr>
            </w:pPr>
            <w:commentRangeStart w:id="8"/>
            <w:r w:rsidRPr="00433712">
              <w:rPr>
                <w:rFonts w:eastAsia="Times New Roman" w:cs="Calibri"/>
                <w:color w:val="000000"/>
                <w:lang w:val="sq-AL" w:eastAsia="en-GB"/>
              </w:rPr>
              <w:t>5,</w:t>
            </w:r>
            <w:r w:rsidR="00FC7837">
              <w:rPr>
                <w:rFonts w:eastAsia="Times New Roman" w:cs="Calibri"/>
                <w:color w:val="000000"/>
                <w:lang w:val="sq-AL" w:eastAsia="en-GB"/>
              </w:rPr>
              <w:t>452</w:t>
            </w:r>
            <w:commentRangeEnd w:id="8"/>
            <w:r w:rsidR="00B775D0">
              <w:rPr>
                <w:rStyle w:val="CommentReference"/>
              </w:rPr>
              <w:commentReference w:id="8"/>
            </w:r>
          </w:p>
        </w:tc>
      </w:tr>
      <w:tr w:rsidR="00723B45" w:rsidRPr="00433712" w14:paraId="2E5E41DF"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35F0F30B" w14:textId="77777777" w:rsidR="00723B45" w:rsidRPr="00433712" w:rsidRDefault="00723B45" w:rsidP="001929A5">
            <w:pPr>
              <w:spacing w:after="0" w:line="240" w:lineRule="auto"/>
              <w:rPr>
                <w:rFonts w:eastAsia="Times New Roman" w:cs="Calibri"/>
                <w:color w:val="000000"/>
                <w:lang w:val="sq-AL" w:eastAsia="en-GB"/>
              </w:rPr>
            </w:pPr>
            <w:r w:rsidRPr="00433712">
              <w:rPr>
                <w:rFonts w:eastAsia="Times New Roman" w:cs="Calibri"/>
                <w:color w:val="000000"/>
                <w:lang w:val="sq-AL" w:eastAsia="en-GB"/>
              </w:rPr>
              <w:t xml:space="preserve">Energjia e </w:t>
            </w:r>
            <w:r w:rsidR="0009487F" w:rsidRPr="00433712">
              <w:rPr>
                <w:rFonts w:eastAsia="Times New Roman" w:cs="Calibri"/>
                <w:color w:val="000000"/>
                <w:lang w:val="sq-AL" w:eastAsia="en-GB"/>
              </w:rPr>
              <w:t>pa faturuar</w:t>
            </w:r>
            <w:r w:rsidRPr="00433712">
              <w:rPr>
                <w:rFonts w:eastAsia="Times New Roman" w:cs="Calibri"/>
                <w:color w:val="000000"/>
                <w:lang w:val="sq-AL" w:eastAsia="en-GB"/>
              </w:rPr>
              <w:t xml:space="preserve"> n</w:t>
            </w:r>
            <w:r w:rsidR="001929A5" w:rsidRPr="00433712">
              <w:rPr>
                <w:rFonts w:eastAsia="Times New Roman" w:cs="Calibri"/>
                <w:color w:val="000000"/>
                <w:lang w:val="sq-AL" w:eastAsia="en-GB"/>
              </w:rPr>
              <w:t>ë</w:t>
            </w:r>
            <w:r w:rsidRPr="00433712">
              <w:rPr>
                <w:rFonts w:eastAsia="Times New Roman" w:cs="Calibri"/>
                <w:color w:val="000000"/>
                <w:lang w:val="sq-AL" w:eastAsia="en-GB"/>
              </w:rPr>
              <w:t xml:space="preserve"> Veri</w:t>
            </w:r>
          </w:p>
        </w:tc>
        <w:tc>
          <w:tcPr>
            <w:tcW w:w="0" w:type="auto"/>
            <w:tcBorders>
              <w:top w:val="nil"/>
              <w:left w:val="nil"/>
              <w:bottom w:val="nil"/>
              <w:right w:val="nil"/>
            </w:tcBorders>
            <w:shd w:val="clear" w:color="000000" w:fill="FFFFFF"/>
            <w:noWrap/>
            <w:vAlign w:val="bottom"/>
            <w:hideMark/>
          </w:tcPr>
          <w:p w14:paraId="77A8BC91"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1F570322" w14:textId="77777777" w:rsidR="00723B45" w:rsidRPr="00433712" w:rsidRDefault="00FC7837" w:rsidP="00502489">
            <w:pPr>
              <w:spacing w:after="0" w:line="240" w:lineRule="auto"/>
              <w:jc w:val="center"/>
              <w:rPr>
                <w:rFonts w:eastAsia="Times New Roman" w:cs="Calibri"/>
                <w:color w:val="000000"/>
                <w:lang w:val="sq-AL" w:eastAsia="en-GB"/>
              </w:rPr>
            </w:pPr>
            <w:r>
              <w:rPr>
                <w:rFonts w:eastAsia="Times New Roman" w:cs="Calibri"/>
                <w:color w:val="000000"/>
                <w:lang w:val="sq-AL" w:eastAsia="en-GB"/>
              </w:rPr>
              <w:t>335</w:t>
            </w:r>
          </w:p>
        </w:tc>
        <w:tc>
          <w:tcPr>
            <w:tcW w:w="1283" w:type="dxa"/>
            <w:tcBorders>
              <w:top w:val="nil"/>
              <w:left w:val="nil"/>
              <w:bottom w:val="nil"/>
              <w:right w:val="nil"/>
            </w:tcBorders>
            <w:shd w:val="clear" w:color="000000" w:fill="FFFFFF"/>
            <w:noWrap/>
            <w:vAlign w:val="bottom"/>
            <w:hideMark/>
          </w:tcPr>
          <w:p w14:paraId="681FFDF3" w14:textId="77777777" w:rsidR="00723B45"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327</w:t>
            </w:r>
          </w:p>
        </w:tc>
      </w:tr>
      <w:tr w:rsidR="00723B45" w:rsidRPr="00433712" w14:paraId="6F44FACA"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7111E5BF" w14:textId="77777777" w:rsidR="00723B45" w:rsidRPr="00433712" w:rsidRDefault="00723B45" w:rsidP="001929A5">
            <w:pPr>
              <w:spacing w:after="0" w:line="240" w:lineRule="auto"/>
              <w:rPr>
                <w:rFonts w:eastAsia="Times New Roman" w:cs="Calibri"/>
                <w:color w:val="000000"/>
                <w:lang w:val="sq-AL" w:eastAsia="en-GB"/>
              </w:rPr>
            </w:pPr>
            <w:r w:rsidRPr="00433712">
              <w:rPr>
                <w:rFonts w:eastAsia="Times New Roman" w:cs="Calibri"/>
                <w:color w:val="000000"/>
                <w:lang w:val="sq-AL" w:eastAsia="en-GB"/>
              </w:rPr>
              <w:t>Hyrja n</w:t>
            </w:r>
            <w:r w:rsidR="001929A5" w:rsidRPr="00433712">
              <w:rPr>
                <w:rFonts w:eastAsia="Times New Roman" w:cs="Calibri"/>
                <w:color w:val="000000"/>
                <w:lang w:val="sq-AL" w:eastAsia="en-GB"/>
              </w:rPr>
              <w:t>ë</w:t>
            </w:r>
            <w:r w:rsidRPr="00433712">
              <w:rPr>
                <w:rFonts w:eastAsia="Times New Roman" w:cs="Calibri"/>
                <w:color w:val="000000"/>
                <w:lang w:val="sq-AL" w:eastAsia="en-GB"/>
              </w:rPr>
              <w:t xml:space="preserve"> OSSh pa </w:t>
            </w:r>
            <w:r w:rsidR="001929A5" w:rsidRPr="00433712">
              <w:rPr>
                <w:rFonts w:eastAsia="Times New Roman" w:cs="Calibri"/>
                <w:color w:val="000000"/>
                <w:lang w:val="sq-AL" w:eastAsia="en-GB"/>
              </w:rPr>
              <w:t>energjinë</w:t>
            </w:r>
            <w:r w:rsidRPr="00433712">
              <w:rPr>
                <w:rFonts w:eastAsia="Times New Roman" w:cs="Calibri"/>
                <w:color w:val="000000"/>
                <w:lang w:val="sq-AL" w:eastAsia="en-GB"/>
              </w:rPr>
              <w:t xml:space="preserve"> e pa faturuar</w:t>
            </w:r>
          </w:p>
        </w:tc>
        <w:tc>
          <w:tcPr>
            <w:tcW w:w="0" w:type="auto"/>
            <w:tcBorders>
              <w:top w:val="nil"/>
              <w:left w:val="nil"/>
              <w:bottom w:val="nil"/>
              <w:right w:val="nil"/>
            </w:tcBorders>
            <w:shd w:val="clear" w:color="000000" w:fill="FFFFFF"/>
            <w:noWrap/>
            <w:vAlign w:val="bottom"/>
            <w:hideMark/>
          </w:tcPr>
          <w:p w14:paraId="56A7B324"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7A905580" w14:textId="77777777" w:rsidR="00723B45"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5,215</w:t>
            </w:r>
          </w:p>
        </w:tc>
        <w:tc>
          <w:tcPr>
            <w:tcW w:w="1283" w:type="dxa"/>
            <w:tcBorders>
              <w:top w:val="nil"/>
              <w:left w:val="nil"/>
              <w:bottom w:val="nil"/>
              <w:right w:val="nil"/>
            </w:tcBorders>
            <w:shd w:val="clear" w:color="000000" w:fill="FFFFFF"/>
            <w:noWrap/>
            <w:vAlign w:val="bottom"/>
            <w:hideMark/>
          </w:tcPr>
          <w:p w14:paraId="0E2CFF26" w14:textId="77777777" w:rsidR="00723B45" w:rsidRPr="00433712" w:rsidRDefault="00FC7837" w:rsidP="00FB7B4C">
            <w:pPr>
              <w:spacing w:after="0" w:line="240" w:lineRule="auto"/>
              <w:jc w:val="center"/>
              <w:rPr>
                <w:rFonts w:eastAsia="Times New Roman" w:cs="Calibri"/>
                <w:color w:val="000000"/>
                <w:lang w:val="sq-AL" w:eastAsia="en-GB"/>
              </w:rPr>
            </w:pPr>
            <w:r>
              <w:rPr>
                <w:rFonts w:eastAsia="Times New Roman" w:cs="Calibri"/>
                <w:color w:val="000000"/>
                <w:lang w:val="sq-AL" w:eastAsia="en-GB"/>
              </w:rPr>
              <w:t>5,221</w:t>
            </w:r>
          </w:p>
        </w:tc>
      </w:tr>
      <w:tr w:rsidR="00723B45" w:rsidRPr="00433712" w14:paraId="19FB14E9"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44561B1B"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nil"/>
              <w:right w:val="nil"/>
            </w:tcBorders>
            <w:shd w:val="clear" w:color="000000" w:fill="FFFFFF"/>
            <w:noWrap/>
            <w:vAlign w:val="bottom"/>
            <w:hideMark/>
          </w:tcPr>
          <w:p w14:paraId="365AC13D"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nil"/>
              <w:right w:val="nil"/>
            </w:tcBorders>
            <w:shd w:val="clear" w:color="000000" w:fill="FFFFFF"/>
            <w:noWrap/>
            <w:vAlign w:val="bottom"/>
            <w:hideMark/>
          </w:tcPr>
          <w:p w14:paraId="52B40040" w14:textId="77777777" w:rsidR="00723B45" w:rsidRPr="00433712" w:rsidRDefault="00723B45" w:rsidP="005B10D6">
            <w:pPr>
              <w:spacing w:after="0" w:line="240" w:lineRule="auto"/>
              <w:jc w:val="center"/>
              <w:rPr>
                <w:rFonts w:eastAsia="Times New Roman" w:cs="Calibri"/>
                <w:color w:val="000000"/>
                <w:lang w:val="sq-AL" w:eastAsia="en-GB"/>
              </w:rPr>
            </w:pPr>
          </w:p>
        </w:tc>
        <w:tc>
          <w:tcPr>
            <w:tcW w:w="1283" w:type="dxa"/>
            <w:tcBorders>
              <w:top w:val="nil"/>
              <w:left w:val="nil"/>
              <w:bottom w:val="nil"/>
              <w:right w:val="nil"/>
            </w:tcBorders>
            <w:shd w:val="clear" w:color="000000" w:fill="FFFFFF"/>
            <w:noWrap/>
            <w:vAlign w:val="bottom"/>
            <w:hideMark/>
          </w:tcPr>
          <w:p w14:paraId="5E7A6ED7" w14:textId="77777777" w:rsidR="00723B45" w:rsidRPr="00433712" w:rsidRDefault="00723B45" w:rsidP="005B10D6">
            <w:pPr>
              <w:spacing w:after="0" w:line="240" w:lineRule="auto"/>
              <w:jc w:val="center"/>
              <w:rPr>
                <w:rFonts w:eastAsia="Times New Roman" w:cs="Calibri"/>
                <w:color w:val="000000"/>
                <w:lang w:val="sq-AL" w:eastAsia="en-GB"/>
              </w:rPr>
            </w:pPr>
          </w:p>
        </w:tc>
      </w:tr>
      <w:tr w:rsidR="00723B45" w:rsidRPr="00433712" w14:paraId="0A2F3EDD"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505DEA36" w14:textId="2CF14DBD" w:rsidR="00723B45" w:rsidRPr="00433712" w:rsidRDefault="00556BA0" w:rsidP="001929A5">
            <w:pPr>
              <w:spacing w:after="0" w:line="240" w:lineRule="auto"/>
              <w:rPr>
                <w:rFonts w:eastAsia="Times New Roman" w:cs="Calibri"/>
                <w:color w:val="000000"/>
                <w:lang w:val="sq-AL" w:eastAsia="en-GB"/>
              </w:rPr>
            </w:pPr>
            <w:r>
              <w:rPr>
                <w:rFonts w:eastAsia="Times New Roman" w:cs="Calibri"/>
                <w:color w:val="000000"/>
                <w:lang w:val="sq-AL" w:eastAsia="en-GB"/>
              </w:rPr>
              <w:t xml:space="preserve">Energjia e pafaturuar </w:t>
            </w:r>
          </w:p>
        </w:tc>
        <w:tc>
          <w:tcPr>
            <w:tcW w:w="0" w:type="auto"/>
            <w:tcBorders>
              <w:top w:val="nil"/>
              <w:left w:val="nil"/>
              <w:bottom w:val="nil"/>
              <w:right w:val="nil"/>
            </w:tcBorders>
            <w:shd w:val="clear" w:color="000000" w:fill="FFFFFF"/>
            <w:noWrap/>
            <w:vAlign w:val="bottom"/>
            <w:hideMark/>
          </w:tcPr>
          <w:p w14:paraId="3DEF02F8"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nil"/>
              <w:right w:val="nil"/>
            </w:tcBorders>
            <w:shd w:val="clear" w:color="000000" w:fill="FFFFFF"/>
            <w:noWrap/>
            <w:vAlign w:val="bottom"/>
            <w:hideMark/>
          </w:tcPr>
          <w:p w14:paraId="1551A669" w14:textId="77777777" w:rsidR="00723B45" w:rsidRPr="00433712" w:rsidRDefault="00FC7837" w:rsidP="00433712">
            <w:pPr>
              <w:spacing w:after="0" w:line="240" w:lineRule="auto"/>
              <w:jc w:val="center"/>
              <w:rPr>
                <w:rFonts w:eastAsia="Times New Roman" w:cs="Calibri"/>
                <w:color w:val="000000"/>
                <w:lang w:val="sq-AL" w:eastAsia="en-GB"/>
              </w:rPr>
            </w:pPr>
            <w:r>
              <w:rPr>
                <w:rFonts w:eastAsia="Times New Roman" w:cs="Calibri"/>
                <w:color w:val="000000"/>
                <w:lang w:val="sq-AL" w:eastAsia="en-GB"/>
              </w:rPr>
              <w:t>6.0</w:t>
            </w:r>
            <w:r w:rsidR="00723B45" w:rsidRPr="00433712">
              <w:rPr>
                <w:rFonts w:eastAsia="Times New Roman" w:cs="Calibri"/>
                <w:color w:val="000000"/>
                <w:lang w:val="sq-AL" w:eastAsia="en-GB"/>
              </w:rPr>
              <w:t>%</w:t>
            </w:r>
          </w:p>
        </w:tc>
        <w:tc>
          <w:tcPr>
            <w:tcW w:w="1283" w:type="dxa"/>
            <w:tcBorders>
              <w:top w:val="nil"/>
              <w:left w:val="nil"/>
              <w:bottom w:val="nil"/>
              <w:right w:val="nil"/>
            </w:tcBorders>
            <w:shd w:val="clear" w:color="000000" w:fill="FFFFFF"/>
            <w:noWrap/>
            <w:vAlign w:val="bottom"/>
            <w:hideMark/>
          </w:tcPr>
          <w:p w14:paraId="7869B41A" w14:textId="77777777" w:rsidR="00723B45" w:rsidRPr="00433712" w:rsidRDefault="00FC7837" w:rsidP="00502489">
            <w:pPr>
              <w:spacing w:after="0" w:line="240" w:lineRule="auto"/>
              <w:jc w:val="center"/>
              <w:rPr>
                <w:rFonts w:eastAsia="Times New Roman" w:cs="Calibri"/>
                <w:color w:val="000000"/>
                <w:lang w:val="sq-AL" w:eastAsia="en-GB"/>
              </w:rPr>
            </w:pPr>
            <w:r>
              <w:rPr>
                <w:rFonts w:eastAsia="Times New Roman" w:cs="Calibri"/>
                <w:color w:val="000000"/>
                <w:lang w:val="sq-AL" w:eastAsia="en-GB"/>
              </w:rPr>
              <w:t>6.0</w:t>
            </w:r>
            <w:r w:rsidR="00723B45" w:rsidRPr="00433712">
              <w:rPr>
                <w:rFonts w:eastAsia="Times New Roman" w:cs="Calibri"/>
                <w:color w:val="000000"/>
                <w:lang w:val="sq-AL" w:eastAsia="en-GB"/>
              </w:rPr>
              <w:t>%</w:t>
            </w:r>
          </w:p>
        </w:tc>
      </w:tr>
      <w:tr w:rsidR="00723B45" w:rsidRPr="00433712" w14:paraId="07284088" w14:textId="77777777" w:rsidTr="00A715BF">
        <w:trPr>
          <w:gridAfter w:val="1"/>
          <w:wAfter w:w="1283" w:type="dxa"/>
          <w:trHeight w:val="300"/>
          <w:jc w:val="right"/>
        </w:trPr>
        <w:tc>
          <w:tcPr>
            <w:tcW w:w="0" w:type="auto"/>
            <w:tcBorders>
              <w:top w:val="nil"/>
              <w:left w:val="nil"/>
              <w:bottom w:val="single" w:sz="4" w:space="0" w:color="auto"/>
              <w:right w:val="nil"/>
            </w:tcBorders>
            <w:shd w:val="clear" w:color="000000" w:fill="FFFFFF"/>
            <w:noWrap/>
            <w:vAlign w:val="bottom"/>
            <w:hideMark/>
          </w:tcPr>
          <w:p w14:paraId="518B49AC"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single" w:sz="4" w:space="0" w:color="auto"/>
              <w:right w:val="nil"/>
            </w:tcBorders>
            <w:shd w:val="clear" w:color="000000" w:fill="FFFFFF"/>
            <w:noWrap/>
            <w:vAlign w:val="bottom"/>
            <w:hideMark/>
          </w:tcPr>
          <w:p w14:paraId="67963DD3"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single" w:sz="4" w:space="0" w:color="auto"/>
              <w:right w:val="nil"/>
            </w:tcBorders>
            <w:shd w:val="clear" w:color="000000" w:fill="FFFFFF"/>
            <w:noWrap/>
            <w:vAlign w:val="bottom"/>
            <w:hideMark/>
          </w:tcPr>
          <w:p w14:paraId="09CEA88A" w14:textId="77777777" w:rsidR="00723B45" w:rsidRPr="00433712" w:rsidRDefault="00723B45" w:rsidP="005B10D6">
            <w:pPr>
              <w:spacing w:after="0" w:line="240" w:lineRule="auto"/>
              <w:jc w:val="center"/>
              <w:rPr>
                <w:rFonts w:eastAsia="Times New Roman" w:cs="Calibri"/>
                <w:color w:val="000000"/>
                <w:lang w:val="sq-AL" w:eastAsia="en-GB"/>
              </w:rPr>
            </w:pPr>
          </w:p>
        </w:tc>
        <w:tc>
          <w:tcPr>
            <w:tcW w:w="1283" w:type="dxa"/>
            <w:tcBorders>
              <w:top w:val="nil"/>
              <w:left w:val="nil"/>
              <w:bottom w:val="single" w:sz="4" w:space="0" w:color="auto"/>
              <w:right w:val="nil"/>
            </w:tcBorders>
            <w:shd w:val="clear" w:color="000000" w:fill="FFFFFF"/>
            <w:noWrap/>
            <w:vAlign w:val="bottom"/>
            <w:hideMark/>
          </w:tcPr>
          <w:p w14:paraId="5824644A" w14:textId="77777777" w:rsidR="00723B45" w:rsidRPr="00433712" w:rsidRDefault="00723B45" w:rsidP="005B10D6">
            <w:pPr>
              <w:spacing w:after="0" w:line="240" w:lineRule="auto"/>
              <w:jc w:val="center"/>
              <w:rPr>
                <w:rFonts w:eastAsia="Times New Roman" w:cs="Calibri"/>
                <w:color w:val="000000"/>
                <w:lang w:val="sq-AL" w:eastAsia="en-GB"/>
              </w:rPr>
            </w:pPr>
          </w:p>
        </w:tc>
      </w:tr>
      <w:tr w:rsidR="00607FDE" w:rsidRPr="00433712" w14:paraId="4A2B05A9" w14:textId="77777777" w:rsidTr="00A715BF">
        <w:trPr>
          <w:trHeight w:val="300"/>
          <w:jc w:val="right"/>
        </w:trPr>
        <w:tc>
          <w:tcPr>
            <w:tcW w:w="0" w:type="auto"/>
            <w:tcBorders>
              <w:top w:val="single" w:sz="4" w:space="0" w:color="auto"/>
              <w:left w:val="nil"/>
              <w:bottom w:val="nil"/>
              <w:right w:val="nil"/>
            </w:tcBorders>
            <w:shd w:val="clear" w:color="000000" w:fill="FFFFFF"/>
            <w:noWrap/>
            <w:vAlign w:val="bottom"/>
            <w:hideMark/>
          </w:tcPr>
          <w:p w14:paraId="2E40461F" w14:textId="77777777" w:rsidR="00607FDE" w:rsidRPr="00433712" w:rsidRDefault="00607FDE" w:rsidP="00607FDE">
            <w:pPr>
              <w:spacing w:after="0" w:line="240" w:lineRule="auto"/>
              <w:rPr>
                <w:rFonts w:eastAsia="Times New Roman" w:cs="Calibri"/>
                <w:color w:val="000000"/>
                <w:lang w:val="sq-AL" w:eastAsia="en-GB"/>
              </w:rPr>
            </w:pPr>
            <w:r w:rsidRPr="00433712">
              <w:rPr>
                <w:rFonts w:eastAsia="Times New Roman" w:cs="Calibri"/>
                <w:color w:val="000000"/>
                <w:lang w:val="sq-AL" w:eastAsia="en-GB"/>
              </w:rPr>
              <w:t>Humbjet teknike dhe komerciale në OSSh</w:t>
            </w:r>
          </w:p>
        </w:tc>
        <w:tc>
          <w:tcPr>
            <w:tcW w:w="0" w:type="auto"/>
            <w:tcBorders>
              <w:top w:val="single" w:sz="4" w:space="0" w:color="auto"/>
              <w:left w:val="nil"/>
              <w:bottom w:val="nil"/>
              <w:right w:val="nil"/>
            </w:tcBorders>
            <w:shd w:val="clear" w:color="000000" w:fill="FFFFFF"/>
            <w:noWrap/>
            <w:vAlign w:val="bottom"/>
            <w:hideMark/>
          </w:tcPr>
          <w:p w14:paraId="72CEED3F" w14:textId="77777777" w:rsidR="00607FDE"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single" w:sz="4" w:space="0" w:color="auto"/>
              <w:left w:val="nil"/>
              <w:bottom w:val="nil"/>
              <w:right w:val="nil"/>
            </w:tcBorders>
            <w:shd w:val="clear" w:color="000000" w:fill="FFFFFF"/>
            <w:noWrap/>
            <w:vAlign w:val="bottom"/>
            <w:hideMark/>
          </w:tcPr>
          <w:p w14:paraId="07708FDD" w14:textId="77777777" w:rsidR="00607FDE" w:rsidRPr="00433712" w:rsidRDefault="00A715BF"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075</w:t>
            </w:r>
          </w:p>
        </w:tc>
        <w:tc>
          <w:tcPr>
            <w:tcW w:w="1283" w:type="dxa"/>
            <w:tcBorders>
              <w:top w:val="single" w:sz="4" w:space="0" w:color="auto"/>
              <w:left w:val="nil"/>
              <w:bottom w:val="nil"/>
              <w:right w:val="nil"/>
            </w:tcBorders>
            <w:shd w:val="clear" w:color="000000" w:fill="FFFFFF"/>
            <w:noWrap/>
            <w:vAlign w:val="bottom"/>
            <w:hideMark/>
          </w:tcPr>
          <w:p w14:paraId="044BBC13" w14:textId="77777777" w:rsidR="00607FDE" w:rsidRPr="00433712" w:rsidRDefault="00FC7837" w:rsidP="00FB7B4C">
            <w:pPr>
              <w:spacing w:after="0" w:line="240" w:lineRule="auto"/>
              <w:jc w:val="center"/>
              <w:rPr>
                <w:rFonts w:eastAsia="Times New Roman" w:cs="Calibri"/>
                <w:color w:val="000000"/>
                <w:lang w:val="sq-AL" w:eastAsia="en-GB"/>
              </w:rPr>
            </w:pPr>
            <w:commentRangeStart w:id="9"/>
            <w:r>
              <w:rPr>
                <w:rFonts w:eastAsia="Times New Roman" w:cs="Calibri"/>
                <w:color w:val="000000"/>
                <w:lang w:val="sq-AL" w:eastAsia="en-GB"/>
              </w:rPr>
              <w:t>894</w:t>
            </w:r>
            <w:commentRangeEnd w:id="9"/>
            <w:r w:rsidR="007D4E50">
              <w:rPr>
                <w:rStyle w:val="CommentReference"/>
              </w:rPr>
              <w:commentReference w:id="9"/>
            </w:r>
          </w:p>
        </w:tc>
        <w:tc>
          <w:tcPr>
            <w:tcW w:w="1283" w:type="dxa"/>
            <w:vAlign w:val="bottom"/>
          </w:tcPr>
          <w:p w14:paraId="687ACD83"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0DBAFA89" w14:textId="77777777" w:rsidTr="00A715BF">
        <w:trPr>
          <w:trHeight w:val="300"/>
          <w:jc w:val="right"/>
        </w:trPr>
        <w:tc>
          <w:tcPr>
            <w:tcW w:w="0" w:type="auto"/>
            <w:tcBorders>
              <w:top w:val="nil"/>
              <w:left w:val="nil"/>
              <w:bottom w:val="single" w:sz="4" w:space="0" w:color="auto"/>
              <w:right w:val="nil"/>
            </w:tcBorders>
            <w:shd w:val="clear" w:color="000000" w:fill="FFFFFF"/>
            <w:noWrap/>
            <w:vAlign w:val="bottom"/>
            <w:hideMark/>
          </w:tcPr>
          <w:p w14:paraId="6F8513E3" w14:textId="77777777" w:rsidR="00607FDE" w:rsidRPr="00433712" w:rsidRDefault="00607FDE" w:rsidP="005B10D6">
            <w:pPr>
              <w:spacing w:after="0" w:line="240" w:lineRule="auto"/>
              <w:rPr>
                <w:rFonts w:eastAsia="Times New Roman" w:cs="Calibri"/>
                <w:color w:val="000000"/>
                <w:lang w:val="sq-AL" w:eastAsia="en-GB"/>
              </w:rPr>
            </w:pPr>
          </w:p>
        </w:tc>
        <w:tc>
          <w:tcPr>
            <w:tcW w:w="0" w:type="auto"/>
            <w:tcBorders>
              <w:top w:val="nil"/>
              <w:left w:val="nil"/>
              <w:bottom w:val="single" w:sz="4" w:space="0" w:color="auto"/>
              <w:right w:val="nil"/>
            </w:tcBorders>
            <w:shd w:val="clear" w:color="000000" w:fill="FFFFFF"/>
            <w:noWrap/>
            <w:vAlign w:val="bottom"/>
            <w:hideMark/>
          </w:tcPr>
          <w:p w14:paraId="5F58D018"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single" w:sz="4" w:space="0" w:color="auto"/>
              <w:right w:val="nil"/>
            </w:tcBorders>
            <w:shd w:val="clear" w:color="000000" w:fill="FFFFFF"/>
            <w:noWrap/>
            <w:vAlign w:val="bottom"/>
            <w:hideMark/>
          </w:tcPr>
          <w:p w14:paraId="6D340075" w14:textId="77777777" w:rsidR="00607FDE"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19</w:t>
            </w:r>
            <w:r w:rsidR="00433712">
              <w:rPr>
                <w:rFonts w:eastAsia="Times New Roman" w:cs="Calibri"/>
                <w:color w:val="000000"/>
                <w:lang w:val="sq-AL" w:eastAsia="en-GB"/>
              </w:rPr>
              <w:t>.4</w:t>
            </w:r>
            <w:r w:rsidR="00607FDE" w:rsidRPr="00433712">
              <w:rPr>
                <w:rFonts w:eastAsia="Times New Roman" w:cs="Calibri"/>
                <w:color w:val="000000"/>
                <w:lang w:val="sq-AL" w:eastAsia="en-GB"/>
              </w:rPr>
              <w:t>%</w:t>
            </w:r>
          </w:p>
        </w:tc>
        <w:tc>
          <w:tcPr>
            <w:tcW w:w="1283" w:type="dxa"/>
            <w:tcBorders>
              <w:top w:val="nil"/>
              <w:left w:val="nil"/>
              <w:bottom w:val="single" w:sz="4" w:space="0" w:color="auto"/>
              <w:right w:val="nil"/>
            </w:tcBorders>
            <w:shd w:val="clear" w:color="000000" w:fill="FFFFFF"/>
            <w:noWrap/>
            <w:vAlign w:val="bottom"/>
            <w:hideMark/>
          </w:tcPr>
          <w:p w14:paraId="7F027D3D" w14:textId="77777777" w:rsidR="00607FDE" w:rsidRPr="00433712" w:rsidRDefault="00FC7837" w:rsidP="00FC7837">
            <w:pPr>
              <w:spacing w:after="0" w:line="240" w:lineRule="auto"/>
              <w:jc w:val="center"/>
              <w:rPr>
                <w:rFonts w:eastAsia="Times New Roman" w:cs="Calibri"/>
                <w:color w:val="000000"/>
                <w:lang w:val="sq-AL" w:eastAsia="en-GB"/>
              </w:rPr>
            </w:pPr>
            <w:commentRangeStart w:id="10"/>
            <w:r>
              <w:rPr>
                <w:rFonts w:eastAsia="Times New Roman" w:cs="Calibri"/>
                <w:color w:val="000000"/>
                <w:lang w:val="sq-AL" w:eastAsia="en-GB"/>
              </w:rPr>
              <w:t>1</w:t>
            </w:r>
            <w:r w:rsidR="00FB7B4C">
              <w:rPr>
                <w:rFonts w:eastAsia="Times New Roman" w:cs="Calibri"/>
                <w:color w:val="000000"/>
                <w:lang w:val="sq-AL" w:eastAsia="en-GB"/>
              </w:rPr>
              <w:t>6</w:t>
            </w:r>
            <w:r>
              <w:rPr>
                <w:rFonts w:eastAsia="Times New Roman" w:cs="Calibri"/>
                <w:color w:val="000000"/>
                <w:lang w:val="sq-AL" w:eastAsia="en-GB"/>
              </w:rPr>
              <w:t>.4</w:t>
            </w:r>
            <w:r w:rsidR="00607FDE" w:rsidRPr="00433712">
              <w:rPr>
                <w:rFonts w:eastAsia="Times New Roman" w:cs="Calibri"/>
                <w:color w:val="000000"/>
                <w:lang w:val="sq-AL" w:eastAsia="en-GB"/>
              </w:rPr>
              <w:t>%</w:t>
            </w:r>
            <w:commentRangeEnd w:id="10"/>
            <w:r w:rsidR="008D5BC4">
              <w:rPr>
                <w:rStyle w:val="CommentReference"/>
              </w:rPr>
              <w:commentReference w:id="10"/>
            </w:r>
          </w:p>
        </w:tc>
        <w:tc>
          <w:tcPr>
            <w:tcW w:w="1283" w:type="dxa"/>
            <w:vAlign w:val="bottom"/>
          </w:tcPr>
          <w:p w14:paraId="1D8B8D5D"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4706A94F" w14:textId="77777777" w:rsidTr="00A715BF">
        <w:trPr>
          <w:gridAfter w:val="1"/>
          <w:wAfter w:w="1283" w:type="dxa"/>
          <w:trHeight w:val="300"/>
          <w:jc w:val="right"/>
        </w:trPr>
        <w:tc>
          <w:tcPr>
            <w:tcW w:w="0" w:type="auto"/>
            <w:tcBorders>
              <w:top w:val="single" w:sz="4" w:space="0" w:color="auto"/>
              <w:left w:val="nil"/>
              <w:bottom w:val="single" w:sz="4" w:space="0" w:color="auto"/>
              <w:right w:val="nil"/>
            </w:tcBorders>
            <w:shd w:val="clear" w:color="000000" w:fill="FFFFFF"/>
            <w:noWrap/>
            <w:vAlign w:val="bottom"/>
            <w:hideMark/>
          </w:tcPr>
          <w:p w14:paraId="592A13C3"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3E45104F" w14:textId="77777777" w:rsidR="00607FDE" w:rsidRPr="00433712" w:rsidRDefault="00607FDE" w:rsidP="005B10D6">
            <w:pPr>
              <w:spacing w:after="0" w:line="240" w:lineRule="auto"/>
              <w:rPr>
                <w:rFonts w:eastAsia="Times New Roman" w:cs="Calibri"/>
                <w:color w:val="000000"/>
                <w:lang w:val="sq-AL" w:eastAsia="en-GB"/>
              </w:rPr>
            </w:pPr>
          </w:p>
        </w:tc>
        <w:tc>
          <w:tcPr>
            <w:tcW w:w="1380" w:type="dxa"/>
            <w:tcBorders>
              <w:top w:val="single" w:sz="4" w:space="0" w:color="auto"/>
              <w:left w:val="nil"/>
              <w:bottom w:val="single" w:sz="4" w:space="0" w:color="auto"/>
              <w:right w:val="nil"/>
            </w:tcBorders>
            <w:shd w:val="clear" w:color="000000" w:fill="FFFFFF"/>
            <w:noWrap/>
            <w:vAlign w:val="bottom"/>
            <w:hideMark/>
          </w:tcPr>
          <w:p w14:paraId="7A8F72D3"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single" w:sz="4" w:space="0" w:color="auto"/>
              <w:left w:val="nil"/>
              <w:bottom w:val="single" w:sz="4" w:space="0" w:color="auto"/>
              <w:right w:val="nil"/>
            </w:tcBorders>
            <w:shd w:val="clear" w:color="000000" w:fill="FFFFFF"/>
            <w:noWrap/>
            <w:vAlign w:val="bottom"/>
            <w:hideMark/>
          </w:tcPr>
          <w:p w14:paraId="6C34F778"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3632CC13" w14:textId="77777777" w:rsidTr="00A715BF">
        <w:trPr>
          <w:gridAfter w:val="1"/>
          <w:wAfter w:w="1283" w:type="dxa"/>
          <w:trHeight w:val="300"/>
          <w:jc w:val="right"/>
        </w:trPr>
        <w:tc>
          <w:tcPr>
            <w:tcW w:w="0" w:type="auto"/>
            <w:tcBorders>
              <w:top w:val="single" w:sz="4" w:space="0" w:color="auto"/>
              <w:left w:val="nil"/>
              <w:bottom w:val="nil"/>
              <w:right w:val="nil"/>
            </w:tcBorders>
            <w:shd w:val="clear" w:color="000000" w:fill="FFFFFF"/>
            <w:noWrap/>
            <w:vAlign w:val="bottom"/>
            <w:hideMark/>
          </w:tcPr>
          <w:p w14:paraId="659A1922" w14:textId="77777777" w:rsidR="00607FDE" w:rsidRPr="00433712" w:rsidRDefault="00791F17"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Gjith</w:t>
            </w:r>
            <w:r w:rsidR="00607FDE" w:rsidRPr="00433712">
              <w:rPr>
                <w:rFonts w:eastAsia="Times New Roman" w:cs="Calibri"/>
                <w:color w:val="000000"/>
                <w:lang w:val="sq-AL" w:eastAsia="en-GB"/>
              </w:rPr>
              <w:t xml:space="preserve">sej humbjet </w:t>
            </w:r>
          </w:p>
        </w:tc>
        <w:tc>
          <w:tcPr>
            <w:tcW w:w="0" w:type="auto"/>
            <w:tcBorders>
              <w:top w:val="single" w:sz="4" w:space="0" w:color="auto"/>
              <w:left w:val="nil"/>
              <w:bottom w:val="nil"/>
              <w:right w:val="nil"/>
            </w:tcBorders>
            <w:shd w:val="clear" w:color="000000" w:fill="FFFFFF"/>
            <w:noWrap/>
            <w:vAlign w:val="bottom"/>
            <w:hideMark/>
          </w:tcPr>
          <w:p w14:paraId="63C31A98" w14:textId="77777777" w:rsidR="00607FDE"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single" w:sz="4" w:space="0" w:color="auto"/>
              <w:left w:val="nil"/>
              <w:bottom w:val="nil"/>
              <w:right w:val="nil"/>
            </w:tcBorders>
            <w:shd w:val="clear" w:color="000000" w:fill="FFFFFF"/>
            <w:noWrap/>
            <w:vAlign w:val="bottom"/>
            <w:hideMark/>
          </w:tcPr>
          <w:p w14:paraId="4EE032FA" w14:textId="77777777" w:rsidR="00607FDE" w:rsidRPr="00433712" w:rsidRDefault="00A715BF"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409</w:t>
            </w:r>
          </w:p>
        </w:tc>
        <w:tc>
          <w:tcPr>
            <w:tcW w:w="1283" w:type="dxa"/>
            <w:tcBorders>
              <w:top w:val="single" w:sz="4" w:space="0" w:color="auto"/>
              <w:left w:val="nil"/>
              <w:bottom w:val="nil"/>
              <w:right w:val="nil"/>
            </w:tcBorders>
            <w:shd w:val="clear" w:color="000000" w:fill="FFFFFF"/>
            <w:noWrap/>
            <w:vAlign w:val="bottom"/>
            <w:hideMark/>
          </w:tcPr>
          <w:p w14:paraId="0A108108" w14:textId="77777777" w:rsidR="00607FDE" w:rsidRPr="00433712" w:rsidRDefault="00502489" w:rsidP="00FB7B4C">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221</w:t>
            </w:r>
          </w:p>
        </w:tc>
      </w:tr>
      <w:tr w:rsidR="00607FDE" w:rsidRPr="00433712" w14:paraId="4EC91FE1" w14:textId="77777777" w:rsidTr="00A715BF">
        <w:trPr>
          <w:gridAfter w:val="1"/>
          <w:wAfter w:w="1283" w:type="dxa"/>
          <w:trHeight w:val="300"/>
          <w:jc w:val="right"/>
        </w:trPr>
        <w:tc>
          <w:tcPr>
            <w:tcW w:w="0" w:type="auto"/>
            <w:tcBorders>
              <w:top w:val="nil"/>
              <w:left w:val="nil"/>
              <w:bottom w:val="single" w:sz="4" w:space="0" w:color="auto"/>
              <w:right w:val="nil"/>
            </w:tcBorders>
            <w:shd w:val="clear" w:color="000000" w:fill="FFFFFF"/>
            <w:noWrap/>
            <w:vAlign w:val="bottom"/>
            <w:hideMark/>
          </w:tcPr>
          <w:p w14:paraId="55CBC945" w14:textId="77777777" w:rsidR="00607FDE" w:rsidRPr="00433712" w:rsidRDefault="00607FDE" w:rsidP="005B10D6">
            <w:pPr>
              <w:spacing w:after="0" w:line="240" w:lineRule="auto"/>
              <w:rPr>
                <w:rFonts w:eastAsia="Times New Roman" w:cs="Calibri"/>
                <w:color w:val="000000"/>
                <w:lang w:val="sq-AL" w:eastAsia="en-GB"/>
              </w:rPr>
            </w:pPr>
          </w:p>
        </w:tc>
        <w:tc>
          <w:tcPr>
            <w:tcW w:w="0" w:type="auto"/>
            <w:tcBorders>
              <w:top w:val="nil"/>
              <w:left w:val="nil"/>
              <w:bottom w:val="single" w:sz="4" w:space="0" w:color="auto"/>
              <w:right w:val="nil"/>
            </w:tcBorders>
            <w:shd w:val="clear" w:color="000000" w:fill="FFFFFF"/>
            <w:noWrap/>
            <w:vAlign w:val="bottom"/>
            <w:hideMark/>
          </w:tcPr>
          <w:p w14:paraId="05F54A24"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single" w:sz="4" w:space="0" w:color="auto"/>
              <w:right w:val="nil"/>
            </w:tcBorders>
            <w:shd w:val="clear" w:color="000000" w:fill="FFFFFF"/>
            <w:noWrap/>
            <w:vAlign w:val="bottom"/>
            <w:hideMark/>
          </w:tcPr>
          <w:p w14:paraId="2E29F409" w14:textId="77777777" w:rsidR="00607FDE" w:rsidRPr="00433712" w:rsidRDefault="0031382E" w:rsidP="00502489">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2</w:t>
            </w:r>
            <w:r w:rsidR="00433712">
              <w:rPr>
                <w:rFonts w:eastAsia="Times New Roman" w:cs="Calibri"/>
                <w:color w:val="000000"/>
                <w:lang w:val="sq-AL" w:eastAsia="en-GB"/>
              </w:rPr>
              <w:t>5</w:t>
            </w:r>
            <w:r w:rsidR="00607FDE" w:rsidRPr="00433712">
              <w:rPr>
                <w:rFonts w:eastAsia="Times New Roman" w:cs="Calibri"/>
                <w:color w:val="000000"/>
                <w:lang w:val="sq-AL" w:eastAsia="en-GB"/>
              </w:rPr>
              <w:t>.</w:t>
            </w:r>
            <w:r w:rsidR="00FC7837">
              <w:rPr>
                <w:rFonts w:eastAsia="Times New Roman" w:cs="Calibri"/>
                <w:color w:val="000000"/>
                <w:lang w:val="sq-AL" w:eastAsia="en-GB"/>
              </w:rPr>
              <w:t>4</w:t>
            </w:r>
            <w:r w:rsidR="00502489" w:rsidRPr="00433712">
              <w:rPr>
                <w:rFonts w:eastAsia="Times New Roman" w:cs="Calibri"/>
                <w:color w:val="000000"/>
                <w:lang w:val="sq-AL" w:eastAsia="en-GB"/>
              </w:rPr>
              <w:t>%</w:t>
            </w:r>
          </w:p>
        </w:tc>
        <w:tc>
          <w:tcPr>
            <w:tcW w:w="1283" w:type="dxa"/>
            <w:tcBorders>
              <w:top w:val="nil"/>
              <w:left w:val="nil"/>
              <w:bottom w:val="single" w:sz="4" w:space="0" w:color="auto"/>
              <w:right w:val="nil"/>
            </w:tcBorders>
            <w:shd w:val="clear" w:color="000000" w:fill="FFFFFF"/>
            <w:noWrap/>
            <w:vAlign w:val="bottom"/>
            <w:hideMark/>
          </w:tcPr>
          <w:p w14:paraId="1A83D683" w14:textId="77777777" w:rsidR="00607FDE"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22.4</w:t>
            </w:r>
            <w:r w:rsidR="00607FDE" w:rsidRPr="00433712">
              <w:rPr>
                <w:rFonts w:eastAsia="Times New Roman" w:cs="Calibri"/>
                <w:color w:val="000000"/>
                <w:lang w:val="sq-AL" w:eastAsia="en-GB"/>
              </w:rPr>
              <w:t>%</w:t>
            </w:r>
          </w:p>
        </w:tc>
      </w:tr>
      <w:tr w:rsidR="00607FDE" w:rsidRPr="00433712" w14:paraId="1A5FC8BF" w14:textId="77777777" w:rsidTr="00A715BF">
        <w:trPr>
          <w:gridAfter w:val="1"/>
          <w:wAfter w:w="1283" w:type="dxa"/>
          <w:trHeight w:val="300"/>
          <w:jc w:val="right"/>
        </w:trPr>
        <w:tc>
          <w:tcPr>
            <w:tcW w:w="0" w:type="auto"/>
            <w:tcBorders>
              <w:top w:val="single" w:sz="4" w:space="0" w:color="auto"/>
              <w:left w:val="nil"/>
              <w:bottom w:val="nil"/>
              <w:right w:val="nil"/>
            </w:tcBorders>
            <w:shd w:val="clear" w:color="000000" w:fill="FFFFFF"/>
            <w:noWrap/>
            <w:vAlign w:val="bottom"/>
            <w:hideMark/>
          </w:tcPr>
          <w:p w14:paraId="14D8CEBC"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single" w:sz="4" w:space="0" w:color="auto"/>
              <w:left w:val="nil"/>
              <w:bottom w:val="nil"/>
              <w:right w:val="nil"/>
            </w:tcBorders>
            <w:shd w:val="clear" w:color="000000" w:fill="FFFFFF"/>
            <w:noWrap/>
            <w:vAlign w:val="bottom"/>
            <w:hideMark/>
          </w:tcPr>
          <w:p w14:paraId="5C7FCD86"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single" w:sz="4" w:space="0" w:color="auto"/>
              <w:left w:val="nil"/>
              <w:bottom w:val="nil"/>
              <w:right w:val="nil"/>
            </w:tcBorders>
            <w:shd w:val="clear" w:color="000000" w:fill="FFFFFF"/>
            <w:noWrap/>
            <w:vAlign w:val="bottom"/>
            <w:hideMark/>
          </w:tcPr>
          <w:p w14:paraId="2DFC759B"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single" w:sz="4" w:space="0" w:color="auto"/>
              <w:left w:val="nil"/>
              <w:bottom w:val="nil"/>
              <w:right w:val="nil"/>
            </w:tcBorders>
            <w:shd w:val="clear" w:color="000000" w:fill="FFFFFF"/>
            <w:noWrap/>
            <w:vAlign w:val="bottom"/>
            <w:hideMark/>
          </w:tcPr>
          <w:p w14:paraId="493892AD"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3299B3DC" w14:textId="77777777" w:rsidTr="00A715BF">
        <w:trPr>
          <w:gridAfter w:val="1"/>
          <w:wAfter w:w="1283" w:type="dxa"/>
          <w:trHeight w:val="300"/>
          <w:jc w:val="right"/>
        </w:trPr>
        <w:tc>
          <w:tcPr>
            <w:tcW w:w="0" w:type="auto"/>
            <w:tcBorders>
              <w:top w:val="single" w:sz="4" w:space="0" w:color="auto"/>
              <w:left w:val="nil"/>
              <w:bottom w:val="single" w:sz="4" w:space="0" w:color="auto"/>
              <w:right w:val="nil"/>
            </w:tcBorders>
            <w:shd w:val="clear" w:color="000000" w:fill="FFFFFF"/>
            <w:noWrap/>
            <w:vAlign w:val="bottom"/>
            <w:hideMark/>
          </w:tcPr>
          <w:p w14:paraId="67A50F51" w14:textId="77777777" w:rsidR="00607FDE" w:rsidRPr="00433712" w:rsidRDefault="00607FDE" w:rsidP="005B10D6">
            <w:pPr>
              <w:spacing w:after="0" w:line="240" w:lineRule="auto"/>
              <w:rPr>
                <w:rFonts w:eastAsia="Times New Roman" w:cs="Calibri"/>
                <w:b/>
                <w:bCs/>
                <w:color w:val="000000"/>
                <w:lang w:val="sq-AL" w:eastAsia="en-GB"/>
              </w:rPr>
            </w:pPr>
            <w:r w:rsidRPr="00433712">
              <w:rPr>
                <w:rFonts w:eastAsia="Times New Roman" w:cs="Calibri"/>
                <w:b/>
                <w:bCs/>
                <w:color w:val="000000"/>
                <w:lang w:val="sq-AL" w:eastAsia="en-GB"/>
              </w:rPr>
              <w:t xml:space="preserve">Energjia e mbetur </w:t>
            </w:r>
            <w:r w:rsidR="001929A5" w:rsidRPr="00433712">
              <w:rPr>
                <w:rFonts w:eastAsia="Times New Roman" w:cs="Calibri"/>
                <w:b/>
                <w:bCs/>
                <w:color w:val="000000"/>
                <w:lang w:val="sq-AL" w:eastAsia="en-GB"/>
              </w:rPr>
              <w:t>për</w:t>
            </w:r>
            <w:r w:rsidRPr="00433712">
              <w:rPr>
                <w:rFonts w:eastAsia="Times New Roman" w:cs="Calibri"/>
                <w:b/>
                <w:bCs/>
                <w:color w:val="000000"/>
                <w:lang w:val="sq-AL" w:eastAsia="en-GB"/>
              </w:rPr>
              <w:t xml:space="preserve"> faturim</w:t>
            </w:r>
          </w:p>
        </w:tc>
        <w:tc>
          <w:tcPr>
            <w:tcW w:w="0" w:type="auto"/>
            <w:tcBorders>
              <w:top w:val="single" w:sz="4" w:space="0" w:color="auto"/>
              <w:left w:val="nil"/>
              <w:bottom w:val="single" w:sz="4" w:space="0" w:color="auto"/>
              <w:right w:val="nil"/>
            </w:tcBorders>
            <w:shd w:val="clear" w:color="000000" w:fill="FFFFFF"/>
            <w:noWrap/>
            <w:vAlign w:val="bottom"/>
            <w:hideMark/>
          </w:tcPr>
          <w:p w14:paraId="42497EA7" w14:textId="77777777" w:rsidR="00607FDE" w:rsidRPr="00433712" w:rsidRDefault="001A59E2" w:rsidP="007345DF">
            <w:pPr>
              <w:spacing w:after="0" w:line="240" w:lineRule="auto"/>
              <w:rPr>
                <w:rFonts w:eastAsia="Times New Roman" w:cs="Calibri"/>
                <w:b/>
                <w:bCs/>
                <w:color w:val="000000"/>
                <w:lang w:val="sq-AL" w:eastAsia="en-GB"/>
              </w:rPr>
            </w:pPr>
            <w:r w:rsidRPr="00433712">
              <w:rPr>
                <w:rFonts w:eastAsia="Times New Roman" w:cs="Calibri"/>
                <w:b/>
                <w:bCs/>
                <w:color w:val="000000"/>
                <w:lang w:val="sq-AL" w:eastAsia="en-GB"/>
              </w:rPr>
              <w:t>G</w:t>
            </w:r>
            <w:r w:rsidR="007345DF" w:rsidRPr="00433712">
              <w:rPr>
                <w:rFonts w:eastAsia="Times New Roman" w:cs="Calibri"/>
                <w:b/>
                <w:bCs/>
                <w:color w:val="000000"/>
                <w:lang w:val="sq-AL" w:eastAsia="en-GB"/>
              </w:rPr>
              <w:t>W</w:t>
            </w:r>
            <w:r w:rsidRPr="00433712">
              <w:rPr>
                <w:rFonts w:eastAsia="Times New Roman" w:cs="Calibri"/>
                <w:b/>
                <w:bCs/>
                <w:color w:val="000000"/>
                <w:lang w:val="sq-AL" w:eastAsia="en-GB"/>
              </w:rPr>
              <w:t>h</w:t>
            </w:r>
          </w:p>
        </w:tc>
        <w:tc>
          <w:tcPr>
            <w:tcW w:w="1380" w:type="dxa"/>
            <w:tcBorders>
              <w:top w:val="single" w:sz="4" w:space="0" w:color="auto"/>
              <w:left w:val="nil"/>
              <w:bottom w:val="single" w:sz="4" w:space="0" w:color="auto"/>
              <w:right w:val="nil"/>
            </w:tcBorders>
            <w:shd w:val="clear" w:color="000000" w:fill="FFFFFF"/>
            <w:noWrap/>
            <w:vAlign w:val="bottom"/>
            <w:hideMark/>
          </w:tcPr>
          <w:p w14:paraId="188C998C" w14:textId="77777777" w:rsidR="00607FDE" w:rsidRPr="00433712" w:rsidRDefault="00FC7837" w:rsidP="0031382E">
            <w:pPr>
              <w:spacing w:after="0" w:line="240" w:lineRule="auto"/>
              <w:jc w:val="center"/>
              <w:rPr>
                <w:rFonts w:eastAsia="Times New Roman" w:cs="Calibri"/>
                <w:b/>
                <w:bCs/>
                <w:color w:val="000000"/>
                <w:lang w:val="sq-AL" w:eastAsia="en-GB"/>
              </w:rPr>
            </w:pPr>
            <w:r>
              <w:rPr>
                <w:rFonts w:eastAsia="Times New Roman" w:cs="Calibri"/>
                <w:b/>
                <w:bCs/>
                <w:color w:val="000000"/>
                <w:lang w:val="sq-AL" w:eastAsia="en-GB"/>
              </w:rPr>
              <w:t>4,140</w:t>
            </w:r>
          </w:p>
        </w:tc>
        <w:tc>
          <w:tcPr>
            <w:tcW w:w="1283" w:type="dxa"/>
            <w:tcBorders>
              <w:top w:val="single" w:sz="4" w:space="0" w:color="auto"/>
              <w:left w:val="nil"/>
              <w:bottom w:val="single" w:sz="4" w:space="0" w:color="auto"/>
              <w:right w:val="nil"/>
            </w:tcBorders>
            <w:shd w:val="clear" w:color="000000" w:fill="FFFFFF"/>
            <w:noWrap/>
            <w:vAlign w:val="bottom"/>
            <w:hideMark/>
          </w:tcPr>
          <w:p w14:paraId="64EB5145" w14:textId="77777777" w:rsidR="00607FDE" w:rsidRPr="00433712" w:rsidRDefault="00FC7837" w:rsidP="005B10D6">
            <w:pPr>
              <w:spacing w:after="0" w:line="240" w:lineRule="auto"/>
              <w:jc w:val="center"/>
              <w:rPr>
                <w:rFonts w:eastAsia="Times New Roman" w:cs="Calibri"/>
                <w:b/>
                <w:bCs/>
                <w:color w:val="000000"/>
                <w:lang w:val="sq-AL" w:eastAsia="en-GB"/>
              </w:rPr>
            </w:pPr>
            <w:commentRangeStart w:id="11"/>
            <w:r>
              <w:rPr>
                <w:rFonts w:eastAsia="Times New Roman" w:cs="Calibri"/>
                <w:b/>
                <w:bCs/>
                <w:color w:val="000000"/>
                <w:lang w:val="sq-AL" w:eastAsia="en-GB"/>
              </w:rPr>
              <w:t>4,23</w:t>
            </w:r>
            <w:r w:rsidR="00433712">
              <w:rPr>
                <w:rFonts w:eastAsia="Times New Roman" w:cs="Calibri"/>
                <w:b/>
                <w:bCs/>
                <w:color w:val="000000"/>
                <w:lang w:val="sq-AL" w:eastAsia="en-GB"/>
              </w:rPr>
              <w:t>1</w:t>
            </w:r>
            <w:commentRangeEnd w:id="11"/>
            <w:r w:rsidR="0019685F">
              <w:rPr>
                <w:rStyle w:val="CommentReference"/>
              </w:rPr>
              <w:commentReference w:id="11"/>
            </w:r>
          </w:p>
        </w:tc>
      </w:tr>
      <w:tr w:rsidR="00607FDE" w:rsidRPr="00433712" w14:paraId="1E441860"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4D95D90F"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nil"/>
              <w:right w:val="nil"/>
            </w:tcBorders>
            <w:shd w:val="clear" w:color="000000" w:fill="FFFFFF"/>
            <w:noWrap/>
            <w:vAlign w:val="bottom"/>
            <w:hideMark/>
          </w:tcPr>
          <w:p w14:paraId="08B50200"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nil"/>
              <w:right w:val="nil"/>
            </w:tcBorders>
            <w:shd w:val="clear" w:color="000000" w:fill="FFFFFF"/>
            <w:noWrap/>
            <w:vAlign w:val="bottom"/>
            <w:hideMark/>
          </w:tcPr>
          <w:p w14:paraId="231A5C8B"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nil"/>
              <w:left w:val="nil"/>
              <w:bottom w:val="nil"/>
              <w:right w:val="nil"/>
            </w:tcBorders>
            <w:shd w:val="clear" w:color="000000" w:fill="FFFFFF"/>
            <w:noWrap/>
            <w:vAlign w:val="bottom"/>
            <w:hideMark/>
          </w:tcPr>
          <w:p w14:paraId="455D1038" w14:textId="77777777" w:rsidR="00607FDE" w:rsidRPr="00433712" w:rsidRDefault="00607FDE" w:rsidP="005B10D6">
            <w:pPr>
              <w:spacing w:after="0" w:line="240" w:lineRule="auto"/>
              <w:jc w:val="center"/>
              <w:rPr>
                <w:rFonts w:eastAsia="Times New Roman" w:cs="Calibri"/>
                <w:color w:val="000000"/>
                <w:lang w:val="sq-AL" w:eastAsia="en-GB"/>
              </w:rPr>
            </w:pPr>
          </w:p>
        </w:tc>
      </w:tr>
    </w:tbl>
    <w:p w14:paraId="4222234D" w14:textId="2E1DEDD0" w:rsidR="008A67AD" w:rsidRDefault="00216C61" w:rsidP="005D4B42">
      <w:pPr>
        <w:jc w:val="both"/>
        <w:rPr>
          <w:lang w:val="sq-AL"/>
        </w:rPr>
      </w:pPr>
      <w:r w:rsidRPr="00D2707A">
        <w:rPr>
          <w:lang w:val="sq-AL"/>
        </w:rPr>
        <w:t>Nga analizat e aplikacionit t</w:t>
      </w:r>
      <w:r w:rsidR="00556BA0" w:rsidRPr="00D2707A">
        <w:rPr>
          <w:lang w:val="sq-AL"/>
        </w:rPr>
        <w:t>ë</w:t>
      </w:r>
      <w:r w:rsidRPr="00D2707A">
        <w:rPr>
          <w:lang w:val="sq-AL"/>
        </w:rPr>
        <w:t xml:space="preserve"> KEDS, ZRRE ka v</w:t>
      </w:r>
      <w:r w:rsidR="00556BA0" w:rsidRPr="00D2707A">
        <w:rPr>
          <w:lang w:val="sq-AL"/>
        </w:rPr>
        <w:t>ë</w:t>
      </w:r>
      <w:r w:rsidRPr="00D2707A">
        <w:rPr>
          <w:lang w:val="sq-AL"/>
        </w:rPr>
        <w:t xml:space="preserve">rejtur </w:t>
      </w:r>
      <w:r w:rsidR="00CD2CB9">
        <w:rPr>
          <w:lang w:val="sq-AL"/>
        </w:rPr>
        <w:t>se</w:t>
      </w:r>
      <w:r w:rsidRPr="00D2707A">
        <w:rPr>
          <w:lang w:val="sq-AL"/>
        </w:rPr>
        <w:t xml:space="preserve"> b</w:t>
      </w:r>
      <w:r w:rsidR="00FC7837" w:rsidRPr="00D2707A">
        <w:rPr>
          <w:lang w:val="sq-AL"/>
        </w:rPr>
        <w:t xml:space="preserve">lerjet e </w:t>
      </w:r>
      <w:r w:rsidRPr="00D2707A">
        <w:rPr>
          <w:lang w:val="sq-AL"/>
        </w:rPr>
        <w:t>energjis</w:t>
      </w:r>
      <w:r w:rsidR="00556BA0" w:rsidRPr="00D2707A">
        <w:rPr>
          <w:lang w:val="sq-AL"/>
        </w:rPr>
        <w:t>ë</w:t>
      </w:r>
      <w:r w:rsidRPr="00D2707A">
        <w:rPr>
          <w:lang w:val="sq-AL"/>
        </w:rPr>
        <w:t xml:space="preserve"> p</w:t>
      </w:r>
      <w:r w:rsidR="00556BA0" w:rsidRPr="00D2707A">
        <w:rPr>
          <w:lang w:val="sq-AL"/>
        </w:rPr>
        <w:t>ë</w:t>
      </w:r>
      <w:r w:rsidRPr="00D2707A">
        <w:rPr>
          <w:lang w:val="sq-AL"/>
        </w:rPr>
        <w:t xml:space="preserve">r mbulimin e </w:t>
      </w:r>
      <w:r w:rsidR="00FC7837" w:rsidRPr="00D2707A">
        <w:rPr>
          <w:lang w:val="sq-AL"/>
        </w:rPr>
        <w:t xml:space="preserve">humbjeve </w:t>
      </w:r>
      <w:r w:rsidRPr="00D2707A">
        <w:rPr>
          <w:lang w:val="sq-AL"/>
        </w:rPr>
        <w:t>jan</w:t>
      </w:r>
      <w:r w:rsidR="00556BA0" w:rsidRPr="00D2707A">
        <w:rPr>
          <w:lang w:val="sq-AL"/>
        </w:rPr>
        <w:t>ë</w:t>
      </w:r>
      <w:r w:rsidRPr="00D2707A">
        <w:rPr>
          <w:lang w:val="sq-AL"/>
        </w:rPr>
        <w:t xml:space="preserve"> </w:t>
      </w:r>
      <w:r w:rsidR="00FC7837" w:rsidRPr="00D2707A">
        <w:rPr>
          <w:lang w:val="sq-AL"/>
        </w:rPr>
        <w:t>1,026 G</w:t>
      </w:r>
      <w:r w:rsidR="00556BA0" w:rsidRPr="00D2707A">
        <w:rPr>
          <w:lang w:val="sq-AL"/>
        </w:rPr>
        <w:t>W</w:t>
      </w:r>
      <w:r w:rsidR="00FC7837" w:rsidRPr="00D2707A">
        <w:rPr>
          <w:lang w:val="sq-AL"/>
        </w:rPr>
        <w:t>h, ndersa humbjet e realizuara</w:t>
      </w:r>
      <w:r w:rsidRPr="00D2707A">
        <w:rPr>
          <w:lang w:val="sq-AL"/>
        </w:rPr>
        <w:t xml:space="preserve"> n</w:t>
      </w:r>
      <w:r w:rsidR="00556BA0" w:rsidRPr="00D2707A">
        <w:rPr>
          <w:lang w:val="sq-AL"/>
        </w:rPr>
        <w:t>ë</w:t>
      </w:r>
      <w:r w:rsidRPr="00D2707A">
        <w:rPr>
          <w:lang w:val="sq-AL"/>
        </w:rPr>
        <w:t xml:space="preserve"> baz</w:t>
      </w:r>
      <w:r w:rsidR="00556BA0" w:rsidRPr="00D2707A">
        <w:rPr>
          <w:lang w:val="sq-AL"/>
        </w:rPr>
        <w:t>ë</w:t>
      </w:r>
      <w:r w:rsidRPr="00D2707A">
        <w:rPr>
          <w:lang w:val="sq-AL"/>
        </w:rPr>
        <w:t xml:space="preserve"> t</w:t>
      </w:r>
      <w:r w:rsidR="00556BA0" w:rsidRPr="00D2707A">
        <w:rPr>
          <w:lang w:val="sq-AL"/>
        </w:rPr>
        <w:t>ë</w:t>
      </w:r>
      <w:r w:rsidRPr="00D2707A">
        <w:rPr>
          <w:lang w:val="sq-AL"/>
        </w:rPr>
        <w:t xml:space="preserve"> rrjedhave fizike t</w:t>
      </w:r>
      <w:r w:rsidR="00556BA0" w:rsidRPr="00D2707A">
        <w:rPr>
          <w:lang w:val="sq-AL"/>
        </w:rPr>
        <w:t>ë</w:t>
      </w:r>
      <w:r w:rsidRPr="00D2707A">
        <w:rPr>
          <w:lang w:val="sq-AL"/>
        </w:rPr>
        <w:t xml:space="preserve"> energjis</w:t>
      </w:r>
      <w:r w:rsidR="00556BA0" w:rsidRPr="00D2707A">
        <w:rPr>
          <w:lang w:val="sq-AL"/>
        </w:rPr>
        <w:t>ë</w:t>
      </w:r>
      <w:r w:rsidRPr="00D2707A">
        <w:rPr>
          <w:lang w:val="sq-AL"/>
        </w:rPr>
        <w:t xml:space="preserve"> jan</w:t>
      </w:r>
      <w:r w:rsidR="00556BA0" w:rsidRPr="00D2707A">
        <w:rPr>
          <w:lang w:val="sq-AL"/>
        </w:rPr>
        <w:t>ë</w:t>
      </w:r>
      <w:r w:rsidR="00FC7837" w:rsidRPr="00D2707A">
        <w:rPr>
          <w:lang w:val="sq-AL"/>
        </w:rPr>
        <w:t xml:space="preserve"> 1,075</w:t>
      </w:r>
      <w:r w:rsidR="002D580A" w:rsidRPr="00D2707A">
        <w:rPr>
          <w:lang w:val="sq-AL"/>
        </w:rPr>
        <w:t>,</w:t>
      </w:r>
      <w:r w:rsidRPr="00D2707A">
        <w:rPr>
          <w:lang w:val="sq-AL"/>
        </w:rPr>
        <w:t xml:space="preserve"> </w:t>
      </w:r>
      <w:r w:rsidR="002D580A" w:rsidRPr="00D2707A">
        <w:rPr>
          <w:lang w:val="sq-AL"/>
        </w:rPr>
        <w:t>k</w:t>
      </w:r>
      <w:r w:rsidRPr="00D2707A">
        <w:rPr>
          <w:lang w:val="sq-AL"/>
        </w:rPr>
        <w:t>jo rezulton me nj</w:t>
      </w:r>
      <w:r w:rsidR="00556BA0" w:rsidRPr="00D2707A">
        <w:rPr>
          <w:lang w:val="sq-AL"/>
        </w:rPr>
        <w:t>ë</w:t>
      </w:r>
      <w:r w:rsidRPr="00D2707A">
        <w:rPr>
          <w:lang w:val="sq-AL"/>
        </w:rPr>
        <w:t xml:space="preserve"> diferenc</w:t>
      </w:r>
      <w:r w:rsidR="00556BA0" w:rsidRPr="00D2707A">
        <w:rPr>
          <w:lang w:val="sq-AL"/>
        </w:rPr>
        <w:t>ë</w:t>
      </w:r>
      <w:r w:rsidRPr="00D2707A">
        <w:rPr>
          <w:lang w:val="sq-AL"/>
        </w:rPr>
        <w:t xml:space="preserve"> prej rreth 4</w:t>
      </w:r>
      <w:r w:rsidR="006B0BF3" w:rsidRPr="00D2707A">
        <w:rPr>
          <w:lang w:val="sq-AL"/>
        </w:rPr>
        <w:t>9</w:t>
      </w:r>
      <w:r w:rsidR="002D580A" w:rsidRPr="00D2707A">
        <w:rPr>
          <w:lang w:val="sq-AL"/>
        </w:rPr>
        <w:t xml:space="preserve"> G</w:t>
      </w:r>
      <w:r w:rsidR="00556BA0" w:rsidRPr="00D2707A">
        <w:rPr>
          <w:lang w:val="sq-AL"/>
        </w:rPr>
        <w:t>W</w:t>
      </w:r>
      <w:r w:rsidR="002D580A" w:rsidRPr="00D2707A">
        <w:rPr>
          <w:lang w:val="sq-AL"/>
        </w:rPr>
        <w:t>h</w:t>
      </w:r>
      <w:r w:rsidR="002D580A" w:rsidRPr="00431EAA">
        <w:rPr>
          <w:lang w:val="sq-AL"/>
        </w:rPr>
        <w:t>.</w:t>
      </w:r>
      <w:r w:rsidR="006B0BF3" w:rsidRPr="00431EAA">
        <w:rPr>
          <w:lang w:val="sq-AL"/>
        </w:rPr>
        <w:t xml:space="preserve"> </w:t>
      </w:r>
      <w:r w:rsidR="002D580A" w:rsidRPr="00431EAA">
        <w:rPr>
          <w:lang w:val="sq-AL"/>
        </w:rPr>
        <w:t>P</w:t>
      </w:r>
      <w:r w:rsidR="006B0BF3" w:rsidRPr="00431EAA">
        <w:rPr>
          <w:lang w:val="sq-AL"/>
        </w:rPr>
        <w:t xml:space="preserve">or nga </w:t>
      </w:r>
      <w:r w:rsidR="006B0BF3" w:rsidRPr="00431EAA">
        <w:rPr>
          <w:lang w:val="sq-AL"/>
        </w:rPr>
        <w:lastRenderedPageBreak/>
        <w:t xml:space="preserve">analizimi i mekanizmit balancues vërehet se KEDS-it i </w:t>
      </w:r>
      <w:r w:rsidR="00FB398A" w:rsidRPr="00431EAA">
        <w:rPr>
          <w:lang w:val="sq-AL"/>
        </w:rPr>
        <w:t xml:space="preserve">neto i </w:t>
      </w:r>
      <w:r w:rsidR="006B0BF3" w:rsidRPr="00431EAA">
        <w:rPr>
          <w:lang w:val="sq-AL"/>
        </w:rPr>
        <w:t xml:space="preserve">janë faturuar </w:t>
      </w:r>
      <w:r w:rsidR="00FB398A" w:rsidRPr="00431EAA">
        <w:rPr>
          <w:lang w:val="sq-AL"/>
        </w:rPr>
        <w:t>54</w:t>
      </w:r>
      <w:r w:rsidR="006B0BF3" w:rsidRPr="00431EAA">
        <w:rPr>
          <w:lang w:val="sq-AL"/>
        </w:rPr>
        <w:t xml:space="preserve"> G</w:t>
      </w:r>
      <w:r w:rsidR="00556BA0" w:rsidRPr="00431EAA">
        <w:rPr>
          <w:lang w:val="sq-AL"/>
        </w:rPr>
        <w:t>W</w:t>
      </w:r>
      <w:r w:rsidR="006B0BF3" w:rsidRPr="00431EAA">
        <w:rPr>
          <w:lang w:val="sq-AL"/>
        </w:rPr>
        <w:t>h</w:t>
      </w:r>
      <w:r w:rsidR="00431EAA">
        <w:rPr>
          <w:lang w:val="sq-AL"/>
        </w:rPr>
        <w:t xml:space="preserve"> (shtyerje 11GWh, ndërsa tëreheqje 65GWh)</w:t>
      </w:r>
      <w:r w:rsidR="006B0BF3" w:rsidRPr="00431EAA">
        <w:rPr>
          <w:lang w:val="sq-AL"/>
        </w:rPr>
        <w:t xml:space="preserve"> si tërheqje të </w:t>
      </w:r>
      <w:r w:rsidR="00431EAA">
        <w:rPr>
          <w:lang w:val="sq-AL"/>
        </w:rPr>
        <w:t>e</w:t>
      </w:r>
      <w:r w:rsidR="006B0BF3" w:rsidRPr="00431EAA">
        <w:rPr>
          <w:lang w:val="sq-AL"/>
        </w:rPr>
        <w:t>nergjisë.</w:t>
      </w:r>
      <w:r w:rsidR="006B0BF3">
        <w:rPr>
          <w:lang w:val="sq-AL"/>
        </w:rPr>
        <w:t xml:space="preserve"> </w:t>
      </w:r>
    </w:p>
    <w:p w14:paraId="72954943" w14:textId="0159A676" w:rsidR="00120327" w:rsidRDefault="006F7E96" w:rsidP="00216F71">
      <w:pPr>
        <w:jc w:val="both"/>
        <w:rPr>
          <w:lang w:val="sq-AL"/>
        </w:rPr>
      </w:pPr>
      <w:r w:rsidRPr="00F001EB">
        <w:rPr>
          <w:lang w:val="sq-AL"/>
        </w:rPr>
        <w:t xml:space="preserve">Devijimet e tilla mbulohen nga rrjeti intern dhe nga sistemi interkonektiv. </w:t>
      </w:r>
      <w:r w:rsidR="0006542D" w:rsidRPr="00F001EB">
        <w:rPr>
          <w:lang w:val="sq-AL"/>
        </w:rPr>
        <w:t>Pas pavarësimit të KOSTT-it, balancimi i sistemit nuk duhet të vazhdojë përmes FSHU-së nga Programi i Kompenzimit për asnjë pal</w:t>
      </w:r>
      <w:r w:rsidR="00CC4639" w:rsidRPr="00F001EB">
        <w:rPr>
          <w:lang w:val="sq-AL"/>
        </w:rPr>
        <w:t>ë tregtare</w:t>
      </w:r>
      <w:r w:rsidR="00120327" w:rsidRPr="00F001EB">
        <w:rPr>
          <w:lang w:val="sq-AL"/>
        </w:rPr>
        <w:t>,</w:t>
      </w:r>
      <w:r w:rsidR="0006542D" w:rsidRPr="00F001EB">
        <w:rPr>
          <w:lang w:val="sq-AL"/>
        </w:rPr>
        <w:t xml:space="preserve"> ngase </w:t>
      </w:r>
      <w:r w:rsidR="00120327" w:rsidRPr="00F001EB">
        <w:rPr>
          <w:lang w:val="sq-AL"/>
        </w:rPr>
        <w:t xml:space="preserve">blerjet përmes </w:t>
      </w:r>
      <w:r w:rsidR="00D2707A" w:rsidRPr="00F001EB">
        <w:rPr>
          <w:lang w:val="sq-AL"/>
        </w:rPr>
        <w:t>P</w:t>
      </w:r>
      <w:r w:rsidR="00120327" w:rsidRPr="00F001EB">
        <w:rPr>
          <w:lang w:val="sq-AL"/>
        </w:rPr>
        <w:t>rogramit të Kompenzimit kanë kostot m</w:t>
      </w:r>
      <w:r w:rsidR="00D2707A" w:rsidRPr="00F001EB">
        <w:rPr>
          <w:lang w:val="sq-AL"/>
        </w:rPr>
        <w:t>ë</w:t>
      </w:r>
      <w:r w:rsidR="00120327" w:rsidRPr="00F001EB">
        <w:rPr>
          <w:lang w:val="sq-AL"/>
        </w:rPr>
        <w:t xml:space="preserve"> t</w:t>
      </w:r>
      <w:r w:rsidR="00D2707A" w:rsidRPr="00F001EB">
        <w:rPr>
          <w:lang w:val="sq-AL"/>
        </w:rPr>
        <w:t>ë</w:t>
      </w:r>
      <w:r w:rsidR="00120327" w:rsidRPr="00F001EB">
        <w:rPr>
          <w:lang w:val="sq-AL"/>
        </w:rPr>
        <w:t xml:space="preserve"> larta se sa penalizimet q</w:t>
      </w:r>
      <w:r w:rsidR="00D2707A" w:rsidRPr="00F001EB">
        <w:rPr>
          <w:lang w:val="sq-AL"/>
        </w:rPr>
        <w:t>ë</w:t>
      </w:r>
      <w:r w:rsidR="00120327" w:rsidRPr="00F001EB">
        <w:rPr>
          <w:lang w:val="sq-AL"/>
        </w:rPr>
        <w:t xml:space="preserve"> paguajn</w:t>
      </w:r>
      <w:r w:rsidR="00D2707A" w:rsidRPr="00F001EB">
        <w:rPr>
          <w:lang w:val="sq-AL"/>
        </w:rPr>
        <w:t>ë</w:t>
      </w:r>
      <w:r w:rsidR="00120327" w:rsidRPr="00F001EB">
        <w:rPr>
          <w:lang w:val="sq-AL"/>
        </w:rPr>
        <w:t xml:space="preserve"> pal</w:t>
      </w:r>
      <w:r w:rsidR="00D2707A" w:rsidRPr="00F001EB">
        <w:rPr>
          <w:lang w:val="sq-AL"/>
        </w:rPr>
        <w:t>ë</w:t>
      </w:r>
      <w:r w:rsidR="00120327" w:rsidRPr="00F001EB">
        <w:rPr>
          <w:lang w:val="sq-AL"/>
        </w:rPr>
        <w:t>t p</w:t>
      </w:r>
      <w:r w:rsidR="00D2707A" w:rsidRPr="00F001EB">
        <w:rPr>
          <w:lang w:val="sq-AL"/>
        </w:rPr>
        <w:t>ë</w:t>
      </w:r>
      <w:r w:rsidR="00120327" w:rsidRPr="00F001EB">
        <w:rPr>
          <w:lang w:val="sq-AL"/>
        </w:rPr>
        <w:t>rmes mekanzimit balancues p</w:t>
      </w:r>
      <w:r w:rsidR="00D2707A" w:rsidRPr="00F001EB">
        <w:rPr>
          <w:lang w:val="sq-AL"/>
        </w:rPr>
        <w:t>ë</w:t>
      </w:r>
      <w:r w:rsidR="00120327" w:rsidRPr="00F001EB">
        <w:rPr>
          <w:lang w:val="sq-AL"/>
        </w:rPr>
        <w:t>r shkak t</w:t>
      </w:r>
      <w:r w:rsidR="00D2707A" w:rsidRPr="00F001EB">
        <w:rPr>
          <w:lang w:val="sq-AL"/>
        </w:rPr>
        <w:t>ë</w:t>
      </w:r>
      <w:r w:rsidR="00120327" w:rsidRPr="00F001EB">
        <w:rPr>
          <w:lang w:val="sq-AL"/>
        </w:rPr>
        <w:t xml:space="preserve"> devijimeve q</w:t>
      </w:r>
      <w:r w:rsidR="00D2707A" w:rsidRPr="00F001EB">
        <w:rPr>
          <w:lang w:val="sq-AL"/>
        </w:rPr>
        <w:t>ë</w:t>
      </w:r>
      <w:r w:rsidR="00120327" w:rsidRPr="00F001EB">
        <w:rPr>
          <w:lang w:val="sq-AL"/>
        </w:rPr>
        <w:t xml:space="preserve"> kan</w:t>
      </w:r>
      <w:r w:rsidR="00D2707A" w:rsidRPr="00F001EB">
        <w:rPr>
          <w:lang w:val="sq-AL"/>
        </w:rPr>
        <w:t>ë</w:t>
      </w:r>
      <w:r w:rsidR="00120327" w:rsidRPr="00F001EB">
        <w:rPr>
          <w:lang w:val="sq-AL"/>
        </w:rPr>
        <w:t xml:space="preserve"> shkaktuar. Prandaj</w:t>
      </w:r>
      <w:r w:rsidR="00D2707A" w:rsidRPr="00F001EB">
        <w:rPr>
          <w:lang w:val="sq-AL"/>
        </w:rPr>
        <w:t>,</w:t>
      </w:r>
      <w:r w:rsidR="00120327" w:rsidRPr="00F001EB">
        <w:rPr>
          <w:lang w:val="sq-AL"/>
        </w:rPr>
        <w:t xml:space="preserve"> p</w:t>
      </w:r>
      <w:r w:rsidR="00D2707A" w:rsidRPr="00F001EB">
        <w:rPr>
          <w:lang w:val="sq-AL"/>
        </w:rPr>
        <w:t>ë</w:t>
      </w:r>
      <w:r w:rsidR="00120327" w:rsidRPr="00F001EB">
        <w:rPr>
          <w:lang w:val="sq-AL"/>
        </w:rPr>
        <w:t>r kostot e shkaktuara</w:t>
      </w:r>
      <w:r w:rsidR="00E22B03">
        <w:rPr>
          <w:lang w:val="sq-AL"/>
        </w:rPr>
        <w:t xml:space="preserve"> (nga devijimet interkonektive)</w:t>
      </w:r>
      <w:r w:rsidR="00120327" w:rsidRPr="00F001EB">
        <w:rPr>
          <w:lang w:val="sq-AL"/>
        </w:rPr>
        <w:t>, pal</w:t>
      </w:r>
      <w:r w:rsidR="00D2707A" w:rsidRPr="00F001EB">
        <w:rPr>
          <w:lang w:val="sq-AL"/>
        </w:rPr>
        <w:t>ë</w:t>
      </w:r>
      <w:r w:rsidR="00120327" w:rsidRPr="00F001EB">
        <w:rPr>
          <w:lang w:val="sq-AL"/>
        </w:rPr>
        <w:t>t tregtare kan</w:t>
      </w:r>
      <w:r w:rsidR="00D2707A" w:rsidRPr="00F001EB">
        <w:rPr>
          <w:lang w:val="sq-AL"/>
        </w:rPr>
        <w:t>ë</w:t>
      </w:r>
      <w:r w:rsidR="00120327" w:rsidRPr="00F001EB">
        <w:rPr>
          <w:lang w:val="sq-AL"/>
        </w:rPr>
        <w:t xml:space="preserve"> paguar vler</w:t>
      </w:r>
      <w:r w:rsidR="00D2707A" w:rsidRPr="00F001EB">
        <w:rPr>
          <w:lang w:val="sq-AL"/>
        </w:rPr>
        <w:t>ë</w:t>
      </w:r>
      <w:r w:rsidR="00120327" w:rsidRPr="00F001EB">
        <w:rPr>
          <w:lang w:val="sq-AL"/>
        </w:rPr>
        <w:t xml:space="preserve"> m</w:t>
      </w:r>
      <w:r w:rsidR="00D2707A" w:rsidRPr="00F001EB">
        <w:rPr>
          <w:lang w:val="sq-AL"/>
        </w:rPr>
        <w:t>ë</w:t>
      </w:r>
      <w:r w:rsidR="00120327" w:rsidRPr="00F001EB">
        <w:rPr>
          <w:lang w:val="sq-AL"/>
        </w:rPr>
        <w:t xml:space="preserve"> t</w:t>
      </w:r>
      <w:r w:rsidR="00D2707A" w:rsidRPr="00F001EB">
        <w:rPr>
          <w:lang w:val="sq-AL"/>
        </w:rPr>
        <w:t>ë</w:t>
      </w:r>
      <w:r w:rsidR="00120327" w:rsidRPr="00F001EB">
        <w:rPr>
          <w:lang w:val="sq-AL"/>
        </w:rPr>
        <w:t xml:space="preserve"> ul</w:t>
      </w:r>
      <w:r w:rsidR="00D2707A" w:rsidRPr="00F001EB">
        <w:rPr>
          <w:lang w:val="sq-AL"/>
        </w:rPr>
        <w:t>ë</w:t>
      </w:r>
      <w:r w:rsidR="00120327" w:rsidRPr="00F001EB">
        <w:rPr>
          <w:lang w:val="sq-AL"/>
        </w:rPr>
        <w:t>t si nd</w:t>
      </w:r>
      <w:r w:rsidR="00D2707A" w:rsidRPr="00F001EB">
        <w:rPr>
          <w:lang w:val="sq-AL"/>
        </w:rPr>
        <w:t>ë</w:t>
      </w:r>
      <w:r w:rsidR="00431EAA">
        <w:rPr>
          <w:lang w:val="sq-AL"/>
        </w:rPr>
        <w:t>shkim nga mekaniz</w:t>
      </w:r>
      <w:r w:rsidR="00120327" w:rsidRPr="00F001EB">
        <w:rPr>
          <w:lang w:val="sq-AL"/>
        </w:rPr>
        <w:t xml:space="preserve">mi balancues. </w:t>
      </w:r>
      <w:r w:rsidR="00646C52" w:rsidRPr="00CA3D1A">
        <w:rPr>
          <w:lang w:val="sq-AL"/>
        </w:rPr>
        <w:t xml:space="preserve"> </w:t>
      </w:r>
      <w:r w:rsidR="00017060" w:rsidRPr="00CA3D1A">
        <w:rPr>
          <w:lang w:val="sq-AL"/>
        </w:rPr>
        <w:t>D</w:t>
      </w:r>
      <w:r w:rsidR="00646C52" w:rsidRPr="00CA3D1A">
        <w:rPr>
          <w:lang w:val="sq-AL"/>
        </w:rPr>
        <w:t xml:space="preserve">evijmet e tilla </w:t>
      </w:r>
      <w:r w:rsidR="00216F71" w:rsidRPr="00CA3D1A">
        <w:rPr>
          <w:lang w:val="sq-AL"/>
        </w:rPr>
        <w:t>p</w:t>
      </w:r>
      <w:r w:rsidR="00646C52" w:rsidRPr="00CA3D1A">
        <w:rPr>
          <w:lang w:val="sq-AL"/>
        </w:rPr>
        <w:t>ë</w:t>
      </w:r>
      <w:r w:rsidR="00216F71" w:rsidRPr="00CA3D1A">
        <w:rPr>
          <w:lang w:val="sq-AL"/>
        </w:rPr>
        <w:t>r</w:t>
      </w:r>
      <w:r w:rsidR="00646C52" w:rsidRPr="00CA3D1A">
        <w:rPr>
          <w:lang w:val="sq-AL"/>
        </w:rPr>
        <w:t xml:space="preserve"> OSSh-</w:t>
      </w:r>
      <w:r w:rsidR="00216F71" w:rsidRPr="00CA3D1A">
        <w:rPr>
          <w:lang w:val="sq-AL"/>
        </w:rPr>
        <w:t>n</w:t>
      </w:r>
      <w:r w:rsidR="00646C52" w:rsidRPr="00CA3D1A">
        <w:rPr>
          <w:lang w:val="sq-AL"/>
        </w:rPr>
        <w:t>ë</w:t>
      </w:r>
      <w:r w:rsidR="00396478" w:rsidRPr="00CA3D1A">
        <w:rPr>
          <w:lang w:val="sq-AL"/>
        </w:rPr>
        <w:t xml:space="preserve"> mund të shkaktohen </w:t>
      </w:r>
      <w:r w:rsidR="00646C52" w:rsidRPr="00CA3D1A">
        <w:rPr>
          <w:lang w:val="sq-AL"/>
        </w:rPr>
        <w:t>nga pa</w:t>
      </w:r>
      <w:r w:rsidR="00396478" w:rsidRPr="00CA3D1A">
        <w:rPr>
          <w:lang w:val="sq-AL"/>
        </w:rPr>
        <w:t>saktësi</w:t>
      </w:r>
      <w:r w:rsidR="00646C52" w:rsidRPr="00CA3D1A">
        <w:rPr>
          <w:lang w:val="sq-AL"/>
        </w:rPr>
        <w:t>a</w:t>
      </w:r>
      <w:r w:rsidR="00396478" w:rsidRPr="00CA3D1A">
        <w:rPr>
          <w:lang w:val="sq-AL"/>
        </w:rPr>
        <w:t xml:space="preserve"> në</w:t>
      </w:r>
      <w:r w:rsidR="00646C52" w:rsidRPr="00CA3D1A">
        <w:rPr>
          <w:lang w:val="sq-AL"/>
        </w:rPr>
        <w:t xml:space="preserve"> parashkim</w:t>
      </w:r>
      <w:r w:rsidR="00216F71" w:rsidRPr="00CA3D1A">
        <w:rPr>
          <w:lang w:val="sq-AL"/>
        </w:rPr>
        <w:t xml:space="preserve"> për humbje nga </w:t>
      </w:r>
      <w:r w:rsidR="00017060" w:rsidRPr="00CA3D1A">
        <w:rPr>
          <w:lang w:val="sq-AL"/>
        </w:rPr>
        <w:t xml:space="preserve">vet </w:t>
      </w:r>
      <w:r w:rsidR="00216F71" w:rsidRPr="00CA3D1A">
        <w:rPr>
          <w:lang w:val="sq-AL"/>
        </w:rPr>
        <w:t xml:space="preserve">OSSh </w:t>
      </w:r>
      <w:r w:rsidR="00646C52" w:rsidRPr="00CA3D1A">
        <w:rPr>
          <w:lang w:val="sq-AL"/>
        </w:rPr>
        <w:t xml:space="preserve">si dhe </w:t>
      </w:r>
      <w:r w:rsidR="00396478" w:rsidRPr="00CA3D1A">
        <w:rPr>
          <w:lang w:val="sq-AL"/>
        </w:rPr>
        <w:t>nga</w:t>
      </w:r>
      <w:r w:rsidR="00646C52" w:rsidRPr="00CA3D1A">
        <w:rPr>
          <w:lang w:val="sq-AL"/>
        </w:rPr>
        <w:t xml:space="preserve"> ndryshimet e</w:t>
      </w:r>
      <w:r w:rsidR="00396478" w:rsidRPr="00CA3D1A">
        <w:rPr>
          <w:lang w:val="sq-AL"/>
        </w:rPr>
        <w:t xml:space="preserve"> </w:t>
      </w:r>
      <w:r w:rsidR="00646C52" w:rsidRPr="00CA3D1A">
        <w:rPr>
          <w:lang w:val="sq-AL"/>
        </w:rPr>
        <w:t>kërkesës për energji</w:t>
      </w:r>
      <w:r w:rsidR="00216F71" w:rsidRPr="00CA3D1A">
        <w:rPr>
          <w:lang w:val="sq-AL"/>
        </w:rPr>
        <w:t xml:space="preserve"> të nominuar nga furniz</w:t>
      </w:r>
      <w:r w:rsidR="008C5359" w:rsidRPr="00CA3D1A">
        <w:rPr>
          <w:lang w:val="sq-AL"/>
        </w:rPr>
        <w:t>uesit.</w:t>
      </w:r>
      <w:r w:rsidR="00D178A1" w:rsidRPr="00CA3D1A">
        <w:rPr>
          <w:lang w:val="sq-AL"/>
        </w:rPr>
        <w:t xml:space="preserve"> </w:t>
      </w:r>
      <w:r w:rsidR="008C5359" w:rsidRPr="00CA3D1A">
        <w:rPr>
          <w:lang w:val="sq-AL"/>
        </w:rPr>
        <w:t>Për</w:t>
      </w:r>
      <w:r w:rsidR="00017060" w:rsidRPr="00CA3D1A">
        <w:rPr>
          <w:lang w:val="sq-AL"/>
        </w:rPr>
        <w:t xml:space="preserve"> dev</w:t>
      </w:r>
      <w:r w:rsidR="00216F71" w:rsidRPr="00CA3D1A">
        <w:rPr>
          <w:lang w:val="sq-AL"/>
        </w:rPr>
        <w:t>ijme</w:t>
      </w:r>
      <w:r w:rsidR="00017060" w:rsidRPr="00CA3D1A">
        <w:rPr>
          <w:lang w:val="sq-AL"/>
        </w:rPr>
        <w:t>t</w:t>
      </w:r>
      <w:r w:rsidR="00216F71" w:rsidRPr="00CA3D1A">
        <w:rPr>
          <w:lang w:val="sq-AL"/>
        </w:rPr>
        <w:t xml:space="preserve"> të tilla </w:t>
      </w:r>
      <w:r w:rsidR="00017060" w:rsidRPr="00CA3D1A">
        <w:rPr>
          <w:lang w:val="sq-AL"/>
        </w:rPr>
        <w:t xml:space="preserve">palët </w:t>
      </w:r>
      <w:r w:rsidR="008C5359" w:rsidRPr="00CA3D1A">
        <w:rPr>
          <w:lang w:val="sq-AL"/>
        </w:rPr>
        <w:t xml:space="preserve">OSSh dhe FSHU janë ngarkuar në bazë të alokimit dhe jo </w:t>
      </w:r>
      <w:r w:rsidR="00310126" w:rsidRPr="00CA3D1A">
        <w:rPr>
          <w:lang w:val="sq-AL"/>
        </w:rPr>
        <w:t>në bazë të</w:t>
      </w:r>
      <w:r w:rsidR="008C5359" w:rsidRPr="00CA3D1A">
        <w:rPr>
          <w:lang w:val="sq-AL"/>
        </w:rPr>
        <w:t xml:space="preserve"> </w:t>
      </w:r>
      <w:r w:rsidR="00310126" w:rsidRPr="00CA3D1A">
        <w:rPr>
          <w:lang w:val="sq-AL"/>
        </w:rPr>
        <w:t>dejvimeve</w:t>
      </w:r>
      <w:r w:rsidR="008C5359" w:rsidRPr="00CA3D1A">
        <w:rPr>
          <w:lang w:val="sq-AL"/>
        </w:rPr>
        <w:t xml:space="preserve"> reale të shkaktuara. Ky parim është aplikuar</w:t>
      </w:r>
      <w:r w:rsidR="00216F71" w:rsidRPr="00CA3D1A">
        <w:rPr>
          <w:lang w:val="sq-AL"/>
        </w:rPr>
        <w:t xml:space="preserve"> që nga koha e fillimit të implementimit të mekanizmit balancues</w:t>
      </w:r>
      <w:r w:rsidR="008C5359" w:rsidRPr="00CA3D1A">
        <w:rPr>
          <w:lang w:val="sq-AL"/>
        </w:rPr>
        <w:t>.</w:t>
      </w:r>
      <w:r w:rsidR="00216F71" w:rsidRPr="00CA3D1A">
        <w:rPr>
          <w:lang w:val="sq-AL"/>
        </w:rPr>
        <w:t xml:space="preserve"> </w:t>
      </w:r>
      <w:r w:rsidR="008C5359" w:rsidRPr="00CA3D1A">
        <w:rPr>
          <w:lang w:val="sq-AL"/>
        </w:rPr>
        <w:t xml:space="preserve">Si rezultat i kësaj qasje </w:t>
      </w:r>
      <w:r w:rsidR="00216F71" w:rsidRPr="00CA3D1A">
        <w:rPr>
          <w:lang w:val="sq-AL"/>
        </w:rPr>
        <w:t>janë evidentuar gabime në</w:t>
      </w:r>
      <w:r w:rsidR="00310126" w:rsidRPr="00CA3D1A">
        <w:rPr>
          <w:lang w:val="sq-AL"/>
        </w:rPr>
        <w:t xml:space="preserve"> kalkulimin real të </w:t>
      </w:r>
      <w:r w:rsidR="00216F71" w:rsidRPr="00CA3D1A">
        <w:rPr>
          <w:lang w:val="sq-AL"/>
        </w:rPr>
        <w:t>jobalanceve për palët përgjegjë</w:t>
      </w:r>
      <w:r w:rsidR="00017060" w:rsidRPr="00CA3D1A">
        <w:rPr>
          <w:lang w:val="sq-AL"/>
        </w:rPr>
        <w:t>se</w:t>
      </w:r>
      <w:r w:rsidR="00310126" w:rsidRPr="00CA3D1A">
        <w:rPr>
          <w:lang w:val="sq-AL"/>
        </w:rPr>
        <w:t xml:space="preserve"> (OSSh dhe FSHU)</w:t>
      </w:r>
      <w:r w:rsidR="00017060" w:rsidRPr="00CA3D1A">
        <w:rPr>
          <w:lang w:val="sq-AL"/>
        </w:rPr>
        <w:t xml:space="preserve">, si pasojë </w:t>
      </w:r>
      <w:r w:rsidR="00216F71" w:rsidRPr="00CA3D1A">
        <w:rPr>
          <w:lang w:val="sq-AL"/>
        </w:rPr>
        <w:t xml:space="preserve">nuk janë reflektuar kostot reale </w:t>
      </w:r>
      <w:r w:rsidR="00017060" w:rsidRPr="00CA3D1A">
        <w:rPr>
          <w:lang w:val="sq-AL"/>
        </w:rPr>
        <w:t xml:space="preserve">për </w:t>
      </w:r>
      <w:r w:rsidR="00216F71" w:rsidRPr="00CA3D1A">
        <w:rPr>
          <w:lang w:val="sq-AL"/>
        </w:rPr>
        <w:t xml:space="preserve">palët </w:t>
      </w:r>
      <w:r w:rsidR="00017060" w:rsidRPr="00CA3D1A">
        <w:rPr>
          <w:lang w:val="sq-AL"/>
        </w:rPr>
        <w:t xml:space="preserve">që </w:t>
      </w:r>
      <w:r w:rsidR="00216F71" w:rsidRPr="00CA3D1A">
        <w:rPr>
          <w:lang w:val="sq-AL"/>
        </w:rPr>
        <w:t xml:space="preserve">kanë shkaktuar. </w:t>
      </w:r>
      <w:r w:rsidR="00216F71" w:rsidRPr="00CA3D1A">
        <w:rPr>
          <w:lang w:val="sq-AL"/>
        </w:rPr>
        <w:lastRenderedPageBreak/>
        <w:t xml:space="preserve">Prandaj, vlerësojmë se duhet bërë një rivlerësim i devijmeve për palët OSSh dhe FSHU </w:t>
      </w:r>
      <w:r w:rsidR="00310126" w:rsidRPr="00CA3D1A">
        <w:rPr>
          <w:lang w:val="sq-AL"/>
        </w:rPr>
        <w:t xml:space="preserve">që nga koha e fillimit të imlementimit të mekanizmit balancues </w:t>
      </w:r>
      <w:r w:rsidR="00216F71" w:rsidRPr="00CA3D1A">
        <w:rPr>
          <w:lang w:val="sq-AL"/>
        </w:rPr>
        <w:t xml:space="preserve">për të evidentuar jobalancet reale në MWh dhe </w:t>
      </w:r>
      <w:r w:rsidR="00310126" w:rsidRPr="00CA3D1A">
        <w:rPr>
          <w:lang w:val="sq-AL"/>
        </w:rPr>
        <w:t>të kostove</w:t>
      </w:r>
      <w:r w:rsidR="00216F71" w:rsidRPr="00CA3D1A">
        <w:rPr>
          <w:lang w:val="sq-AL"/>
        </w:rPr>
        <w:t xml:space="preserve"> që as</w:t>
      </w:r>
      <w:r w:rsidR="00310126" w:rsidRPr="00CA3D1A">
        <w:rPr>
          <w:lang w:val="sq-AL"/>
        </w:rPr>
        <w:t>o</w:t>
      </w:r>
      <w:r w:rsidR="00216F71" w:rsidRPr="00CA3D1A">
        <w:rPr>
          <w:lang w:val="sq-AL"/>
        </w:rPr>
        <w:t>ciohen me to. Pas këtij rivlerësimi</w:t>
      </w:r>
      <w:r w:rsidR="00310126" w:rsidRPr="00CA3D1A">
        <w:rPr>
          <w:lang w:val="sq-AL"/>
        </w:rPr>
        <w:t>,</w:t>
      </w:r>
      <w:r w:rsidR="00216F71" w:rsidRPr="00CA3D1A">
        <w:rPr>
          <w:lang w:val="sq-AL"/>
        </w:rPr>
        <w:t xml:space="preserve"> duhet marrë në konsideratë shqyrtimi i kostove dhe të hyrave të OSS</w:t>
      </w:r>
      <w:r w:rsidR="00310126" w:rsidRPr="00CA3D1A">
        <w:rPr>
          <w:lang w:val="sq-AL"/>
        </w:rPr>
        <w:t>h-s</w:t>
      </w:r>
      <w:r w:rsidR="00216F71" w:rsidRPr="00CA3D1A">
        <w:rPr>
          <w:lang w:val="sq-AL"/>
        </w:rPr>
        <w:t>ë dhe FSHU</w:t>
      </w:r>
      <w:r w:rsidR="00310126" w:rsidRPr="00CA3D1A">
        <w:rPr>
          <w:lang w:val="sq-AL"/>
        </w:rPr>
        <w:t>-s</w:t>
      </w:r>
      <w:r w:rsidR="00216F71" w:rsidRPr="00CA3D1A">
        <w:rPr>
          <w:lang w:val="sq-AL"/>
        </w:rPr>
        <w:t>ë për devijimet e tilla.</w:t>
      </w:r>
    </w:p>
    <w:p w14:paraId="07E9BD0A" w14:textId="17B90194" w:rsidR="00515C2F" w:rsidRPr="00505100" w:rsidRDefault="00515C2F" w:rsidP="00515C2F">
      <w:pPr>
        <w:jc w:val="both"/>
        <w:rPr>
          <w:lang w:val="sq-AL"/>
        </w:rPr>
      </w:pPr>
      <w:r w:rsidRPr="00505100">
        <w:rPr>
          <w:lang w:val="sq-AL"/>
        </w:rPr>
        <w:t xml:space="preserve">KEDS dhe KESCO me date 7 korrik 2021 kane njoftuar ZRRE-ne lidhur me gabimet teknike per shitjet e energjise elektrike dhe humbjet e energjise per vitin 2020 te raportuara ne ZRRE, si rrjedhoje paraqiten ndryshime per rreth 18GWh si rritje e humbjeve te OSSh-se, perkatesisht ulje e faturimit per te njejten sasi. Duke qene se dallimi i tille implikon edhe barazimet e mekanizimit balancues per palet tregtare, ZRRE ne kete raport konsultativ nuk do te marr ne konsiderate korrigjimin e tille, dhe pret nga KEDS qe te informoje dhe konsultoje edhe palet tjera tregtare per korrigjimet e tilla dhe me pastaj te evidentohen implikimet e ketij korigjimi per secilen pale tregtare. </w:t>
      </w:r>
    </w:p>
    <w:p w14:paraId="6D35A3E7" w14:textId="333BA217" w:rsidR="005F2781" w:rsidRPr="0050005A" w:rsidRDefault="00DD39E5" w:rsidP="00FF0B59">
      <w:pPr>
        <w:jc w:val="both"/>
        <w:rPr>
          <w:lang w:val="sq-AL"/>
        </w:rPr>
      </w:pPr>
      <w:r>
        <w:rPr>
          <w:lang w:val="sq-AL"/>
        </w:rPr>
        <w:t>Planifikimi i rrjedhave t</w:t>
      </w:r>
      <w:r w:rsidR="00F001EB">
        <w:rPr>
          <w:lang w:val="sq-AL"/>
        </w:rPr>
        <w:t>ë</w:t>
      </w:r>
      <w:r>
        <w:rPr>
          <w:lang w:val="sq-AL"/>
        </w:rPr>
        <w:t xml:space="preserve"> energjis</w:t>
      </w:r>
      <w:r w:rsidR="00F001EB">
        <w:rPr>
          <w:lang w:val="sq-AL"/>
        </w:rPr>
        <w:t>ë</w:t>
      </w:r>
      <w:r>
        <w:rPr>
          <w:lang w:val="sq-AL"/>
        </w:rPr>
        <w:t xml:space="preserve"> p</w:t>
      </w:r>
      <w:r w:rsidR="00F001EB">
        <w:rPr>
          <w:lang w:val="sq-AL"/>
        </w:rPr>
        <w:t>ë</w:t>
      </w:r>
      <w:r>
        <w:rPr>
          <w:lang w:val="sq-AL"/>
        </w:rPr>
        <w:t xml:space="preserve">r vitin 2021, </w:t>
      </w:r>
      <w:r w:rsidR="00F001EB">
        <w:rPr>
          <w:lang w:val="sq-AL"/>
        </w:rPr>
        <w:t>ë</w:t>
      </w:r>
      <w:r>
        <w:rPr>
          <w:lang w:val="sq-AL"/>
        </w:rPr>
        <w:t>sht</w:t>
      </w:r>
      <w:r w:rsidR="00F001EB">
        <w:rPr>
          <w:lang w:val="sq-AL"/>
        </w:rPr>
        <w:t>ë</w:t>
      </w:r>
      <w:r>
        <w:rPr>
          <w:lang w:val="sq-AL"/>
        </w:rPr>
        <w:t xml:space="preserve"> b</w:t>
      </w:r>
      <w:r w:rsidR="00F001EB">
        <w:rPr>
          <w:lang w:val="sq-AL"/>
        </w:rPr>
        <w:t>ë</w:t>
      </w:r>
      <w:r>
        <w:rPr>
          <w:lang w:val="sq-AL"/>
        </w:rPr>
        <w:t>r</w:t>
      </w:r>
      <w:r w:rsidR="00F001EB">
        <w:rPr>
          <w:lang w:val="sq-AL"/>
        </w:rPr>
        <w:t>ë</w:t>
      </w:r>
      <w:r>
        <w:rPr>
          <w:lang w:val="sq-AL"/>
        </w:rPr>
        <w:t xml:space="preserve"> duke p</w:t>
      </w:r>
      <w:r w:rsidR="00F001EB">
        <w:rPr>
          <w:lang w:val="sq-AL"/>
        </w:rPr>
        <w:t>ë</w:t>
      </w:r>
      <w:r>
        <w:rPr>
          <w:lang w:val="sq-AL"/>
        </w:rPr>
        <w:t>rdorur qasjen nga konsumi dhe duke aplikuar nivelin e lejuar t</w:t>
      </w:r>
      <w:r w:rsidR="00F001EB">
        <w:rPr>
          <w:lang w:val="sq-AL"/>
        </w:rPr>
        <w:t>ë</w:t>
      </w:r>
      <w:r>
        <w:rPr>
          <w:lang w:val="sq-AL"/>
        </w:rPr>
        <w:t xml:space="preserve"> humbjeve n</w:t>
      </w:r>
      <w:r w:rsidR="00F001EB">
        <w:rPr>
          <w:lang w:val="sq-AL"/>
        </w:rPr>
        <w:t>ë</w:t>
      </w:r>
      <w:r>
        <w:rPr>
          <w:lang w:val="sq-AL"/>
        </w:rPr>
        <w:t xml:space="preserve"> OSSH prej 16.4%.</w:t>
      </w:r>
    </w:p>
    <w:p w14:paraId="3DDDD618" w14:textId="378BA0BF" w:rsidR="007345DF" w:rsidRDefault="00D8369A" w:rsidP="00FF0B59">
      <w:pPr>
        <w:jc w:val="both"/>
        <w:rPr>
          <w:lang w:val="sq-AL"/>
        </w:rPr>
      </w:pPr>
      <w:r w:rsidRPr="0050005A">
        <w:rPr>
          <w:lang w:val="sq-AL"/>
        </w:rPr>
        <w:lastRenderedPageBreak/>
        <w:t xml:space="preserve">KEDS </w:t>
      </w:r>
      <w:r w:rsidR="00EF039A">
        <w:rPr>
          <w:lang w:val="sq-AL"/>
        </w:rPr>
        <w:t xml:space="preserve">në aplikacionin </w:t>
      </w:r>
      <w:r w:rsidR="007345DF">
        <w:rPr>
          <w:lang w:val="sq-AL"/>
        </w:rPr>
        <w:t xml:space="preserve">e tij </w:t>
      </w:r>
      <w:r w:rsidRPr="0050005A">
        <w:rPr>
          <w:lang w:val="sq-AL"/>
        </w:rPr>
        <w:t>ka k</w:t>
      </w:r>
      <w:r w:rsidR="002C13E9">
        <w:rPr>
          <w:lang w:val="sq-AL"/>
        </w:rPr>
        <w:t>ë</w:t>
      </w:r>
      <w:r w:rsidRPr="0050005A">
        <w:rPr>
          <w:lang w:val="sq-AL"/>
        </w:rPr>
        <w:t xml:space="preserve">rkuar </w:t>
      </w:r>
      <w:r w:rsidR="00516516" w:rsidRPr="0050005A">
        <w:rPr>
          <w:lang w:val="sq-AL"/>
        </w:rPr>
        <w:t>q</w:t>
      </w:r>
      <w:r w:rsidR="002C13E9">
        <w:rPr>
          <w:lang w:val="sq-AL"/>
        </w:rPr>
        <w:t>ë</w:t>
      </w:r>
      <w:r w:rsidR="00516516" w:rsidRPr="0050005A">
        <w:rPr>
          <w:lang w:val="sq-AL"/>
        </w:rPr>
        <w:t xml:space="preserve"> vet</w:t>
      </w:r>
      <w:r w:rsidR="002C13E9">
        <w:rPr>
          <w:lang w:val="sq-AL"/>
        </w:rPr>
        <w:t>ë</w:t>
      </w:r>
      <w:r w:rsidR="00516516" w:rsidRPr="0050005A">
        <w:rPr>
          <w:lang w:val="sq-AL"/>
        </w:rPr>
        <w:t>m 20% e kostove q</w:t>
      </w:r>
      <w:r w:rsidR="002C13E9">
        <w:rPr>
          <w:lang w:val="sq-AL"/>
        </w:rPr>
        <w:t>ë</w:t>
      </w:r>
      <w:r w:rsidR="007345DF">
        <w:rPr>
          <w:lang w:val="sq-AL"/>
        </w:rPr>
        <w:t xml:space="preserve"> r</w:t>
      </w:r>
      <w:r w:rsidR="00516516" w:rsidRPr="0050005A">
        <w:rPr>
          <w:lang w:val="sq-AL"/>
        </w:rPr>
        <w:t>ezultojn</w:t>
      </w:r>
      <w:r w:rsidR="002C13E9">
        <w:rPr>
          <w:lang w:val="sq-AL"/>
        </w:rPr>
        <w:t>ë</w:t>
      </w:r>
      <w:r w:rsidR="00516516" w:rsidRPr="0050005A">
        <w:rPr>
          <w:lang w:val="sq-AL"/>
        </w:rPr>
        <w:t xml:space="preserve"> nga faturimi i </w:t>
      </w:r>
      <w:r w:rsidR="007345DF">
        <w:rPr>
          <w:lang w:val="sq-AL"/>
        </w:rPr>
        <w:t xml:space="preserve">energjisë për rikthimin e humbjeve </w:t>
      </w:r>
      <w:r w:rsidR="00516516" w:rsidRPr="0050005A">
        <w:rPr>
          <w:lang w:val="sq-AL"/>
        </w:rPr>
        <w:t>t</w:t>
      </w:r>
      <w:r w:rsidR="002C13E9">
        <w:rPr>
          <w:lang w:val="sq-AL"/>
        </w:rPr>
        <w:t>ë</w:t>
      </w:r>
      <w:r w:rsidR="00516516" w:rsidRPr="0050005A">
        <w:rPr>
          <w:lang w:val="sq-AL"/>
        </w:rPr>
        <w:t xml:space="preserve"> </w:t>
      </w:r>
      <w:r w:rsidR="0009487F" w:rsidRPr="0050005A">
        <w:rPr>
          <w:lang w:val="sq-AL"/>
        </w:rPr>
        <w:t>merret</w:t>
      </w:r>
      <w:r w:rsidR="00516516" w:rsidRPr="0050005A">
        <w:rPr>
          <w:lang w:val="sq-AL"/>
        </w:rPr>
        <w:t xml:space="preserve"> parasysh</w:t>
      </w:r>
      <w:r w:rsidR="0009487F">
        <w:rPr>
          <w:lang w:val="sq-AL"/>
        </w:rPr>
        <w:t>ë</w:t>
      </w:r>
      <w:r w:rsidR="00516516" w:rsidRPr="0050005A">
        <w:rPr>
          <w:lang w:val="sq-AL"/>
        </w:rPr>
        <w:t>, p</w:t>
      </w:r>
      <w:r w:rsidR="002C13E9">
        <w:rPr>
          <w:lang w:val="sq-AL"/>
        </w:rPr>
        <w:t>ë</w:t>
      </w:r>
      <w:r w:rsidR="00516516" w:rsidRPr="0050005A">
        <w:rPr>
          <w:lang w:val="sq-AL"/>
        </w:rPr>
        <w:t>r arsy</w:t>
      </w:r>
      <w:r w:rsidR="007345DF">
        <w:rPr>
          <w:lang w:val="sq-AL"/>
        </w:rPr>
        <w:t>e</w:t>
      </w:r>
      <w:r w:rsidR="00516516" w:rsidRPr="0050005A">
        <w:rPr>
          <w:lang w:val="sq-AL"/>
        </w:rPr>
        <w:t xml:space="preserve"> t</w:t>
      </w:r>
      <w:r w:rsidR="002C13E9">
        <w:rPr>
          <w:lang w:val="sq-AL"/>
        </w:rPr>
        <w:t>ë</w:t>
      </w:r>
      <w:r w:rsidR="00516516" w:rsidRPr="0050005A">
        <w:rPr>
          <w:lang w:val="sq-AL"/>
        </w:rPr>
        <w:t xml:space="preserve"> pamund</w:t>
      </w:r>
      <w:r w:rsidR="002C13E9">
        <w:rPr>
          <w:lang w:val="sq-AL"/>
        </w:rPr>
        <w:t>ë</w:t>
      </w:r>
      <w:r w:rsidR="00516516" w:rsidRPr="0050005A">
        <w:rPr>
          <w:lang w:val="sq-AL"/>
        </w:rPr>
        <w:t>sis</w:t>
      </w:r>
      <w:r w:rsidR="002C13E9">
        <w:rPr>
          <w:lang w:val="sq-AL"/>
        </w:rPr>
        <w:t>ë</w:t>
      </w:r>
      <w:r w:rsidR="00516516" w:rsidRPr="0050005A">
        <w:rPr>
          <w:lang w:val="sq-AL"/>
        </w:rPr>
        <w:t xml:space="preserve"> s</w:t>
      </w:r>
      <w:r w:rsidR="002C13E9">
        <w:rPr>
          <w:lang w:val="sq-AL"/>
        </w:rPr>
        <w:t>ë</w:t>
      </w:r>
      <w:r w:rsidR="00516516" w:rsidRPr="0050005A">
        <w:rPr>
          <w:lang w:val="sq-AL"/>
        </w:rPr>
        <w:t xml:space="preserve"> ark</w:t>
      </w:r>
      <w:r w:rsidR="002C13E9">
        <w:rPr>
          <w:lang w:val="sq-AL"/>
        </w:rPr>
        <w:t>ë</w:t>
      </w:r>
      <w:r w:rsidR="00516516" w:rsidRPr="0050005A">
        <w:rPr>
          <w:lang w:val="sq-AL"/>
        </w:rPr>
        <w:t>timit t</w:t>
      </w:r>
      <w:r w:rsidR="002C13E9">
        <w:rPr>
          <w:lang w:val="sq-AL"/>
        </w:rPr>
        <w:t>ë</w:t>
      </w:r>
      <w:r w:rsidR="00516516" w:rsidRPr="0050005A">
        <w:rPr>
          <w:lang w:val="sq-AL"/>
        </w:rPr>
        <w:t xml:space="preserve"> tyre, si pasoj</w:t>
      </w:r>
      <w:r w:rsidR="002C13E9">
        <w:rPr>
          <w:lang w:val="sq-AL"/>
        </w:rPr>
        <w:t>ë</w:t>
      </w:r>
      <w:r w:rsidR="00516516" w:rsidRPr="0050005A">
        <w:rPr>
          <w:lang w:val="sq-AL"/>
        </w:rPr>
        <w:t xml:space="preserve"> e vonesave t</w:t>
      </w:r>
      <w:r w:rsidR="002C13E9">
        <w:rPr>
          <w:lang w:val="sq-AL"/>
        </w:rPr>
        <w:t>ë</w:t>
      </w:r>
      <w:r w:rsidR="00516516" w:rsidRPr="0050005A">
        <w:rPr>
          <w:lang w:val="sq-AL"/>
        </w:rPr>
        <w:t xml:space="preserve"> procedurave gjyq</w:t>
      </w:r>
      <w:r w:rsidR="002C13E9">
        <w:rPr>
          <w:lang w:val="sq-AL"/>
        </w:rPr>
        <w:t>ë</w:t>
      </w:r>
      <w:r w:rsidR="00516516" w:rsidRPr="0050005A">
        <w:rPr>
          <w:lang w:val="sq-AL"/>
        </w:rPr>
        <w:t>sore</w:t>
      </w:r>
      <w:r w:rsidR="00516516" w:rsidRPr="007345DF">
        <w:rPr>
          <w:lang w:val="sq-AL"/>
        </w:rPr>
        <w:t>.</w:t>
      </w:r>
      <w:r w:rsidR="007345DF" w:rsidRPr="007345DF">
        <w:rPr>
          <w:lang w:val="sq-AL"/>
        </w:rPr>
        <w:t xml:space="preserve"> Rikthimi i humbjeve sipas raporteve të KEDS si dhe verifikimit </w:t>
      </w:r>
      <w:r w:rsidR="00A43E3D">
        <w:rPr>
          <w:lang w:val="sq-AL"/>
        </w:rPr>
        <w:t>të ZRRE, rezulton të jetë prej 4</w:t>
      </w:r>
      <w:r w:rsidR="00F20EBC">
        <w:rPr>
          <w:lang w:val="sq-AL"/>
        </w:rPr>
        <w:t>7</w:t>
      </w:r>
      <w:r w:rsidR="00F001EB">
        <w:rPr>
          <w:lang w:val="sq-AL"/>
        </w:rPr>
        <w:t xml:space="preserve"> GWh,</w:t>
      </w:r>
      <w:r w:rsidR="007345DF" w:rsidRPr="007345DF">
        <w:rPr>
          <w:lang w:val="sq-AL"/>
        </w:rPr>
        <w:t xml:space="preserve"> kjo vler</w:t>
      </w:r>
      <w:r w:rsidR="007345DF" w:rsidRPr="007345DF">
        <w:rPr>
          <w:rFonts w:cs="Calibri"/>
          <w:lang w:val="sq-AL"/>
        </w:rPr>
        <w:t>ë</w:t>
      </w:r>
      <w:r w:rsidR="007345DF" w:rsidRPr="007345DF">
        <w:rPr>
          <w:lang w:val="sq-AL"/>
        </w:rPr>
        <w:t xml:space="preserve"> është përdorur gjatë kal</w:t>
      </w:r>
      <w:r w:rsidR="00EF078F">
        <w:rPr>
          <w:lang w:val="sq-AL"/>
        </w:rPr>
        <w:t>kul</w:t>
      </w:r>
      <w:r w:rsidR="007345DF" w:rsidRPr="007345DF">
        <w:rPr>
          <w:lang w:val="sq-AL"/>
        </w:rPr>
        <w:t>imit të të hyrave të realizuara nga shitjet.</w:t>
      </w:r>
    </w:p>
    <w:p w14:paraId="026B3642" w14:textId="7E23A2A5" w:rsidR="00D8369A" w:rsidRPr="0050005A" w:rsidRDefault="00516516" w:rsidP="00FF0B59">
      <w:pPr>
        <w:jc w:val="both"/>
        <w:rPr>
          <w:lang w:val="sq-AL"/>
        </w:rPr>
      </w:pPr>
      <w:r w:rsidRPr="0050005A">
        <w:rPr>
          <w:lang w:val="sq-AL"/>
        </w:rPr>
        <w:t xml:space="preserve">ZRRE konsideron </w:t>
      </w:r>
      <w:r w:rsidR="00F001EB">
        <w:rPr>
          <w:lang w:val="sq-AL"/>
        </w:rPr>
        <w:t>se</w:t>
      </w:r>
      <w:r w:rsidRPr="0050005A">
        <w:rPr>
          <w:lang w:val="sq-AL"/>
        </w:rPr>
        <w:t xml:space="preserve"> kosto</w:t>
      </w:r>
      <w:r w:rsidR="0050005A">
        <w:rPr>
          <w:lang w:val="sq-AL"/>
        </w:rPr>
        <w:t>ja</w:t>
      </w:r>
      <w:r w:rsidRPr="0050005A">
        <w:rPr>
          <w:lang w:val="sq-AL"/>
        </w:rPr>
        <w:t xml:space="preserve"> q</w:t>
      </w:r>
      <w:r w:rsidR="002C13E9">
        <w:rPr>
          <w:lang w:val="sq-AL"/>
        </w:rPr>
        <w:t>ë</w:t>
      </w:r>
      <w:r w:rsidRPr="0050005A">
        <w:rPr>
          <w:lang w:val="sq-AL"/>
        </w:rPr>
        <w:t xml:space="preserve"> rezulton nga faturimi i k</w:t>
      </w:r>
      <w:r w:rsidR="002C13E9">
        <w:rPr>
          <w:lang w:val="sq-AL"/>
        </w:rPr>
        <w:t>ë</w:t>
      </w:r>
      <w:r w:rsidRPr="0050005A">
        <w:rPr>
          <w:lang w:val="sq-AL"/>
        </w:rPr>
        <w:t>saj energjie duhet t</w:t>
      </w:r>
      <w:r w:rsidR="002C13E9">
        <w:rPr>
          <w:lang w:val="sq-AL"/>
        </w:rPr>
        <w:t>ë</w:t>
      </w:r>
      <w:r w:rsidRPr="0050005A">
        <w:rPr>
          <w:lang w:val="sq-AL"/>
        </w:rPr>
        <w:t xml:space="preserve"> </w:t>
      </w:r>
      <w:r w:rsidR="0050005A">
        <w:rPr>
          <w:lang w:val="sq-AL"/>
        </w:rPr>
        <w:t>trajtohet</w:t>
      </w:r>
      <w:r w:rsidRPr="0050005A">
        <w:rPr>
          <w:lang w:val="sq-AL"/>
        </w:rPr>
        <w:t xml:space="preserve"> si e hyr</w:t>
      </w:r>
      <w:r w:rsidR="002C13E9">
        <w:rPr>
          <w:lang w:val="sq-AL"/>
        </w:rPr>
        <w:t>ë</w:t>
      </w:r>
      <w:r w:rsidRPr="0050005A">
        <w:rPr>
          <w:lang w:val="sq-AL"/>
        </w:rPr>
        <w:t xml:space="preserve"> e t</w:t>
      </w:r>
      <w:r w:rsidR="002C13E9">
        <w:rPr>
          <w:lang w:val="sq-AL"/>
        </w:rPr>
        <w:t>ë</w:t>
      </w:r>
      <w:r w:rsidRPr="0050005A">
        <w:rPr>
          <w:lang w:val="sq-AL"/>
        </w:rPr>
        <w:t>r</w:t>
      </w:r>
      <w:r w:rsidR="002C13E9">
        <w:rPr>
          <w:lang w:val="sq-AL"/>
        </w:rPr>
        <w:t>ë</w:t>
      </w:r>
      <w:r w:rsidRPr="0050005A">
        <w:rPr>
          <w:lang w:val="sq-AL"/>
        </w:rPr>
        <w:t>sishme, sep</w:t>
      </w:r>
      <w:r w:rsidR="0050005A">
        <w:rPr>
          <w:lang w:val="sq-AL"/>
        </w:rPr>
        <w:t>s</w:t>
      </w:r>
      <w:r w:rsidRPr="0050005A">
        <w:rPr>
          <w:lang w:val="sq-AL"/>
        </w:rPr>
        <w:t>e kjo trajtohet me parimin e akrualitetit, ku t</w:t>
      </w:r>
      <w:r w:rsidR="002C13E9">
        <w:rPr>
          <w:lang w:val="sq-AL"/>
        </w:rPr>
        <w:t>ë</w:t>
      </w:r>
      <w:r w:rsidRPr="0050005A">
        <w:rPr>
          <w:lang w:val="sq-AL"/>
        </w:rPr>
        <w:t xml:space="preserve"> hyrat nj</w:t>
      </w:r>
      <w:r w:rsidR="0050005A">
        <w:rPr>
          <w:lang w:val="sq-AL"/>
        </w:rPr>
        <w:t>ihen</w:t>
      </w:r>
      <w:r w:rsidRPr="0050005A">
        <w:rPr>
          <w:lang w:val="sq-AL"/>
        </w:rPr>
        <w:t xml:space="preserve"> n</w:t>
      </w:r>
      <w:r w:rsidR="002C13E9">
        <w:rPr>
          <w:lang w:val="sq-AL"/>
        </w:rPr>
        <w:t>ë</w:t>
      </w:r>
      <w:r w:rsidRPr="0050005A">
        <w:rPr>
          <w:lang w:val="sq-AL"/>
        </w:rPr>
        <w:t xml:space="preserve"> momentin e faturimit dhe jo at</w:t>
      </w:r>
      <w:r w:rsidR="002C13E9">
        <w:rPr>
          <w:lang w:val="sq-AL"/>
        </w:rPr>
        <w:t>ë</w:t>
      </w:r>
      <w:r w:rsidRPr="0050005A">
        <w:rPr>
          <w:lang w:val="sq-AL"/>
        </w:rPr>
        <w:t>h</w:t>
      </w:r>
      <w:r w:rsidR="007345DF">
        <w:rPr>
          <w:lang w:val="sq-AL"/>
        </w:rPr>
        <w:t>e</w:t>
      </w:r>
      <w:r w:rsidRPr="0050005A">
        <w:rPr>
          <w:lang w:val="sq-AL"/>
        </w:rPr>
        <w:t>r</w:t>
      </w:r>
      <w:r w:rsidR="002C13E9">
        <w:rPr>
          <w:lang w:val="sq-AL"/>
        </w:rPr>
        <w:t>ë</w:t>
      </w:r>
      <w:r w:rsidRPr="0050005A">
        <w:rPr>
          <w:lang w:val="sq-AL"/>
        </w:rPr>
        <w:t xml:space="preserve"> kur ark</w:t>
      </w:r>
      <w:r w:rsidR="002C13E9">
        <w:rPr>
          <w:lang w:val="sq-AL"/>
        </w:rPr>
        <w:t>ë</w:t>
      </w:r>
      <w:r w:rsidRPr="0050005A">
        <w:rPr>
          <w:lang w:val="sq-AL"/>
        </w:rPr>
        <w:t>tohen.</w:t>
      </w:r>
      <w:r w:rsidR="0050005A">
        <w:rPr>
          <w:lang w:val="sq-AL"/>
        </w:rPr>
        <w:t xml:space="preserve"> </w:t>
      </w:r>
      <w:r w:rsidR="00A73DBB">
        <w:rPr>
          <w:lang w:val="sq-AL"/>
        </w:rPr>
        <w:t>P</w:t>
      </w:r>
      <w:r w:rsidR="00A73DBB" w:rsidRPr="00A73DBB">
        <w:rPr>
          <w:rFonts w:cs="Calibri"/>
          <w:lang w:val="sq-AL"/>
        </w:rPr>
        <w:t>ë</w:t>
      </w:r>
      <w:r w:rsidR="00A73DBB">
        <w:rPr>
          <w:lang w:val="sq-AL"/>
        </w:rPr>
        <w:t>r m</w:t>
      </w:r>
      <w:r w:rsidR="00A73DBB" w:rsidRPr="00A73DBB">
        <w:rPr>
          <w:rFonts w:cs="Calibri"/>
          <w:lang w:val="sq-AL"/>
        </w:rPr>
        <w:t>ë</w:t>
      </w:r>
      <w:r w:rsidR="00A73DBB">
        <w:rPr>
          <w:lang w:val="sq-AL"/>
        </w:rPr>
        <w:t xml:space="preserve"> tep</w:t>
      </w:r>
      <w:r w:rsidR="00A73DBB" w:rsidRPr="00A73DBB">
        <w:rPr>
          <w:rFonts w:cs="Calibri"/>
          <w:lang w:val="sq-AL"/>
        </w:rPr>
        <w:t>ë</w:t>
      </w:r>
      <w:r w:rsidR="00A73DBB">
        <w:rPr>
          <w:lang w:val="sq-AL"/>
        </w:rPr>
        <w:t>r, duhet theksuar se kjo vler</w:t>
      </w:r>
      <w:r w:rsidR="00A73DBB" w:rsidRPr="00A73DBB">
        <w:rPr>
          <w:rFonts w:cs="Calibri"/>
          <w:lang w:val="sq-AL"/>
        </w:rPr>
        <w:t>ë</w:t>
      </w:r>
      <w:r w:rsidR="00A73DBB">
        <w:rPr>
          <w:lang w:val="sq-AL"/>
        </w:rPr>
        <w:t xml:space="preserve"> e energjis</w:t>
      </w:r>
      <w:r w:rsidR="00A73DBB" w:rsidRPr="00A73DBB">
        <w:rPr>
          <w:rFonts w:cs="Calibri"/>
          <w:lang w:val="sq-AL"/>
        </w:rPr>
        <w:t>ë</w:t>
      </w:r>
      <w:r w:rsidR="00A73DBB">
        <w:rPr>
          <w:lang w:val="sq-AL"/>
        </w:rPr>
        <w:t xml:space="preserve"> prej </w:t>
      </w:r>
      <w:r w:rsidR="00A43E3D">
        <w:rPr>
          <w:lang w:val="sq-AL"/>
        </w:rPr>
        <w:t>4</w:t>
      </w:r>
      <w:r w:rsidR="00F20EBC">
        <w:rPr>
          <w:lang w:val="sq-AL"/>
        </w:rPr>
        <w:t>7</w:t>
      </w:r>
      <w:r w:rsidR="007345DF">
        <w:rPr>
          <w:lang w:val="sq-AL"/>
        </w:rPr>
        <w:t xml:space="preserve"> </w:t>
      </w:r>
      <w:r w:rsidR="00A73DBB">
        <w:rPr>
          <w:lang w:val="sq-AL"/>
        </w:rPr>
        <w:t>G</w:t>
      </w:r>
      <w:r w:rsidR="007345DF">
        <w:rPr>
          <w:lang w:val="sq-AL"/>
        </w:rPr>
        <w:t>W</w:t>
      </w:r>
      <w:r w:rsidR="00A73DBB">
        <w:rPr>
          <w:lang w:val="sq-AL"/>
        </w:rPr>
        <w:t xml:space="preserve">h </w:t>
      </w:r>
      <w:r w:rsidR="00A73DBB" w:rsidRPr="00A73DBB">
        <w:rPr>
          <w:rFonts w:cs="Calibri"/>
          <w:lang w:val="sq-AL"/>
        </w:rPr>
        <w:t>ë</w:t>
      </w:r>
      <w:r w:rsidR="00A73DBB">
        <w:rPr>
          <w:lang w:val="sq-AL"/>
        </w:rPr>
        <w:t>sht</w:t>
      </w:r>
      <w:r w:rsidR="00A73DBB" w:rsidRPr="00A73DBB">
        <w:rPr>
          <w:rFonts w:cs="Calibri"/>
          <w:lang w:val="sq-AL"/>
        </w:rPr>
        <w:t>ë</w:t>
      </w:r>
      <w:r w:rsidR="00A73DBB">
        <w:rPr>
          <w:lang w:val="sq-AL"/>
        </w:rPr>
        <w:t xml:space="preserve"> p</w:t>
      </w:r>
      <w:r w:rsidR="00A73DBB" w:rsidRPr="00A73DBB">
        <w:rPr>
          <w:rFonts w:cs="Calibri"/>
          <w:lang w:val="sq-AL"/>
        </w:rPr>
        <w:t>ë</w:t>
      </w:r>
      <w:r w:rsidR="00A73DBB">
        <w:rPr>
          <w:lang w:val="sq-AL"/>
        </w:rPr>
        <w:t>rfshir</w:t>
      </w:r>
      <w:r w:rsidR="00A73DBB" w:rsidRPr="00A73DBB">
        <w:rPr>
          <w:rFonts w:cs="Calibri"/>
          <w:lang w:val="sq-AL"/>
        </w:rPr>
        <w:t>ë</w:t>
      </w:r>
      <w:r w:rsidR="00A73DBB">
        <w:rPr>
          <w:lang w:val="sq-AL"/>
        </w:rPr>
        <w:t xml:space="preserve"> </w:t>
      </w:r>
      <w:r w:rsidR="007345DF">
        <w:rPr>
          <w:lang w:val="sq-AL"/>
        </w:rPr>
        <w:t xml:space="preserve">në </w:t>
      </w:r>
      <w:r w:rsidR="00A73DBB">
        <w:rPr>
          <w:lang w:val="sq-AL"/>
        </w:rPr>
        <w:t>energjin</w:t>
      </w:r>
      <w:r w:rsidR="00A73DBB" w:rsidRPr="00A73DBB">
        <w:rPr>
          <w:rFonts w:cs="Calibri"/>
          <w:lang w:val="sq-AL"/>
        </w:rPr>
        <w:t>ë</w:t>
      </w:r>
      <w:r w:rsidR="00A73DBB">
        <w:rPr>
          <w:lang w:val="sq-AL"/>
        </w:rPr>
        <w:t xml:space="preserve"> e hyr</w:t>
      </w:r>
      <w:r w:rsidR="00A73DBB" w:rsidRPr="00A73DBB">
        <w:rPr>
          <w:rFonts w:cs="Calibri"/>
          <w:lang w:val="sq-AL"/>
        </w:rPr>
        <w:t>ë</w:t>
      </w:r>
      <w:r w:rsidR="00A73DBB">
        <w:rPr>
          <w:lang w:val="sq-AL"/>
        </w:rPr>
        <w:t xml:space="preserve"> n</w:t>
      </w:r>
      <w:r w:rsidR="00A73DBB" w:rsidRPr="00A73DBB">
        <w:rPr>
          <w:rFonts w:cs="Calibri"/>
          <w:lang w:val="sq-AL"/>
        </w:rPr>
        <w:t>ë</w:t>
      </w:r>
      <w:r w:rsidR="00A73DBB">
        <w:rPr>
          <w:lang w:val="sq-AL"/>
        </w:rPr>
        <w:t xml:space="preserve"> rrjetin e shp</w:t>
      </w:r>
      <w:r w:rsidR="00A73DBB" w:rsidRPr="00A73DBB">
        <w:rPr>
          <w:rFonts w:cs="Calibri"/>
          <w:lang w:val="sq-AL"/>
        </w:rPr>
        <w:t>ë</w:t>
      </w:r>
      <w:r w:rsidR="00A73DBB">
        <w:rPr>
          <w:lang w:val="sq-AL"/>
        </w:rPr>
        <w:t>rndarjes nga e cila baz</w:t>
      </w:r>
      <w:r w:rsidR="00A73DBB" w:rsidRPr="00A73DBB">
        <w:rPr>
          <w:rFonts w:cs="Calibri"/>
          <w:lang w:val="sq-AL"/>
        </w:rPr>
        <w:t>ë</w:t>
      </w:r>
      <w:r w:rsidR="00A73DBB">
        <w:rPr>
          <w:lang w:val="sq-AL"/>
        </w:rPr>
        <w:t xml:space="preserve"> jan</w:t>
      </w:r>
      <w:r w:rsidR="00A73DBB" w:rsidRPr="00A73DBB">
        <w:rPr>
          <w:rFonts w:cs="Calibri"/>
          <w:lang w:val="sq-AL"/>
        </w:rPr>
        <w:t>ë</w:t>
      </w:r>
      <w:r w:rsidR="00A73DBB">
        <w:rPr>
          <w:lang w:val="sq-AL"/>
        </w:rPr>
        <w:t xml:space="preserve"> kalkuluar kostot e humbjeve t</w:t>
      </w:r>
      <w:r w:rsidR="00A73DBB" w:rsidRPr="00A73DBB">
        <w:rPr>
          <w:rFonts w:cs="Calibri"/>
          <w:lang w:val="sq-AL"/>
        </w:rPr>
        <w:t>ë</w:t>
      </w:r>
      <w:r w:rsidR="00A73DBB">
        <w:rPr>
          <w:lang w:val="sq-AL"/>
        </w:rPr>
        <w:t xml:space="preserve"> energjis</w:t>
      </w:r>
      <w:r w:rsidR="00A73DBB" w:rsidRPr="00A73DBB">
        <w:rPr>
          <w:rFonts w:cs="Calibri"/>
          <w:lang w:val="sq-AL"/>
        </w:rPr>
        <w:t>ë</w:t>
      </w:r>
      <w:r w:rsidR="00A73DBB">
        <w:rPr>
          <w:lang w:val="sq-AL"/>
        </w:rPr>
        <w:t>, prandaj njohja si kosto e k</w:t>
      </w:r>
      <w:r w:rsidR="00A73DBB" w:rsidRPr="00A73DBB">
        <w:rPr>
          <w:rFonts w:cs="Calibri"/>
          <w:lang w:val="sq-AL"/>
        </w:rPr>
        <w:t>ë</w:t>
      </w:r>
      <w:r w:rsidR="00A73DBB">
        <w:rPr>
          <w:lang w:val="sq-AL"/>
        </w:rPr>
        <w:t>saj energji n</w:t>
      </w:r>
      <w:r w:rsidR="00A73DBB" w:rsidRPr="00A73DBB">
        <w:rPr>
          <w:rFonts w:cs="Calibri"/>
          <w:lang w:val="sq-AL"/>
        </w:rPr>
        <w:t>ë</w:t>
      </w:r>
      <w:r w:rsidR="00A73DBB">
        <w:rPr>
          <w:lang w:val="sq-AL"/>
        </w:rPr>
        <w:t>nkupton edhe njohjen e t</w:t>
      </w:r>
      <w:r w:rsidR="00A73DBB" w:rsidRPr="00A73DBB">
        <w:rPr>
          <w:rFonts w:cs="Calibri"/>
          <w:lang w:val="sq-AL"/>
        </w:rPr>
        <w:t>ë</w:t>
      </w:r>
      <w:r w:rsidR="00A73DBB">
        <w:rPr>
          <w:lang w:val="sq-AL"/>
        </w:rPr>
        <w:t xml:space="preserve"> hyrave q</w:t>
      </w:r>
      <w:r w:rsidR="00A73DBB" w:rsidRPr="00A73DBB">
        <w:rPr>
          <w:rFonts w:cs="Calibri"/>
          <w:lang w:val="sq-AL"/>
        </w:rPr>
        <w:t>ë</w:t>
      </w:r>
      <w:r w:rsidR="00A73DBB">
        <w:rPr>
          <w:lang w:val="sq-AL"/>
        </w:rPr>
        <w:t xml:space="preserve"> rezultojn</w:t>
      </w:r>
      <w:r w:rsidR="00A73DBB" w:rsidRPr="00A73DBB">
        <w:rPr>
          <w:rFonts w:cs="Calibri"/>
          <w:lang w:val="sq-AL"/>
        </w:rPr>
        <w:t>ë</w:t>
      </w:r>
      <w:r w:rsidR="00A73DBB">
        <w:rPr>
          <w:lang w:val="sq-AL"/>
        </w:rPr>
        <w:t xml:space="preserve"> nga kjo energji.</w:t>
      </w:r>
    </w:p>
    <w:p w14:paraId="660D25CA" w14:textId="618F1CC3" w:rsidR="00E332F6" w:rsidRPr="00E22B03" w:rsidRDefault="00E332F6" w:rsidP="00FF0B59">
      <w:pPr>
        <w:jc w:val="both"/>
        <w:rPr>
          <w:lang w:val="sq-AL"/>
        </w:rPr>
      </w:pPr>
      <w:r w:rsidRPr="00E22B03">
        <w:rPr>
          <w:lang w:val="sq-AL"/>
        </w:rPr>
        <w:t>Nga tabela e m</w:t>
      </w:r>
      <w:r w:rsidR="002C13E9" w:rsidRPr="00E22B03">
        <w:rPr>
          <w:lang w:val="sq-AL"/>
        </w:rPr>
        <w:t>ë</w:t>
      </w:r>
      <w:r w:rsidRPr="00E22B03">
        <w:rPr>
          <w:lang w:val="sq-AL"/>
        </w:rPr>
        <w:t>sip</w:t>
      </w:r>
      <w:r w:rsidR="002C13E9" w:rsidRPr="00E22B03">
        <w:rPr>
          <w:lang w:val="sq-AL"/>
        </w:rPr>
        <w:t>ë</w:t>
      </w:r>
      <w:r w:rsidRPr="00E22B03">
        <w:rPr>
          <w:lang w:val="sq-AL"/>
        </w:rPr>
        <w:t>rme v</w:t>
      </w:r>
      <w:r w:rsidR="002C13E9" w:rsidRPr="00E22B03">
        <w:rPr>
          <w:lang w:val="sq-AL"/>
        </w:rPr>
        <w:t>ë</w:t>
      </w:r>
      <w:r w:rsidRPr="00E22B03">
        <w:rPr>
          <w:lang w:val="sq-AL"/>
        </w:rPr>
        <w:t>rehet q</w:t>
      </w:r>
      <w:r w:rsidR="002C13E9" w:rsidRPr="00E22B03">
        <w:rPr>
          <w:lang w:val="sq-AL"/>
        </w:rPr>
        <w:t>ë</w:t>
      </w:r>
      <w:r w:rsidRPr="00E22B03">
        <w:rPr>
          <w:lang w:val="sq-AL"/>
        </w:rPr>
        <w:t xml:space="preserve"> </w:t>
      </w:r>
      <w:r w:rsidR="00F976C9" w:rsidRPr="00E22B03">
        <w:rPr>
          <w:lang w:val="sq-AL"/>
        </w:rPr>
        <w:t xml:space="preserve">energjia e pafaturuar në katër komunat e </w:t>
      </w:r>
      <w:r w:rsidRPr="00E22B03">
        <w:rPr>
          <w:lang w:val="sq-AL"/>
        </w:rPr>
        <w:t xml:space="preserve">veriut </w:t>
      </w:r>
      <w:r w:rsidR="00F976C9" w:rsidRPr="00E22B03">
        <w:rPr>
          <w:lang w:val="sq-AL"/>
        </w:rPr>
        <w:t xml:space="preserve">të Kosovës </w:t>
      </w:r>
      <w:r w:rsidRPr="00E22B03">
        <w:rPr>
          <w:lang w:val="sq-AL"/>
        </w:rPr>
        <w:t>jan</w:t>
      </w:r>
      <w:r w:rsidR="002C13E9" w:rsidRPr="00E22B03">
        <w:rPr>
          <w:lang w:val="sq-AL"/>
        </w:rPr>
        <w:t>ë</w:t>
      </w:r>
      <w:r w:rsidRPr="00E22B03">
        <w:rPr>
          <w:lang w:val="sq-AL"/>
        </w:rPr>
        <w:t xml:space="preserve"> t</w:t>
      </w:r>
      <w:r w:rsidR="002C13E9" w:rsidRPr="00E22B03">
        <w:rPr>
          <w:lang w:val="sq-AL"/>
        </w:rPr>
        <w:t>ë</w:t>
      </w:r>
      <w:r w:rsidRPr="00E22B03">
        <w:rPr>
          <w:lang w:val="sq-AL"/>
        </w:rPr>
        <w:t xml:space="preserve"> paraqitura si rrjedha fizike dhe p</w:t>
      </w:r>
      <w:r w:rsidR="002C13E9" w:rsidRPr="00E22B03">
        <w:rPr>
          <w:lang w:val="sq-AL"/>
        </w:rPr>
        <w:t>ë</w:t>
      </w:r>
      <w:r w:rsidRPr="00E22B03">
        <w:rPr>
          <w:lang w:val="sq-AL"/>
        </w:rPr>
        <w:t>rdoren p</w:t>
      </w:r>
      <w:r w:rsidR="002C13E9" w:rsidRPr="00E22B03">
        <w:rPr>
          <w:lang w:val="sq-AL"/>
        </w:rPr>
        <w:t>ë</w:t>
      </w:r>
      <w:r w:rsidRPr="00E22B03">
        <w:rPr>
          <w:lang w:val="sq-AL"/>
        </w:rPr>
        <w:t>r q</w:t>
      </w:r>
      <w:r w:rsidR="002C13E9" w:rsidRPr="00E22B03">
        <w:rPr>
          <w:lang w:val="sq-AL"/>
        </w:rPr>
        <w:t>ë</w:t>
      </w:r>
      <w:r w:rsidRPr="00E22B03">
        <w:rPr>
          <w:lang w:val="sq-AL"/>
        </w:rPr>
        <w:t>llime t</w:t>
      </w:r>
      <w:r w:rsidR="002C13E9" w:rsidRPr="00E22B03">
        <w:rPr>
          <w:lang w:val="sq-AL"/>
        </w:rPr>
        <w:t>ë</w:t>
      </w:r>
      <w:r w:rsidRPr="00E22B03">
        <w:rPr>
          <w:lang w:val="sq-AL"/>
        </w:rPr>
        <w:t xml:space="preserve"> barazimit t</w:t>
      </w:r>
      <w:r w:rsidR="002C13E9" w:rsidRPr="00E22B03">
        <w:rPr>
          <w:lang w:val="sq-AL"/>
        </w:rPr>
        <w:t>ë</w:t>
      </w:r>
      <w:r w:rsidRPr="00E22B03">
        <w:rPr>
          <w:lang w:val="sq-AL"/>
        </w:rPr>
        <w:t xml:space="preserve"> bilancit t</w:t>
      </w:r>
      <w:r w:rsidR="002C13E9" w:rsidRPr="00E22B03">
        <w:rPr>
          <w:lang w:val="sq-AL"/>
        </w:rPr>
        <w:t>ë</w:t>
      </w:r>
      <w:r w:rsidRPr="00E22B03">
        <w:rPr>
          <w:lang w:val="sq-AL"/>
        </w:rPr>
        <w:t xml:space="preserve"> energjis</w:t>
      </w:r>
      <w:r w:rsidR="002C13E9" w:rsidRPr="00E22B03">
        <w:rPr>
          <w:lang w:val="sq-AL"/>
        </w:rPr>
        <w:t>ë</w:t>
      </w:r>
      <w:r w:rsidRPr="00E22B03">
        <w:rPr>
          <w:lang w:val="sq-AL"/>
        </w:rPr>
        <w:t xml:space="preserve"> elektrike. Sidoqoft</w:t>
      </w:r>
      <w:r w:rsidR="002C13E9" w:rsidRPr="00E22B03">
        <w:rPr>
          <w:lang w:val="sq-AL"/>
        </w:rPr>
        <w:t>ë</w:t>
      </w:r>
      <w:r w:rsidRPr="00E22B03">
        <w:rPr>
          <w:lang w:val="sq-AL"/>
        </w:rPr>
        <w:t>, kostot q</w:t>
      </w:r>
      <w:r w:rsidR="002C13E9" w:rsidRPr="00E22B03">
        <w:rPr>
          <w:lang w:val="sq-AL"/>
        </w:rPr>
        <w:t>ë</w:t>
      </w:r>
      <w:r w:rsidRPr="00E22B03">
        <w:rPr>
          <w:lang w:val="sq-AL"/>
        </w:rPr>
        <w:t xml:space="preserve"> rrjedhin nga furnizimi i kat</w:t>
      </w:r>
      <w:r w:rsidR="002C13E9" w:rsidRPr="00E22B03">
        <w:rPr>
          <w:lang w:val="sq-AL"/>
        </w:rPr>
        <w:t>ë</w:t>
      </w:r>
      <w:r w:rsidRPr="00E22B03">
        <w:rPr>
          <w:lang w:val="sq-AL"/>
        </w:rPr>
        <w:t>r komunave veriore t</w:t>
      </w:r>
      <w:r w:rsidR="002C13E9" w:rsidRPr="00E22B03">
        <w:rPr>
          <w:lang w:val="sq-AL"/>
        </w:rPr>
        <w:t>ë</w:t>
      </w:r>
      <w:r w:rsidRPr="00E22B03">
        <w:rPr>
          <w:lang w:val="sq-AL"/>
        </w:rPr>
        <w:t xml:space="preserve"> Kosov</w:t>
      </w:r>
      <w:r w:rsidR="002C13E9" w:rsidRPr="00E22B03">
        <w:rPr>
          <w:lang w:val="sq-AL"/>
        </w:rPr>
        <w:t>ë</w:t>
      </w:r>
      <w:r w:rsidRPr="00E22B03">
        <w:rPr>
          <w:lang w:val="sq-AL"/>
        </w:rPr>
        <w:t>s</w:t>
      </w:r>
      <w:r w:rsidR="00C37441" w:rsidRPr="00E22B03">
        <w:rPr>
          <w:lang w:val="sq-AL"/>
        </w:rPr>
        <w:t xml:space="preserve"> nuk p</w:t>
      </w:r>
      <w:r w:rsidR="00C37441" w:rsidRPr="00E22B03">
        <w:rPr>
          <w:rFonts w:cs="Calibri"/>
          <w:lang w:val="sq-AL"/>
        </w:rPr>
        <w:t>ë</w:t>
      </w:r>
      <w:r w:rsidR="005F2781" w:rsidRPr="00E22B03">
        <w:rPr>
          <w:lang w:val="sq-AL"/>
        </w:rPr>
        <w:t>rfshi</w:t>
      </w:r>
      <w:r w:rsidR="00E22B03" w:rsidRPr="00E22B03">
        <w:rPr>
          <w:lang w:val="sq-AL"/>
        </w:rPr>
        <w:t>het</w:t>
      </w:r>
      <w:r w:rsidR="00C37441" w:rsidRPr="00E22B03">
        <w:rPr>
          <w:lang w:val="sq-AL"/>
        </w:rPr>
        <w:t xml:space="preserve"> gjat</w:t>
      </w:r>
      <w:r w:rsidR="00C37441" w:rsidRPr="00E22B03">
        <w:rPr>
          <w:rFonts w:cs="Calibri"/>
          <w:lang w:val="sq-AL"/>
        </w:rPr>
        <w:t>ë</w:t>
      </w:r>
      <w:r w:rsidR="00C37441" w:rsidRPr="00E22B03">
        <w:rPr>
          <w:lang w:val="sq-AL"/>
        </w:rPr>
        <w:t xml:space="preserve"> kalkulimit t</w:t>
      </w:r>
      <w:r w:rsidR="00C37441" w:rsidRPr="00E22B03">
        <w:rPr>
          <w:rFonts w:cs="Calibri"/>
          <w:lang w:val="sq-AL"/>
        </w:rPr>
        <w:t>ë</w:t>
      </w:r>
      <w:r w:rsidR="00C37441" w:rsidRPr="00E22B03">
        <w:rPr>
          <w:lang w:val="sq-AL"/>
        </w:rPr>
        <w:t xml:space="preserve"> </w:t>
      </w:r>
      <w:r w:rsidR="00C37441" w:rsidRPr="00E22B03">
        <w:rPr>
          <w:lang w:val="sq-AL"/>
        </w:rPr>
        <w:lastRenderedPageBreak/>
        <w:t>kostove t</w:t>
      </w:r>
      <w:r w:rsidR="00C37441" w:rsidRPr="00E22B03">
        <w:rPr>
          <w:rFonts w:cs="Calibri"/>
          <w:lang w:val="sq-AL"/>
        </w:rPr>
        <w:t>ë</w:t>
      </w:r>
      <w:r w:rsidR="00C37441" w:rsidRPr="00E22B03">
        <w:rPr>
          <w:lang w:val="sq-AL"/>
        </w:rPr>
        <w:t xml:space="preserve"> </w:t>
      </w:r>
      <w:r w:rsidR="0009487F" w:rsidRPr="00E22B03">
        <w:rPr>
          <w:lang w:val="sq-AL"/>
        </w:rPr>
        <w:t>furnizimit</w:t>
      </w:r>
      <w:r w:rsidR="00C37441" w:rsidRPr="00E22B03">
        <w:rPr>
          <w:lang w:val="sq-AL"/>
        </w:rPr>
        <w:t xml:space="preserve"> me energji</w:t>
      </w:r>
      <w:r w:rsidR="00F976C9" w:rsidRPr="00E22B03">
        <w:rPr>
          <w:lang w:val="sq-AL"/>
        </w:rPr>
        <w:t xml:space="preserve"> konform vendimit mbi masën e përkohshme të </w:t>
      </w:r>
      <w:r w:rsidR="00E22B03" w:rsidRPr="00E22B03">
        <w:rPr>
          <w:lang w:val="sq-AL"/>
        </w:rPr>
        <w:t>dhënë nga Gjykata Themelore dhe të konfirmuar nga Gjykata</w:t>
      </w:r>
      <w:r w:rsidR="00F976C9" w:rsidRPr="00E22B03">
        <w:rPr>
          <w:lang w:val="sq-AL"/>
        </w:rPr>
        <w:t xml:space="preserve"> </w:t>
      </w:r>
      <w:r w:rsidR="00E22B03" w:rsidRPr="00E22B03">
        <w:rPr>
          <w:lang w:val="sq-AL"/>
        </w:rPr>
        <w:t>e</w:t>
      </w:r>
      <w:r w:rsidR="00F976C9" w:rsidRPr="00E22B03">
        <w:rPr>
          <w:lang w:val="sq-AL"/>
        </w:rPr>
        <w:t xml:space="preserve"> Apelit</w:t>
      </w:r>
      <w:r w:rsidR="00C37441" w:rsidRPr="00E22B03">
        <w:rPr>
          <w:lang w:val="sq-AL"/>
        </w:rPr>
        <w:t>.</w:t>
      </w:r>
    </w:p>
    <w:p w14:paraId="216FAFD9" w14:textId="5C332BD5" w:rsidR="00D850AB" w:rsidRPr="0050005A" w:rsidRDefault="00D850AB" w:rsidP="00D850AB">
      <w:pPr>
        <w:pStyle w:val="Heading1"/>
        <w:rPr>
          <w:lang w:val="sq-AL"/>
        </w:rPr>
      </w:pPr>
      <w:bookmarkStart w:id="12" w:name="_Toc511307495"/>
      <w:bookmarkStart w:id="13" w:name="_Toc80691543"/>
      <w:r w:rsidRPr="0050005A">
        <w:rPr>
          <w:lang w:val="sq-AL"/>
        </w:rPr>
        <w:t>Përshtatjet e rregullta</w:t>
      </w:r>
      <w:bookmarkEnd w:id="12"/>
      <w:bookmarkEnd w:id="13"/>
    </w:p>
    <w:p w14:paraId="54B9CCCE" w14:textId="77777777" w:rsidR="00D850AB" w:rsidRPr="0050005A" w:rsidRDefault="00D850AB" w:rsidP="00D850AB">
      <w:pPr>
        <w:jc w:val="both"/>
        <w:rPr>
          <w:lang w:val="sq-AL"/>
        </w:rPr>
      </w:pPr>
      <w:r w:rsidRPr="0050005A">
        <w:rPr>
          <w:lang w:val="sq-AL"/>
        </w:rPr>
        <w:t>Në këtë pjesë janë paraqitur kalkulimet lidhur me përshtatjet e rregullta vjetore të vitit 20</w:t>
      </w:r>
      <w:r w:rsidR="00A43E3D">
        <w:rPr>
          <w:lang w:val="sq-AL"/>
        </w:rPr>
        <w:t>20</w:t>
      </w:r>
      <w:r w:rsidRPr="0050005A">
        <w:rPr>
          <w:lang w:val="sq-AL"/>
        </w:rPr>
        <w:t>. Kalkulimi i këtyre përshtatjeve do të përfshihet gjatë përcaktimit të të hyrave të lejuara maksimale p</w:t>
      </w:r>
      <w:r w:rsidR="002C13E9">
        <w:rPr>
          <w:lang w:val="sq-AL"/>
        </w:rPr>
        <w:t>ë</w:t>
      </w:r>
      <w:r w:rsidR="00EE7A6A">
        <w:rPr>
          <w:lang w:val="sq-AL"/>
        </w:rPr>
        <w:t>r vitin rele</w:t>
      </w:r>
      <w:r w:rsidRPr="0050005A">
        <w:rPr>
          <w:lang w:val="sq-AL"/>
        </w:rPr>
        <w:t>vant tarifor 20</w:t>
      </w:r>
      <w:r w:rsidR="00F20EBC">
        <w:rPr>
          <w:lang w:val="sq-AL"/>
        </w:rPr>
        <w:t>2</w:t>
      </w:r>
      <w:r w:rsidR="00A43E3D">
        <w:rPr>
          <w:lang w:val="sq-AL"/>
        </w:rPr>
        <w:t>1</w:t>
      </w:r>
      <w:r w:rsidRPr="0050005A">
        <w:rPr>
          <w:lang w:val="sq-AL"/>
        </w:rPr>
        <w:t>.</w:t>
      </w:r>
    </w:p>
    <w:p w14:paraId="76F2E4C8" w14:textId="77777777" w:rsidR="00D850AB" w:rsidRPr="0050005A" w:rsidRDefault="00D850AB" w:rsidP="00D850AB">
      <w:pPr>
        <w:pStyle w:val="Heading2"/>
        <w:tabs>
          <w:tab w:val="clear" w:pos="720"/>
          <w:tab w:val="num" w:pos="810"/>
        </w:tabs>
        <w:ind w:left="810"/>
        <w:jc w:val="left"/>
        <w:rPr>
          <w:lang w:val="sq-AL"/>
        </w:rPr>
      </w:pPr>
      <w:bookmarkStart w:id="14" w:name="_Toc511307496"/>
      <w:bookmarkStart w:id="15" w:name="_Toc80691544"/>
      <w:r w:rsidRPr="0050005A">
        <w:rPr>
          <w:lang w:val="sq-AL"/>
        </w:rPr>
        <w:t>Përshtatjet për normën e inflacionit</w:t>
      </w:r>
      <w:bookmarkEnd w:id="14"/>
      <w:bookmarkEnd w:id="15"/>
    </w:p>
    <w:p w14:paraId="5F3FC6B6" w14:textId="77777777" w:rsidR="00B61485" w:rsidRPr="008449B4" w:rsidRDefault="00B61485" w:rsidP="00B61485">
      <w:pPr>
        <w:spacing w:before="120"/>
        <w:jc w:val="both"/>
        <w:rPr>
          <w:lang w:val="sq-AL"/>
        </w:rPr>
      </w:pPr>
      <w:r w:rsidRPr="0050005A">
        <w:rPr>
          <w:lang w:val="sq-AL"/>
        </w:rPr>
        <w:t>Për të bërë kalkulimin e përshtatjeve lidhur me normën e inflacionit</w:t>
      </w:r>
      <w:r>
        <w:t xml:space="preserve"> s</w:t>
      </w:r>
      <w:r>
        <w:rPr>
          <w:lang w:val="sq-AL"/>
        </w:rPr>
        <w:t xml:space="preserve">i </w:t>
      </w:r>
      <w:r w:rsidRPr="0050005A">
        <w:rPr>
          <w:lang w:val="sq-AL"/>
        </w:rPr>
        <w:t xml:space="preserve">referencë </w:t>
      </w:r>
      <w:r w:rsidRPr="00A73DBB">
        <w:rPr>
          <w:rFonts w:cs="Calibri"/>
          <w:lang w:val="sq-AL"/>
        </w:rPr>
        <w:t>ë</w:t>
      </w:r>
      <w:r>
        <w:rPr>
          <w:lang w:val="sq-AL"/>
        </w:rPr>
        <w:t>sht</w:t>
      </w:r>
      <w:r w:rsidRPr="00A73DBB">
        <w:rPr>
          <w:rFonts w:cs="Calibri"/>
          <w:lang w:val="sq-AL"/>
        </w:rPr>
        <w:t>ë</w:t>
      </w:r>
      <w:r w:rsidRPr="0050005A">
        <w:rPr>
          <w:lang w:val="sq-AL"/>
        </w:rPr>
        <w:t xml:space="preserve"> marr </w:t>
      </w:r>
      <w:r>
        <w:rPr>
          <w:lang w:val="sq-AL"/>
        </w:rPr>
        <w:t>norma</w:t>
      </w:r>
      <w:r w:rsidRPr="0050005A">
        <w:rPr>
          <w:lang w:val="sq-AL"/>
        </w:rPr>
        <w:t xml:space="preserve"> e inflacionit </w:t>
      </w:r>
      <w:r>
        <w:t>e</w:t>
      </w:r>
      <w:r w:rsidRPr="0050005A">
        <w:rPr>
          <w:lang w:val="sq-AL"/>
        </w:rPr>
        <w:t xml:space="preserve"> publikuar nga Eurostati për vendet e Eurozonës, e cila për vitin 20</w:t>
      </w:r>
      <w:r w:rsidR="00A43E3D">
        <w:rPr>
          <w:lang w:val="sq-AL"/>
        </w:rPr>
        <w:t>20</w:t>
      </w:r>
      <w:r w:rsidRPr="0050005A">
        <w:rPr>
          <w:lang w:val="sq-AL"/>
        </w:rPr>
        <w:t xml:space="preserve"> </w:t>
      </w:r>
      <w:r w:rsidRPr="00026AD9">
        <w:rPr>
          <w:lang w:val="sq-AL"/>
        </w:rPr>
        <w:t xml:space="preserve">ishte </w:t>
      </w:r>
      <w:r w:rsidR="00A43E3D" w:rsidRPr="008D0695">
        <w:rPr>
          <w:lang w:val="sq-AL"/>
        </w:rPr>
        <w:t>0.26</w:t>
      </w:r>
      <w:r w:rsidRPr="008D0695">
        <w:rPr>
          <w:lang w:val="sq-AL"/>
        </w:rPr>
        <w:t>%</w:t>
      </w:r>
      <w:r w:rsidRPr="008D0695">
        <w:rPr>
          <w:rStyle w:val="FootnoteReference"/>
          <w:lang w:val="sq-AL"/>
        </w:rPr>
        <w:footnoteReference w:id="1"/>
      </w:r>
      <w:r w:rsidRPr="008D0695">
        <w:rPr>
          <w:lang w:val="sq-AL"/>
        </w:rPr>
        <w:t>.</w:t>
      </w:r>
      <w:r w:rsidRPr="008449B4">
        <w:t xml:space="preserve"> </w:t>
      </w:r>
      <w:r w:rsidRPr="008449B4">
        <w:rPr>
          <w:lang w:val="sq-AL"/>
        </w:rPr>
        <w:t>M</w:t>
      </w:r>
      <w:r w:rsidRPr="008449B4">
        <w:rPr>
          <w:rFonts w:cs="Calibri"/>
          <w:lang w:val="sq-AL"/>
        </w:rPr>
        <w:t>ë</w:t>
      </w:r>
      <w:r w:rsidRPr="008449B4">
        <w:rPr>
          <w:lang w:val="sq-AL"/>
        </w:rPr>
        <w:t>nyra p</w:t>
      </w:r>
      <w:r w:rsidRPr="008449B4">
        <w:rPr>
          <w:rFonts w:cs="Calibri"/>
          <w:lang w:val="sq-AL"/>
        </w:rPr>
        <w:t>ë</w:t>
      </w:r>
      <w:r w:rsidRPr="008449B4">
        <w:rPr>
          <w:lang w:val="sq-AL"/>
        </w:rPr>
        <w:t>r kalkulimin e p</w:t>
      </w:r>
      <w:r w:rsidRPr="008449B4">
        <w:rPr>
          <w:rFonts w:cs="Calibri"/>
          <w:lang w:val="sq-AL"/>
        </w:rPr>
        <w:t>ë</w:t>
      </w:r>
      <w:r w:rsidRPr="008449B4">
        <w:rPr>
          <w:lang w:val="sq-AL"/>
        </w:rPr>
        <w:t>rshtatj</w:t>
      </w:r>
      <w:r w:rsidR="00EE7A6A">
        <w:rPr>
          <w:lang w:val="sq-AL"/>
        </w:rPr>
        <w:t>e</w:t>
      </w:r>
      <w:r w:rsidRPr="008449B4">
        <w:rPr>
          <w:lang w:val="sq-AL"/>
        </w:rPr>
        <w:t>ve t</w:t>
      </w:r>
      <w:r w:rsidRPr="008449B4">
        <w:rPr>
          <w:rFonts w:cs="Calibri"/>
          <w:lang w:val="sq-AL"/>
        </w:rPr>
        <w:t>ë</w:t>
      </w:r>
      <w:r w:rsidRPr="008449B4">
        <w:rPr>
          <w:lang w:val="sq-AL"/>
        </w:rPr>
        <w:t xml:space="preserve"> tilla </w:t>
      </w:r>
      <w:r w:rsidRPr="008449B4">
        <w:rPr>
          <w:rFonts w:cs="Calibri"/>
          <w:lang w:val="sq-AL"/>
        </w:rPr>
        <w:t>ë</w:t>
      </w:r>
      <w:r w:rsidRPr="008449B4">
        <w:rPr>
          <w:lang w:val="sq-AL"/>
        </w:rPr>
        <w:t>sht</w:t>
      </w:r>
      <w:r w:rsidRPr="008449B4">
        <w:rPr>
          <w:rFonts w:cs="Calibri"/>
          <w:lang w:val="sq-AL"/>
        </w:rPr>
        <w:t>ë</w:t>
      </w:r>
      <w:r w:rsidRPr="008449B4">
        <w:rPr>
          <w:lang w:val="sq-AL"/>
        </w:rPr>
        <w:t xml:space="preserve"> e p</w:t>
      </w:r>
      <w:r w:rsidRPr="008449B4">
        <w:rPr>
          <w:rFonts w:cs="Calibri"/>
          <w:lang w:val="sq-AL"/>
        </w:rPr>
        <w:t>ë</w:t>
      </w:r>
      <w:r w:rsidRPr="008449B4">
        <w:rPr>
          <w:lang w:val="sq-AL"/>
        </w:rPr>
        <w:t>rcaktuar n</w:t>
      </w:r>
      <w:r w:rsidRPr="008449B4">
        <w:rPr>
          <w:rFonts w:cs="Calibri"/>
          <w:lang w:val="sq-AL"/>
        </w:rPr>
        <w:t>ë</w:t>
      </w:r>
      <w:r w:rsidRPr="008449B4">
        <w:rPr>
          <w:lang w:val="sq-AL"/>
        </w:rPr>
        <w:t xml:space="preserve"> Rregull</w:t>
      </w:r>
      <w:r w:rsidRPr="008449B4">
        <w:rPr>
          <w:rFonts w:cs="Calibri"/>
          <w:lang w:val="sq-AL"/>
        </w:rPr>
        <w:t>ë</w:t>
      </w:r>
      <w:r w:rsidRPr="008449B4">
        <w:rPr>
          <w:lang w:val="sq-AL"/>
        </w:rPr>
        <w:t>n e t</w:t>
      </w:r>
      <w:r w:rsidRPr="008449B4">
        <w:rPr>
          <w:rFonts w:cs="Calibri"/>
          <w:lang w:val="sq-AL"/>
        </w:rPr>
        <w:t>ë</w:t>
      </w:r>
      <w:r w:rsidRPr="008449B4">
        <w:rPr>
          <w:lang w:val="sq-AL"/>
        </w:rPr>
        <w:t xml:space="preserve"> Hyrave t</w:t>
      </w:r>
      <w:r w:rsidRPr="008449B4">
        <w:rPr>
          <w:rFonts w:cs="Calibri"/>
          <w:lang w:val="sq-AL"/>
        </w:rPr>
        <w:t>ë</w:t>
      </w:r>
      <w:r w:rsidRPr="008449B4">
        <w:rPr>
          <w:lang w:val="sq-AL"/>
        </w:rPr>
        <w:t xml:space="preserve"> OSSH-s</w:t>
      </w:r>
      <w:r w:rsidRPr="008449B4">
        <w:rPr>
          <w:rFonts w:cs="Calibri"/>
          <w:lang w:val="sq-AL"/>
        </w:rPr>
        <w:t>ë</w:t>
      </w:r>
      <w:r w:rsidRPr="008449B4">
        <w:rPr>
          <w:lang w:val="sq-AL"/>
        </w:rPr>
        <w:t>.</w:t>
      </w:r>
    </w:p>
    <w:p w14:paraId="2CB73046" w14:textId="2C409268" w:rsidR="00D850AB" w:rsidRPr="0050005A" w:rsidRDefault="00D850AB" w:rsidP="00D850AB">
      <w:pPr>
        <w:jc w:val="both"/>
        <w:rPr>
          <w:lang w:val="sq-AL"/>
        </w:rPr>
      </w:pPr>
      <w:r w:rsidRPr="008449B4">
        <w:rPr>
          <w:lang w:val="sq-AL"/>
        </w:rPr>
        <w:t xml:space="preserve">Kjo normë aplikohet në përshtatjen e kostove operative, kostove të zhvlerësimit dhe kthimit në kapital. Pas aplikimit të normës së </w:t>
      </w:r>
      <w:r w:rsidRPr="008449B4">
        <w:rPr>
          <w:lang w:val="sq-AL"/>
        </w:rPr>
        <w:lastRenderedPageBreak/>
        <w:t xml:space="preserve">inflacionit prej </w:t>
      </w:r>
      <w:r w:rsidR="00A43E3D">
        <w:rPr>
          <w:lang w:val="sq-AL"/>
        </w:rPr>
        <w:t>0.26</w:t>
      </w:r>
      <w:r w:rsidRPr="008449B4">
        <w:rPr>
          <w:lang w:val="sq-AL"/>
        </w:rPr>
        <w:t xml:space="preserve">% ndaj </w:t>
      </w:r>
      <w:r w:rsidR="0009487F" w:rsidRPr="008449B4">
        <w:rPr>
          <w:lang w:val="sq-AL"/>
        </w:rPr>
        <w:t>komponentëve</w:t>
      </w:r>
      <w:r w:rsidRPr="008449B4">
        <w:rPr>
          <w:lang w:val="sq-AL"/>
        </w:rPr>
        <w:t xml:space="preserve"> të kostove të sipërpërmendura, rrjedh vlera e kostove të përshtatura </w:t>
      </w:r>
      <w:r w:rsidRPr="008D0695">
        <w:rPr>
          <w:lang w:val="sq-AL"/>
        </w:rPr>
        <w:t xml:space="preserve">prej </w:t>
      </w:r>
      <w:r w:rsidR="00A43E3D" w:rsidRPr="008D0695">
        <w:rPr>
          <w:lang w:val="sq-AL"/>
        </w:rPr>
        <w:t>0.1</w:t>
      </w:r>
      <w:r w:rsidR="000349B2" w:rsidRPr="008D0695">
        <w:rPr>
          <w:lang w:val="sq-AL"/>
        </w:rPr>
        <w:t>5</w:t>
      </w:r>
      <w:r w:rsidRPr="008D0695">
        <w:rPr>
          <w:lang w:val="sq-AL"/>
        </w:rPr>
        <w:t xml:space="preserve"> milion</w:t>
      </w:r>
      <w:r w:rsidRPr="008449B4">
        <w:rPr>
          <w:lang w:val="sq-AL"/>
        </w:rPr>
        <w:t xml:space="preserve"> euro. </w:t>
      </w:r>
      <w:r w:rsidR="00A73DBB" w:rsidRPr="008449B4">
        <w:rPr>
          <w:lang w:val="sq-AL"/>
        </w:rPr>
        <w:t>P</w:t>
      </w:r>
      <w:r w:rsidR="00A73DBB" w:rsidRPr="008449B4">
        <w:rPr>
          <w:rFonts w:cs="Calibri"/>
          <w:lang w:val="sq-AL"/>
        </w:rPr>
        <w:t>ë</w:t>
      </w:r>
      <w:r w:rsidR="00A73DBB" w:rsidRPr="008449B4">
        <w:rPr>
          <w:lang w:val="sq-AL"/>
        </w:rPr>
        <w:t>rshtatjet q</w:t>
      </w:r>
      <w:r w:rsidR="00A73DBB" w:rsidRPr="008449B4">
        <w:rPr>
          <w:rFonts w:cs="Calibri"/>
          <w:lang w:val="sq-AL"/>
        </w:rPr>
        <w:t>ë</w:t>
      </w:r>
      <w:r w:rsidR="00A73DBB" w:rsidRPr="008449B4">
        <w:rPr>
          <w:lang w:val="sq-AL"/>
        </w:rPr>
        <w:t xml:space="preserve"> kan</w:t>
      </w:r>
      <w:r w:rsidR="00A73DBB" w:rsidRPr="008449B4">
        <w:rPr>
          <w:rFonts w:cs="Calibri"/>
          <w:lang w:val="sq-AL"/>
        </w:rPr>
        <w:t>ë</w:t>
      </w:r>
      <w:r w:rsidR="00A73DBB" w:rsidRPr="008449B4">
        <w:rPr>
          <w:lang w:val="sq-AL"/>
        </w:rPr>
        <w:t xml:space="preserve"> rezultuar n</w:t>
      </w:r>
      <w:r w:rsidR="00A73DBB" w:rsidRPr="008449B4">
        <w:rPr>
          <w:rFonts w:cs="Calibri"/>
          <w:lang w:val="sq-AL"/>
        </w:rPr>
        <w:t xml:space="preserve">ga aplikimi i normës së inflacionit për secilën nga komponentët e kostove </w:t>
      </w:r>
      <w:r w:rsidR="00F940AC" w:rsidRPr="008449B4">
        <w:rPr>
          <w:rFonts w:cs="Calibri"/>
          <w:lang w:val="sq-AL"/>
        </w:rPr>
        <w:t>t</w:t>
      </w:r>
      <w:r w:rsidR="00F940AC" w:rsidRPr="00F940AC">
        <w:rPr>
          <w:rFonts w:cs="Calibri"/>
          <w:lang w:val="sq-AL"/>
        </w:rPr>
        <w:t>ë</w:t>
      </w:r>
      <w:r w:rsidR="00F940AC">
        <w:rPr>
          <w:rFonts w:cs="Calibri"/>
          <w:lang w:val="sq-AL"/>
        </w:rPr>
        <w:t xml:space="preserve"> lejuara n</w:t>
      </w:r>
      <w:r w:rsidR="00F940AC" w:rsidRPr="00F940AC">
        <w:rPr>
          <w:rFonts w:cs="Calibri"/>
          <w:lang w:val="sq-AL"/>
        </w:rPr>
        <w:t>ë</w:t>
      </w:r>
      <w:r w:rsidR="00A43E3D">
        <w:rPr>
          <w:rFonts w:cs="Calibri"/>
          <w:lang w:val="sq-AL"/>
        </w:rPr>
        <w:t xml:space="preserve"> vitin 2020</w:t>
      </w:r>
      <w:r w:rsidR="00F940AC">
        <w:rPr>
          <w:rFonts w:cs="Calibri"/>
          <w:lang w:val="sq-AL"/>
        </w:rPr>
        <w:t xml:space="preserve"> </w:t>
      </w:r>
      <w:r w:rsidR="00354587">
        <w:rPr>
          <w:rFonts w:cs="Calibri"/>
          <w:lang w:val="sq-AL"/>
        </w:rPr>
        <w:t xml:space="preserve">i </w:t>
      </w:r>
      <w:r w:rsidR="00F940AC">
        <w:rPr>
          <w:rFonts w:cs="Calibri"/>
          <w:lang w:val="sq-AL"/>
        </w:rPr>
        <w:t>jan</w:t>
      </w:r>
      <w:r w:rsidR="00F940AC" w:rsidRPr="00F940AC">
        <w:rPr>
          <w:rFonts w:cs="Calibri"/>
          <w:lang w:val="sq-AL"/>
        </w:rPr>
        <w:t>ë</w:t>
      </w:r>
      <w:r w:rsidR="00F940AC">
        <w:rPr>
          <w:rFonts w:cs="Calibri"/>
          <w:lang w:val="sq-AL"/>
        </w:rPr>
        <w:t xml:space="preserve"> </w:t>
      </w:r>
      <w:r w:rsidR="00A73DBB">
        <w:rPr>
          <w:rFonts w:cs="Calibri"/>
          <w:lang w:val="sq-AL"/>
        </w:rPr>
        <w:t>shtuar m</w:t>
      </w:r>
      <w:r w:rsidR="00A73DBB" w:rsidRPr="00A73DBB">
        <w:rPr>
          <w:rFonts w:cs="Calibri"/>
          <w:lang w:val="sq-AL"/>
        </w:rPr>
        <w:t>ë</w:t>
      </w:r>
      <w:r w:rsidR="00A73DBB">
        <w:rPr>
          <w:rFonts w:cs="Calibri"/>
          <w:lang w:val="sq-AL"/>
        </w:rPr>
        <w:t xml:space="preserve"> pastaj vler</w:t>
      </w:r>
      <w:r w:rsidR="00A73DBB" w:rsidRPr="00A73DBB">
        <w:rPr>
          <w:rFonts w:cs="Calibri"/>
          <w:lang w:val="sq-AL"/>
        </w:rPr>
        <w:t>ë</w:t>
      </w:r>
      <w:r w:rsidR="00A73DBB">
        <w:rPr>
          <w:rFonts w:cs="Calibri"/>
          <w:lang w:val="sq-AL"/>
        </w:rPr>
        <w:t>simit filles</w:t>
      </w:r>
      <w:r w:rsidR="00EE7A6A">
        <w:rPr>
          <w:rFonts w:cs="Calibri"/>
          <w:lang w:val="sq-AL"/>
        </w:rPr>
        <w:t>t</w:t>
      </w:r>
      <w:r w:rsidR="00A73DBB">
        <w:rPr>
          <w:rFonts w:cs="Calibri"/>
          <w:lang w:val="sq-AL"/>
        </w:rPr>
        <w:t>a</w:t>
      </w:r>
      <w:r w:rsidR="00485D5B">
        <w:rPr>
          <w:rFonts w:cs="Calibri"/>
          <w:lang w:val="sq-AL"/>
        </w:rPr>
        <w:t>r</w:t>
      </w:r>
      <w:r w:rsidR="00A73DBB">
        <w:rPr>
          <w:rFonts w:cs="Calibri"/>
          <w:lang w:val="sq-AL"/>
        </w:rPr>
        <w:t xml:space="preserve"> t</w:t>
      </w:r>
      <w:r w:rsidR="00A73DBB" w:rsidRPr="00A73DBB">
        <w:rPr>
          <w:rFonts w:cs="Calibri"/>
          <w:lang w:val="sq-AL"/>
        </w:rPr>
        <w:t>ë</w:t>
      </w:r>
      <w:r w:rsidR="00A73DBB">
        <w:rPr>
          <w:rFonts w:cs="Calibri"/>
          <w:lang w:val="sq-AL"/>
        </w:rPr>
        <w:t xml:space="preserve"> kostove t</w:t>
      </w:r>
      <w:r w:rsidR="00A73DBB" w:rsidRPr="00A73DBB">
        <w:rPr>
          <w:rFonts w:cs="Calibri"/>
          <w:lang w:val="sq-AL"/>
        </w:rPr>
        <w:t>ë</w:t>
      </w:r>
      <w:r w:rsidR="00A73DBB">
        <w:rPr>
          <w:rFonts w:cs="Calibri"/>
          <w:lang w:val="sq-AL"/>
        </w:rPr>
        <w:t xml:space="preserve"> vler</w:t>
      </w:r>
      <w:r w:rsidR="00A73DBB" w:rsidRPr="00A73DBB">
        <w:rPr>
          <w:rFonts w:cs="Calibri"/>
          <w:lang w:val="sq-AL"/>
        </w:rPr>
        <w:t>ë</w:t>
      </w:r>
      <w:r w:rsidR="00A73DBB">
        <w:rPr>
          <w:rFonts w:cs="Calibri"/>
          <w:lang w:val="sq-AL"/>
        </w:rPr>
        <w:t>suar</w:t>
      </w:r>
      <w:r w:rsidR="00F940AC">
        <w:rPr>
          <w:rFonts w:cs="Calibri"/>
          <w:lang w:val="sq-AL"/>
        </w:rPr>
        <w:t>a</w:t>
      </w:r>
      <w:r w:rsidR="00A73DBB">
        <w:rPr>
          <w:rFonts w:cs="Calibri"/>
          <w:lang w:val="sq-AL"/>
        </w:rPr>
        <w:t xml:space="preserve"> p</w:t>
      </w:r>
      <w:r w:rsidR="00A73DBB" w:rsidRPr="00A73DBB">
        <w:rPr>
          <w:rFonts w:cs="Calibri"/>
          <w:lang w:val="sq-AL"/>
        </w:rPr>
        <w:t>ë</w:t>
      </w:r>
      <w:r w:rsidR="00A43E3D">
        <w:rPr>
          <w:rFonts w:cs="Calibri"/>
          <w:lang w:val="sq-AL"/>
        </w:rPr>
        <w:t>r vitin 2021</w:t>
      </w:r>
      <w:r w:rsidR="00F940AC">
        <w:rPr>
          <w:rFonts w:cs="Calibri"/>
          <w:lang w:val="sq-AL"/>
        </w:rPr>
        <w:t>.</w:t>
      </w:r>
      <w:r w:rsidR="00A73DBB">
        <w:rPr>
          <w:rFonts w:cs="Calibri"/>
          <w:lang w:val="sq-AL"/>
        </w:rPr>
        <w:t xml:space="preserve"> </w:t>
      </w:r>
      <w:r w:rsidRPr="0050005A">
        <w:rPr>
          <w:lang w:val="sq-AL"/>
        </w:rPr>
        <w:t xml:space="preserve">Detajet e këtyre kalkulimeve janë paraqitur në tabelën </w:t>
      </w:r>
      <w:r w:rsidR="001D66A0">
        <w:rPr>
          <w:lang w:val="sq-AL"/>
        </w:rPr>
        <w:t>në vijim</w:t>
      </w:r>
      <w:r w:rsidR="008449B4">
        <w:rPr>
          <w:lang w:val="sq-AL"/>
        </w:rPr>
        <w:t>:</w:t>
      </w:r>
    </w:p>
    <w:p w14:paraId="0AC3C673" w14:textId="77777777" w:rsidR="00D850AB" w:rsidRPr="0050005A" w:rsidRDefault="00D850AB" w:rsidP="00026AD9">
      <w:pPr>
        <w:pStyle w:val="Caption"/>
        <w:spacing w:after="0"/>
        <w:ind w:left="720" w:firstLine="720"/>
        <w:rPr>
          <w:lang w:val="sq-AL"/>
        </w:rPr>
      </w:pPr>
      <w:r w:rsidRPr="0050005A">
        <w:rPr>
          <w:lang w:val="sq-AL"/>
        </w:rPr>
        <w:t xml:space="preserve">Tabela  </w:t>
      </w:r>
      <w:r w:rsidR="001D66A0">
        <w:rPr>
          <w:lang w:val="sq-AL"/>
        </w:rPr>
        <w:t>2</w:t>
      </w:r>
      <w:r w:rsidRPr="0050005A">
        <w:rPr>
          <w:lang w:val="sq-AL"/>
        </w:rPr>
        <w:t>: Përshtatjet për inflacion</w:t>
      </w:r>
    </w:p>
    <w:tbl>
      <w:tblPr>
        <w:tblStyle w:val="TableGrid"/>
        <w:tblW w:w="0" w:type="auto"/>
        <w:jc w:val="center"/>
        <w:tblLook w:val="04A0" w:firstRow="1" w:lastRow="0" w:firstColumn="1" w:lastColumn="0" w:noHBand="0" w:noVBand="1"/>
      </w:tblPr>
      <w:tblGrid>
        <w:gridCol w:w="2094"/>
        <w:gridCol w:w="876"/>
        <w:gridCol w:w="876"/>
        <w:gridCol w:w="1516"/>
        <w:gridCol w:w="1568"/>
        <w:gridCol w:w="1170"/>
      </w:tblGrid>
      <w:tr w:rsidR="00B321E1" w:rsidRPr="008D0695" w14:paraId="74D5BF70" w14:textId="77777777" w:rsidTr="00F940AC">
        <w:trPr>
          <w:jc w:val="center"/>
        </w:trPr>
        <w:tc>
          <w:tcPr>
            <w:tcW w:w="2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3A0D52A" w14:textId="77777777" w:rsidR="00966ECD" w:rsidRPr="008D0695" w:rsidRDefault="00966ECD" w:rsidP="00966ECD">
            <w:pPr>
              <w:spacing w:after="0" w:line="240" w:lineRule="auto"/>
              <w:rPr>
                <w:color w:val="FFFFFF" w:themeColor="background1"/>
                <w:lang w:val="sq-AL"/>
              </w:rPr>
            </w:pPr>
            <w:r w:rsidRPr="008D0695">
              <w:rPr>
                <w:color w:val="FFFFFF" w:themeColor="background1"/>
                <w:lang w:val="sq-AL"/>
              </w:rPr>
              <w:t>Linja</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C1E6641" w14:textId="77777777" w:rsidR="00966ECD" w:rsidRPr="008D0695" w:rsidRDefault="00966ECD" w:rsidP="00966ECD">
            <w:pPr>
              <w:spacing w:after="0" w:line="240" w:lineRule="auto"/>
              <w:jc w:val="center"/>
              <w:rPr>
                <w:color w:val="FFFFFF" w:themeColor="background1"/>
                <w:lang w:val="sq-AL"/>
              </w:rPr>
            </w:pPr>
            <w:r w:rsidRPr="008D0695">
              <w:rPr>
                <w:color w:val="FFFFFF" w:themeColor="background1"/>
                <w:lang w:val="sq-AL"/>
              </w:rPr>
              <w:t>Njësia</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554595B7"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a)</w:t>
            </w:r>
          </w:p>
          <w:p w14:paraId="698D7FF8" w14:textId="77777777" w:rsidR="00966ECD" w:rsidRPr="008D0695" w:rsidRDefault="00966ECD" w:rsidP="00B321E1">
            <w:pPr>
              <w:pStyle w:val="ListParagraph"/>
              <w:spacing w:after="0" w:line="240" w:lineRule="auto"/>
              <w:ind w:left="27"/>
              <w:jc w:val="center"/>
              <w:rPr>
                <w:rFonts w:cs="Calibri"/>
                <w:color w:val="FFFFFF" w:themeColor="background1"/>
                <w:lang w:val="sq-AL"/>
              </w:rPr>
            </w:pPr>
            <w:r w:rsidRPr="008D0695">
              <w:rPr>
                <w:rFonts w:cs="Calibri"/>
                <w:color w:val="FFFFFF" w:themeColor="background1"/>
                <w:lang w:val="sq-AL"/>
              </w:rPr>
              <w:t>Lejuar</w:t>
            </w:r>
          </w:p>
          <w:p w14:paraId="74733BE9" w14:textId="76EEB467" w:rsidR="00966ECD" w:rsidRPr="008D0695" w:rsidRDefault="000349B2" w:rsidP="00B321E1">
            <w:pPr>
              <w:spacing w:after="0" w:line="240" w:lineRule="auto"/>
              <w:ind w:left="27"/>
              <w:jc w:val="center"/>
              <w:rPr>
                <w:color w:val="FFFFFF" w:themeColor="background1"/>
                <w:lang w:val="sq-AL"/>
              </w:rPr>
            </w:pPr>
            <w:r w:rsidRPr="008D0695">
              <w:rPr>
                <w:color w:val="FFFFFF" w:themeColor="background1"/>
                <w:lang w:val="sq-AL"/>
              </w:rPr>
              <w:t>20</w:t>
            </w:r>
            <w:r w:rsidR="008D0695">
              <w:rPr>
                <w:color w:val="FFFFFF" w:themeColor="background1"/>
                <w:lang w:val="sq-AL"/>
              </w:rPr>
              <w:t>20</w:t>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03CE4C4A"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b)</w:t>
            </w:r>
          </w:p>
          <w:p w14:paraId="1C516310" w14:textId="7951928E" w:rsidR="00966ECD" w:rsidRPr="008D0695" w:rsidRDefault="00966ECD" w:rsidP="00B321E1">
            <w:pPr>
              <w:spacing w:after="0" w:line="240" w:lineRule="auto"/>
              <w:jc w:val="center"/>
              <w:rPr>
                <w:color w:val="FFFFFF" w:themeColor="background1"/>
                <w:lang w:val="sq-AL"/>
              </w:rPr>
            </w:pPr>
            <w:r w:rsidRPr="008D0695">
              <w:rPr>
                <w:color w:val="FFFFFF" w:themeColor="background1"/>
                <w:lang w:val="sq-AL"/>
              </w:rPr>
              <w:t>Përshtatja pë</w:t>
            </w:r>
            <w:r w:rsidR="00B321E1" w:rsidRPr="008D0695">
              <w:rPr>
                <w:color w:val="FFFFFF" w:themeColor="background1"/>
                <w:lang w:val="sq-AL"/>
              </w:rPr>
              <w:t>r</w:t>
            </w:r>
            <w:r w:rsidRPr="008D0695">
              <w:rPr>
                <w:color w:val="FFFFFF" w:themeColor="background1"/>
                <w:lang w:val="sq-AL"/>
              </w:rPr>
              <w:t xml:space="preserve"> </w:t>
            </w:r>
            <w:r w:rsidR="008D0695">
              <w:rPr>
                <w:color w:val="FFFFFF" w:themeColor="background1"/>
                <w:lang w:val="sq-AL"/>
              </w:rPr>
              <w:t>inflacion</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79522EC8"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c)</w:t>
            </w:r>
          </w:p>
          <w:p w14:paraId="60D9A3EB" w14:textId="117C77F7" w:rsidR="00966ECD" w:rsidRPr="008D0695" w:rsidRDefault="00966ECD" w:rsidP="00B321E1">
            <w:pPr>
              <w:spacing w:after="0" w:line="240" w:lineRule="auto"/>
              <w:jc w:val="center"/>
              <w:rPr>
                <w:color w:val="FFFFFF" w:themeColor="background1"/>
                <w:lang w:val="sq-AL"/>
              </w:rPr>
            </w:pPr>
            <w:r w:rsidRPr="008D0695">
              <w:rPr>
                <w:color w:val="FFFFFF" w:themeColor="background1"/>
                <w:lang w:val="sq-AL"/>
              </w:rPr>
              <w:t>Vlerësimi fillestar 20</w:t>
            </w:r>
            <w:r w:rsidR="000349B2" w:rsidRPr="008D0695">
              <w:rPr>
                <w:color w:val="FFFFFF" w:themeColor="background1"/>
                <w:lang w:val="sq-AL"/>
              </w:rPr>
              <w:t>2</w:t>
            </w:r>
            <w:r w:rsidR="008D0695">
              <w:rPr>
                <w:color w:val="FFFFFF" w:themeColor="background1"/>
                <w:lang w:val="sq-AL"/>
              </w:rPr>
              <w:t>1</w:t>
            </w:r>
            <w:r w:rsidRPr="008D0695">
              <w:rPr>
                <w:rStyle w:val="FootnoteReference"/>
                <w:color w:val="FFFFFF" w:themeColor="background1"/>
                <w:lang w:val="sq-AL"/>
              </w:rPr>
              <w:footnoteReference w:id="2"/>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872528E" w14:textId="4666BB77" w:rsidR="00966ECD" w:rsidRPr="008D0695" w:rsidRDefault="00B321E1" w:rsidP="00B321E1">
            <w:pPr>
              <w:spacing w:after="0" w:line="240" w:lineRule="auto"/>
              <w:jc w:val="center"/>
              <w:rPr>
                <w:color w:val="FFFFFF" w:themeColor="background1"/>
                <w:lang w:val="sq-AL"/>
              </w:rPr>
            </w:pPr>
            <w:r w:rsidRPr="008D0695">
              <w:rPr>
                <w:color w:val="FFFFFF" w:themeColor="background1"/>
                <w:lang w:val="sq-AL"/>
              </w:rPr>
              <w:t xml:space="preserve">d=b+c </w:t>
            </w:r>
            <w:r w:rsidR="00966ECD" w:rsidRPr="008D0695">
              <w:rPr>
                <w:color w:val="FFFFFF" w:themeColor="background1"/>
                <w:lang w:val="sq-AL"/>
              </w:rPr>
              <w:t>Lejimi 20</w:t>
            </w:r>
            <w:r w:rsidR="000349B2" w:rsidRPr="008D0695">
              <w:rPr>
                <w:color w:val="FFFFFF" w:themeColor="background1"/>
                <w:lang w:val="sq-AL"/>
              </w:rPr>
              <w:t>2</w:t>
            </w:r>
            <w:r w:rsidR="008D0695">
              <w:rPr>
                <w:color w:val="FFFFFF" w:themeColor="background1"/>
                <w:lang w:val="sq-AL"/>
              </w:rPr>
              <w:t>1</w:t>
            </w:r>
          </w:p>
        </w:tc>
      </w:tr>
      <w:tr w:rsidR="00B321E1" w:rsidRPr="008D0695" w14:paraId="50B081CC" w14:textId="77777777" w:rsidTr="00F940AC">
        <w:trPr>
          <w:jc w:val="center"/>
        </w:trPr>
        <w:tc>
          <w:tcPr>
            <w:tcW w:w="2094" w:type="dxa"/>
            <w:tcBorders>
              <w:top w:val="single" w:sz="4" w:space="0" w:color="FFFFFF" w:themeColor="background1"/>
            </w:tcBorders>
          </w:tcPr>
          <w:p w14:paraId="471E322F" w14:textId="77777777" w:rsidR="00966ECD" w:rsidRPr="008D0695" w:rsidRDefault="00966ECD" w:rsidP="00966ECD">
            <w:pPr>
              <w:spacing w:after="0" w:line="240" w:lineRule="auto"/>
              <w:rPr>
                <w:color w:val="000000"/>
                <w:lang w:val="sq-AL"/>
              </w:rPr>
            </w:pPr>
            <w:r w:rsidRPr="008D0695">
              <w:rPr>
                <w:color w:val="000000"/>
                <w:lang w:val="sq-AL"/>
              </w:rPr>
              <w:t>OPEX-i</w:t>
            </w:r>
          </w:p>
        </w:tc>
        <w:tc>
          <w:tcPr>
            <w:tcW w:w="876" w:type="dxa"/>
            <w:tcBorders>
              <w:top w:val="single" w:sz="4" w:space="0" w:color="FFFFFF" w:themeColor="background1"/>
            </w:tcBorders>
          </w:tcPr>
          <w:p w14:paraId="6C7810B6"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Borders>
              <w:top w:val="single" w:sz="4" w:space="0" w:color="FFFFFF" w:themeColor="background1"/>
            </w:tcBorders>
          </w:tcPr>
          <w:p w14:paraId="5525F593" w14:textId="4466DA47" w:rsidR="00966ECD" w:rsidRPr="008D0695" w:rsidRDefault="008D0695" w:rsidP="00966ECD">
            <w:pPr>
              <w:spacing w:after="0" w:line="240" w:lineRule="auto"/>
              <w:jc w:val="right"/>
              <w:rPr>
                <w:color w:val="000000"/>
                <w:lang w:val="sq-AL"/>
              </w:rPr>
            </w:pPr>
            <w:r>
              <w:rPr>
                <w:color w:val="000000"/>
                <w:lang w:val="sq-AL"/>
              </w:rPr>
              <w:t>25.84</w:t>
            </w:r>
          </w:p>
        </w:tc>
        <w:tc>
          <w:tcPr>
            <w:tcW w:w="1516" w:type="dxa"/>
            <w:tcBorders>
              <w:top w:val="single" w:sz="4" w:space="0" w:color="FFFFFF" w:themeColor="background1"/>
            </w:tcBorders>
          </w:tcPr>
          <w:p w14:paraId="2C4AF221" w14:textId="5DC1A99B" w:rsidR="00966ECD" w:rsidRPr="008D0695" w:rsidRDefault="000349B2" w:rsidP="00966ECD">
            <w:pPr>
              <w:spacing w:after="0" w:line="240" w:lineRule="auto"/>
              <w:jc w:val="right"/>
              <w:rPr>
                <w:color w:val="000000"/>
                <w:lang w:val="sq-AL"/>
              </w:rPr>
            </w:pPr>
            <w:r w:rsidRPr="008D0695">
              <w:rPr>
                <w:color w:val="000000"/>
                <w:lang w:val="sq-AL"/>
              </w:rPr>
              <w:t>0.</w:t>
            </w:r>
            <w:r w:rsidR="008D0695">
              <w:rPr>
                <w:color w:val="000000"/>
                <w:lang w:val="sq-AL"/>
              </w:rPr>
              <w:t>07</w:t>
            </w:r>
          </w:p>
        </w:tc>
        <w:tc>
          <w:tcPr>
            <w:tcW w:w="1568" w:type="dxa"/>
            <w:tcBorders>
              <w:top w:val="single" w:sz="4" w:space="0" w:color="FFFFFF" w:themeColor="background1"/>
            </w:tcBorders>
          </w:tcPr>
          <w:p w14:paraId="52379AC7" w14:textId="25C15117" w:rsidR="00966ECD" w:rsidRPr="008D0695" w:rsidRDefault="00B321E1" w:rsidP="000349B2">
            <w:pPr>
              <w:spacing w:after="0" w:line="240" w:lineRule="auto"/>
              <w:jc w:val="right"/>
              <w:rPr>
                <w:color w:val="000000"/>
                <w:lang w:val="sq-AL"/>
              </w:rPr>
            </w:pPr>
            <w:r w:rsidRPr="008D0695">
              <w:rPr>
                <w:color w:val="000000"/>
                <w:lang w:val="sq-AL"/>
              </w:rPr>
              <w:t>2</w:t>
            </w:r>
            <w:r w:rsidR="008D0695">
              <w:rPr>
                <w:color w:val="000000"/>
                <w:lang w:val="sq-AL"/>
              </w:rPr>
              <w:t>5</w:t>
            </w:r>
            <w:r w:rsidRPr="008D0695">
              <w:rPr>
                <w:color w:val="000000"/>
                <w:lang w:val="sq-AL"/>
              </w:rPr>
              <w:t>.</w:t>
            </w:r>
            <w:r w:rsidR="008D0695">
              <w:rPr>
                <w:color w:val="000000"/>
                <w:lang w:val="sq-AL"/>
              </w:rPr>
              <w:t>21</w:t>
            </w:r>
          </w:p>
        </w:tc>
        <w:tc>
          <w:tcPr>
            <w:tcW w:w="1170" w:type="dxa"/>
            <w:tcBorders>
              <w:top w:val="single" w:sz="4" w:space="0" w:color="FFFFFF" w:themeColor="background1"/>
            </w:tcBorders>
          </w:tcPr>
          <w:p w14:paraId="3A39A660" w14:textId="59C82F27" w:rsidR="00966ECD" w:rsidRPr="008D0695" w:rsidRDefault="008D0695" w:rsidP="00966ECD">
            <w:pPr>
              <w:spacing w:after="0" w:line="240" w:lineRule="auto"/>
              <w:jc w:val="right"/>
              <w:rPr>
                <w:color w:val="000000"/>
                <w:lang w:val="sq-AL"/>
              </w:rPr>
            </w:pPr>
            <w:r>
              <w:rPr>
                <w:color w:val="000000"/>
                <w:lang w:val="sq-AL"/>
              </w:rPr>
              <w:t>25.28</w:t>
            </w:r>
          </w:p>
        </w:tc>
      </w:tr>
      <w:tr w:rsidR="00B321E1" w:rsidRPr="008D0695" w14:paraId="3970A592" w14:textId="77777777" w:rsidTr="00F940AC">
        <w:trPr>
          <w:jc w:val="center"/>
        </w:trPr>
        <w:tc>
          <w:tcPr>
            <w:tcW w:w="2094" w:type="dxa"/>
          </w:tcPr>
          <w:p w14:paraId="1E704F8B" w14:textId="77777777" w:rsidR="00966ECD" w:rsidRPr="008D0695" w:rsidRDefault="00966ECD" w:rsidP="00966ECD">
            <w:pPr>
              <w:spacing w:after="0" w:line="240" w:lineRule="auto"/>
              <w:rPr>
                <w:color w:val="000000"/>
                <w:lang w:val="sq-AL"/>
              </w:rPr>
            </w:pPr>
            <w:r w:rsidRPr="008D0695">
              <w:rPr>
                <w:color w:val="000000"/>
                <w:lang w:val="sq-AL"/>
              </w:rPr>
              <w:t>Zhvlerësimi</w:t>
            </w:r>
          </w:p>
        </w:tc>
        <w:tc>
          <w:tcPr>
            <w:tcW w:w="876" w:type="dxa"/>
          </w:tcPr>
          <w:p w14:paraId="55A85891"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Pr>
          <w:p w14:paraId="365AA10C" w14:textId="5080AC51" w:rsidR="00966ECD" w:rsidRPr="008D0695" w:rsidRDefault="00966ECD" w:rsidP="000349B2">
            <w:pPr>
              <w:spacing w:after="0" w:line="240" w:lineRule="auto"/>
              <w:jc w:val="right"/>
              <w:rPr>
                <w:color w:val="000000"/>
                <w:lang w:val="sq-AL"/>
              </w:rPr>
            </w:pPr>
            <w:r w:rsidRPr="008D0695">
              <w:rPr>
                <w:color w:val="000000"/>
                <w:lang w:val="sq-AL"/>
              </w:rPr>
              <w:t>1</w:t>
            </w:r>
            <w:r w:rsidR="008D0695">
              <w:rPr>
                <w:color w:val="000000"/>
                <w:lang w:val="sq-AL"/>
              </w:rPr>
              <w:t>5.40</w:t>
            </w:r>
          </w:p>
        </w:tc>
        <w:tc>
          <w:tcPr>
            <w:tcW w:w="1516" w:type="dxa"/>
          </w:tcPr>
          <w:p w14:paraId="4DE11230" w14:textId="5F7786FC" w:rsidR="00966ECD" w:rsidRPr="008D0695" w:rsidRDefault="000349B2" w:rsidP="00966ECD">
            <w:pPr>
              <w:spacing w:after="0" w:line="240" w:lineRule="auto"/>
              <w:jc w:val="right"/>
              <w:rPr>
                <w:color w:val="000000"/>
                <w:lang w:val="sq-AL"/>
              </w:rPr>
            </w:pPr>
            <w:r w:rsidRPr="008D0695">
              <w:rPr>
                <w:color w:val="000000"/>
                <w:lang w:val="sq-AL"/>
              </w:rPr>
              <w:t>0.</w:t>
            </w:r>
            <w:r w:rsidR="008D0695">
              <w:rPr>
                <w:color w:val="000000"/>
                <w:lang w:val="sq-AL"/>
              </w:rPr>
              <w:t>04</w:t>
            </w:r>
          </w:p>
        </w:tc>
        <w:tc>
          <w:tcPr>
            <w:tcW w:w="1568" w:type="dxa"/>
          </w:tcPr>
          <w:p w14:paraId="4E83AA8E" w14:textId="2C28FB04" w:rsidR="00966ECD" w:rsidRPr="008D0695" w:rsidRDefault="000349B2" w:rsidP="00966ECD">
            <w:pPr>
              <w:spacing w:after="0" w:line="240" w:lineRule="auto"/>
              <w:jc w:val="right"/>
              <w:rPr>
                <w:color w:val="000000"/>
                <w:lang w:val="sq-AL"/>
              </w:rPr>
            </w:pPr>
            <w:r w:rsidRPr="008D0695">
              <w:rPr>
                <w:color w:val="000000"/>
                <w:lang w:val="sq-AL"/>
              </w:rPr>
              <w:t>1</w:t>
            </w:r>
            <w:r w:rsidR="008D0695">
              <w:rPr>
                <w:color w:val="000000"/>
                <w:lang w:val="sq-AL"/>
              </w:rPr>
              <w:t>6.17</w:t>
            </w:r>
          </w:p>
        </w:tc>
        <w:tc>
          <w:tcPr>
            <w:tcW w:w="1170" w:type="dxa"/>
          </w:tcPr>
          <w:p w14:paraId="2C32F1BD" w14:textId="34EA834F" w:rsidR="00966ECD" w:rsidRPr="008D0695" w:rsidRDefault="008D0695" w:rsidP="00966ECD">
            <w:pPr>
              <w:spacing w:after="0" w:line="240" w:lineRule="auto"/>
              <w:jc w:val="right"/>
              <w:rPr>
                <w:color w:val="000000"/>
                <w:lang w:val="sq-AL"/>
              </w:rPr>
            </w:pPr>
            <w:r>
              <w:rPr>
                <w:color w:val="000000"/>
                <w:lang w:val="sq-AL"/>
              </w:rPr>
              <w:t>16.21</w:t>
            </w:r>
          </w:p>
        </w:tc>
      </w:tr>
      <w:tr w:rsidR="00B321E1" w:rsidRPr="008D0695" w14:paraId="10062188" w14:textId="77777777" w:rsidTr="00F940AC">
        <w:trPr>
          <w:jc w:val="center"/>
        </w:trPr>
        <w:tc>
          <w:tcPr>
            <w:tcW w:w="2094" w:type="dxa"/>
            <w:tcBorders>
              <w:bottom w:val="single" w:sz="4" w:space="0" w:color="FFFFFF" w:themeColor="background1"/>
            </w:tcBorders>
          </w:tcPr>
          <w:p w14:paraId="318C9793" w14:textId="6BB3EEF1" w:rsidR="00966ECD" w:rsidRPr="008D0695" w:rsidRDefault="00966ECD" w:rsidP="00966ECD">
            <w:pPr>
              <w:spacing w:after="0" w:line="240" w:lineRule="auto"/>
              <w:rPr>
                <w:color w:val="000000"/>
                <w:lang w:val="sq-AL"/>
              </w:rPr>
            </w:pPr>
            <w:r w:rsidRPr="008D0695">
              <w:rPr>
                <w:color w:val="000000"/>
                <w:lang w:val="sq-AL"/>
              </w:rPr>
              <w:t>Kthimi</w:t>
            </w:r>
          </w:p>
        </w:tc>
        <w:tc>
          <w:tcPr>
            <w:tcW w:w="876" w:type="dxa"/>
            <w:tcBorders>
              <w:bottom w:val="single" w:sz="4" w:space="0" w:color="FFFFFF" w:themeColor="background1"/>
            </w:tcBorders>
          </w:tcPr>
          <w:p w14:paraId="799FAB74"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Borders>
              <w:bottom w:val="single" w:sz="4" w:space="0" w:color="FFFFFF" w:themeColor="background1"/>
            </w:tcBorders>
          </w:tcPr>
          <w:p w14:paraId="7D818529" w14:textId="776B554A" w:rsidR="00966ECD" w:rsidRPr="008D0695" w:rsidRDefault="008D0695" w:rsidP="00966ECD">
            <w:pPr>
              <w:spacing w:after="0" w:line="240" w:lineRule="auto"/>
              <w:jc w:val="right"/>
              <w:rPr>
                <w:color w:val="000000"/>
                <w:lang w:val="sq-AL"/>
              </w:rPr>
            </w:pPr>
            <w:r>
              <w:rPr>
                <w:color w:val="000000"/>
                <w:lang w:val="sq-AL"/>
              </w:rPr>
              <w:t>15.12</w:t>
            </w:r>
          </w:p>
        </w:tc>
        <w:tc>
          <w:tcPr>
            <w:tcW w:w="1516" w:type="dxa"/>
            <w:tcBorders>
              <w:bottom w:val="single" w:sz="4" w:space="0" w:color="FFFFFF" w:themeColor="background1"/>
            </w:tcBorders>
          </w:tcPr>
          <w:p w14:paraId="6CDE7831" w14:textId="7F6593D0" w:rsidR="00966ECD" w:rsidRPr="008D0695" w:rsidRDefault="00966ECD" w:rsidP="00966ECD">
            <w:pPr>
              <w:spacing w:after="0" w:line="240" w:lineRule="auto"/>
              <w:jc w:val="right"/>
              <w:rPr>
                <w:color w:val="000000"/>
                <w:lang w:val="sq-AL"/>
              </w:rPr>
            </w:pPr>
            <w:r w:rsidRPr="008D0695">
              <w:rPr>
                <w:color w:val="000000"/>
                <w:lang w:val="sq-AL"/>
              </w:rPr>
              <w:t>0.</w:t>
            </w:r>
            <w:r w:rsidR="008D0695">
              <w:rPr>
                <w:color w:val="000000"/>
                <w:lang w:val="sq-AL"/>
              </w:rPr>
              <w:t>04</w:t>
            </w:r>
          </w:p>
        </w:tc>
        <w:tc>
          <w:tcPr>
            <w:tcW w:w="1568" w:type="dxa"/>
            <w:tcBorders>
              <w:bottom w:val="single" w:sz="4" w:space="0" w:color="FFFFFF" w:themeColor="background1"/>
            </w:tcBorders>
          </w:tcPr>
          <w:p w14:paraId="2DB5EB36" w14:textId="3D798543" w:rsidR="00966ECD" w:rsidRPr="008D0695" w:rsidRDefault="000349B2" w:rsidP="00966ECD">
            <w:pPr>
              <w:spacing w:after="0" w:line="240" w:lineRule="auto"/>
              <w:jc w:val="right"/>
              <w:rPr>
                <w:color w:val="000000"/>
                <w:lang w:val="sq-AL"/>
              </w:rPr>
            </w:pPr>
            <w:r w:rsidRPr="008D0695">
              <w:rPr>
                <w:color w:val="000000"/>
                <w:lang w:val="sq-AL"/>
              </w:rPr>
              <w:t>1</w:t>
            </w:r>
            <w:r w:rsidR="008D0695">
              <w:rPr>
                <w:color w:val="000000"/>
                <w:lang w:val="sq-AL"/>
              </w:rPr>
              <w:t>5.90</w:t>
            </w:r>
          </w:p>
        </w:tc>
        <w:tc>
          <w:tcPr>
            <w:tcW w:w="1170" w:type="dxa"/>
            <w:tcBorders>
              <w:bottom w:val="single" w:sz="4" w:space="0" w:color="FFFFFF" w:themeColor="background1"/>
            </w:tcBorders>
          </w:tcPr>
          <w:p w14:paraId="370D3063" w14:textId="1D7922AE" w:rsidR="00966ECD" w:rsidRPr="008D0695" w:rsidRDefault="000349B2" w:rsidP="00966ECD">
            <w:pPr>
              <w:spacing w:after="0" w:line="240" w:lineRule="auto"/>
              <w:jc w:val="right"/>
              <w:rPr>
                <w:color w:val="000000"/>
                <w:lang w:val="sq-AL"/>
              </w:rPr>
            </w:pPr>
            <w:r w:rsidRPr="008D0695">
              <w:rPr>
                <w:color w:val="000000"/>
                <w:lang w:val="sq-AL"/>
              </w:rPr>
              <w:t>15.</w:t>
            </w:r>
            <w:r w:rsidR="008D0695">
              <w:rPr>
                <w:color w:val="000000"/>
                <w:lang w:val="sq-AL"/>
              </w:rPr>
              <w:t>94</w:t>
            </w:r>
          </w:p>
        </w:tc>
      </w:tr>
      <w:tr w:rsidR="00B321E1" w:rsidRPr="0050005A" w14:paraId="31ACC468" w14:textId="77777777" w:rsidTr="00F940AC">
        <w:trPr>
          <w:trHeight w:val="251"/>
          <w:jc w:val="center"/>
        </w:trPr>
        <w:tc>
          <w:tcPr>
            <w:tcW w:w="2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56411088" w14:textId="77777777" w:rsidR="00966ECD" w:rsidRPr="008D0695" w:rsidRDefault="00966ECD" w:rsidP="00966ECD">
            <w:pPr>
              <w:spacing w:after="0" w:line="240" w:lineRule="auto"/>
              <w:rPr>
                <w:color w:val="FFFFFF" w:themeColor="background1"/>
                <w:lang w:val="sq-AL"/>
              </w:rPr>
            </w:pPr>
            <w:r w:rsidRPr="008D0695">
              <w:rPr>
                <w:color w:val="FFFFFF" w:themeColor="background1"/>
                <w:lang w:val="sq-AL"/>
              </w:rPr>
              <w:t>Total</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9241F1B" w14:textId="77777777" w:rsidR="00966ECD" w:rsidRPr="008D0695" w:rsidRDefault="00966ECD" w:rsidP="00966ECD">
            <w:pPr>
              <w:spacing w:after="0" w:line="240" w:lineRule="auto"/>
              <w:jc w:val="center"/>
              <w:rPr>
                <w:color w:val="FFFFFF" w:themeColor="background1"/>
                <w:lang w:val="sq-AL"/>
              </w:rPr>
            </w:pPr>
            <w:r w:rsidRPr="008D0695">
              <w:rPr>
                <w:color w:val="FFFFFF" w:themeColor="background1"/>
                <w:lang w:val="sq-AL"/>
              </w:rPr>
              <w:t>mil€</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9C9FF4A" w14:textId="1DC4BDB5" w:rsidR="00966ECD" w:rsidRPr="008D0695" w:rsidRDefault="00E202B8" w:rsidP="000349B2">
            <w:pPr>
              <w:spacing w:after="0" w:line="240" w:lineRule="auto"/>
              <w:jc w:val="right"/>
              <w:rPr>
                <w:color w:val="FFFFFF" w:themeColor="background1"/>
                <w:lang w:val="sq-AL"/>
              </w:rPr>
            </w:pPr>
            <w:r w:rsidRPr="008D0695">
              <w:rPr>
                <w:color w:val="FFFFFF" w:themeColor="background1"/>
                <w:lang w:val="sq-AL"/>
              </w:rPr>
              <w:fldChar w:fldCharType="begin"/>
            </w:r>
            <w:r w:rsidR="00B321E1" w:rsidRPr="008D0695">
              <w:rPr>
                <w:color w:val="FFFFFF" w:themeColor="background1"/>
                <w:lang w:val="sq-AL"/>
              </w:rPr>
              <w:instrText xml:space="preserve"> =SUM(ABOVE) </w:instrText>
            </w:r>
            <w:r w:rsidRPr="008D0695">
              <w:rPr>
                <w:color w:val="FFFFFF" w:themeColor="background1"/>
                <w:lang w:val="sq-AL"/>
              </w:rPr>
              <w:fldChar w:fldCharType="separate"/>
            </w:r>
            <w:r w:rsidR="008D0695">
              <w:rPr>
                <w:noProof/>
                <w:color w:val="FFFFFF" w:themeColor="background1"/>
                <w:lang w:val="sq-AL"/>
              </w:rPr>
              <w:t>56.36</w:t>
            </w:r>
            <w:r w:rsidRPr="008D0695">
              <w:rPr>
                <w:color w:val="FFFFFF" w:themeColor="background1"/>
                <w:lang w:val="sq-AL"/>
              </w:rPr>
              <w:fldChar w:fldCharType="end"/>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7553815D" w14:textId="377536AE" w:rsidR="00966ECD" w:rsidRPr="008D0695" w:rsidRDefault="000349B2" w:rsidP="000349B2">
            <w:pPr>
              <w:tabs>
                <w:tab w:val="center" w:pos="650"/>
                <w:tab w:val="right" w:pos="1300"/>
              </w:tabs>
              <w:spacing w:after="0" w:line="240" w:lineRule="auto"/>
              <w:jc w:val="right"/>
              <w:rPr>
                <w:color w:val="FFFFFF" w:themeColor="background1"/>
                <w:lang w:val="sq-AL"/>
              </w:rPr>
            </w:pPr>
            <w:r w:rsidRPr="008D0695">
              <w:rPr>
                <w:color w:val="FFFFFF" w:themeColor="background1"/>
                <w:lang w:val="sq-AL"/>
              </w:rPr>
              <w:t>0.</w:t>
            </w:r>
            <w:r w:rsidR="008D0695">
              <w:rPr>
                <w:color w:val="FFFFFF" w:themeColor="background1"/>
                <w:lang w:val="sq-AL"/>
              </w:rPr>
              <w:t>1</w:t>
            </w:r>
            <w:r w:rsidRPr="008D0695">
              <w:rPr>
                <w:color w:val="FFFFFF" w:themeColor="background1"/>
                <w:lang w:val="sq-AL"/>
              </w:rPr>
              <w:t>5</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1F96B191" w14:textId="79699D62" w:rsidR="00966ECD" w:rsidRPr="008D0695" w:rsidRDefault="00E202B8" w:rsidP="00966ECD">
            <w:pPr>
              <w:spacing w:after="0" w:line="240" w:lineRule="auto"/>
              <w:jc w:val="right"/>
              <w:rPr>
                <w:color w:val="FFFFFF" w:themeColor="background1"/>
                <w:lang w:val="sq-AL"/>
              </w:rPr>
            </w:pPr>
            <w:r w:rsidRPr="008D0695">
              <w:rPr>
                <w:color w:val="FFFFFF" w:themeColor="background1"/>
                <w:lang w:val="sq-AL"/>
              </w:rPr>
              <w:fldChar w:fldCharType="begin"/>
            </w:r>
            <w:r w:rsidR="00B321E1" w:rsidRPr="008D0695">
              <w:rPr>
                <w:color w:val="FFFFFF" w:themeColor="background1"/>
                <w:lang w:val="sq-AL"/>
              </w:rPr>
              <w:instrText xml:space="preserve"> =SUM(ABOVE) </w:instrText>
            </w:r>
            <w:r w:rsidRPr="008D0695">
              <w:rPr>
                <w:color w:val="FFFFFF" w:themeColor="background1"/>
                <w:lang w:val="sq-AL"/>
              </w:rPr>
              <w:fldChar w:fldCharType="separate"/>
            </w:r>
            <w:r w:rsidR="008D0695">
              <w:rPr>
                <w:noProof/>
                <w:color w:val="FFFFFF" w:themeColor="background1"/>
                <w:lang w:val="sq-AL"/>
              </w:rPr>
              <w:t>57.28</w:t>
            </w:r>
            <w:r w:rsidRPr="008D0695">
              <w:rPr>
                <w:color w:val="FFFFFF" w:themeColor="background1"/>
                <w:lang w:val="sq-AL"/>
              </w:rPr>
              <w:fldChar w:fldCharType="end"/>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7326C6FD" w14:textId="79A82796" w:rsidR="00966ECD" w:rsidRPr="0050005A" w:rsidRDefault="000349B2" w:rsidP="00966ECD">
            <w:pPr>
              <w:spacing w:after="0" w:line="240" w:lineRule="auto"/>
              <w:jc w:val="right"/>
              <w:rPr>
                <w:color w:val="FFFFFF" w:themeColor="background1"/>
                <w:lang w:val="sq-AL"/>
              </w:rPr>
            </w:pPr>
            <w:r w:rsidRPr="008D0695">
              <w:rPr>
                <w:color w:val="FFFFFF" w:themeColor="background1"/>
                <w:lang w:val="sq-AL"/>
              </w:rPr>
              <w:t>5</w:t>
            </w:r>
            <w:r w:rsidR="008D0695">
              <w:rPr>
                <w:color w:val="FFFFFF" w:themeColor="background1"/>
                <w:lang w:val="sq-AL"/>
              </w:rPr>
              <w:t>7</w:t>
            </w:r>
            <w:r w:rsidRPr="008D0695">
              <w:rPr>
                <w:color w:val="FFFFFF" w:themeColor="background1"/>
                <w:lang w:val="sq-AL"/>
              </w:rPr>
              <w:t>.</w:t>
            </w:r>
            <w:r w:rsidR="008D0695">
              <w:rPr>
                <w:color w:val="FFFFFF" w:themeColor="background1"/>
                <w:lang w:val="sq-AL"/>
              </w:rPr>
              <w:t>42</w:t>
            </w:r>
          </w:p>
        </w:tc>
      </w:tr>
    </w:tbl>
    <w:p w14:paraId="4BF7A438" w14:textId="77777777" w:rsidR="00D850AB" w:rsidRDefault="00D850AB" w:rsidP="00026AD9">
      <w:pPr>
        <w:pStyle w:val="Heading1"/>
        <w:numPr>
          <w:ilvl w:val="0"/>
          <w:numId w:val="0"/>
        </w:numPr>
        <w:spacing w:before="0" w:after="0"/>
        <w:ind w:left="720" w:hanging="720"/>
        <w:rPr>
          <w:rFonts w:asciiTheme="minorHAnsi" w:hAnsiTheme="minorHAnsi" w:cstheme="minorHAnsi"/>
          <w:lang w:val="sq-AL"/>
        </w:rPr>
      </w:pPr>
    </w:p>
    <w:p w14:paraId="7663DB65" w14:textId="77777777" w:rsidR="00092F60" w:rsidRPr="00354587" w:rsidRDefault="00026AD9" w:rsidP="00CE6871">
      <w:pPr>
        <w:spacing w:after="0"/>
        <w:jc w:val="both"/>
        <w:rPr>
          <w:lang w:val="sq-AL"/>
        </w:rPr>
      </w:pPr>
      <w:r w:rsidRPr="00354587">
        <w:rPr>
          <w:lang w:val="sq-AL"/>
        </w:rPr>
        <w:t>Përkundër kërkesës së KEDS për rritje të kostove të</w:t>
      </w:r>
      <w:r w:rsidR="00092F60" w:rsidRPr="00354587">
        <w:rPr>
          <w:lang w:val="sq-AL"/>
        </w:rPr>
        <w:t xml:space="preserve"> OPEX-it (rritje e pagave, </w:t>
      </w:r>
      <w:r w:rsidRPr="00354587">
        <w:rPr>
          <w:lang w:val="sq-AL"/>
        </w:rPr>
        <w:t>derivateve, mirëmbajtjes) për vitin 2020</w:t>
      </w:r>
      <w:r w:rsidR="00CE6871" w:rsidRPr="00354587">
        <w:rPr>
          <w:lang w:val="sq-AL"/>
        </w:rPr>
        <w:t xml:space="preserve"> në vlerë prej 2% (0.5mil€) krahasuar me lejimet e OPEX-it për vitin 2020 të vlerësuar gjatë PRR2</w:t>
      </w:r>
      <w:r w:rsidRPr="00354587">
        <w:rPr>
          <w:lang w:val="sq-AL"/>
        </w:rPr>
        <w:t xml:space="preserve">, </w:t>
      </w:r>
      <w:r w:rsidR="00CE6871" w:rsidRPr="00354587">
        <w:rPr>
          <w:lang w:val="sq-AL"/>
        </w:rPr>
        <w:t xml:space="preserve">ZRRE ka lejuar rritje të OPEX-it për KEDS gjatë shqyrtimit periodik 2018-2022 dhe konsideron se rritjet e </w:t>
      </w:r>
      <w:r w:rsidR="00CE6871" w:rsidRPr="00354587">
        <w:rPr>
          <w:lang w:val="sq-AL"/>
        </w:rPr>
        <w:lastRenderedPageBreak/>
        <w:t>mëtejme janë të paarsyeshme duke marr parasysh edhe efikasitetin e nevojshëm nëpër vite.</w:t>
      </w:r>
      <w:r w:rsidR="00092F60" w:rsidRPr="00354587">
        <w:rPr>
          <w:lang w:val="sq-AL"/>
        </w:rPr>
        <w:t xml:space="preserve"> </w:t>
      </w:r>
    </w:p>
    <w:p w14:paraId="6FE4B6D6" w14:textId="77777777" w:rsidR="00463874" w:rsidRDefault="00463874" w:rsidP="00CE6871">
      <w:pPr>
        <w:spacing w:after="0"/>
        <w:jc w:val="both"/>
        <w:rPr>
          <w:b/>
          <w:lang w:val="sq-AL"/>
        </w:rPr>
      </w:pPr>
    </w:p>
    <w:p w14:paraId="34472767" w14:textId="01F6AEBA" w:rsidR="003F62EE" w:rsidRPr="003F62EE" w:rsidRDefault="003F62EE" w:rsidP="003F62EE">
      <w:pPr>
        <w:pStyle w:val="Heading2"/>
      </w:pPr>
      <w:bookmarkStart w:id="16" w:name="_Toc80691545"/>
      <w:r>
        <w:t>Kostot shtes</w:t>
      </w:r>
      <w:r w:rsidR="00354587">
        <w:t>ë</w:t>
      </w:r>
      <w:r>
        <w:t xml:space="preserve"> q</w:t>
      </w:r>
      <w:r w:rsidR="00354587">
        <w:t>ë</w:t>
      </w:r>
      <w:r>
        <w:t xml:space="preserve"> nd</w:t>
      </w:r>
      <w:r w:rsidR="00354587">
        <w:t>ë</w:t>
      </w:r>
      <w:r>
        <w:t>rlidhen me COVID-19</w:t>
      </w:r>
      <w:bookmarkEnd w:id="16"/>
    </w:p>
    <w:p w14:paraId="28BF7768" w14:textId="751DD888" w:rsidR="00026AD9" w:rsidRDefault="00092F60" w:rsidP="00CE6871">
      <w:pPr>
        <w:spacing w:after="0"/>
        <w:jc w:val="both"/>
        <w:rPr>
          <w:lang w:val="sq-AL"/>
        </w:rPr>
      </w:pPr>
      <w:r>
        <w:rPr>
          <w:lang w:val="sq-AL"/>
        </w:rPr>
        <w:t xml:space="preserve">Lidhur me kostot </w:t>
      </w:r>
      <w:r w:rsidR="00DF0DF1">
        <w:rPr>
          <w:lang w:val="sq-AL"/>
        </w:rPr>
        <w:t>shtes</w:t>
      </w:r>
      <w:r w:rsidR="00354587">
        <w:rPr>
          <w:lang w:val="sq-AL"/>
        </w:rPr>
        <w:t>ë</w:t>
      </w:r>
      <w:r w:rsidR="00DF0DF1">
        <w:rPr>
          <w:lang w:val="sq-AL"/>
        </w:rPr>
        <w:t xml:space="preserve"> t</w:t>
      </w:r>
      <w:r w:rsidR="00354587">
        <w:rPr>
          <w:lang w:val="sq-AL"/>
        </w:rPr>
        <w:t>ë</w:t>
      </w:r>
      <w:r>
        <w:rPr>
          <w:lang w:val="sq-AL"/>
        </w:rPr>
        <w:t xml:space="preserve"> sigurimit shëndetësor</w:t>
      </w:r>
      <w:r w:rsidR="0098330D">
        <w:rPr>
          <w:lang w:val="sq-AL"/>
        </w:rPr>
        <w:t xml:space="preserve"> në vlerë prej 19 mijë euro/muaj</w:t>
      </w:r>
      <w:r>
        <w:rPr>
          <w:lang w:val="sq-AL"/>
        </w:rPr>
        <w:t>, ZRRE</w:t>
      </w:r>
      <w:r w:rsidR="00DF0DF1">
        <w:rPr>
          <w:lang w:val="sq-AL"/>
        </w:rPr>
        <w:t xml:space="preserve"> n</w:t>
      </w:r>
      <w:r w:rsidR="00354587">
        <w:rPr>
          <w:lang w:val="sq-AL"/>
        </w:rPr>
        <w:t>ë</w:t>
      </w:r>
      <w:r w:rsidR="00DF0DF1">
        <w:rPr>
          <w:lang w:val="sq-AL"/>
        </w:rPr>
        <w:t xml:space="preserve"> parim i ka konsideruar</w:t>
      </w:r>
      <w:r>
        <w:rPr>
          <w:lang w:val="sq-AL"/>
        </w:rPr>
        <w:t xml:space="preserve"> si të arsyeshme</w:t>
      </w:r>
      <w:r w:rsidR="00DF0DF1">
        <w:rPr>
          <w:lang w:val="sq-AL"/>
        </w:rPr>
        <w:t>,</w:t>
      </w:r>
      <w:r>
        <w:rPr>
          <w:lang w:val="sq-AL"/>
        </w:rPr>
        <w:t xml:space="preserve"> megjithatë </w:t>
      </w:r>
      <w:r w:rsidR="00DF0DF1">
        <w:rPr>
          <w:lang w:val="sq-AL"/>
        </w:rPr>
        <w:t>ka k</w:t>
      </w:r>
      <w:r w:rsidR="00354587">
        <w:rPr>
          <w:lang w:val="sq-AL"/>
        </w:rPr>
        <w:t>ë</w:t>
      </w:r>
      <w:r w:rsidR="00DF0DF1">
        <w:rPr>
          <w:lang w:val="sq-AL"/>
        </w:rPr>
        <w:t xml:space="preserve">rkuar </w:t>
      </w:r>
      <w:r>
        <w:rPr>
          <w:lang w:val="sq-AL"/>
        </w:rPr>
        <w:t>që KEDS të dësh</w:t>
      </w:r>
      <w:r w:rsidR="00B1447F">
        <w:rPr>
          <w:lang w:val="sq-AL"/>
        </w:rPr>
        <w:t>mojë se ka përzgjedhur kontrat</w:t>
      </w:r>
      <w:r w:rsidR="00354587">
        <w:rPr>
          <w:lang w:val="sq-AL"/>
        </w:rPr>
        <w:t>ë</w:t>
      </w:r>
      <w:r w:rsidR="00B1447F">
        <w:rPr>
          <w:lang w:val="sq-AL"/>
        </w:rPr>
        <w:t>n</w:t>
      </w:r>
      <w:r>
        <w:rPr>
          <w:lang w:val="sq-AL"/>
        </w:rPr>
        <w:t xml:space="preserve"> më të favorshme përmes procesit </w:t>
      </w:r>
      <w:r w:rsidR="0009487F">
        <w:rPr>
          <w:lang w:val="sq-AL"/>
        </w:rPr>
        <w:t>konkurrues</w:t>
      </w:r>
      <w:r w:rsidR="00DF0DF1">
        <w:rPr>
          <w:lang w:val="sq-AL"/>
        </w:rPr>
        <w:t>. Meqen</w:t>
      </w:r>
      <w:r w:rsidR="00354587">
        <w:rPr>
          <w:lang w:val="sq-AL"/>
        </w:rPr>
        <w:t>ë</w:t>
      </w:r>
      <w:r w:rsidR="00DF0DF1">
        <w:rPr>
          <w:lang w:val="sq-AL"/>
        </w:rPr>
        <w:t>se KEDS nuk ka sjell</w:t>
      </w:r>
      <w:r w:rsidR="00354587">
        <w:rPr>
          <w:lang w:val="sq-AL"/>
        </w:rPr>
        <w:t>ë</w:t>
      </w:r>
      <w:r w:rsidR="00DF0DF1">
        <w:rPr>
          <w:lang w:val="sq-AL"/>
        </w:rPr>
        <w:t xml:space="preserve"> d</w:t>
      </w:r>
      <w:r w:rsidR="00354587">
        <w:rPr>
          <w:lang w:val="sq-AL"/>
        </w:rPr>
        <w:t>ë</w:t>
      </w:r>
      <w:r w:rsidR="00DF0DF1">
        <w:rPr>
          <w:lang w:val="sq-AL"/>
        </w:rPr>
        <w:t>shmit</w:t>
      </w:r>
      <w:r w:rsidR="00354587">
        <w:rPr>
          <w:lang w:val="sq-AL"/>
        </w:rPr>
        <w:t>ë</w:t>
      </w:r>
      <w:r w:rsidR="00DF0DF1">
        <w:rPr>
          <w:lang w:val="sq-AL"/>
        </w:rPr>
        <w:t xml:space="preserve"> sipas k</w:t>
      </w:r>
      <w:r w:rsidR="00354587">
        <w:rPr>
          <w:lang w:val="sq-AL"/>
        </w:rPr>
        <w:t>ë</w:t>
      </w:r>
      <w:r w:rsidR="00DF0DF1">
        <w:rPr>
          <w:lang w:val="sq-AL"/>
        </w:rPr>
        <w:t>rkes</w:t>
      </w:r>
      <w:r w:rsidR="00354587">
        <w:rPr>
          <w:lang w:val="sq-AL"/>
        </w:rPr>
        <w:t>ë</w:t>
      </w:r>
      <w:r w:rsidR="00DF0DF1">
        <w:rPr>
          <w:lang w:val="sq-AL"/>
        </w:rPr>
        <w:t>s s</w:t>
      </w:r>
      <w:r w:rsidR="00354587">
        <w:rPr>
          <w:lang w:val="sq-AL"/>
        </w:rPr>
        <w:t>ë</w:t>
      </w:r>
      <w:r w:rsidR="00DF0DF1">
        <w:rPr>
          <w:lang w:val="sq-AL"/>
        </w:rPr>
        <w:t xml:space="preserve"> ZRRE</w:t>
      </w:r>
      <w:r>
        <w:rPr>
          <w:lang w:val="sq-AL"/>
        </w:rPr>
        <w:t xml:space="preserve">, </w:t>
      </w:r>
      <w:r w:rsidR="00DF0DF1">
        <w:rPr>
          <w:lang w:val="sq-AL"/>
        </w:rPr>
        <w:t>at</w:t>
      </w:r>
      <w:r w:rsidR="00354587">
        <w:rPr>
          <w:lang w:val="sq-AL"/>
        </w:rPr>
        <w:t>ë</w:t>
      </w:r>
      <w:r w:rsidR="00DF0DF1">
        <w:rPr>
          <w:lang w:val="sq-AL"/>
        </w:rPr>
        <w:t>her</w:t>
      </w:r>
      <w:r w:rsidR="00354587">
        <w:rPr>
          <w:lang w:val="sq-AL"/>
        </w:rPr>
        <w:t>ë</w:t>
      </w:r>
      <w:r w:rsidR="00DF0DF1">
        <w:rPr>
          <w:lang w:val="sq-AL"/>
        </w:rPr>
        <w:t xml:space="preserve"> k</w:t>
      </w:r>
      <w:r w:rsidR="00354587">
        <w:rPr>
          <w:lang w:val="sq-AL"/>
        </w:rPr>
        <w:t>ë</w:t>
      </w:r>
      <w:r w:rsidR="00DF0DF1">
        <w:rPr>
          <w:lang w:val="sq-AL"/>
        </w:rPr>
        <w:t>to kosto nuk njihen n</w:t>
      </w:r>
      <w:r w:rsidR="00354587">
        <w:rPr>
          <w:lang w:val="sq-AL"/>
        </w:rPr>
        <w:t>ë</w:t>
      </w:r>
      <w:r w:rsidR="00DF0DF1">
        <w:rPr>
          <w:lang w:val="sq-AL"/>
        </w:rPr>
        <w:t xml:space="preserve"> k</w:t>
      </w:r>
      <w:r w:rsidR="00354587">
        <w:rPr>
          <w:lang w:val="sq-AL"/>
        </w:rPr>
        <w:t>ë</w:t>
      </w:r>
      <w:r w:rsidR="00DF0DF1">
        <w:rPr>
          <w:lang w:val="sq-AL"/>
        </w:rPr>
        <w:t>t</w:t>
      </w:r>
      <w:r w:rsidR="00354587">
        <w:rPr>
          <w:lang w:val="sq-AL"/>
        </w:rPr>
        <w:t>ë</w:t>
      </w:r>
      <w:r w:rsidR="00DF0DF1">
        <w:rPr>
          <w:lang w:val="sq-AL"/>
        </w:rPr>
        <w:t xml:space="preserve"> faz</w:t>
      </w:r>
      <w:r w:rsidR="00354587">
        <w:rPr>
          <w:lang w:val="sq-AL"/>
        </w:rPr>
        <w:t>ë</w:t>
      </w:r>
      <w:r w:rsidR="00DF0DF1">
        <w:rPr>
          <w:lang w:val="sq-AL"/>
        </w:rPr>
        <w:t>. KEDS do t</w:t>
      </w:r>
      <w:r w:rsidR="00354587">
        <w:rPr>
          <w:lang w:val="sq-AL"/>
        </w:rPr>
        <w:t>ë</w:t>
      </w:r>
      <w:r w:rsidR="00DF0DF1">
        <w:rPr>
          <w:lang w:val="sq-AL"/>
        </w:rPr>
        <w:t xml:space="preserve"> ket</w:t>
      </w:r>
      <w:r w:rsidR="00354587">
        <w:rPr>
          <w:lang w:val="sq-AL"/>
        </w:rPr>
        <w:t>ë</w:t>
      </w:r>
      <w:r w:rsidR="00DF0DF1">
        <w:rPr>
          <w:lang w:val="sq-AL"/>
        </w:rPr>
        <w:t xml:space="preserve"> mund</w:t>
      </w:r>
      <w:r w:rsidR="00354587">
        <w:rPr>
          <w:lang w:val="sq-AL"/>
        </w:rPr>
        <w:t>ë</w:t>
      </w:r>
      <w:r w:rsidR="00DF0DF1">
        <w:rPr>
          <w:lang w:val="sq-AL"/>
        </w:rPr>
        <w:t>si q</w:t>
      </w:r>
      <w:r w:rsidR="00354587">
        <w:rPr>
          <w:lang w:val="sq-AL"/>
        </w:rPr>
        <w:t>ë</w:t>
      </w:r>
      <w:r w:rsidR="00DF0DF1">
        <w:rPr>
          <w:lang w:val="sq-AL"/>
        </w:rPr>
        <w:t xml:space="preserve"> k</w:t>
      </w:r>
      <w:r w:rsidR="00354587">
        <w:rPr>
          <w:lang w:val="sq-AL"/>
        </w:rPr>
        <w:t>ë</w:t>
      </w:r>
      <w:r w:rsidR="00DF0DF1">
        <w:rPr>
          <w:lang w:val="sq-AL"/>
        </w:rPr>
        <w:t>to d</w:t>
      </w:r>
      <w:r w:rsidR="00354587">
        <w:rPr>
          <w:lang w:val="sq-AL"/>
        </w:rPr>
        <w:t>ë</w:t>
      </w:r>
      <w:r w:rsidR="00DF0DF1">
        <w:rPr>
          <w:lang w:val="sq-AL"/>
        </w:rPr>
        <w:t>shmi t’i paraqes gjat</w:t>
      </w:r>
      <w:r w:rsidR="00354587">
        <w:rPr>
          <w:lang w:val="sq-AL"/>
        </w:rPr>
        <w:t>ë</w:t>
      </w:r>
      <w:r w:rsidR="00DF0DF1">
        <w:rPr>
          <w:lang w:val="sq-AL"/>
        </w:rPr>
        <w:t xml:space="preserve"> konsultimit publik, n</w:t>
      </w:r>
      <w:r w:rsidR="00354587">
        <w:rPr>
          <w:lang w:val="sq-AL"/>
        </w:rPr>
        <w:t>ë</w:t>
      </w:r>
      <w:r w:rsidR="00DF0DF1">
        <w:rPr>
          <w:lang w:val="sq-AL"/>
        </w:rPr>
        <w:t xml:space="preserve"> t</w:t>
      </w:r>
      <w:r w:rsidR="00354587">
        <w:rPr>
          <w:lang w:val="sq-AL"/>
        </w:rPr>
        <w:t>ë</w:t>
      </w:r>
      <w:r w:rsidR="00DF0DF1">
        <w:rPr>
          <w:lang w:val="sq-AL"/>
        </w:rPr>
        <w:t xml:space="preserve"> kund</w:t>
      </w:r>
      <w:r w:rsidR="00354587">
        <w:rPr>
          <w:lang w:val="sq-AL"/>
        </w:rPr>
        <w:t>ë</w:t>
      </w:r>
      <w:r w:rsidR="00DF0DF1">
        <w:rPr>
          <w:lang w:val="sq-AL"/>
        </w:rPr>
        <w:t>rt</w:t>
      </w:r>
      <w:r w:rsidR="00354587">
        <w:rPr>
          <w:lang w:val="sq-AL"/>
        </w:rPr>
        <w:t>ë</w:t>
      </w:r>
      <w:r w:rsidR="00DF0DF1">
        <w:rPr>
          <w:lang w:val="sq-AL"/>
        </w:rPr>
        <w:t>n, kostot shtes</w:t>
      </w:r>
      <w:r w:rsidR="00354587">
        <w:rPr>
          <w:lang w:val="sq-AL"/>
        </w:rPr>
        <w:t>ë</w:t>
      </w:r>
      <w:r w:rsidR="00DF0DF1">
        <w:rPr>
          <w:lang w:val="sq-AL"/>
        </w:rPr>
        <w:t xml:space="preserve"> q</w:t>
      </w:r>
      <w:r w:rsidR="00354587">
        <w:rPr>
          <w:lang w:val="sq-AL"/>
        </w:rPr>
        <w:t>ë</w:t>
      </w:r>
      <w:r w:rsidR="00DF0DF1">
        <w:rPr>
          <w:lang w:val="sq-AL"/>
        </w:rPr>
        <w:t xml:space="preserve"> nd</w:t>
      </w:r>
      <w:r w:rsidR="00354587">
        <w:rPr>
          <w:lang w:val="sq-AL"/>
        </w:rPr>
        <w:t>ë</w:t>
      </w:r>
      <w:r w:rsidR="00DF0DF1">
        <w:rPr>
          <w:lang w:val="sq-AL"/>
        </w:rPr>
        <w:t>rlidhen me sigurimin sh</w:t>
      </w:r>
      <w:r w:rsidR="00354587">
        <w:rPr>
          <w:lang w:val="sq-AL"/>
        </w:rPr>
        <w:t>ë</w:t>
      </w:r>
      <w:r w:rsidR="00DF0DF1">
        <w:rPr>
          <w:lang w:val="sq-AL"/>
        </w:rPr>
        <w:t>ndet</w:t>
      </w:r>
      <w:r w:rsidR="00354587">
        <w:rPr>
          <w:lang w:val="sq-AL"/>
        </w:rPr>
        <w:t>ë</w:t>
      </w:r>
      <w:r w:rsidR="00DF0DF1">
        <w:rPr>
          <w:lang w:val="sq-AL"/>
        </w:rPr>
        <w:t>sor nuk do t</w:t>
      </w:r>
      <w:r w:rsidR="00354587">
        <w:rPr>
          <w:lang w:val="sq-AL"/>
        </w:rPr>
        <w:t>ë</w:t>
      </w:r>
      <w:r w:rsidR="00DF0DF1">
        <w:rPr>
          <w:lang w:val="sq-AL"/>
        </w:rPr>
        <w:t xml:space="preserve"> njihen n</w:t>
      </w:r>
      <w:r w:rsidR="00354587">
        <w:rPr>
          <w:lang w:val="sq-AL"/>
        </w:rPr>
        <w:t>ë</w:t>
      </w:r>
      <w:r w:rsidR="00DF0DF1">
        <w:rPr>
          <w:lang w:val="sq-AL"/>
        </w:rPr>
        <w:t xml:space="preserve"> MAR t</w:t>
      </w:r>
      <w:r w:rsidR="00354587">
        <w:rPr>
          <w:lang w:val="sq-AL"/>
        </w:rPr>
        <w:t>ë</w:t>
      </w:r>
      <w:r w:rsidR="00DF0DF1">
        <w:rPr>
          <w:lang w:val="sq-AL"/>
        </w:rPr>
        <w:t xml:space="preserve"> vitit relevant tarifor 2021. </w:t>
      </w:r>
      <w:r>
        <w:rPr>
          <w:lang w:val="sq-AL"/>
        </w:rPr>
        <w:t xml:space="preserve">Lidhur me kostot e sigurimit të automjeteve ato janë pranuar në vlerë prej 15 mijë euro, ngase këto janë jashtë kontrollit të të licencuarit. </w:t>
      </w:r>
    </w:p>
    <w:p w14:paraId="54549437" w14:textId="77777777" w:rsidR="00135D63" w:rsidRDefault="00135D63" w:rsidP="00CE6871">
      <w:pPr>
        <w:spacing w:after="0"/>
        <w:jc w:val="both"/>
        <w:rPr>
          <w:lang w:val="sq-AL"/>
        </w:rPr>
      </w:pPr>
    </w:p>
    <w:p w14:paraId="4BC6EE1A" w14:textId="1E44EE90" w:rsidR="00776BE1" w:rsidRDefault="00135D63" w:rsidP="00CE6871">
      <w:pPr>
        <w:spacing w:after="0"/>
        <w:jc w:val="both"/>
        <w:rPr>
          <w:lang w:val="sq-AL"/>
        </w:rPr>
      </w:pPr>
      <w:r>
        <w:rPr>
          <w:lang w:val="sq-AL"/>
        </w:rPr>
        <w:t>KEDS n</w:t>
      </w:r>
      <w:r w:rsidR="00354587">
        <w:rPr>
          <w:lang w:val="sq-AL"/>
        </w:rPr>
        <w:t>ë</w:t>
      </w:r>
      <w:r>
        <w:rPr>
          <w:lang w:val="sq-AL"/>
        </w:rPr>
        <w:t xml:space="preserve"> aplikacionin e tij ka k</w:t>
      </w:r>
      <w:r w:rsidR="00354587">
        <w:rPr>
          <w:lang w:val="sq-AL"/>
        </w:rPr>
        <w:t>ë</w:t>
      </w:r>
      <w:r>
        <w:rPr>
          <w:lang w:val="sq-AL"/>
        </w:rPr>
        <w:t>rkuar njohjen e kostove shtes</w:t>
      </w:r>
      <w:r w:rsidR="00354587">
        <w:rPr>
          <w:lang w:val="sq-AL"/>
        </w:rPr>
        <w:t>ë prej 0.44 milion €</w:t>
      </w:r>
      <w:r>
        <w:rPr>
          <w:lang w:val="sq-AL"/>
        </w:rPr>
        <w:t xml:space="preserve"> n</w:t>
      </w:r>
      <w:r w:rsidR="00354587">
        <w:rPr>
          <w:lang w:val="sq-AL"/>
        </w:rPr>
        <w:t>ë</w:t>
      </w:r>
      <w:r>
        <w:rPr>
          <w:lang w:val="sq-AL"/>
        </w:rPr>
        <w:t xml:space="preserve"> em</w:t>
      </w:r>
      <w:r w:rsidR="00354587">
        <w:rPr>
          <w:lang w:val="sq-AL"/>
        </w:rPr>
        <w:t>ë</w:t>
      </w:r>
      <w:r>
        <w:rPr>
          <w:lang w:val="sq-AL"/>
        </w:rPr>
        <w:t>r t</w:t>
      </w:r>
      <w:r w:rsidR="00354587">
        <w:rPr>
          <w:lang w:val="sq-AL"/>
        </w:rPr>
        <w:t>ë</w:t>
      </w:r>
      <w:r>
        <w:rPr>
          <w:lang w:val="sq-AL"/>
        </w:rPr>
        <w:t xml:space="preserve"> pagesave shtes</w:t>
      </w:r>
      <w:r w:rsidR="00354587">
        <w:rPr>
          <w:lang w:val="sq-AL"/>
        </w:rPr>
        <w:t>ë</w:t>
      </w:r>
      <w:r>
        <w:rPr>
          <w:lang w:val="sq-AL"/>
        </w:rPr>
        <w:t xml:space="preserve"> p</w:t>
      </w:r>
      <w:r w:rsidR="00354587">
        <w:rPr>
          <w:lang w:val="sq-AL"/>
        </w:rPr>
        <w:t>ër personelin</w:t>
      </w:r>
      <w:r w:rsidR="00776BE1">
        <w:rPr>
          <w:lang w:val="sq-AL"/>
        </w:rPr>
        <w:t xml:space="preserve"> t</w:t>
      </w:r>
      <w:r w:rsidR="00354587">
        <w:rPr>
          <w:lang w:val="sq-AL"/>
        </w:rPr>
        <w:t>ë cilë</w:t>
      </w:r>
      <w:r w:rsidR="00776BE1">
        <w:rPr>
          <w:lang w:val="sq-AL"/>
        </w:rPr>
        <w:t>t i ka konsideruar si stimuj p</w:t>
      </w:r>
      <w:r w:rsidR="00354587">
        <w:rPr>
          <w:lang w:val="sq-AL"/>
        </w:rPr>
        <w:t>ë</w:t>
      </w:r>
      <w:r w:rsidR="00776BE1">
        <w:rPr>
          <w:lang w:val="sq-AL"/>
        </w:rPr>
        <w:t>r angazhimin e tyre gjat</w:t>
      </w:r>
      <w:r w:rsidR="00354587">
        <w:rPr>
          <w:lang w:val="sq-AL"/>
        </w:rPr>
        <w:t>ë</w:t>
      </w:r>
      <w:r w:rsidR="00776BE1">
        <w:rPr>
          <w:lang w:val="sq-AL"/>
        </w:rPr>
        <w:t xml:space="preserve"> koh</w:t>
      </w:r>
      <w:r w:rsidR="00354587">
        <w:rPr>
          <w:lang w:val="sq-AL"/>
        </w:rPr>
        <w:t>ë</w:t>
      </w:r>
      <w:r w:rsidR="00776BE1">
        <w:rPr>
          <w:lang w:val="sq-AL"/>
        </w:rPr>
        <w:t>s s</w:t>
      </w:r>
      <w:r w:rsidR="00354587">
        <w:rPr>
          <w:lang w:val="sq-AL"/>
        </w:rPr>
        <w:t>ë</w:t>
      </w:r>
      <w:r w:rsidR="00776BE1">
        <w:rPr>
          <w:lang w:val="sq-AL"/>
        </w:rPr>
        <w:t xml:space="preserve"> pandemis</w:t>
      </w:r>
      <w:r w:rsidR="00354587">
        <w:rPr>
          <w:lang w:val="sq-AL"/>
        </w:rPr>
        <w:t>ë</w:t>
      </w:r>
      <w:r w:rsidR="00776BE1">
        <w:rPr>
          <w:lang w:val="sq-AL"/>
        </w:rPr>
        <w:t xml:space="preserve"> COVID-19</w:t>
      </w:r>
      <w:r>
        <w:rPr>
          <w:lang w:val="sq-AL"/>
        </w:rPr>
        <w:t>. KEDS gjithashtu k</w:t>
      </w:r>
      <w:r w:rsidR="00354587">
        <w:rPr>
          <w:lang w:val="sq-AL"/>
        </w:rPr>
        <w:t>ë</w:t>
      </w:r>
      <w:r>
        <w:rPr>
          <w:lang w:val="sq-AL"/>
        </w:rPr>
        <w:t>rkes</w:t>
      </w:r>
      <w:r w:rsidR="00354587">
        <w:rPr>
          <w:lang w:val="sq-AL"/>
        </w:rPr>
        <w:t>ë</w:t>
      </w:r>
      <w:r>
        <w:rPr>
          <w:lang w:val="sq-AL"/>
        </w:rPr>
        <w:t>n e tij e mb</w:t>
      </w:r>
      <w:r w:rsidR="00354587">
        <w:rPr>
          <w:lang w:val="sq-AL"/>
        </w:rPr>
        <w:t>ë</w:t>
      </w:r>
      <w:r>
        <w:rPr>
          <w:lang w:val="sq-AL"/>
        </w:rPr>
        <w:t>shtet</w:t>
      </w:r>
      <w:r w:rsidR="00354587">
        <w:rPr>
          <w:lang w:val="sq-AL"/>
        </w:rPr>
        <w:t>ë</w:t>
      </w:r>
      <w:r>
        <w:rPr>
          <w:lang w:val="sq-AL"/>
        </w:rPr>
        <w:t xml:space="preserve"> </w:t>
      </w:r>
      <w:r>
        <w:rPr>
          <w:lang w:val="sq-AL"/>
        </w:rPr>
        <w:lastRenderedPageBreak/>
        <w:t>me arsyetimin se edhe operator</w:t>
      </w:r>
      <w:r w:rsidR="00354587">
        <w:rPr>
          <w:lang w:val="sq-AL"/>
        </w:rPr>
        <w:t>ë</w:t>
      </w:r>
      <w:r>
        <w:rPr>
          <w:lang w:val="sq-AL"/>
        </w:rPr>
        <w:t>t tjer</w:t>
      </w:r>
      <w:r w:rsidR="00354587">
        <w:rPr>
          <w:lang w:val="sq-AL"/>
        </w:rPr>
        <w:t>ë</w:t>
      </w:r>
      <w:r>
        <w:rPr>
          <w:lang w:val="sq-AL"/>
        </w:rPr>
        <w:t xml:space="preserve"> n</w:t>
      </w:r>
      <w:r w:rsidR="00354587">
        <w:rPr>
          <w:lang w:val="sq-AL"/>
        </w:rPr>
        <w:t>ë</w:t>
      </w:r>
      <w:r>
        <w:rPr>
          <w:lang w:val="sq-AL"/>
        </w:rPr>
        <w:t xml:space="preserve"> sektorin e energjis</w:t>
      </w:r>
      <w:r w:rsidR="00354587">
        <w:rPr>
          <w:lang w:val="sq-AL"/>
        </w:rPr>
        <w:t>ë</w:t>
      </w:r>
      <w:r>
        <w:rPr>
          <w:lang w:val="sq-AL"/>
        </w:rPr>
        <w:t xml:space="preserve"> kan</w:t>
      </w:r>
      <w:r w:rsidR="00354587">
        <w:rPr>
          <w:lang w:val="sq-AL"/>
        </w:rPr>
        <w:t>ë</w:t>
      </w:r>
      <w:r>
        <w:rPr>
          <w:lang w:val="sq-AL"/>
        </w:rPr>
        <w:t xml:space="preserve"> apliku</w:t>
      </w:r>
      <w:r w:rsidR="00406D54">
        <w:rPr>
          <w:lang w:val="sq-AL"/>
        </w:rPr>
        <w:t>a</w:t>
      </w:r>
      <w:r>
        <w:rPr>
          <w:lang w:val="sq-AL"/>
        </w:rPr>
        <w:t>r stimuj t</w:t>
      </w:r>
      <w:r w:rsidR="00354587">
        <w:rPr>
          <w:lang w:val="sq-AL"/>
        </w:rPr>
        <w:t>ë</w:t>
      </w:r>
      <w:r>
        <w:rPr>
          <w:lang w:val="sq-AL"/>
        </w:rPr>
        <w:t xml:space="preserve"> till</w:t>
      </w:r>
      <w:r w:rsidR="00354587">
        <w:rPr>
          <w:lang w:val="sq-AL"/>
        </w:rPr>
        <w:t>ë</w:t>
      </w:r>
      <w:r>
        <w:rPr>
          <w:lang w:val="sq-AL"/>
        </w:rPr>
        <w:t xml:space="preserve">. </w:t>
      </w:r>
    </w:p>
    <w:p w14:paraId="29A93968" w14:textId="72C0D6BA" w:rsidR="00776BE1" w:rsidRDefault="00135D63" w:rsidP="00CE6871">
      <w:pPr>
        <w:spacing w:after="0"/>
        <w:jc w:val="both"/>
        <w:rPr>
          <w:lang w:val="sq-AL"/>
        </w:rPr>
      </w:pPr>
      <w:r>
        <w:rPr>
          <w:lang w:val="sq-AL"/>
        </w:rPr>
        <w:t>ZRRE</w:t>
      </w:r>
      <w:r w:rsidR="00406D54">
        <w:rPr>
          <w:lang w:val="sq-AL"/>
        </w:rPr>
        <w:t xml:space="preserve"> ka trajtuar me kujdes k</w:t>
      </w:r>
      <w:r w:rsidR="00354587">
        <w:rPr>
          <w:lang w:val="sq-AL"/>
        </w:rPr>
        <w:t>ë</w:t>
      </w:r>
      <w:r w:rsidR="00406D54">
        <w:rPr>
          <w:lang w:val="sq-AL"/>
        </w:rPr>
        <w:t>rkesat e OSSH n</w:t>
      </w:r>
      <w:r w:rsidR="00354587">
        <w:rPr>
          <w:lang w:val="sq-AL"/>
        </w:rPr>
        <w:t>ë</w:t>
      </w:r>
      <w:r w:rsidR="00406D54">
        <w:rPr>
          <w:lang w:val="sq-AL"/>
        </w:rPr>
        <w:t xml:space="preserve"> lidhje me kostot shtes</w:t>
      </w:r>
      <w:r w:rsidR="00354587">
        <w:rPr>
          <w:lang w:val="sq-AL"/>
        </w:rPr>
        <w:t>ë</w:t>
      </w:r>
      <w:r w:rsidR="00406D54">
        <w:rPr>
          <w:lang w:val="sq-AL"/>
        </w:rPr>
        <w:t xml:space="preserve"> q</w:t>
      </w:r>
      <w:r w:rsidR="00354587">
        <w:rPr>
          <w:lang w:val="sq-AL"/>
        </w:rPr>
        <w:t>ë</w:t>
      </w:r>
      <w:r w:rsidR="00406D54">
        <w:rPr>
          <w:lang w:val="sq-AL"/>
        </w:rPr>
        <w:t xml:space="preserve"> nd</w:t>
      </w:r>
      <w:r w:rsidR="00354587">
        <w:rPr>
          <w:lang w:val="sq-AL"/>
        </w:rPr>
        <w:t>ë</w:t>
      </w:r>
      <w:r w:rsidR="00406D54">
        <w:rPr>
          <w:lang w:val="sq-AL"/>
        </w:rPr>
        <w:t>rlidhen me COVID-19, si dhe ka analizuar edhe aplikimin e stimujve t</w:t>
      </w:r>
      <w:r w:rsidR="00354587">
        <w:rPr>
          <w:lang w:val="sq-AL"/>
        </w:rPr>
        <w:t>ë</w:t>
      </w:r>
      <w:r w:rsidR="00406D54">
        <w:rPr>
          <w:lang w:val="sq-AL"/>
        </w:rPr>
        <w:t xml:space="preserve"> caktuar nga operator</w:t>
      </w:r>
      <w:r w:rsidR="00354587">
        <w:rPr>
          <w:lang w:val="sq-AL"/>
        </w:rPr>
        <w:t>ë</w:t>
      </w:r>
      <w:r w:rsidR="00406D54">
        <w:rPr>
          <w:lang w:val="sq-AL"/>
        </w:rPr>
        <w:t>t tjer</w:t>
      </w:r>
      <w:r w:rsidR="00354587">
        <w:rPr>
          <w:lang w:val="sq-AL"/>
        </w:rPr>
        <w:t>ë</w:t>
      </w:r>
      <w:r w:rsidR="00406D54">
        <w:rPr>
          <w:lang w:val="sq-AL"/>
        </w:rPr>
        <w:t>, duke p</w:t>
      </w:r>
      <w:r w:rsidR="00354587">
        <w:rPr>
          <w:lang w:val="sq-AL"/>
        </w:rPr>
        <w:t>ë</w:t>
      </w:r>
      <w:r w:rsidR="00406D54">
        <w:rPr>
          <w:lang w:val="sq-AL"/>
        </w:rPr>
        <w:t>rfshir</w:t>
      </w:r>
      <w:r w:rsidR="00354587">
        <w:rPr>
          <w:lang w:val="sq-AL"/>
        </w:rPr>
        <w:t>ë</w:t>
      </w:r>
      <w:r w:rsidR="00406D54">
        <w:rPr>
          <w:lang w:val="sq-AL"/>
        </w:rPr>
        <w:t xml:space="preserve"> edhe KEK Sh.A. </w:t>
      </w:r>
    </w:p>
    <w:p w14:paraId="715B2E07" w14:textId="77777777" w:rsidR="008D0695" w:rsidRDefault="008D0695" w:rsidP="00CE6871">
      <w:pPr>
        <w:spacing w:after="0"/>
        <w:jc w:val="both"/>
        <w:rPr>
          <w:lang w:val="sq-AL"/>
        </w:rPr>
      </w:pPr>
    </w:p>
    <w:p w14:paraId="5C0C1C14" w14:textId="4FC0201E" w:rsidR="00B1447F" w:rsidRDefault="00776BE1" w:rsidP="00B1447F">
      <w:pPr>
        <w:spacing w:after="0"/>
        <w:jc w:val="both"/>
        <w:rPr>
          <w:lang w:val="sq-AL"/>
        </w:rPr>
      </w:pPr>
      <w:r>
        <w:rPr>
          <w:lang w:val="sq-AL"/>
        </w:rPr>
        <w:t>Duke marr</w:t>
      </w:r>
      <w:r w:rsidR="00354587">
        <w:rPr>
          <w:lang w:val="sq-AL"/>
        </w:rPr>
        <w:t>ë</w:t>
      </w:r>
      <w:r>
        <w:rPr>
          <w:lang w:val="sq-AL"/>
        </w:rPr>
        <w:t xml:space="preserve"> parasysh</w:t>
      </w:r>
      <w:r w:rsidR="00354587">
        <w:rPr>
          <w:lang w:val="sq-AL"/>
        </w:rPr>
        <w:t>ë</w:t>
      </w:r>
      <w:r>
        <w:rPr>
          <w:lang w:val="sq-AL"/>
        </w:rPr>
        <w:t xml:space="preserve"> </w:t>
      </w:r>
      <w:r w:rsidR="00406D54">
        <w:rPr>
          <w:lang w:val="sq-AL"/>
        </w:rPr>
        <w:t>gjendjen e v</w:t>
      </w:r>
      <w:r w:rsidR="00354587">
        <w:rPr>
          <w:lang w:val="sq-AL"/>
        </w:rPr>
        <w:t>ë</w:t>
      </w:r>
      <w:r w:rsidR="00406D54">
        <w:rPr>
          <w:lang w:val="sq-AL"/>
        </w:rPr>
        <w:t>shtir</w:t>
      </w:r>
      <w:r w:rsidR="00354587">
        <w:rPr>
          <w:lang w:val="sq-AL"/>
        </w:rPr>
        <w:t>ë</w:t>
      </w:r>
      <w:r w:rsidR="00406D54">
        <w:rPr>
          <w:lang w:val="sq-AL"/>
        </w:rPr>
        <w:t>suar financiare t</w:t>
      </w:r>
      <w:r w:rsidR="00354587">
        <w:rPr>
          <w:lang w:val="sq-AL"/>
        </w:rPr>
        <w:t>ë</w:t>
      </w:r>
      <w:r w:rsidR="00406D54">
        <w:rPr>
          <w:lang w:val="sq-AL"/>
        </w:rPr>
        <w:t xml:space="preserve"> </w:t>
      </w:r>
      <w:r>
        <w:rPr>
          <w:lang w:val="sq-AL"/>
        </w:rPr>
        <w:t>kon</w:t>
      </w:r>
      <w:r w:rsidR="00354587">
        <w:rPr>
          <w:lang w:val="sq-AL"/>
        </w:rPr>
        <w:t>s</w:t>
      </w:r>
      <w:r>
        <w:rPr>
          <w:lang w:val="sq-AL"/>
        </w:rPr>
        <w:t>umator</w:t>
      </w:r>
      <w:r w:rsidR="00354587">
        <w:rPr>
          <w:lang w:val="sq-AL"/>
        </w:rPr>
        <w:t>ë</w:t>
      </w:r>
      <w:r>
        <w:rPr>
          <w:lang w:val="sq-AL"/>
        </w:rPr>
        <w:t>ve f</w:t>
      </w:r>
      <w:r w:rsidR="00406D54">
        <w:rPr>
          <w:lang w:val="sq-AL"/>
        </w:rPr>
        <w:t>amiljar</w:t>
      </w:r>
      <w:r w:rsidR="00354587">
        <w:rPr>
          <w:lang w:val="sq-AL"/>
        </w:rPr>
        <w:t xml:space="preserve"> dhe </w:t>
      </w:r>
      <w:r>
        <w:rPr>
          <w:lang w:val="sq-AL"/>
        </w:rPr>
        <w:t>atyre biznesor, ngarkesa edhe me kosto t</w:t>
      </w:r>
      <w:r w:rsidR="00354587">
        <w:rPr>
          <w:lang w:val="sq-AL"/>
        </w:rPr>
        <w:t>ë</w:t>
      </w:r>
      <w:r>
        <w:rPr>
          <w:lang w:val="sq-AL"/>
        </w:rPr>
        <w:t xml:space="preserve"> tilla shtes</w:t>
      </w:r>
      <w:r w:rsidR="00354587">
        <w:rPr>
          <w:lang w:val="sq-AL"/>
        </w:rPr>
        <w:t>ë</w:t>
      </w:r>
      <w:r>
        <w:rPr>
          <w:lang w:val="sq-AL"/>
        </w:rPr>
        <w:t>, do t</w:t>
      </w:r>
      <w:r w:rsidR="00354587">
        <w:rPr>
          <w:lang w:val="sq-AL"/>
        </w:rPr>
        <w:t>ë</w:t>
      </w:r>
      <w:r>
        <w:rPr>
          <w:lang w:val="sq-AL"/>
        </w:rPr>
        <w:t xml:space="preserve"> v</w:t>
      </w:r>
      <w:r w:rsidR="00354587">
        <w:rPr>
          <w:lang w:val="sq-AL"/>
        </w:rPr>
        <w:t>ë</w:t>
      </w:r>
      <w:r>
        <w:rPr>
          <w:lang w:val="sq-AL"/>
        </w:rPr>
        <w:t>shtir</w:t>
      </w:r>
      <w:r w:rsidR="00354587">
        <w:rPr>
          <w:lang w:val="sq-AL"/>
        </w:rPr>
        <w:t>ë</w:t>
      </w:r>
      <w:r>
        <w:rPr>
          <w:lang w:val="sq-AL"/>
        </w:rPr>
        <w:t>sonte edhe m</w:t>
      </w:r>
      <w:r w:rsidR="00354587">
        <w:rPr>
          <w:lang w:val="sq-AL"/>
        </w:rPr>
        <w:t>ë</w:t>
      </w:r>
      <w:r>
        <w:rPr>
          <w:lang w:val="sq-AL"/>
        </w:rPr>
        <w:t xml:space="preserve"> tutje gjendjen e tyre. </w:t>
      </w:r>
      <w:r w:rsidR="00216D75">
        <w:rPr>
          <w:lang w:val="sq-AL"/>
        </w:rPr>
        <w:t>Andaj</w:t>
      </w:r>
      <w:r w:rsidR="00354587">
        <w:rPr>
          <w:lang w:val="sq-AL"/>
        </w:rPr>
        <w:t>,</w:t>
      </w:r>
      <w:r w:rsidR="00216D75">
        <w:rPr>
          <w:lang w:val="sq-AL"/>
        </w:rPr>
        <w:t xml:space="preserve"> ZRRE nuk e sheh t</w:t>
      </w:r>
      <w:r w:rsidR="00354587">
        <w:rPr>
          <w:lang w:val="sq-AL"/>
        </w:rPr>
        <w:t>ë</w:t>
      </w:r>
      <w:r w:rsidR="00216D75">
        <w:rPr>
          <w:lang w:val="sq-AL"/>
        </w:rPr>
        <w:t xml:space="preserve"> arsy</w:t>
      </w:r>
      <w:r w:rsidR="00354587">
        <w:rPr>
          <w:lang w:val="sq-AL"/>
        </w:rPr>
        <w:t>e</w:t>
      </w:r>
      <w:r w:rsidR="00216D75">
        <w:rPr>
          <w:lang w:val="sq-AL"/>
        </w:rPr>
        <w:t>shme bartjen e kostove shtes</w:t>
      </w:r>
      <w:r w:rsidR="00354587">
        <w:rPr>
          <w:lang w:val="sq-AL"/>
        </w:rPr>
        <w:t>ë</w:t>
      </w:r>
      <w:r w:rsidR="00216D75">
        <w:rPr>
          <w:lang w:val="sq-AL"/>
        </w:rPr>
        <w:t xml:space="preserve"> t</w:t>
      </w:r>
      <w:r w:rsidR="00354587">
        <w:rPr>
          <w:lang w:val="sq-AL"/>
        </w:rPr>
        <w:t>ë</w:t>
      </w:r>
      <w:r w:rsidR="00216D75">
        <w:rPr>
          <w:lang w:val="sq-AL"/>
        </w:rPr>
        <w:t xml:space="preserve"> cilat nd</w:t>
      </w:r>
      <w:r w:rsidR="00354587">
        <w:rPr>
          <w:lang w:val="sq-AL"/>
        </w:rPr>
        <w:t>ë</w:t>
      </w:r>
      <w:r w:rsidR="00216D75">
        <w:rPr>
          <w:lang w:val="sq-AL"/>
        </w:rPr>
        <w:t>rlidhen me pagesat direkte ndaj puntor</w:t>
      </w:r>
      <w:r w:rsidR="00354587">
        <w:rPr>
          <w:lang w:val="sq-AL"/>
        </w:rPr>
        <w:t>ë</w:t>
      </w:r>
      <w:r w:rsidR="00216D75">
        <w:rPr>
          <w:lang w:val="sq-AL"/>
        </w:rPr>
        <w:t>ve t</w:t>
      </w:r>
      <w:r w:rsidR="00354587">
        <w:rPr>
          <w:lang w:val="sq-AL"/>
        </w:rPr>
        <w:t>ë</w:t>
      </w:r>
      <w:r w:rsidR="00216D75">
        <w:rPr>
          <w:lang w:val="sq-AL"/>
        </w:rPr>
        <w:t xml:space="preserve"> OSSH. </w:t>
      </w:r>
      <w:r>
        <w:rPr>
          <w:lang w:val="sq-AL"/>
        </w:rPr>
        <w:t>ZRRE d</w:t>
      </w:r>
      <w:r w:rsidR="00354587">
        <w:rPr>
          <w:lang w:val="sq-AL"/>
        </w:rPr>
        <w:t>ë</w:t>
      </w:r>
      <w:r>
        <w:rPr>
          <w:lang w:val="sq-AL"/>
        </w:rPr>
        <w:t>shiron t</w:t>
      </w:r>
      <w:r w:rsidR="00354587">
        <w:rPr>
          <w:lang w:val="sq-AL"/>
        </w:rPr>
        <w:t>ë</w:t>
      </w:r>
      <w:r>
        <w:rPr>
          <w:lang w:val="sq-AL"/>
        </w:rPr>
        <w:t xml:space="preserve"> sqaroj, q</w:t>
      </w:r>
      <w:r w:rsidR="00354587">
        <w:rPr>
          <w:lang w:val="sq-AL"/>
        </w:rPr>
        <w:t>ë</w:t>
      </w:r>
      <w:r>
        <w:rPr>
          <w:lang w:val="sq-AL"/>
        </w:rPr>
        <w:t xml:space="preserve"> OSSH do t</w:t>
      </w:r>
      <w:r w:rsidR="00354587">
        <w:rPr>
          <w:lang w:val="sq-AL"/>
        </w:rPr>
        <w:t>ë</w:t>
      </w:r>
      <w:r>
        <w:rPr>
          <w:lang w:val="sq-AL"/>
        </w:rPr>
        <w:t xml:space="preserve"> mund t</w:t>
      </w:r>
      <w:r w:rsidR="00354587">
        <w:rPr>
          <w:lang w:val="sq-AL"/>
        </w:rPr>
        <w:t>ë</w:t>
      </w:r>
      <w:r>
        <w:rPr>
          <w:lang w:val="sq-AL"/>
        </w:rPr>
        <w:t xml:space="preserve"> konsideronte nj</w:t>
      </w:r>
      <w:r w:rsidR="00354587">
        <w:rPr>
          <w:lang w:val="sq-AL"/>
        </w:rPr>
        <w:t>ë</w:t>
      </w:r>
      <w:r>
        <w:rPr>
          <w:lang w:val="sq-AL"/>
        </w:rPr>
        <w:t xml:space="preserve"> pages</w:t>
      </w:r>
      <w:r w:rsidR="00354587">
        <w:rPr>
          <w:lang w:val="sq-AL"/>
        </w:rPr>
        <w:t>ë</w:t>
      </w:r>
      <w:r>
        <w:rPr>
          <w:lang w:val="sq-AL"/>
        </w:rPr>
        <w:t xml:space="preserve"> t</w:t>
      </w:r>
      <w:r w:rsidR="00354587">
        <w:rPr>
          <w:lang w:val="sq-AL"/>
        </w:rPr>
        <w:t>ë</w:t>
      </w:r>
      <w:r>
        <w:rPr>
          <w:lang w:val="sq-AL"/>
        </w:rPr>
        <w:t xml:space="preserve"> till</w:t>
      </w:r>
      <w:r w:rsidR="00354587">
        <w:rPr>
          <w:lang w:val="sq-AL"/>
        </w:rPr>
        <w:t>ë</w:t>
      </w:r>
      <w:r>
        <w:rPr>
          <w:lang w:val="sq-AL"/>
        </w:rPr>
        <w:t xml:space="preserve"> ndaj puntor</w:t>
      </w:r>
      <w:r w:rsidR="00354587">
        <w:rPr>
          <w:lang w:val="sq-AL"/>
        </w:rPr>
        <w:t>ë</w:t>
      </w:r>
      <w:r>
        <w:rPr>
          <w:lang w:val="sq-AL"/>
        </w:rPr>
        <w:t>ve, vet</w:t>
      </w:r>
      <w:r w:rsidR="00354587">
        <w:rPr>
          <w:lang w:val="sq-AL"/>
        </w:rPr>
        <w:t>ë</w:t>
      </w:r>
      <w:r>
        <w:rPr>
          <w:lang w:val="sq-AL"/>
        </w:rPr>
        <w:t>m p</w:t>
      </w:r>
      <w:r w:rsidR="00354587">
        <w:rPr>
          <w:lang w:val="sq-AL"/>
        </w:rPr>
        <w:t>ë</w:t>
      </w:r>
      <w:r>
        <w:rPr>
          <w:lang w:val="sq-AL"/>
        </w:rPr>
        <w:t>rmes fitimit t</w:t>
      </w:r>
      <w:r w:rsidR="00354587">
        <w:rPr>
          <w:lang w:val="sq-AL"/>
        </w:rPr>
        <w:t>ë tij, ashtu siç</w:t>
      </w:r>
      <w:r>
        <w:rPr>
          <w:lang w:val="sq-AL"/>
        </w:rPr>
        <w:t xml:space="preserve"> kan</w:t>
      </w:r>
      <w:r w:rsidR="00354587">
        <w:rPr>
          <w:lang w:val="sq-AL"/>
        </w:rPr>
        <w:t>ë</w:t>
      </w:r>
      <w:r>
        <w:rPr>
          <w:lang w:val="sq-AL"/>
        </w:rPr>
        <w:t xml:space="preserve"> vepruar edhe operator</w:t>
      </w:r>
      <w:r w:rsidR="00354587">
        <w:rPr>
          <w:lang w:val="sq-AL"/>
        </w:rPr>
        <w:t>ë</w:t>
      </w:r>
      <w:r>
        <w:rPr>
          <w:lang w:val="sq-AL"/>
        </w:rPr>
        <w:t>t tjer</w:t>
      </w:r>
      <w:r w:rsidR="00354587">
        <w:rPr>
          <w:lang w:val="sq-AL"/>
        </w:rPr>
        <w:t>ë</w:t>
      </w:r>
      <w:r>
        <w:rPr>
          <w:lang w:val="sq-AL"/>
        </w:rPr>
        <w:t>, t</w:t>
      </w:r>
      <w:r w:rsidR="00354587">
        <w:rPr>
          <w:lang w:val="sq-AL"/>
        </w:rPr>
        <w:t>ë</w:t>
      </w:r>
      <w:r>
        <w:rPr>
          <w:lang w:val="sq-AL"/>
        </w:rPr>
        <w:t xml:space="preserve"> cil</w:t>
      </w:r>
      <w:r w:rsidR="00354587">
        <w:rPr>
          <w:lang w:val="sq-AL"/>
        </w:rPr>
        <w:t>ë</w:t>
      </w:r>
      <w:r>
        <w:rPr>
          <w:lang w:val="sq-AL"/>
        </w:rPr>
        <w:t>t k</w:t>
      </w:r>
      <w:r w:rsidR="00354587">
        <w:rPr>
          <w:lang w:val="sq-AL"/>
        </w:rPr>
        <w:t>ë</w:t>
      </w:r>
      <w:r>
        <w:rPr>
          <w:lang w:val="sq-AL"/>
        </w:rPr>
        <w:t>to kosto nuk i kan</w:t>
      </w:r>
      <w:r w:rsidR="00354587">
        <w:rPr>
          <w:lang w:val="sq-AL"/>
        </w:rPr>
        <w:t>ë</w:t>
      </w:r>
      <w:r>
        <w:rPr>
          <w:lang w:val="sq-AL"/>
        </w:rPr>
        <w:t xml:space="preserve"> reflektuar n</w:t>
      </w:r>
      <w:r w:rsidR="00354587">
        <w:rPr>
          <w:lang w:val="sq-AL"/>
        </w:rPr>
        <w:t>ë ç</w:t>
      </w:r>
      <w:r>
        <w:rPr>
          <w:lang w:val="sq-AL"/>
        </w:rPr>
        <w:t>mimet e tyre</w:t>
      </w:r>
      <w:r w:rsidR="00354587">
        <w:rPr>
          <w:lang w:val="sq-AL"/>
        </w:rPr>
        <w:t>.</w:t>
      </w:r>
    </w:p>
    <w:p w14:paraId="189CEC27" w14:textId="77777777" w:rsidR="00354587" w:rsidRDefault="00354587" w:rsidP="00B1447F">
      <w:pPr>
        <w:spacing w:after="0"/>
        <w:jc w:val="both"/>
        <w:rPr>
          <w:lang w:val="sq-AL"/>
        </w:rPr>
      </w:pPr>
    </w:p>
    <w:p w14:paraId="579E082D" w14:textId="04240BFE" w:rsidR="00406D54" w:rsidRDefault="00B1447F" w:rsidP="00B1447F">
      <w:pPr>
        <w:spacing w:after="0"/>
        <w:jc w:val="both"/>
        <w:rPr>
          <w:lang w:val="sq-AL"/>
        </w:rPr>
      </w:pPr>
      <w:r>
        <w:rPr>
          <w:lang w:val="sq-AL"/>
        </w:rPr>
        <w:t>ZRRE edhe n</w:t>
      </w:r>
      <w:r w:rsidR="00354587">
        <w:rPr>
          <w:lang w:val="sq-AL"/>
        </w:rPr>
        <w:t>ë</w:t>
      </w:r>
      <w:r>
        <w:rPr>
          <w:lang w:val="sq-AL"/>
        </w:rPr>
        <w:t xml:space="preserve"> shkresat n</w:t>
      </w:r>
      <w:r w:rsidR="00354587">
        <w:rPr>
          <w:lang w:val="sq-AL"/>
        </w:rPr>
        <w:t>ë</w:t>
      </w:r>
      <w:r>
        <w:rPr>
          <w:lang w:val="sq-AL"/>
        </w:rPr>
        <w:t xml:space="preserve"> t</w:t>
      </w:r>
      <w:r w:rsidR="00354587">
        <w:rPr>
          <w:lang w:val="sq-AL"/>
        </w:rPr>
        <w:t>ë</w:t>
      </w:r>
      <w:r>
        <w:rPr>
          <w:lang w:val="sq-AL"/>
        </w:rPr>
        <w:t xml:space="preserve"> cilat thirret OSSH n</w:t>
      </w:r>
      <w:r w:rsidR="00354587">
        <w:rPr>
          <w:lang w:val="sq-AL"/>
        </w:rPr>
        <w:t>ë</w:t>
      </w:r>
      <w:r>
        <w:rPr>
          <w:lang w:val="sq-AL"/>
        </w:rPr>
        <w:t xml:space="preserve"> aplikimin per MAR, ka sqaruar q</w:t>
      </w:r>
      <w:r w:rsidR="00354587">
        <w:rPr>
          <w:lang w:val="sq-AL"/>
        </w:rPr>
        <w:t>ë</w:t>
      </w:r>
      <w:r>
        <w:rPr>
          <w:lang w:val="sq-AL"/>
        </w:rPr>
        <w:t xml:space="preserve"> sheh t</w:t>
      </w:r>
      <w:r w:rsidR="00354587">
        <w:rPr>
          <w:lang w:val="sq-AL"/>
        </w:rPr>
        <w:t>ë</w:t>
      </w:r>
      <w:r>
        <w:rPr>
          <w:lang w:val="sq-AL"/>
        </w:rPr>
        <w:t xml:space="preserve"> arsyeshme n</w:t>
      </w:r>
      <w:r w:rsidR="00354587">
        <w:rPr>
          <w:lang w:val="sq-AL"/>
        </w:rPr>
        <w:t>ë</w:t>
      </w:r>
      <w:r>
        <w:rPr>
          <w:lang w:val="sq-AL"/>
        </w:rPr>
        <w:t xml:space="preserve"> parim t</w:t>
      </w:r>
      <w:r w:rsidR="00354587">
        <w:rPr>
          <w:lang w:val="sq-AL"/>
        </w:rPr>
        <w:t>ë</w:t>
      </w:r>
      <w:r>
        <w:rPr>
          <w:lang w:val="sq-AL"/>
        </w:rPr>
        <w:t xml:space="preserve"> njeh kostot q</w:t>
      </w:r>
      <w:r w:rsidR="00354587">
        <w:rPr>
          <w:lang w:val="sq-AL"/>
        </w:rPr>
        <w:t>ë</w:t>
      </w:r>
      <w:r>
        <w:rPr>
          <w:lang w:val="sq-AL"/>
        </w:rPr>
        <w:t xml:space="preserve"> nd</w:t>
      </w:r>
      <w:r w:rsidR="00354587">
        <w:rPr>
          <w:lang w:val="sq-AL"/>
        </w:rPr>
        <w:t>ë</w:t>
      </w:r>
      <w:r>
        <w:rPr>
          <w:lang w:val="sq-AL"/>
        </w:rPr>
        <w:t>rlidhen me ruajtjen e sh</w:t>
      </w:r>
      <w:r w:rsidR="00354587">
        <w:rPr>
          <w:lang w:val="sq-AL"/>
        </w:rPr>
        <w:t>ë</w:t>
      </w:r>
      <w:r>
        <w:rPr>
          <w:lang w:val="sq-AL"/>
        </w:rPr>
        <w:t>ndetit si pasoj</w:t>
      </w:r>
      <w:r w:rsidR="00354587">
        <w:rPr>
          <w:lang w:val="sq-AL"/>
        </w:rPr>
        <w:t>ë</w:t>
      </w:r>
      <w:r>
        <w:rPr>
          <w:lang w:val="sq-AL"/>
        </w:rPr>
        <w:t xml:space="preserve"> e COVID-19, sipas Udh</w:t>
      </w:r>
      <w:r w:rsidR="00354587">
        <w:rPr>
          <w:lang w:val="sq-AL"/>
        </w:rPr>
        <w:t>ë</w:t>
      </w:r>
      <w:r>
        <w:rPr>
          <w:lang w:val="sq-AL"/>
        </w:rPr>
        <w:t>zimeve t</w:t>
      </w:r>
      <w:r w:rsidR="00354587">
        <w:rPr>
          <w:lang w:val="sq-AL"/>
        </w:rPr>
        <w:t>ë</w:t>
      </w:r>
      <w:r>
        <w:rPr>
          <w:lang w:val="sq-AL"/>
        </w:rPr>
        <w:t xml:space="preserve"> Institutit Komb</w:t>
      </w:r>
      <w:r w:rsidR="00354587">
        <w:rPr>
          <w:lang w:val="sq-AL"/>
        </w:rPr>
        <w:t>ë</w:t>
      </w:r>
      <w:r>
        <w:rPr>
          <w:lang w:val="sq-AL"/>
        </w:rPr>
        <w:t>tar t</w:t>
      </w:r>
      <w:r w:rsidR="00354587">
        <w:rPr>
          <w:lang w:val="sq-AL"/>
        </w:rPr>
        <w:t>ë</w:t>
      </w:r>
      <w:r>
        <w:rPr>
          <w:lang w:val="sq-AL"/>
        </w:rPr>
        <w:t xml:space="preserve"> Shendet</w:t>
      </w:r>
      <w:r w:rsidR="00354587">
        <w:rPr>
          <w:lang w:val="sq-AL"/>
        </w:rPr>
        <w:t>ë</w:t>
      </w:r>
      <w:r>
        <w:rPr>
          <w:lang w:val="sq-AL"/>
        </w:rPr>
        <w:t>sis</w:t>
      </w:r>
      <w:r w:rsidR="00354587">
        <w:rPr>
          <w:lang w:val="sq-AL"/>
        </w:rPr>
        <w:t>ë</w:t>
      </w:r>
      <w:r>
        <w:rPr>
          <w:lang w:val="sq-AL"/>
        </w:rPr>
        <w:t xml:space="preserve"> Publike, por </w:t>
      </w:r>
      <w:r w:rsidR="00354587">
        <w:rPr>
          <w:lang w:val="sq-AL"/>
        </w:rPr>
        <w:t xml:space="preserve">jo </w:t>
      </w:r>
      <w:r w:rsidR="00354587">
        <w:rPr>
          <w:lang w:val="sq-AL"/>
        </w:rPr>
        <w:lastRenderedPageBreak/>
        <w:t xml:space="preserve">edhe stimujt sepse </w:t>
      </w:r>
      <w:r>
        <w:rPr>
          <w:lang w:val="sq-AL"/>
        </w:rPr>
        <w:t>do ta ngarkonin konsumatorin fundor</w:t>
      </w:r>
      <w:r w:rsidR="00354587">
        <w:rPr>
          <w:lang w:val="sq-AL"/>
        </w:rPr>
        <w:t xml:space="preserve"> edhe mëtej</w:t>
      </w:r>
      <w:r>
        <w:rPr>
          <w:lang w:val="sq-AL"/>
        </w:rPr>
        <w:t>.</w:t>
      </w:r>
    </w:p>
    <w:p w14:paraId="64AC892D" w14:textId="77777777" w:rsidR="00135D63" w:rsidRDefault="00135D63" w:rsidP="00CE6871">
      <w:pPr>
        <w:spacing w:after="0"/>
        <w:jc w:val="both"/>
        <w:rPr>
          <w:lang w:val="sq-AL"/>
        </w:rPr>
      </w:pPr>
      <w:r>
        <w:rPr>
          <w:lang w:val="sq-AL"/>
        </w:rPr>
        <w:t xml:space="preserve"> </w:t>
      </w:r>
    </w:p>
    <w:p w14:paraId="00BA4572" w14:textId="77777777" w:rsidR="00D850AB" w:rsidRPr="00B1447F" w:rsidRDefault="00C016EC" w:rsidP="00D850AB">
      <w:pPr>
        <w:pStyle w:val="Heading2"/>
        <w:tabs>
          <w:tab w:val="clear" w:pos="720"/>
          <w:tab w:val="num" w:pos="810"/>
        </w:tabs>
        <w:ind w:left="810"/>
        <w:jc w:val="left"/>
        <w:rPr>
          <w:lang w:val="sq-AL"/>
        </w:rPr>
      </w:pPr>
      <w:bookmarkStart w:id="17" w:name="_Toc511307497"/>
      <w:bookmarkStart w:id="18" w:name="_Toc80691546"/>
      <w:r w:rsidRPr="00B1447F">
        <w:rPr>
          <w:lang w:val="sq-AL"/>
        </w:rPr>
        <w:t>Përshtatjet për kostot e bar</w:t>
      </w:r>
      <w:r w:rsidR="00D850AB" w:rsidRPr="00B1447F">
        <w:rPr>
          <w:lang w:val="sq-AL"/>
        </w:rPr>
        <w:t>tshme</w:t>
      </w:r>
      <w:bookmarkEnd w:id="17"/>
      <w:bookmarkEnd w:id="18"/>
    </w:p>
    <w:p w14:paraId="0506D4E0" w14:textId="77777777" w:rsidR="00D850AB" w:rsidRPr="0050005A" w:rsidRDefault="00D850AB" w:rsidP="00D850AB">
      <w:pPr>
        <w:spacing w:before="120"/>
        <w:jc w:val="both"/>
        <w:rPr>
          <w:lang w:val="sq-AL"/>
        </w:rPr>
      </w:pPr>
      <w:r w:rsidRPr="00B1447F">
        <w:rPr>
          <w:lang w:val="sq-AL"/>
        </w:rPr>
        <w:t xml:space="preserve">Për shkak të dallimeve ndërmjet energjisë së parashikuar dhe asaj të realizuar nga OSSh lidhur me obligimet e OSSh ndaj Operatorit të Tregut (OT) dhe Operatorit të Sistemit (OS), janë bërë përshtatjet për të reflektuar këto dallime. Vlera e këtyre përshtatjeve është </w:t>
      </w:r>
      <w:r w:rsidRPr="00EF7974">
        <w:rPr>
          <w:lang w:val="sq-AL"/>
        </w:rPr>
        <w:t>0.</w:t>
      </w:r>
      <w:r w:rsidR="00B1447F" w:rsidRPr="00EF7974">
        <w:rPr>
          <w:lang w:val="sq-AL"/>
        </w:rPr>
        <w:t>16</w:t>
      </w:r>
      <w:r w:rsidRPr="00EF7974">
        <w:rPr>
          <w:lang w:val="sq-AL"/>
        </w:rPr>
        <w:t xml:space="preserve"> milion euro</w:t>
      </w:r>
      <w:r w:rsidR="005C780F" w:rsidRPr="00EF7974">
        <w:rPr>
          <w:lang w:val="sq-AL"/>
        </w:rPr>
        <w:t xml:space="preserve"> (dallimi </w:t>
      </w:r>
      <w:r w:rsidR="0009487F" w:rsidRPr="00EF7974">
        <w:rPr>
          <w:lang w:val="sq-AL"/>
        </w:rPr>
        <w:t>ndërmjet</w:t>
      </w:r>
      <w:r w:rsidR="005C780F" w:rsidRPr="00EF7974">
        <w:rPr>
          <w:lang w:val="sq-AL"/>
        </w:rPr>
        <w:t xml:space="preserve"> </w:t>
      </w:r>
      <w:r w:rsidR="00B1447F" w:rsidRPr="00EF7974">
        <w:rPr>
          <w:lang w:val="sq-AL"/>
        </w:rPr>
        <w:t xml:space="preserve">0.92 </w:t>
      </w:r>
      <w:r w:rsidR="005C780F" w:rsidRPr="00EF7974">
        <w:rPr>
          <w:lang w:val="sq-AL"/>
        </w:rPr>
        <w:t>mil€ dhe 1.</w:t>
      </w:r>
      <w:r w:rsidR="00B1447F" w:rsidRPr="00EF7974">
        <w:rPr>
          <w:lang w:val="sq-AL"/>
        </w:rPr>
        <w:t xml:space="preserve">07 </w:t>
      </w:r>
      <w:r w:rsidR="005C780F" w:rsidRPr="00EF7974">
        <w:rPr>
          <w:lang w:val="sq-AL"/>
        </w:rPr>
        <w:t>mil€)</w:t>
      </w:r>
      <w:r w:rsidRPr="00EF7974">
        <w:rPr>
          <w:lang w:val="sq-AL"/>
        </w:rPr>
        <w:t>.</w:t>
      </w:r>
    </w:p>
    <w:p w14:paraId="72213A2A" w14:textId="77777777" w:rsidR="00D850AB" w:rsidRPr="0050005A" w:rsidRDefault="00D850AB" w:rsidP="00D850AB">
      <w:pPr>
        <w:pStyle w:val="Heading2"/>
        <w:tabs>
          <w:tab w:val="clear" w:pos="720"/>
          <w:tab w:val="num" w:pos="810"/>
        </w:tabs>
        <w:ind w:left="810"/>
        <w:jc w:val="left"/>
        <w:rPr>
          <w:lang w:val="sq-AL"/>
        </w:rPr>
      </w:pPr>
      <w:bookmarkStart w:id="19" w:name="_Toc511307498"/>
      <w:bookmarkStart w:id="20" w:name="_Toc80691547"/>
      <w:r w:rsidRPr="0050005A">
        <w:rPr>
          <w:lang w:val="sq-AL"/>
        </w:rPr>
        <w:t>Përshtatjet e kostove të humbjeve</w:t>
      </w:r>
      <w:bookmarkEnd w:id="19"/>
      <w:bookmarkEnd w:id="20"/>
      <w:r w:rsidRPr="0050005A">
        <w:rPr>
          <w:lang w:val="sq-AL"/>
        </w:rPr>
        <w:t xml:space="preserve"> </w:t>
      </w:r>
    </w:p>
    <w:p w14:paraId="7FC149B5" w14:textId="77777777" w:rsidR="00D850AB" w:rsidRPr="0050005A" w:rsidRDefault="00D850AB" w:rsidP="00D850AB">
      <w:pPr>
        <w:spacing w:before="120"/>
        <w:jc w:val="both"/>
        <w:rPr>
          <w:lang w:val="sq-AL"/>
        </w:rPr>
      </w:pPr>
      <w:r w:rsidRPr="0050005A">
        <w:rPr>
          <w:lang w:val="sq-AL"/>
        </w:rPr>
        <w:t xml:space="preserve">Përshtatja e kostos së humbjeve për OSSH bëhet përmes formulës së mëposhtme: </w:t>
      </w:r>
    </w:p>
    <w:p w14:paraId="3535ADA6" w14:textId="77777777" w:rsidR="00D850AB" w:rsidRPr="0050005A" w:rsidRDefault="00D850AB" w:rsidP="00D850AB">
      <w:pPr>
        <w:ind w:firstLine="720"/>
        <w:rPr>
          <w:lang w:val="sq-AL"/>
        </w:rPr>
      </w:pPr>
      <w:r w:rsidRPr="0050005A">
        <w:rPr>
          <w:lang w:val="sq-AL"/>
        </w:rPr>
        <w:t>(LSSCat-1 – LSSCft-1) * (1+ It)</w:t>
      </w:r>
    </w:p>
    <w:p w14:paraId="67538DBF" w14:textId="5C481982" w:rsidR="00D850AB" w:rsidRPr="0050005A" w:rsidRDefault="00D850AB" w:rsidP="00D850AB">
      <w:pPr>
        <w:jc w:val="both"/>
        <w:rPr>
          <w:lang w:val="sq-AL"/>
        </w:rPr>
      </w:pPr>
      <w:r w:rsidRPr="0050005A">
        <w:rPr>
          <w:lang w:val="sq-AL"/>
        </w:rPr>
        <w:t xml:space="preserve">Vlera e kostos së përshtatur për humbje </w:t>
      </w:r>
      <w:r w:rsidRPr="002D231D">
        <w:rPr>
          <w:lang w:val="sq-AL"/>
        </w:rPr>
        <w:t xml:space="preserve">është </w:t>
      </w:r>
      <w:r w:rsidR="00D92406">
        <w:rPr>
          <w:lang w:val="sq-AL"/>
        </w:rPr>
        <w:t>-</w:t>
      </w:r>
      <w:r w:rsidR="00A350E9" w:rsidRPr="00EF7974">
        <w:rPr>
          <w:lang w:val="sq-AL"/>
        </w:rPr>
        <w:t>5.3</w:t>
      </w:r>
      <w:r w:rsidRPr="00EF7974">
        <w:rPr>
          <w:lang w:val="sq-AL"/>
        </w:rPr>
        <w:t xml:space="preserve"> milion euro</w:t>
      </w:r>
      <w:r w:rsidRPr="0050005A">
        <w:rPr>
          <w:lang w:val="sq-AL"/>
        </w:rPr>
        <w:t xml:space="preserve">, e cila rezulton për shkak të </w:t>
      </w:r>
      <w:r w:rsidR="00D92406">
        <w:rPr>
          <w:lang w:val="sq-AL"/>
        </w:rPr>
        <w:t xml:space="preserve">ndryshimit të </w:t>
      </w:r>
      <w:r w:rsidRPr="0050005A">
        <w:rPr>
          <w:lang w:val="sq-AL"/>
        </w:rPr>
        <w:t>rrjedhave të energjisë të realizuara kund</w:t>
      </w:r>
      <w:r w:rsidR="00932389">
        <w:rPr>
          <w:lang w:val="sq-AL"/>
        </w:rPr>
        <w:t>rejt atyre të parashikuara</w:t>
      </w:r>
      <w:r w:rsidR="00A350E9">
        <w:rPr>
          <w:lang w:val="sq-AL"/>
        </w:rPr>
        <w:t xml:space="preserve"> si dhe ndryshimit n</w:t>
      </w:r>
      <w:r w:rsidR="00FD4DCD">
        <w:rPr>
          <w:lang w:val="sq-AL"/>
        </w:rPr>
        <w:t>ë</w:t>
      </w:r>
      <w:r w:rsidR="00A350E9">
        <w:rPr>
          <w:lang w:val="sq-AL"/>
        </w:rPr>
        <w:t xml:space="preserve"> mes t</w:t>
      </w:r>
      <w:r w:rsidR="00FD4DCD">
        <w:rPr>
          <w:lang w:val="sq-AL"/>
        </w:rPr>
        <w:t>ë</w:t>
      </w:r>
      <w:r w:rsidR="00A350E9">
        <w:rPr>
          <w:lang w:val="sq-AL"/>
        </w:rPr>
        <w:t xml:space="preserve"> </w:t>
      </w:r>
      <w:r w:rsidR="00FD4DCD">
        <w:rPr>
          <w:lang w:val="sq-AL"/>
        </w:rPr>
        <w:t>ç</w:t>
      </w:r>
      <w:r w:rsidR="00A350E9">
        <w:rPr>
          <w:lang w:val="sq-AL"/>
        </w:rPr>
        <w:t>mimit t</w:t>
      </w:r>
      <w:r w:rsidR="00FD4DCD">
        <w:rPr>
          <w:lang w:val="sq-AL"/>
        </w:rPr>
        <w:t>ë</w:t>
      </w:r>
      <w:r w:rsidR="00A350E9">
        <w:rPr>
          <w:lang w:val="sq-AL"/>
        </w:rPr>
        <w:t xml:space="preserve"> parashikuar dhe atij t</w:t>
      </w:r>
      <w:r w:rsidR="00FD4DCD">
        <w:rPr>
          <w:lang w:val="sq-AL"/>
        </w:rPr>
        <w:t>ë</w:t>
      </w:r>
      <w:r w:rsidR="00A350E9">
        <w:rPr>
          <w:lang w:val="sq-AL"/>
        </w:rPr>
        <w:t xml:space="preserve"> realizuar</w:t>
      </w:r>
      <w:r w:rsidRPr="0050005A">
        <w:rPr>
          <w:lang w:val="sq-AL"/>
        </w:rPr>
        <w:t>. Detajet e kalkulimeve janë dhënë në tabelën  më poshtë.</w:t>
      </w:r>
    </w:p>
    <w:p w14:paraId="0B71CD6E" w14:textId="77777777" w:rsidR="00D850AB" w:rsidRPr="0050005A" w:rsidRDefault="00D850AB" w:rsidP="00D850AB">
      <w:pPr>
        <w:pStyle w:val="Caption"/>
        <w:rPr>
          <w:lang w:val="sq-AL"/>
        </w:rPr>
      </w:pPr>
      <w:r w:rsidRPr="0050005A">
        <w:rPr>
          <w:lang w:val="sq-AL"/>
        </w:rPr>
        <w:lastRenderedPageBreak/>
        <w:t xml:space="preserve">Tabela  </w:t>
      </w:r>
      <w:r w:rsidR="001D66A0">
        <w:rPr>
          <w:lang w:val="sq-AL"/>
        </w:rPr>
        <w:t>3</w:t>
      </w:r>
      <w:r w:rsidRPr="0050005A">
        <w:rPr>
          <w:lang w:val="sq-AL"/>
        </w:rPr>
        <w:t>: Përshtatjet për kostot e humbjeve</w:t>
      </w:r>
    </w:p>
    <w:tbl>
      <w:tblPr>
        <w:tblW w:w="7974" w:type="dxa"/>
        <w:jc w:val="center"/>
        <w:tblLook w:val="04A0" w:firstRow="1" w:lastRow="0" w:firstColumn="1" w:lastColumn="0" w:noHBand="0" w:noVBand="1"/>
      </w:tblPr>
      <w:tblGrid>
        <w:gridCol w:w="3544"/>
        <w:gridCol w:w="992"/>
        <w:gridCol w:w="1055"/>
        <w:gridCol w:w="1114"/>
        <w:gridCol w:w="1269"/>
      </w:tblGrid>
      <w:tr w:rsidR="00E25993" w:rsidRPr="004F47E3" w14:paraId="64569BA3" w14:textId="77777777" w:rsidTr="008C5359">
        <w:trPr>
          <w:trHeight w:val="780"/>
          <w:jc w:val="center"/>
        </w:trPr>
        <w:tc>
          <w:tcPr>
            <w:tcW w:w="3544" w:type="dxa"/>
            <w:tcBorders>
              <w:top w:val="nil"/>
              <w:left w:val="nil"/>
              <w:right w:val="single" w:sz="4" w:space="0" w:color="FFFFFF" w:themeColor="background1"/>
            </w:tcBorders>
            <w:shd w:val="clear" w:color="auto" w:fill="244061" w:themeFill="accent1" w:themeFillShade="80"/>
            <w:noWrap/>
            <w:vAlign w:val="center"/>
            <w:hideMark/>
          </w:tcPr>
          <w:p w14:paraId="27E29DCC" w14:textId="77777777" w:rsidR="00E25993" w:rsidRPr="004F47E3" w:rsidRDefault="00E25993" w:rsidP="00966ECD">
            <w:pPr>
              <w:spacing w:after="0" w:line="240" w:lineRule="auto"/>
              <w:rPr>
                <w:rFonts w:eastAsia="Times New Roman" w:cs="Calibri"/>
                <w:color w:val="FFFFFF"/>
                <w:sz w:val="20"/>
                <w:szCs w:val="20"/>
                <w:lang w:val="sq-AL"/>
              </w:rPr>
            </w:pPr>
            <w:r w:rsidRPr="004F47E3">
              <w:rPr>
                <w:rFonts w:eastAsia="Times New Roman" w:cs="Calibri"/>
                <w:color w:val="FFFFFF"/>
                <w:sz w:val="20"/>
                <w:szCs w:val="20"/>
                <w:lang w:val="sq-AL"/>
              </w:rPr>
              <w:t>OSSH MAR</w:t>
            </w:r>
          </w:p>
        </w:tc>
        <w:tc>
          <w:tcPr>
            <w:tcW w:w="992" w:type="dxa"/>
            <w:tcBorders>
              <w:top w:val="nil"/>
              <w:left w:val="single" w:sz="4" w:space="0" w:color="FFFFFF" w:themeColor="background1"/>
              <w:right w:val="single" w:sz="4" w:space="0" w:color="FFFFFF" w:themeColor="background1"/>
            </w:tcBorders>
            <w:shd w:val="clear" w:color="auto" w:fill="244061" w:themeFill="accent1" w:themeFillShade="80"/>
            <w:vAlign w:val="center"/>
          </w:tcPr>
          <w:p w14:paraId="3BCC74B9" w14:textId="77777777" w:rsidR="00E25993" w:rsidRPr="004F47E3" w:rsidRDefault="00E25993" w:rsidP="00966ECD">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Njësia</w:t>
            </w:r>
          </w:p>
        </w:tc>
        <w:tc>
          <w:tcPr>
            <w:tcW w:w="1055" w:type="dxa"/>
            <w:tcBorders>
              <w:top w:val="nil"/>
              <w:left w:val="single" w:sz="4" w:space="0" w:color="FFFFFF" w:themeColor="background1"/>
              <w:right w:val="single" w:sz="4" w:space="0" w:color="FFFFFF" w:themeColor="background1"/>
            </w:tcBorders>
            <w:shd w:val="clear" w:color="auto" w:fill="244061" w:themeFill="accent1" w:themeFillShade="80"/>
            <w:vAlign w:val="center"/>
            <w:hideMark/>
          </w:tcPr>
          <w:p w14:paraId="712D88FE" w14:textId="77777777" w:rsidR="00E25993" w:rsidRPr="004F47E3" w:rsidRDefault="00E25993" w:rsidP="00966ECD">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E lejuar</w:t>
            </w:r>
          </w:p>
          <w:p w14:paraId="7AED6BBC" w14:textId="77777777" w:rsidR="00E25993" w:rsidRPr="004F47E3" w:rsidRDefault="00E25993" w:rsidP="004F47E3">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20</w:t>
            </w:r>
            <w:r w:rsidR="004F47E3">
              <w:rPr>
                <w:rFonts w:eastAsia="Times New Roman" w:cs="Calibri"/>
                <w:color w:val="FFFFFF"/>
                <w:sz w:val="20"/>
                <w:szCs w:val="20"/>
                <w:lang w:val="sq-AL"/>
              </w:rPr>
              <w:t>20</w:t>
            </w:r>
          </w:p>
        </w:tc>
        <w:tc>
          <w:tcPr>
            <w:tcW w:w="1114" w:type="dxa"/>
            <w:tcBorders>
              <w:top w:val="nil"/>
              <w:left w:val="single" w:sz="4" w:space="0" w:color="FFFFFF" w:themeColor="background1"/>
              <w:right w:val="nil"/>
            </w:tcBorders>
            <w:shd w:val="clear" w:color="auto" w:fill="244061" w:themeFill="accent1" w:themeFillShade="80"/>
            <w:vAlign w:val="center"/>
            <w:hideMark/>
          </w:tcPr>
          <w:p w14:paraId="014B080E" w14:textId="3D7FFB55" w:rsidR="00E25993" w:rsidRPr="004F47E3" w:rsidRDefault="00E25993" w:rsidP="00966ECD">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E realizuar</w:t>
            </w:r>
          </w:p>
          <w:p w14:paraId="3680C532" w14:textId="77777777" w:rsidR="00E25993" w:rsidRPr="004F47E3" w:rsidRDefault="00E25993" w:rsidP="004F47E3">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20</w:t>
            </w:r>
            <w:r w:rsidR="004F47E3">
              <w:rPr>
                <w:rFonts w:eastAsia="Times New Roman" w:cs="Calibri"/>
                <w:color w:val="FFFFFF"/>
                <w:sz w:val="20"/>
                <w:szCs w:val="20"/>
                <w:lang w:val="sq-AL"/>
              </w:rPr>
              <w:t>20</w:t>
            </w:r>
          </w:p>
        </w:tc>
        <w:tc>
          <w:tcPr>
            <w:tcW w:w="1269" w:type="dxa"/>
            <w:tcBorders>
              <w:top w:val="nil"/>
              <w:left w:val="single" w:sz="4" w:space="0" w:color="FFFFFF" w:themeColor="background1"/>
              <w:right w:val="nil"/>
            </w:tcBorders>
            <w:shd w:val="clear" w:color="auto" w:fill="244061" w:themeFill="accent1" w:themeFillShade="80"/>
            <w:vAlign w:val="center"/>
          </w:tcPr>
          <w:p w14:paraId="0519ED47" w14:textId="77777777" w:rsidR="00E25993" w:rsidRPr="004F47E3" w:rsidRDefault="00E25993" w:rsidP="008C5359">
            <w:pPr>
              <w:spacing w:after="0" w:line="240" w:lineRule="auto"/>
              <w:rPr>
                <w:rFonts w:eastAsia="Times New Roman" w:cs="Calibri"/>
                <w:color w:val="FFFFFF"/>
                <w:sz w:val="20"/>
                <w:szCs w:val="20"/>
                <w:lang w:val="sq-AL"/>
              </w:rPr>
            </w:pPr>
            <w:r w:rsidRPr="004F47E3">
              <w:rPr>
                <w:rFonts w:eastAsia="Times New Roman" w:cs="Calibri"/>
                <w:color w:val="FFFFFF"/>
                <w:sz w:val="20"/>
                <w:szCs w:val="20"/>
                <w:lang w:val="sq-AL"/>
              </w:rPr>
              <w:t xml:space="preserve">E propozuar </w:t>
            </w:r>
          </w:p>
          <w:p w14:paraId="4EB08121" w14:textId="77777777" w:rsidR="00E25993" w:rsidRPr="004F47E3" w:rsidRDefault="00E25993" w:rsidP="004F47E3">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20</w:t>
            </w:r>
            <w:r w:rsidR="005C780F" w:rsidRPr="004F47E3">
              <w:rPr>
                <w:rFonts w:eastAsia="Times New Roman" w:cs="Calibri"/>
                <w:color w:val="FFFFFF"/>
                <w:sz w:val="20"/>
                <w:szCs w:val="20"/>
                <w:lang w:val="sq-AL"/>
              </w:rPr>
              <w:t>2</w:t>
            </w:r>
            <w:r w:rsidR="004F47E3">
              <w:rPr>
                <w:rFonts w:eastAsia="Times New Roman" w:cs="Calibri"/>
                <w:color w:val="FFFFFF"/>
                <w:sz w:val="20"/>
                <w:szCs w:val="20"/>
                <w:lang w:val="sq-AL"/>
              </w:rPr>
              <w:t>1</w:t>
            </w:r>
          </w:p>
        </w:tc>
      </w:tr>
      <w:tr w:rsidR="00E25993" w:rsidRPr="004F47E3" w14:paraId="6955A9C3" w14:textId="77777777" w:rsidTr="0030134E">
        <w:trPr>
          <w:trHeight w:val="300"/>
          <w:jc w:val="center"/>
        </w:trPr>
        <w:tc>
          <w:tcPr>
            <w:tcW w:w="3544"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699DB572"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Parametri i indeksimit</w:t>
            </w: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000000" w:fill="DBE5F1"/>
          </w:tcPr>
          <w:p w14:paraId="6246D292" w14:textId="77777777" w:rsidR="00E25993" w:rsidRPr="004F47E3" w:rsidRDefault="00E25993" w:rsidP="00966ECD">
            <w:pPr>
              <w:spacing w:after="0" w:line="240" w:lineRule="auto"/>
              <w:rPr>
                <w:rFonts w:eastAsia="Times New Roman" w:cs="Calibri"/>
                <w:b/>
                <w:bCs/>
                <w:sz w:val="20"/>
                <w:szCs w:val="20"/>
                <w:lang w:val="sq-AL"/>
              </w:rPr>
            </w:pPr>
          </w:p>
        </w:tc>
        <w:tc>
          <w:tcPr>
            <w:tcW w:w="1055"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5209040E"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 </w:t>
            </w:r>
          </w:p>
        </w:tc>
        <w:tc>
          <w:tcPr>
            <w:tcW w:w="1114"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3EED5ED5"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 </w:t>
            </w:r>
          </w:p>
        </w:tc>
        <w:tc>
          <w:tcPr>
            <w:tcW w:w="1269" w:type="dxa"/>
            <w:tcBorders>
              <w:left w:val="single" w:sz="4" w:space="0" w:color="FFFFFF" w:themeColor="background1"/>
              <w:bottom w:val="single" w:sz="4" w:space="0" w:color="FFFFFF" w:themeColor="background1"/>
              <w:right w:val="single" w:sz="4" w:space="0" w:color="FFFFFF" w:themeColor="background1"/>
            </w:tcBorders>
            <w:shd w:val="clear" w:color="000000" w:fill="DBE5F1"/>
          </w:tcPr>
          <w:p w14:paraId="335BF1BD" w14:textId="77777777" w:rsidR="00E25993" w:rsidRPr="004F47E3" w:rsidRDefault="00E25993" w:rsidP="00966ECD">
            <w:pPr>
              <w:spacing w:after="0" w:line="240" w:lineRule="auto"/>
              <w:rPr>
                <w:rFonts w:eastAsia="Times New Roman" w:cs="Calibri"/>
                <w:b/>
                <w:bCs/>
                <w:sz w:val="20"/>
                <w:szCs w:val="20"/>
                <w:lang w:val="sq-AL"/>
              </w:rPr>
            </w:pPr>
          </w:p>
        </w:tc>
      </w:tr>
      <w:tr w:rsidR="00E25993" w:rsidRPr="004F47E3" w14:paraId="04648550" w14:textId="77777777" w:rsidTr="0030134E">
        <w:trPr>
          <w:trHeight w:val="30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65E9055" w14:textId="77777777" w:rsidR="00E25993" w:rsidRPr="004F47E3" w:rsidRDefault="00E25993" w:rsidP="00966ECD">
            <w:pPr>
              <w:spacing w:after="0" w:line="240" w:lineRule="auto"/>
              <w:rPr>
                <w:rFonts w:eastAsia="Times New Roman" w:cs="Calibri"/>
                <w:sz w:val="20"/>
                <w:szCs w:val="20"/>
                <w:lang w:val="sq-AL"/>
              </w:rPr>
            </w:pPr>
            <w:r w:rsidRPr="004F47E3">
              <w:rPr>
                <w:rFonts w:eastAsia="Times New Roman" w:cs="Calibri"/>
                <w:sz w:val="20"/>
                <w:szCs w:val="20"/>
                <w:lang w:val="sq-AL"/>
              </w:rPr>
              <w:t>It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tcPr>
          <w:p w14:paraId="44D3D556" w14:textId="77777777" w:rsidR="00E25993" w:rsidRPr="004F47E3" w:rsidRDefault="00E25993" w:rsidP="00966ECD">
            <w:pPr>
              <w:spacing w:after="0" w:line="240" w:lineRule="auto"/>
              <w:jc w:val="center"/>
              <w:rPr>
                <w:rFonts w:eastAsia="Times New Roman" w:cs="Calibri"/>
                <w:sz w:val="20"/>
                <w:szCs w:val="20"/>
                <w:lang w:val="sq-AL"/>
              </w:rPr>
            </w:pPr>
            <w:r w:rsidRPr="004F47E3">
              <w:rPr>
                <w:rFonts w:eastAsia="Times New Roman" w:cs="Calibri"/>
                <w:sz w:val="20"/>
                <w:szCs w:val="20"/>
                <w:lang w:val="sq-AL"/>
              </w:rPr>
              <w:t>%</w:t>
            </w: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vAlign w:val="center"/>
            <w:hideMark/>
          </w:tcPr>
          <w:p w14:paraId="0DAC1086" w14:textId="77777777" w:rsidR="00E25993" w:rsidRPr="004F47E3" w:rsidRDefault="00E25993" w:rsidP="00966ECD">
            <w:pPr>
              <w:spacing w:after="0" w:line="240" w:lineRule="auto"/>
              <w:jc w:val="right"/>
              <w:rPr>
                <w:rFonts w:eastAsia="Times New Roman" w:cs="Calibri"/>
                <w:sz w:val="20"/>
                <w:szCs w:val="20"/>
                <w:lang w:val="sq-AL"/>
              </w:rPr>
            </w:pPr>
          </w:p>
        </w:tc>
        <w:tc>
          <w:tcPr>
            <w:tcW w:w="1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vAlign w:val="center"/>
            <w:hideMark/>
          </w:tcPr>
          <w:p w14:paraId="1D0294B6" w14:textId="77777777" w:rsidR="00E25993" w:rsidRPr="004F47E3" w:rsidRDefault="005C780F" w:rsidP="005C780F">
            <w:pPr>
              <w:spacing w:after="0" w:line="240" w:lineRule="auto"/>
              <w:jc w:val="right"/>
              <w:rPr>
                <w:rFonts w:eastAsia="Times New Roman" w:cs="Calibri"/>
                <w:sz w:val="20"/>
                <w:szCs w:val="20"/>
                <w:lang w:val="sq-AL"/>
              </w:rPr>
            </w:pPr>
            <w:r w:rsidRPr="004F47E3">
              <w:rPr>
                <w:rFonts w:eastAsia="Times New Roman" w:cs="Calibri"/>
                <w:sz w:val="20"/>
                <w:szCs w:val="20"/>
                <w:lang w:val="sq-AL"/>
              </w:rPr>
              <w:t>7.38</w:t>
            </w:r>
            <w:r w:rsidR="00E25993" w:rsidRPr="004F47E3">
              <w:rPr>
                <w:rFonts w:eastAsia="Times New Roman" w:cs="Calibri"/>
                <w:sz w:val="20"/>
                <w:szCs w:val="20"/>
                <w:lang w:val="sq-AL"/>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tcPr>
          <w:p w14:paraId="070FCE28" w14:textId="77777777" w:rsidR="00E25993" w:rsidRPr="004F47E3" w:rsidRDefault="00E25993" w:rsidP="00966ECD">
            <w:pPr>
              <w:spacing w:after="0" w:line="240" w:lineRule="auto"/>
              <w:jc w:val="right"/>
              <w:rPr>
                <w:rFonts w:eastAsia="Times New Roman" w:cs="Calibri"/>
                <w:sz w:val="20"/>
                <w:szCs w:val="20"/>
                <w:lang w:val="sq-AL"/>
              </w:rPr>
            </w:pPr>
          </w:p>
        </w:tc>
      </w:tr>
      <w:tr w:rsidR="00E25993" w:rsidRPr="004F47E3" w14:paraId="3DB76341" w14:textId="77777777" w:rsidTr="00EF4C2C">
        <w:trPr>
          <w:trHeight w:val="35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14:paraId="1F5B0B0E"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Humbjet e lejuara  (LSSCt)</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vAlign w:val="center"/>
          </w:tcPr>
          <w:p w14:paraId="02C3EC62" w14:textId="77777777" w:rsidR="00E25993" w:rsidRPr="004F47E3" w:rsidRDefault="00E25993" w:rsidP="00966ECD">
            <w:pPr>
              <w:spacing w:after="0" w:line="240" w:lineRule="auto"/>
              <w:rPr>
                <w:rFonts w:eastAsia="Times New Roman" w:cs="Calibri"/>
                <w:b/>
                <w:bCs/>
                <w:sz w:val="20"/>
                <w:szCs w:val="20"/>
                <w:lang w:val="sq-AL"/>
              </w:rPr>
            </w:pPr>
          </w:p>
        </w:tc>
        <w:tc>
          <w:tcPr>
            <w:tcW w:w="10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noWrap/>
            <w:vAlign w:val="center"/>
            <w:hideMark/>
          </w:tcPr>
          <w:p w14:paraId="31502C57" w14:textId="77777777" w:rsidR="00E25993" w:rsidRPr="004F47E3" w:rsidRDefault="00E25993" w:rsidP="00966ECD">
            <w:pPr>
              <w:spacing w:after="0" w:line="240" w:lineRule="auto"/>
              <w:jc w:val="right"/>
              <w:rPr>
                <w:rFonts w:eastAsia="Times New Roman" w:cs="Calibri"/>
                <w:b/>
                <w:bCs/>
                <w:sz w:val="20"/>
                <w:szCs w:val="20"/>
                <w:lang w:val="sq-AL"/>
              </w:rPr>
            </w:pPr>
            <w:r w:rsidRPr="004F47E3">
              <w:rPr>
                <w:rFonts w:eastAsia="Times New Roman" w:cs="Calibri"/>
                <w:b/>
                <w:bCs/>
                <w:sz w:val="20"/>
                <w:szCs w:val="20"/>
                <w:lang w:val="sq-AL"/>
              </w:rPr>
              <w:t> </w:t>
            </w:r>
          </w:p>
        </w:tc>
        <w:tc>
          <w:tcPr>
            <w:tcW w:w="11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noWrap/>
            <w:vAlign w:val="center"/>
            <w:hideMark/>
          </w:tcPr>
          <w:p w14:paraId="6BC1DD0C" w14:textId="77777777" w:rsidR="00E25993" w:rsidRPr="004F47E3" w:rsidRDefault="00E25993" w:rsidP="00966ECD">
            <w:pPr>
              <w:spacing w:after="0" w:line="240" w:lineRule="auto"/>
              <w:jc w:val="right"/>
              <w:rPr>
                <w:rFonts w:eastAsia="Times New Roman" w:cs="Calibri"/>
                <w:b/>
                <w:bCs/>
                <w:sz w:val="20"/>
                <w:szCs w:val="20"/>
                <w:lang w:val="sq-AL"/>
              </w:rPr>
            </w:pPr>
            <w:r w:rsidRPr="004F47E3">
              <w:rPr>
                <w:rFonts w:eastAsia="Times New Roman" w:cs="Calibri"/>
                <w:b/>
                <w:bCs/>
                <w:sz w:val="20"/>
                <w:szCs w:val="20"/>
                <w:lang w:val="sq-AL"/>
              </w:rPr>
              <w:t> </w:t>
            </w:r>
          </w:p>
        </w:tc>
        <w:tc>
          <w:tcPr>
            <w:tcW w:w="12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vAlign w:val="center"/>
          </w:tcPr>
          <w:p w14:paraId="074A053B" w14:textId="77777777" w:rsidR="00E25993" w:rsidRPr="004F47E3" w:rsidRDefault="00E25993" w:rsidP="00966ECD">
            <w:pPr>
              <w:spacing w:after="0" w:line="240" w:lineRule="auto"/>
              <w:jc w:val="right"/>
              <w:rPr>
                <w:rFonts w:eastAsia="Times New Roman" w:cs="Calibri"/>
                <w:b/>
                <w:bCs/>
                <w:sz w:val="20"/>
                <w:szCs w:val="20"/>
                <w:lang w:val="sq-AL"/>
              </w:rPr>
            </w:pPr>
          </w:p>
        </w:tc>
      </w:tr>
      <w:tr w:rsidR="00E25993" w:rsidRPr="004F47E3" w14:paraId="391EAD5A" w14:textId="77777777" w:rsidTr="004F47E3">
        <w:trPr>
          <w:trHeight w:val="300"/>
          <w:jc w:val="center"/>
        </w:trPr>
        <w:tc>
          <w:tcPr>
            <w:tcW w:w="3544" w:type="dxa"/>
            <w:tcBorders>
              <w:top w:val="single" w:sz="4" w:space="0" w:color="FFFFFF" w:themeColor="background1"/>
              <w:left w:val="nil"/>
              <w:bottom w:val="nil"/>
              <w:right w:val="single" w:sz="4" w:space="0" w:color="auto"/>
            </w:tcBorders>
            <w:shd w:val="clear" w:color="000000" w:fill="FFFFFF"/>
            <w:noWrap/>
            <w:vAlign w:val="center"/>
            <w:hideMark/>
          </w:tcPr>
          <w:p w14:paraId="3F677EA5" w14:textId="77777777" w:rsidR="00E25993" w:rsidRPr="004F47E3" w:rsidRDefault="00E25993" w:rsidP="00966ECD">
            <w:pPr>
              <w:spacing w:after="0" w:line="240" w:lineRule="auto"/>
              <w:rPr>
                <w:rFonts w:eastAsia="Times New Roman" w:cs="Calibri"/>
                <w:sz w:val="20"/>
                <w:szCs w:val="20"/>
                <w:lang w:val="sq-AL"/>
              </w:rPr>
            </w:pPr>
            <w:r w:rsidRPr="004F47E3">
              <w:rPr>
                <w:rFonts w:eastAsia="Times New Roman" w:cs="Calibri"/>
                <w:sz w:val="20"/>
                <w:szCs w:val="20"/>
                <w:lang w:val="sq-AL"/>
              </w:rPr>
              <w:t>LSSAt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72451B" w14:textId="77777777" w:rsidR="00E25993" w:rsidRPr="004F47E3" w:rsidRDefault="00E25993" w:rsidP="00966ECD">
            <w:pPr>
              <w:spacing w:after="0" w:line="240" w:lineRule="auto"/>
              <w:jc w:val="center"/>
              <w:rPr>
                <w:rFonts w:eastAsia="Times New Roman" w:cs="Calibri"/>
                <w:sz w:val="20"/>
                <w:szCs w:val="20"/>
                <w:lang w:val="sq-AL"/>
              </w:rPr>
            </w:pPr>
            <w:r w:rsidRPr="004F47E3">
              <w:rPr>
                <w:rFonts w:eastAsia="Times New Roman" w:cs="Calibri"/>
                <w:sz w:val="20"/>
                <w:szCs w:val="20"/>
                <w:lang w:val="sq-AL"/>
              </w:rPr>
              <w:t>%</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1C306"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17.6</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38916"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17.6</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001ED003"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16.4</w:t>
            </w:r>
          </w:p>
        </w:tc>
      </w:tr>
      <w:tr w:rsidR="004F47E3" w:rsidRPr="004F47E3" w14:paraId="5D6D4A25"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68ED1A41" w14:textId="77777777" w:rsidR="004F47E3" w:rsidRPr="004F47E3" w:rsidRDefault="004F47E3" w:rsidP="004F47E3">
            <w:pPr>
              <w:spacing w:after="0" w:line="240" w:lineRule="auto"/>
              <w:rPr>
                <w:rFonts w:eastAsia="Times New Roman" w:cs="Calibri"/>
                <w:sz w:val="20"/>
                <w:szCs w:val="20"/>
                <w:lang w:val="sq-AL"/>
              </w:rPr>
            </w:pPr>
            <w:r w:rsidRPr="004F47E3">
              <w:rPr>
                <w:rFonts w:eastAsia="Times New Roman" w:cs="Calibri"/>
                <w:sz w:val="20"/>
                <w:szCs w:val="20"/>
                <w:lang w:val="sq-AL"/>
              </w:rPr>
              <w:t>REUEt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151F8E"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GWh</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872AA" w14:textId="77777777" w:rsidR="004F47E3" w:rsidRPr="004F47E3" w:rsidRDefault="00A350E9" w:rsidP="00A350E9">
            <w:pPr>
              <w:spacing w:after="0" w:line="240" w:lineRule="auto"/>
              <w:jc w:val="right"/>
              <w:rPr>
                <w:rFonts w:eastAsia="Times New Roman" w:cs="Calibri"/>
                <w:sz w:val="20"/>
                <w:szCs w:val="20"/>
                <w:lang w:val="sq-AL"/>
              </w:rPr>
            </w:pPr>
            <w:r w:rsidRPr="004F47E3">
              <w:rPr>
                <w:rFonts w:eastAsia="Times New Roman" w:cs="Calibri"/>
                <w:sz w:val="20"/>
                <w:szCs w:val="20"/>
                <w:lang w:val="sq-AL"/>
              </w:rPr>
              <w:t>5,41</w:t>
            </w:r>
            <w:r>
              <w:rPr>
                <w:rFonts w:eastAsia="Times New Roman" w:cs="Calibri"/>
                <w:sz w:val="20"/>
                <w:szCs w:val="20"/>
                <w:lang w:val="sq-AL"/>
              </w:rPr>
              <w:t>4</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3A2C6" w14:textId="77777777" w:rsidR="004F47E3" w:rsidRPr="004F47E3" w:rsidRDefault="004F47E3" w:rsidP="00A350E9">
            <w:pPr>
              <w:spacing w:after="0" w:line="240" w:lineRule="auto"/>
              <w:jc w:val="right"/>
              <w:rPr>
                <w:rFonts w:eastAsia="Times New Roman" w:cs="Calibri"/>
                <w:sz w:val="20"/>
                <w:szCs w:val="20"/>
                <w:lang w:val="sq-AL"/>
              </w:rPr>
            </w:pPr>
            <w:r w:rsidRPr="004F47E3">
              <w:rPr>
                <w:rFonts w:eastAsia="Times New Roman" w:cs="Calibri"/>
                <w:sz w:val="20"/>
                <w:szCs w:val="20"/>
                <w:lang w:val="sq-AL"/>
              </w:rPr>
              <w:t>5,</w:t>
            </w:r>
            <w:r w:rsidR="00A350E9">
              <w:rPr>
                <w:rFonts w:eastAsia="Times New Roman" w:cs="Calibri"/>
                <w:sz w:val="20"/>
                <w:szCs w:val="20"/>
                <w:lang w:val="sq-AL"/>
              </w:rPr>
              <w:t>549</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6488568D" w14:textId="77777777" w:rsidR="004F47E3" w:rsidRPr="004F47E3" w:rsidRDefault="004F47E3" w:rsidP="004F47E3">
            <w:pPr>
              <w:spacing w:after="0" w:line="240" w:lineRule="auto"/>
              <w:jc w:val="right"/>
              <w:rPr>
                <w:rFonts w:eastAsia="Times New Roman" w:cs="Calibri"/>
                <w:sz w:val="20"/>
                <w:szCs w:val="20"/>
                <w:lang w:val="sq-AL"/>
              </w:rPr>
            </w:pPr>
            <w:r>
              <w:rPr>
                <w:rFonts w:eastAsia="Times New Roman" w:cs="Calibri"/>
                <w:sz w:val="20"/>
                <w:szCs w:val="20"/>
                <w:lang w:val="sq-AL"/>
              </w:rPr>
              <w:t>5,451.6</w:t>
            </w:r>
          </w:p>
        </w:tc>
      </w:tr>
      <w:tr w:rsidR="004F47E3" w:rsidRPr="004F47E3" w14:paraId="0DA5BE07"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44C24F00" w14:textId="77777777" w:rsidR="004F47E3" w:rsidRPr="004F47E3" w:rsidRDefault="004F47E3" w:rsidP="004F47E3">
            <w:pPr>
              <w:spacing w:after="0" w:line="240" w:lineRule="auto"/>
              <w:rPr>
                <w:rFonts w:eastAsia="Times New Roman" w:cs="Calibri"/>
                <w:sz w:val="20"/>
                <w:szCs w:val="20"/>
                <w:lang w:val="sq-AL"/>
              </w:rPr>
            </w:pPr>
            <w:r w:rsidRPr="004F47E3">
              <w:rPr>
                <w:rFonts w:eastAsia="Times New Roman" w:cs="Calibri"/>
                <w:sz w:val="20"/>
                <w:szCs w:val="20"/>
                <w:lang w:val="sq-AL"/>
              </w:rPr>
              <w:t>WHEAt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5D7981"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€/MWh</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0B4725" w14:textId="77777777" w:rsidR="004F47E3" w:rsidRPr="004F47E3" w:rsidRDefault="00A350E9" w:rsidP="004F47E3">
            <w:pPr>
              <w:spacing w:after="0" w:line="240" w:lineRule="auto"/>
              <w:jc w:val="right"/>
              <w:rPr>
                <w:rFonts w:eastAsia="Times New Roman" w:cs="Calibri"/>
                <w:sz w:val="20"/>
                <w:szCs w:val="20"/>
                <w:lang w:val="sq-AL"/>
              </w:rPr>
            </w:pPr>
            <w:r w:rsidRPr="004F47E3">
              <w:rPr>
                <w:rFonts w:eastAsia="Times New Roman" w:cs="Calibri"/>
                <w:sz w:val="20"/>
                <w:szCs w:val="20"/>
                <w:lang w:val="sq-AL"/>
              </w:rPr>
              <w:t>49.19</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B524E4" w14:textId="77777777" w:rsidR="004F47E3" w:rsidRPr="004F47E3" w:rsidRDefault="00A350E9" w:rsidP="004F47E3">
            <w:pPr>
              <w:spacing w:after="0" w:line="240" w:lineRule="auto"/>
              <w:jc w:val="right"/>
              <w:rPr>
                <w:rFonts w:eastAsia="Times New Roman" w:cs="Calibri"/>
                <w:sz w:val="20"/>
                <w:szCs w:val="20"/>
                <w:lang w:val="sq-AL"/>
              </w:rPr>
            </w:pPr>
            <w:r>
              <w:rPr>
                <w:rFonts w:eastAsia="Times New Roman" w:cs="Calibri"/>
                <w:sz w:val="20"/>
                <w:szCs w:val="20"/>
                <w:lang w:val="sq-AL"/>
              </w:rPr>
              <w:t>42.57</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65551F7C" w14:textId="77777777" w:rsidR="004F47E3" w:rsidRPr="004F47E3" w:rsidRDefault="004F47E3" w:rsidP="004F47E3">
            <w:pPr>
              <w:spacing w:after="0" w:line="240" w:lineRule="auto"/>
              <w:jc w:val="right"/>
              <w:rPr>
                <w:rFonts w:eastAsia="Times New Roman" w:cs="Calibri"/>
                <w:sz w:val="20"/>
                <w:szCs w:val="20"/>
                <w:lang w:val="sq-AL"/>
              </w:rPr>
            </w:pPr>
            <w:r>
              <w:rPr>
                <w:rFonts w:eastAsia="Times New Roman" w:cs="Calibri"/>
                <w:sz w:val="20"/>
                <w:szCs w:val="20"/>
                <w:lang w:val="sq-AL"/>
              </w:rPr>
              <w:t>46.05</w:t>
            </w:r>
          </w:p>
        </w:tc>
      </w:tr>
      <w:tr w:rsidR="004F47E3" w:rsidRPr="004F47E3" w14:paraId="539A706F"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2A77CE30" w14:textId="77777777" w:rsidR="004F47E3" w:rsidRPr="004F47E3" w:rsidRDefault="004F47E3" w:rsidP="004F47E3">
            <w:pPr>
              <w:spacing w:after="0" w:line="240" w:lineRule="auto"/>
              <w:rPr>
                <w:rFonts w:eastAsia="Times New Roman" w:cs="Calibri"/>
                <w:color w:val="000000"/>
                <w:sz w:val="20"/>
                <w:szCs w:val="20"/>
                <w:lang w:val="sq-AL"/>
              </w:rPr>
            </w:pPr>
            <w:r w:rsidRPr="004F47E3">
              <w:rPr>
                <w:rFonts w:eastAsia="Times New Roman" w:cs="Calibri"/>
                <w:color w:val="000000"/>
                <w:sz w:val="20"/>
                <w:szCs w:val="20"/>
                <w:lang w:val="sq-AL"/>
              </w:rPr>
              <w:t>LSSCat-1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2DD164"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C6CDE1" w14:textId="77777777" w:rsidR="004F47E3" w:rsidRPr="004F47E3" w:rsidRDefault="004F47E3" w:rsidP="004F47E3">
            <w:pPr>
              <w:spacing w:after="0" w:line="240" w:lineRule="auto"/>
              <w:jc w:val="center"/>
              <w:rPr>
                <w:rFonts w:eastAsia="Times New Roman" w:cs="Calibri"/>
                <w:sz w:val="20"/>
                <w:szCs w:val="20"/>
                <w:lang w:val="sq-AL"/>
              </w:rPr>
            </w:pP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527CD" w14:textId="77777777" w:rsidR="004F47E3" w:rsidRPr="004F47E3" w:rsidRDefault="00A350E9" w:rsidP="00A350E9">
            <w:pPr>
              <w:spacing w:after="0" w:line="240" w:lineRule="auto"/>
              <w:jc w:val="right"/>
              <w:rPr>
                <w:rFonts w:eastAsia="Times New Roman" w:cs="Calibri"/>
                <w:b/>
                <w:bCs/>
                <w:sz w:val="20"/>
                <w:szCs w:val="20"/>
                <w:lang w:val="sq-AL"/>
              </w:rPr>
            </w:pPr>
            <w:r>
              <w:rPr>
                <w:rFonts w:eastAsia="Times New Roman" w:cs="Calibri"/>
                <w:b/>
                <w:bCs/>
                <w:sz w:val="20"/>
                <w:szCs w:val="20"/>
                <w:lang w:val="sq-AL"/>
              </w:rPr>
              <w:t>41.58</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0A64AF01" w14:textId="77777777" w:rsidR="004F47E3" w:rsidRPr="004F47E3" w:rsidRDefault="004F47E3" w:rsidP="004F47E3">
            <w:pPr>
              <w:spacing w:after="0" w:line="240" w:lineRule="auto"/>
              <w:jc w:val="center"/>
              <w:rPr>
                <w:rFonts w:eastAsia="Times New Roman" w:cs="Calibri"/>
                <w:b/>
                <w:bCs/>
                <w:sz w:val="20"/>
                <w:szCs w:val="20"/>
                <w:lang w:val="sq-AL"/>
              </w:rPr>
            </w:pPr>
          </w:p>
        </w:tc>
      </w:tr>
      <w:tr w:rsidR="004F47E3" w:rsidRPr="004F47E3" w14:paraId="41ED60CE" w14:textId="77777777" w:rsidTr="004F47E3">
        <w:trPr>
          <w:trHeight w:val="300"/>
          <w:jc w:val="center"/>
        </w:trPr>
        <w:tc>
          <w:tcPr>
            <w:tcW w:w="3544" w:type="dxa"/>
            <w:tcBorders>
              <w:top w:val="nil"/>
              <w:left w:val="nil"/>
              <w:bottom w:val="single" w:sz="4" w:space="0" w:color="FFFFFF" w:themeColor="background1"/>
              <w:right w:val="single" w:sz="4" w:space="0" w:color="auto"/>
            </w:tcBorders>
            <w:shd w:val="clear" w:color="000000" w:fill="FFFFFF"/>
            <w:noWrap/>
            <w:vAlign w:val="center"/>
            <w:hideMark/>
          </w:tcPr>
          <w:p w14:paraId="66D83F91" w14:textId="77777777" w:rsidR="004F47E3" w:rsidRPr="004F47E3" w:rsidRDefault="004F47E3" w:rsidP="004F47E3">
            <w:pPr>
              <w:spacing w:after="0" w:line="240" w:lineRule="auto"/>
              <w:rPr>
                <w:rFonts w:eastAsia="Times New Roman" w:cs="Calibri"/>
                <w:color w:val="000000"/>
                <w:sz w:val="20"/>
                <w:szCs w:val="20"/>
                <w:lang w:val="sq-AL"/>
              </w:rPr>
            </w:pPr>
            <w:r w:rsidRPr="004F47E3">
              <w:rPr>
                <w:rFonts w:eastAsia="Times New Roman" w:cs="Calibri"/>
                <w:color w:val="000000"/>
                <w:sz w:val="20"/>
                <w:szCs w:val="20"/>
                <w:lang w:val="sq-AL"/>
              </w:rPr>
              <w:t>LSSCft-1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0B9770"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BD5D89" w14:textId="77777777" w:rsidR="004F47E3" w:rsidRPr="004F47E3" w:rsidRDefault="00A350E9" w:rsidP="00A350E9">
            <w:pPr>
              <w:spacing w:after="0" w:line="240" w:lineRule="auto"/>
              <w:jc w:val="right"/>
              <w:rPr>
                <w:rFonts w:eastAsia="Times New Roman" w:cs="Calibri"/>
                <w:sz w:val="20"/>
                <w:szCs w:val="20"/>
                <w:lang w:val="sq-AL"/>
              </w:rPr>
            </w:pPr>
            <w:r w:rsidRPr="004F47E3">
              <w:rPr>
                <w:rFonts w:eastAsia="Times New Roman" w:cs="Calibri"/>
                <w:b/>
                <w:sz w:val="20"/>
                <w:szCs w:val="20"/>
                <w:lang w:val="sq-AL"/>
              </w:rPr>
              <w:t>46.8</w:t>
            </w:r>
            <w:r>
              <w:rPr>
                <w:rFonts w:eastAsia="Times New Roman" w:cs="Calibri"/>
                <w:b/>
                <w:sz w:val="20"/>
                <w:szCs w:val="20"/>
                <w:lang w:val="sq-AL"/>
              </w:rPr>
              <w:t>8</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BA0CEF" w14:textId="77777777" w:rsidR="004F47E3" w:rsidRPr="004F47E3" w:rsidRDefault="004F47E3" w:rsidP="00A350E9">
            <w:pPr>
              <w:spacing w:after="0" w:line="240" w:lineRule="auto"/>
              <w:jc w:val="center"/>
              <w:rPr>
                <w:rFonts w:eastAsia="Times New Roman" w:cs="Calibri"/>
                <w:b/>
                <w:sz w:val="20"/>
                <w:szCs w:val="20"/>
                <w:lang w:val="sq-AL"/>
              </w:rPr>
            </w:pP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4F8F278E" w14:textId="77777777" w:rsidR="004F47E3" w:rsidRPr="004F47E3" w:rsidRDefault="00A350E9" w:rsidP="004F47E3">
            <w:pPr>
              <w:spacing w:after="0" w:line="240" w:lineRule="auto"/>
              <w:jc w:val="right"/>
              <w:rPr>
                <w:rFonts w:eastAsia="Times New Roman" w:cs="Calibri"/>
                <w:b/>
                <w:sz w:val="20"/>
                <w:szCs w:val="20"/>
                <w:lang w:val="sq-AL"/>
              </w:rPr>
            </w:pPr>
            <w:r>
              <w:rPr>
                <w:rFonts w:eastAsia="Times New Roman" w:cs="Calibri"/>
                <w:b/>
                <w:sz w:val="20"/>
                <w:szCs w:val="20"/>
                <w:lang w:val="sq-AL"/>
              </w:rPr>
              <w:t>41.17</w:t>
            </w:r>
          </w:p>
        </w:tc>
      </w:tr>
      <w:tr w:rsidR="004F47E3" w:rsidRPr="0050005A" w14:paraId="40C5390D" w14:textId="77777777" w:rsidTr="00EF4C2C">
        <w:trPr>
          <w:trHeight w:val="30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4AA7A018" w14:textId="77777777" w:rsidR="004F47E3" w:rsidRPr="004F47E3" w:rsidRDefault="004F47E3" w:rsidP="004F47E3">
            <w:pPr>
              <w:spacing w:after="0" w:line="240" w:lineRule="auto"/>
              <w:rPr>
                <w:rFonts w:eastAsia="Times New Roman" w:cs="Calibri"/>
                <w:b/>
                <w:bCs/>
                <w:sz w:val="20"/>
                <w:szCs w:val="20"/>
                <w:lang w:val="sq-AL"/>
              </w:rPr>
            </w:pPr>
            <w:r w:rsidRPr="004F47E3">
              <w:rPr>
                <w:rFonts w:eastAsia="Times New Roman" w:cs="Calibri"/>
                <w:b/>
                <w:bCs/>
                <w:sz w:val="20"/>
                <w:szCs w:val="20"/>
                <w:lang w:val="sq-AL"/>
              </w:rPr>
              <w:t>Kostot e përshtatura</w:t>
            </w:r>
            <w:r w:rsidRPr="004F47E3">
              <w:rPr>
                <w:rStyle w:val="FootnoteReference"/>
                <w:rFonts w:eastAsia="Times New Roman" w:cs="Calibri"/>
                <w:b/>
                <w:bCs/>
                <w:sz w:val="20"/>
                <w:szCs w:val="20"/>
                <w:lang w:val="sq-AL"/>
              </w:rPr>
              <w:footnoteReference w:id="3"/>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1BB589B8" w14:textId="77777777" w:rsidR="004F47E3" w:rsidRPr="004F47E3" w:rsidRDefault="004F47E3" w:rsidP="004F47E3">
            <w:pPr>
              <w:spacing w:after="0" w:line="240" w:lineRule="auto"/>
              <w:jc w:val="center"/>
              <w:rPr>
                <w:rFonts w:eastAsia="Times New Roman" w:cs="Calibri"/>
                <w:b/>
                <w:bCs/>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1E7118E2" w14:textId="77777777" w:rsidR="004F47E3" w:rsidRPr="004F47E3" w:rsidRDefault="004F47E3" w:rsidP="004F47E3">
            <w:pPr>
              <w:spacing w:after="0" w:line="240" w:lineRule="auto"/>
              <w:jc w:val="right"/>
              <w:rPr>
                <w:rFonts w:eastAsia="Times New Roman" w:cs="Calibri"/>
                <w:b/>
                <w:bCs/>
                <w:sz w:val="20"/>
                <w:szCs w:val="20"/>
                <w:lang w:val="sq-AL"/>
              </w:rPr>
            </w:pPr>
          </w:p>
        </w:tc>
        <w:tc>
          <w:tcPr>
            <w:tcW w:w="111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73D4630D" w14:textId="47D15375" w:rsidR="004F47E3" w:rsidRPr="0050005A" w:rsidRDefault="00D92406" w:rsidP="004F47E3">
            <w:pPr>
              <w:spacing w:after="0" w:line="240" w:lineRule="auto"/>
              <w:jc w:val="right"/>
              <w:rPr>
                <w:rFonts w:eastAsia="Times New Roman" w:cs="Calibri"/>
                <w:b/>
                <w:bCs/>
                <w:sz w:val="20"/>
                <w:szCs w:val="20"/>
                <w:lang w:val="sq-AL"/>
              </w:rPr>
            </w:pPr>
            <w:r>
              <w:rPr>
                <w:rFonts w:eastAsia="Times New Roman" w:cs="Calibri"/>
                <w:b/>
                <w:bCs/>
                <w:sz w:val="20"/>
                <w:szCs w:val="20"/>
                <w:lang w:val="sq-AL"/>
              </w:rPr>
              <w:t>-</w:t>
            </w:r>
            <w:r w:rsidR="00A350E9" w:rsidRPr="00EF7974">
              <w:rPr>
                <w:rFonts w:eastAsia="Times New Roman" w:cs="Calibri"/>
                <w:b/>
                <w:bCs/>
                <w:sz w:val="20"/>
                <w:szCs w:val="20"/>
                <w:lang w:val="sq-AL"/>
              </w:rPr>
              <w:t>5.3</w:t>
            </w:r>
          </w:p>
        </w:tc>
        <w:tc>
          <w:tcPr>
            <w:tcW w:w="126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5E8D878" w14:textId="77777777" w:rsidR="004F47E3" w:rsidRPr="0050005A" w:rsidRDefault="004F47E3" w:rsidP="004F47E3">
            <w:pPr>
              <w:spacing w:after="0" w:line="240" w:lineRule="auto"/>
              <w:jc w:val="right"/>
              <w:rPr>
                <w:rFonts w:eastAsia="Times New Roman" w:cs="Calibri"/>
                <w:b/>
                <w:bCs/>
                <w:sz w:val="20"/>
                <w:szCs w:val="20"/>
                <w:lang w:val="sq-AL"/>
              </w:rPr>
            </w:pPr>
          </w:p>
        </w:tc>
      </w:tr>
    </w:tbl>
    <w:p w14:paraId="692A902C" w14:textId="77777777" w:rsidR="00D850AB" w:rsidRPr="0050005A" w:rsidRDefault="00D850AB" w:rsidP="00D850AB">
      <w:pPr>
        <w:pStyle w:val="Equation"/>
        <w:keepLines/>
        <w:ind w:left="2410" w:hanging="992"/>
        <w:rPr>
          <w:lang w:val="sq-AL"/>
        </w:rPr>
      </w:pPr>
      <w:r w:rsidRPr="0050005A">
        <w:rPr>
          <w:lang w:val="sq-AL"/>
        </w:rPr>
        <w:t>Ku :</w:t>
      </w:r>
      <w:r w:rsidRPr="0050005A">
        <w:rPr>
          <w:lang w:val="sq-AL"/>
        </w:rPr>
        <w:tab/>
      </w:r>
    </w:p>
    <w:p w14:paraId="20E9C9C5" w14:textId="77777777" w:rsidR="00D850AB" w:rsidRPr="0050005A" w:rsidRDefault="00D850AB" w:rsidP="00D850AB">
      <w:pPr>
        <w:pStyle w:val="Equation"/>
        <w:ind w:left="2873" w:hanging="1455"/>
        <w:rPr>
          <w:lang w:val="sq-AL"/>
        </w:rPr>
      </w:pPr>
      <w:r w:rsidRPr="0050005A">
        <w:rPr>
          <w:lang w:val="sq-AL"/>
        </w:rPr>
        <w:t>LSSA</w:t>
      </w:r>
      <w:r w:rsidRPr="0050005A">
        <w:rPr>
          <w:vertAlign w:val="subscript"/>
          <w:lang w:val="sq-AL"/>
        </w:rPr>
        <w:t>t</w:t>
      </w:r>
      <w:r w:rsidRPr="0050005A">
        <w:rPr>
          <w:lang w:val="sq-AL"/>
        </w:rPr>
        <w:tab/>
      </w:r>
      <w:r w:rsidRPr="0050005A">
        <w:rPr>
          <w:lang w:val="sq-AL"/>
        </w:rPr>
        <w:tab/>
        <w:t xml:space="preserve">janë humbjet e lejuara, që janë paraqitur si përqindje e energjisë që hyn në sistemin e shpërndarjes në vitin relevant t </w:t>
      </w:r>
    </w:p>
    <w:p w14:paraId="43EE3F9E" w14:textId="77777777" w:rsidR="00D850AB" w:rsidRPr="0050005A" w:rsidRDefault="00D850AB" w:rsidP="00D850AB">
      <w:pPr>
        <w:pStyle w:val="Equation"/>
        <w:ind w:left="2873" w:hanging="1455"/>
        <w:jc w:val="both"/>
        <w:rPr>
          <w:lang w:val="sq-AL"/>
        </w:rPr>
      </w:pPr>
      <w:r w:rsidRPr="0050005A">
        <w:rPr>
          <w:lang w:val="sq-AL"/>
        </w:rPr>
        <w:t>REUE</w:t>
      </w:r>
      <w:r w:rsidRPr="0050005A">
        <w:rPr>
          <w:vertAlign w:val="subscript"/>
          <w:lang w:val="sq-AL"/>
        </w:rPr>
        <w:t>t</w:t>
      </w:r>
      <w:r w:rsidRPr="0050005A">
        <w:rPr>
          <w:lang w:val="sq-AL"/>
        </w:rPr>
        <w:tab/>
        <w:t>janë njësitë e energjisë (M</w:t>
      </w:r>
      <w:r w:rsidR="00CA600C">
        <w:rPr>
          <w:lang w:val="sq-AL"/>
        </w:rPr>
        <w:t>W</w:t>
      </w:r>
      <w:r w:rsidRPr="0050005A">
        <w:rPr>
          <w:lang w:val="sq-AL"/>
        </w:rPr>
        <w:t>h) apo (G</w:t>
      </w:r>
      <w:r w:rsidR="00CA600C">
        <w:rPr>
          <w:lang w:val="sq-AL"/>
        </w:rPr>
        <w:t>W</w:t>
      </w:r>
      <w:r w:rsidRPr="0050005A">
        <w:rPr>
          <w:lang w:val="sq-AL"/>
        </w:rPr>
        <w:t xml:space="preserve">h) që hyjnë në sistemin e shpërndarjes në vitin relevant t </w:t>
      </w:r>
    </w:p>
    <w:p w14:paraId="260B5AF4" w14:textId="77777777" w:rsidR="00D850AB" w:rsidRPr="0050005A" w:rsidRDefault="00CA600C" w:rsidP="00D850AB">
      <w:pPr>
        <w:pStyle w:val="Equation"/>
        <w:ind w:left="2873" w:hanging="1455"/>
        <w:jc w:val="both"/>
        <w:rPr>
          <w:lang w:val="sq-AL"/>
        </w:rPr>
      </w:pPr>
      <w:r>
        <w:rPr>
          <w:lang w:val="sq-AL"/>
        </w:rPr>
        <w:t>W</w:t>
      </w:r>
      <w:r w:rsidR="00D850AB" w:rsidRPr="0050005A">
        <w:rPr>
          <w:lang w:val="sq-AL"/>
        </w:rPr>
        <w:t>HEA</w:t>
      </w:r>
      <w:r w:rsidR="00D850AB" w:rsidRPr="0050005A">
        <w:rPr>
          <w:vertAlign w:val="subscript"/>
          <w:lang w:val="sq-AL"/>
        </w:rPr>
        <w:t>t</w:t>
      </w:r>
      <w:r w:rsidR="00D850AB" w:rsidRPr="0050005A">
        <w:rPr>
          <w:lang w:val="sq-AL"/>
        </w:rPr>
        <w:tab/>
        <w:t>është mesatarja e kostos me shumicë të energjisë (€/M</w:t>
      </w:r>
      <w:r>
        <w:rPr>
          <w:lang w:val="sq-AL"/>
        </w:rPr>
        <w:t>W</w:t>
      </w:r>
      <w:r w:rsidR="00D850AB" w:rsidRPr="0050005A">
        <w:rPr>
          <w:lang w:val="sq-AL"/>
        </w:rPr>
        <w:t xml:space="preserve">h) në vitin relevant t </w:t>
      </w:r>
    </w:p>
    <w:p w14:paraId="1CAD1238" w14:textId="77777777" w:rsidR="00D850AB" w:rsidRPr="0050005A" w:rsidRDefault="00D850AB" w:rsidP="00D850AB">
      <w:pPr>
        <w:pStyle w:val="Equation"/>
        <w:ind w:left="2873" w:hanging="1455"/>
        <w:jc w:val="both"/>
        <w:rPr>
          <w:lang w:val="sq-AL"/>
        </w:rPr>
      </w:pPr>
      <w:r w:rsidRPr="0050005A">
        <w:rPr>
          <w:lang w:val="sq-AL"/>
        </w:rPr>
        <w:lastRenderedPageBreak/>
        <w:t>LSSCa</w:t>
      </w:r>
      <w:r w:rsidRPr="0050005A">
        <w:rPr>
          <w:vertAlign w:val="subscript"/>
          <w:lang w:val="sq-AL"/>
        </w:rPr>
        <w:t>t-1</w:t>
      </w:r>
      <w:r w:rsidRPr="0050005A">
        <w:rPr>
          <w:vertAlign w:val="subscript"/>
          <w:lang w:val="sq-AL"/>
        </w:rPr>
        <w:tab/>
      </w:r>
      <w:r w:rsidRPr="0050005A">
        <w:rPr>
          <w:lang w:val="sq-AL"/>
        </w:rPr>
        <w:t xml:space="preserve">është kostoja e realizuar e humbjeve të lejuara në vitin relevant t‐1, (llogaritur duke përdorur humbjet e lejuara) </w:t>
      </w:r>
    </w:p>
    <w:p w14:paraId="36A09E13" w14:textId="77777777" w:rsidR="00D850AB" w:rsidRPr="0050005A" w:rsidRDefault="00D850AB" w:rsidP="00D850AB">
      <w:pPr>
        <w:pStyle w:val="Equation"/>
        <w:ind w:left="2873" w:hanging="1455"/>
        <w:jc w:val="both"/>
        <w:rPr>
          <w:lang w:val="sq-AL"/>
        </w:rPr>
      </w:pPr>
      <w:r w:rsidRPr="0050005A">
        <w:rPr>
          <w:lang w:val="sq-AL"/>
        </w:rPr>
        <w:t>LSSCf</w:t>
      </w:r>
      <w:r w:rsidRPr="0050005A">
        <w:rPr>
          <w:vertAlign w:val="subscript"/>
          <w:lang w:val="sq-AL"/>
        </w:rPr>
        <w:t>t-1</w:t>
      </w:r>
      <w:r w:rsidRPr="0050005A">
        <w:rPr>
          <w:vertAlign w:val="subscript"/>
          <w:lang w:val="sq-AL"/>
        </w:rPr>
        <w:tab/>
      </w:r>
      <w:r w:rsidRPr="0050005A">
        <w:rPr>
          <w:lang w:val="sq-AL"/>
        </w:rPr>
        <w:t xml:space="preserve">është kostoja e parashikuar e humbjeve në vitin relevant t‐1, (llogaritur duke përdorur humbjet e lejuara) </w:t>
      </w:r>
    </w:p>
    <w:p w14:paraId="4ADD0D6D" w14:textId="77777777" w:rsidR="008449B4" w:rsidRDefault="00D850AB" w:rsidP="00D850AB">
      <w:pPr>
        <w:pStyle w:val="Equation"/>
        <w:ind w:left="2873" w:hanging="1455"/>
        <w:jc w:val="both"/>
        <w:rPr>
          <w:lang w:val="sq-AL"/>
        </w:rPr>
      </w:pPr>
      <w:r w:rsidRPr="0050005A">
        <w:rPr>
          <w:lang w:val="sq-AL"/>
        </w:rPr>
        <w:t>I</w:t>
      </w:r>
      <w:r w:rsidRPr="0050005A">
        <w:rPr>
          <w:vertAlign w:val="subscript"/>
          <w:lang w:val="sq-AL"/>
        </w:rPr>
        <w:t>t</w:t>
      </w:r>
      <w:r w:rsidRPr="0050005A">
        <w:rPr>
          <w:lang w:val="sq-AL"/>
        </w:rPr>
        <w:tab/>
        <w:t xml:space="preserve">është norma e interesit për vitin relevant t, që llogaritet bazuar në EURIBOR plus S%, ku S paraqet vlerën që do përcaktohet nga Rregullatori gjatë shqyrtimeve periodike që reflekton preminë e pagueshme nga i licencuari për huatë afatshkurtra mbi normën e EURIBOR-it </w:t>
      </w:r>
    </w:p>
    <w:p w14:paraId="1D58F63A" w14:textId="77777777" w:rsidR="00301583" w:rsidRPr="00301583" w:rsidRDefault="00301583" w:rsidP="00301583">
      <w:pPr>
        <w:jc w:val="both"/>
        <w:rPr>
          <w:lang w:val="sq-AL"/>
        </w:rPr>
      </w:pPr>
      <w:r w:rsidRPr="00301583">
        <w:rPr>
          <w:lang w:val="sq-AL"/>
        </w:rPr>
        <w:t>ZRRE në vlerësimin preliminar ka parashikuar kostot e blerjes së energjisë për mbulimin e humbjeve bazuar në çmimet aktuale të realizuara në vitin 20</w:t>
      </w:r>
      <w:r w:rsidR="00A350E9">
        <w:rPr>
          <w:lang w:val="sq-AL"/>
        </w:rPr>
        <w:t>20</w:t>
      </w:r>
      <w:r w:rsidRPr="00301583">
        <w:rPr>
          <w:lang w:val="sq-AL"/>
        </w:rPr>
        <w:t xml:space="preserve">, por gjatë procesit të konsultimit publik, palët duhet të </w:t>
      </w:r>
      <w:r w:rsidR="00396C72">
        <w:rPr>
          <w:lang w:val="sq-AL"/>
        </w:rPr>
        <w:t xml:space="preserve">ofrojnë dëshmi se kanë </w:t>
      </w:r>
      <w:r w:rsidRPr="00301583">
        <w:rPr>
          <w:lang w:val="sq-AL"/>
        </w:rPr>
        <w:t>respekt</w:t>
      </w:r>
      <w:r w:rsidR="00396C72">
        <w:rPr>
          <w:lang w:val="sq-AL"/>
        </w:rPr>
        <w:t>uar</w:t>
      </w:r>
      <w:r w:rsidRPr="00301583">
        <w:rPr>
          <w:lang w:val="sq-AL"/>
        </w:rPr>
        <w:t xml:space="preserve"> </w:t>
      </w:r>
      <w:r w:rsidR="00A350E9">
        <w:rPr>
          <w:lang w:val="sq-AL"/>
        </w:rPr>
        <w:t>parimet e përcaktuara në kornizë</w:t>
      </w:r>
      <w:r w:rsidRPr="00301583">
        <w:rPr>
          <w:lang w:val="sq-AL"/>
        </w:rPr>
        <w:t>n ligjore dhe rregullative</w:t>
      </w:r>
      <w:r w:rsidR="00396C72">
        <w:rPr>
          <w:lang w:val="sq-AL"/>
        </w:rPr>
        <w:t xml:space="preserve"> për shitblerje të energjisë për mbulimin e humbjeve</w:t>
      </w:r>
      <w:r w:rsidRPr="00301583">
        <w:rPr>
          <w:lang w:val="sq-AL"/>
        </w:rPr>
        <w:t xml:space="preserve">. </w:t>
      </w:r>
    </w:p>
    <w:p w14:paraId="78EACA8F" w14:textId="77777777" w:rsidR="00D850AB" w:rsidRPr="0050005A" w:rsidRDefault="00D850AB" w:rsidP="00D850AB">
      <w:pPr>
        <w:pStyle w:val="Heading2"/>
        <w:tabs>
          <w:tab w:val="clear" w:pos="720"/>
          <w:tab w:val="num" w:pos="810"/>
        </w:tabs>
        <w:ind w:left="810"/>
        <w:jc w:val="left"/>
        <w:rPr>
          <w:lang w:val="sq-AL"/>
        </w:rPr>
      </w:pPr>
      <w:bookmarkStart w:id="21" w:name="_Toc511307500"/>
      <w:bookmarkStart w:id="22" w:name="_Toc80691548"/>
      <w:r w:rsidRPr="0050005A">
        <w:rPr>
          <w:lang w:val="sq-AL"/>
        </w:rPr>
        <w:lastRenderedPageBreak/>
        <w:t>Përshtatje</w:t>
      </w:r>
      <w:r w:rsidR="00227269">
        <w:rPr>
          <w:lang w:val="sq-AL"/>
        </w:rPr>
        <w:t>t për të hyrat</w:t>
      </w:r>
      <w:r w:rsidRPr="0050005A">
        <w:rPr>
          <w:lang w:val="sq-AL"/>
        </w:rPr>
        <w:t xml:space="preserve"> </w:t>
      </w:r>
      <w:bookmarkEnd w:id="21"/>
      <w:r w:rsidR="00227269">
        <w:rPr>
          <w:lang w:val="sq-AL"/>
        </w:rPr>
        <w:t>jo tarifore</w:t>
      </w:r>
      <w:bookmarkEnd w:id="22"/>
    </w:p>
    <w:p w14:paraId="6269D8B1" w14:textId="2F440C7C" w:rsidR="002D231D" w:rsidRDefault="00D850AB" w:rsidP="00D850AB">
      <w:pPr>
        <w:jc w:val="both"/>
        <w:rPr>
          <w:lang w:val="sq-AL"/>
        </w:rPr>
      </w:pPr>
      <w:r w:rsidRPr="0050005A">
        <w:rPr>
          <w:lang w:val="sq-AL"/>
        </w:rPr>
        <w:t>Të hyrat tjera të realizuara nga aktivitetet e pa-rregulluara siç janë:</w:t>
      </w:r>
      <w:r w:rsidR="00D14FA8">
        <w:rPr>
          <w:lang w:val="sq-AL"/>
        </w:rPr>
        <w:t xml:space="preserve"> të hyrat nga shërbimet e distribuimit, </w:t>
      </w:r>
      <w:r w:rsidR="00D14FA8" w:rsidRPr="00D14FA8">
        <w:rPr>
          <w:lang w:val="sq-AL"/>
        </w:rPr>
        <w:t>Shërbimet për pëlqim energjetik</w:t>
      </w:r>
      <w:r w:rsidR="00D14FA8">
        <w:rPr>
          <w:lang w:val="sq-AL"/>
        </w:rPr>
        <w:t>,</w:t>
      </w:r>
      <w:r w:rsidRPr="0050005A">
        <w:rPr>
          <w:lang w:val="sq-AL"/>
        </w:rPr>
        <w:t xml:space="preserve"> </w:t>
      </w:r>
      <w:r w:rsidR="00D14FA8" w:rsidRPr="0050005A">
        <w:rPr>
          <w:lang w:val="sq-AL"/>
        </w:rPr>
        <w:t xml:space="preserve">shërbimet </w:t>
      </w:r>
      <w:r w:rsidR="00D14FA8">
        <w:rPr>
          <w:lang w:val="sq-AL"/>
        </w:rPr>
        <w:t>tjera,</w:t>
      </w:r>
      <w:r w:rsidR="00D14FA8" w:rsidRPr="0050005A">
        <w:rPr>
          <w:lang w:val="sq-AL"/>
        </w:rPr>
        <w:t xml:space="preserve"> </w:t>
      </w:r>
      <w:r w:rsidRPr="0050005A">
        <w:rPr>
          <w:lang w:val="sq-AL"/>
        </w:rPr>
        <w:t xml:space="preserve">të hyrat nga dhënia me qira e aseteve, të hyrat nga operatorët e ndryshëm ekonomik, shitja e aseteve, </w:t>
      </w:r>
      <w:r w:rsidR="00D14FA8">
        <w:rPr>
          <w:lang w:val="sq-AL"/>
        </w:rPr>
        <w:t xml:space="preserve"> etj. Këto të hyra</w:t>
      </w:r>
      <w:r w:rsidRPr="0050005A">
        <w:rPr>
          <w:lang w:val="sq-AL"/>
        </w:rPr>
        <w:t xml:space="preserve"> zbriten nga të hyrat e lejuara maksimale. Vlera e këtyre të hyrave të realizuara nga OSSh në vitin 20</w:t>
      </w:r>
      <w:r w:rsidR="00A350E9">
        <w:rPr>
          <w:lang w:val="sq-AL"/>
        </w:rPr>
        <w:t>20</w:t>
      </w:r>
      <w:r w:rsidRPr="0050005A">
        <w:rPr>
          <w:lang w:val="sq-AL"/>
        </w:rPr>
        <w:t xml:space="preserve"> është raportuar nga KEDS-i të </w:t>
      </w:r>
      <w:r w:rsidRPr="00D92406">
        <w:rPr>
          <w:lang w:val="sq-AL"/>
        </w:rPr>
        <w:t xml:space="preserve">jetë </w:t>
      </w:r>
      <w:r w:rsidR="00A350E9" w:rsidRPr="00D92406">
        <w:rPr>
          <w:lang w:val="sq-AL"/>
        </w:rPr>
        <w:t>7</w:t>
      </w:r>
      <w:r w:rsidR="00131AF1" w:rsidRPr="00D92406">
        <w:rPr>
          <w:lang w:val="sq-AL"/>
        </w:rPr>
        <w:t>.</w:t>
      </w:r>
      <w:r w:rsidR="00A350E9" w:rsidRPr="00D92406">
        <w:rPr>
          <w:lang w:val="sq-AL"/>
        </w:rPr>
        <w:t>26</w:t>
      </w:r>
      <w:r w:rsidR="00932389" w:rsidRPr="00D92406">
        <w:rPr>
          <w:lang w:val="sq-AL"/>
        </w:rPr>
        <w:t xml:space="preserve"> </w:t>
      </w:r>
      <w:r w:rsidRPr="00D92406">
        <w:rPr>
          <w:lang w:val="sq-AL"/>
        </w:rPr>
        <w:t>milion euro</w:t>
      </w:r>
      <w:r w:rsidR="002D231D" w:rsidRPr="00D92406">
        <w:rPr>
          <w:lang w:val="sq-AL"/>
        </w:rPr>
        <w:t>.</w:t>
      </w:r>
      <w:r w:rsidR="002D231D" w:rsidRPr="00A66173">
        <w:rPr>
          <w:lang w:val="sq-AL"/>
        </w:rPr>
        <w:t xml:space="preserve"> ZRRE</w:t>
      </w:r>
      <w:r w:rsidR="002D231D">
        <w:rPr>
          <w:lang w:val="sq-AL"/>
        </w:rPr>
        <w:t xml:space="preserve"> në vlerësimin </w:t>
      </w:r>
      <w:r w:rsidR="0009487F">
        <w:rPr>
          <w:lang w:val="sq-AL"/>
        </w:rPr>
        <w:t>preliminar</w:t>
      </w:r>
      <w:r w:rsidR="002D231D">
        <w:rPr>
          <w:lang w:val="sq-AL"/>
        </w:rPr>
        <w:t xml:space="preserve"> ka marr në shqyrtim të dhën</w:t>
      </w:r>
      <w:r w:rsidR="00D92406">
        <w:rPr>
          <w:lang w:val="sq-AL"/>
        </w:rPr>
        <w:t>at sipas pasqyrave të audituara, nga ku rezulton se të hyrat e parregulluara për vitin 2020 të jenë 6.6mil€.</w:t>
      </w:r>
    </w:p>
    <w:p w14:paraId="53C35AFE" w14:textId="57886DC4" w:rsidR="00D92406" w:rsidRDefault="00D92406" w:rsidP="00D92406">
      <w:pPr>
        <w:jc w:val="both"/>
        <w:rPr>
          <w:lang w:val="sq-AL"/>
        </w:rPr>
      </w:pPr>
      <w:r>
        <w:rPr>
          <w:lang w:val="sq-AL"/>
        </w:rPr>
        <w:t>Në tabelën në vijim janë paraqitur detjaet e të hyrave të parregulluara:</w:t>
      </w:r>
    </w:p>
    <w:tbl>
      <w:tblPr>
        <w:tblW w:w="4303" w:type="dxa"/>
        <w:tblLook w:val="04A0" w:firstRow="1" w:lastRow="0" w:firstColumn="1" w:lastColumn="0" w:noHBand="0" w:noVBand="1"/>
      </w:tblPr>
      <w:tblGrid>
        <w:gridCol w:w="3443"/>
        <w:gridCol w:w="860"/>
      </w:tblGrid>
      <w:tr w:rsidR="00D92406" w:rsidRPr="00D92406" w14:paraId="62FD4C8D" w14:textId="77777777" w:rsidTr="00D92406">
        <w:trPr>
          <w:trHeight w:val="300"/>
        </w:trPr>
        <w:tc>
          <w:tcPr>
            <w:tcW w:w="34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886A33D" w14:textId="77777777" w:rsidR="00D92406" w:rsidRPr="00D92406" w:rsidRDefault="00D92406" w:rsidP="00D92406">
            <w:pPr>
              <w:spacing w:after="0" w:line="240" w:lineRule="auto"/>
              <w:rPr>
                <w:rFonts w:asciiTheme="minorHAnsi" w:eastAsia="Times New Roman" w:hAnsiTheme="minorHAnsi" w:cstheme="minorHAnsi"/>
                <w:b/>
                <w:bCs/>
                <w:color w:val="FFFFFF" w:themeColor="background1"/>
                <w:sz w:val="20"/>
                <w:lang w:val="sq-AL"/>
              </w:rPr>
            </w:pPr>
            <w:r w:rsidRPr="00D92406">
              <w:rPr>
                <w:rFonts w:asciiTheme="minorHAnsi" w:eastAsia="Times New Roman" w:hAnsiTheme="minorHAnsi" w:cstheme="minorHAnsi"/>
                <w:b/>
                <w:bCs/>
                <w:color w:val="FFFFFF" w:themeColor="background1"/>
                <w:sz w:val="20"/>
                <w:lang w:val="sq-AL"/>
              </w:rPr>
              <w:t>Te hyrat e pa rregulluara 2020</w:t>
            </w:r>
          </w:p>
        </w:tc>
        <w:tc>
          <w:tcPr>
            <w:tcW w:w="86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303100ED" w14:textId="058CD64C" w:rsidR="00D92406" w:rsidRPr="00D92406" w:rsidRDefault="00D92406" w:rsidP="00D92406">
            <w:pPr>
              <w:spacing w:after="0" w:line="240" w:lineRule="auto"/>
              <w:jc w:val="center"/>
              <w:rPr>
                <w:rFonts w:asciiTheme="minorHAnsi" w:eastAsia="Times New Roman" w:hAnsiTheme="minorHAnsi" w:cstheme="minorHAnsi"/>
                <w:b/>
                <w:bCs/>
                <w:color w:val="FFFFFF" w:themeColor="background1"/>
                <w:sz w:val="20"/>
                <w:lang w:val="sq-AL"/>
              </w:rPr>
            </w:pPr>
            <w:r w:rsidRPr="00D92406">
              <w:rPr>
                <w:rFonts w:asciiTheme="minorHAnsi" w:eastAsia="Times New Roman" w:hAnsiTheme="minorHAnsi" w:cstheme="minorHAnsi"/>
                <w:b/>
                <w:bCs/>
                <w:color w:val="FFFFFF" w:themeColor="background1"/>
                <w:sz w:val="20"/>
                <w:lang w:val="sq-AL"/>
              </w:rPr>
              <w:t>€000s</w:t>
            </w:r>
          </w:p>
        </w:tc>
      </w:tr>
      <w:tr w:rsidR="00D92406" w:rsidRPr="00D92406" w14:paraId="662AE23E"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2A6EAFDD" w14:textId="04AA373A"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Shërbimet e distribuimit</w:t>
            </w:r>
          </w:p>
        </w:tc>
        <w:tc>
          <w:tcPr>
            <w:tcW w:w="860" w:type="dxa"/>
            <w:tcBorders>
              <w:top w:val="nil"/>
              <w:left w:val="nil"/>
              <w:bottom w:val="single" w:sz="4" w:space="0" w:color="auto"/>
              <w:right w:val="single" w:sz="4" w:space="0" w:color="auto"/>
            </w:tcBorders>
            <w:shd w:val="clear" w:color="auto" w:fill="auto"/>
            <w:noWrap/>
            <w:vAlign w:val="center"/>
            <w:hideMark/>
          </w:tcPr>
          <w:p w14:paraId="735D87AD" w14:textId="7C1E3623"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1,545</w:t>
            </w:r>
          </w:p>
        </w:tc>
      </w:tr>
      <w:tr w:rsidR="00D92406" w:rsidRPr="00D92406" w14:paraId="35C610DA"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6366208" w14:textId="3215D79C"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Shërbimet për pëlqim energjetik</w:t>
            </w:r>
          </w:p>
        </w:tc>
        <w:tc>
          <w:tcPr>
            <w:tcW w:w="860" w:type="dxa"/>
            <w:tcBorders>
              <w:top w:val="nil"/>
              <w:left w:val="nil"/>
              <w:bottom w:val="single" w:sz="4" w:space="0" w:color="auto"/>
              <w:right w:val="single" w:sz="4" w:space="0" w:color="auto"/>
            </w:tcBorders>
            <w:shd w:val="clear" w:color="auto" w:fill="auto"/>
            <w:noWrap/>
            <w:vAlign w:val="center"/>
            <w:hideMark/>
          </w:tcPr>
          <w:p w14:paraId="3F5B89E6" w14:textId="319B8D39"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1,994</w:t>
            </w:r>
          </w:p>
        </w:tc>
      </w:tr>
      <w:tr w:rsidR="00D92406" w:rsidRPr="00D92406" w14:paraId="61BA6491"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0A813BF0" w14:textId="1A5EC807"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Shërbimet tjera</w:t>
            </w:r>
          </w:p>
        </w:tc>
        <w:tc>
          <w:tcPr>
            <w:tcW w:w="860" w:type="dxa"/>
            <w:tcBorders>
              <w:top w:val="nil"/>
              <w:left w:val="nil"/>
              <w:bottom w:val="single" w:sz="4" w:space="0" w:color="auto"/>
              <w:right w:val="single" w:sz="4" w:space="0" w:color="auto"/>
            </w:tcBorders>
            <w:shd w:val="clear" w:color="auto" w:fill="auto"/>
            <w:noWrap/>
            <w:vAlign w:val="center"/>
            <w:hideMark/>
          </w:tcPr>
          <w:p w14:paraId="1AE51745" w14:textId="61A1E256"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2,091</w:t>
            </w:r>
          </w:p>
        </w:tc>
      </w:tr>
      <w:tr w:rsidR="00D92406" w:rsidRPr="00D92406" w14:paraId="68D6BCAD"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46B0F8D9" w14:textId="13CA3FFF"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Të hyra nga stoku pa origjinë</w:t>
            </w:r>
          </w:p>
        </w:tc>
        <w:tc>
          <w:tcPr>
            <w:tcW w:w="860" w:type="dxa"/>
            <w:tcBorders>
              <w:top w:val="nil"/>
              <w:left w:val="nil"/>
              <w:bottom w:val="single" w:sz="4" w:space="0" w:color="auto"/>
              <w:right w:val="single" w:sz="4" w:space="0" w:color="auto"/>
            </w:tcBorders>
            <w:shd w:val="clear" w:color="auto" w:fill="auto"/>
            <w:noWrap/>
            <w:vAlign w:val="center"/>
            <w:hideMark/>
          </w:tcPr>
          <w:p w14:paraId="0E47856F" w14:textId="67C2B5E2"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689</w:t>
            </w:r>
          </w:p>
        </w:tc>
      </w:tr>
      <w:tr w:rsidR="00D92406" w:rsidRPr="00D92406" w14:paraId="6EB120CF"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1113262" w14:textId="32242A0D"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Të hyra tjera</w:t>
            </w:r>
          </w:p>
        </w:tc>
        <w:tc>
          <w:tcPr>
            <w:tcW w:w="860" w:type="dxa"/>
            <w:tcBorders>
              <w:top w:val="nil"/>
              <w:left w:val="nil"/>
              <w:bottom w:val="single" w:sz="4" w:space="0" w:color="auto"/>
              <w:right w:val="single" w:sz="4" w:space="0" w:color="auto"/>
            </w:tcBorders>
            <w:shd w:val="clear" w:color="auto" w:fill="auto"/>
            <w:noWrap/>
            <w:vAlign w:val="center"/>
            <w:hideMark/>
          </w:tcPr>
          <w:p w14:paraId="5BC6A4E7" w14:textId="0A371038"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98</w:t>
            </w:r>
          </w:p>
        </w:tc>
      </w:tr>
      <w:tr w:rsidR="00D92406" w:rsidRPr="00D92406" w14:paraId="387EEF3D"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C449ECF" w14:textId="308486DE"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Të hyrat nga qiraja</w:t>
            </w:r>
          </w:p>
        </w:tc>
        <w:tc>
          <w:tcPr>
            <w:tcW w:w="860" w:type="dxa"/>
            <w:tcBorders>
              <w:top w:val="nil"/>
              <w:left w:val="nil"/>
              <w:bottom w:val="single" w:sz="4" w:space="0" w:color="auto"/>
              <w:right w:val="single" w:sz="4" w:space="0" w:color="auto"/>
            </w:tcBorders>
            <w:shd w:val="clear" w:color="auto" w:fill="auto"/>
            <w:noWrap/>
            <w:vAlign w:val="center"/>
            <w:hideMark/>
          </w:tcPr>
          <w:p w14:paraId="0F8D3D8C" w14:textId="382DD8AD"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100</w:t>
            </w:r>
          </w:p>
        </w:tc>
      </w:tr>
      <w:tr w:rsidR="00D92406" w:rsidRPr="00D92406" w14:paraId="28DC90F7"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78ACC6A8" w14:textId="5354976C"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Fitimi nga shitja e pasurive fikse</w:t>
            </w:r>
          </w:p>
        </w:tc>
        <w:tc>
          <w:tcPr>
            <w:tcW w:w="860" w:type="dxa"/>
            <w:tcBorders>
              <w:top w:val="nil"/>
              <w:left w:val="nil"/>
              <w:bottom w:val="single" w:sz="4" w:space="0" w:color="auto"/>
              <w:right w:val="single" w:sz="4" w:space="0" w:color="auto"/>
            </w:tcBorders>
            <w:shd w:val="clear" w:color="auto" w:fill="auto"/>
            <w:noWrap/>
            <w:vAlign w:val="center"/>
            <w:hideMark/>
          </w:tcPr>
          <w:p w14:paraId="174E1086" w14:textId="5038E328"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97</w:t>
            </w:r>
          </w:p>
        </w:tc>
      </w:tr>
      <w:tr w:rsidR="00D92406" w:rsidRPr="00D92406" w14:paraId="05B560EB" w14:textId="77777777" w:rsidTr="00D92406">
        <w:trPr>
          <w:trHeight w:val="300"/>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30B2149F" w14:textId="1786B2B4" w:rsidR="00D92406" w:rsidRPr="00D92406" w:rsidRDefault="00D92406" w:rsidP="00D92406">
            <w:pPr>
              <w:spacing w:after="0" w:line="240" w:lineRule="auto"/>
              <w:rPr>
                <w:rFonts w:asciiTheme="minorHAnsi" w:eastAsia="Times New Roman" w:hAnsiTheme="minorHAnsi" w:cstheme="minorHAnsi"/>
                <w:b/>
                <w:bCs/>
                <w:sz w:val="20"/>
                <w:szCs w:val="20"/>
                <w:lang w:val="sq-AL"/>
              </w:rPr>
            </w:pPr>
            <w:r w:rsidRPr="00D92406">
              <w:rPr>
                <w:rFonts w:asciiTheme="minorHAnsi" w:eastAsia="Times New Roman" w:hAnsiTheme="minorHAnsi" w:cstheme="minorHAnsi"/>
                <w:b/>
                <w:bCs/>
                <w:sz w:val="20"/>
                <w:szCs w:val="20"/>
                <w:lang w:val="sq-AL"/>
              </w:rPr>
              <w:t>Total</w:t>
            </w:r>
          </w:p>
        </w:tc>
        <w:tc>
          <w:tcPr>
            <w:tcW w:w="860" w:type="dxa"/>
            <w:tcBorders>
              <w:top w:val="nil"/>
              <w:left w:val="nil"/>
              <w:bottom w:val="single" w:sz="4" w:space="0" w:color="auto"/>
              <w:right w:val="single" w:sz="4" w:space="0" w:color="auto"/>
            </w:tcBorders>
            <w:shd w:val="clear" w:color="auto" w:fill="auto"/>
            <w:noWrap/>
            <w:vAlign w:val="center"/>
            <w:hideMark/>
          </w:tcPr>
          <w:p w14:paraId="3ACDD6C7" w14:textId="140C172B" w:rsidR="00D92406" w:rsidRPr="00D92406" w:rsidRDefault="00D92406" w:rsidP="000C382B">
            <w:pPr>
              <w:spacing w:after="0" w:line="240" w:lineRule="auto"/>
              <w:rPr>
                <w:rFonts w:asciiTheme="minorHAnsi" w:eastAsia="Times New Roman" w:hAnsiTheme="minorHAnsi" w:cstheme="minorHAnsi"/>
                <w:b/>
                <w:bCs/>
                <w:sz w:val="20"/>
                <w:szCs w:val="20"/>
                <w:lang w:val="sq-AL"/>
              </w:rPr>
            </w:pPr>
            <w:r w:rsidRPr="00D92406">
              <w:rPr>
                <w:rFonts w:asciiTheme="minorHAnsi" w:eastAsia="Times New Roman" w:hAnsiTheme="minorHAnsi" w:cstheme="minorHAnsi"/>
                <w:b/>
                <w:bCs/>
                <w:sz w:val="20"/>
                <w:szCs w:val="20"/>
                <w:lang w:val="sq-AL"/>
              </w:rPr>
              <w:t>6,614</w:t>
            </w:r>
          </w:p>
        </w:tc>
      </w:tr>
    </w:tbl>
    <w:p w14:paraId="5D5EC0DE" w14:textId="01DB43C4" w:rsidR="00D92406" w:rsidRDefault="00D92406">
      <w:pPr>
        <w:spacing w:after="0" w:line="240" w:lineRule="auto"/>
        <w:rPr>
          <w:lang w:val="sq-AL"/>
        </w:rPr>
      </w:pPr>
    </w:p>
    <w:p w14:paraId="72C575C1" w14:textId="77777777" w:rsidR="00D92406" w:rsidRDefault="00D92406" w:rsidP="00D850AB">
      <w:pPr>
        <w:jc w:val="both"/>
        <w:rPr>
          <w:lang w:val="sq-AL"/>
        </w:rPr>
      </w:pPr>
    </w:p>
    <w:p w14:paraId="11AAEB2D" w14:textId="77777777" w:rsidR="00D850AB" w:rsidRPr="0050005A" w:rsidRDefault="00D850AB" w:rsidP="00D850AB">
      <w:pPr>
        <w:pStyle w:val="Heading2"/>
        <w:tabs>
          <w:tab w:val="clear" w:pos="720"/>
          <w:tab w:val="num" w:pos="810"/>
        </w:tabs>
        <w:ind w:left="810"/>
        <w:jc w:val="left"/>
        <w:rPr>
          <w:lang w:val="sq-AL"/>
        </w:rPr>
      </w:pPr>
      <w:bookmarkStart w:id="23" w:name="_Toc511307501"/>
      <w:bookmarkStart w:id="24" w:name="_Toc80691549"/>
      <w:r w:rsidRPr="0050005A">
        <w:rPr>
          <w:lang w:val="sq-AL"/>
        </w:rPr>
        <w:lastRenderedPageBreak/>
        <w:t>Përshtatjet për faktorin korrigjues të të hyrave</w:t>
      </w:r>
      <w:bookmarkEnd w:id="23"/>
      <w:bookmarkEnd w:id="24"/>
    </w:p>
    <w:p w14:paraId="650CCDE6" w14:textId="77777777" w:rsidR="00D850AB" w:rsidRPr="0050005A" w:rsidRDefault="006314FC" w:rsidP="00D850AB">
      <w:pPr>
        <w:spacing w:before="120"/>
        <w:jc w:val="both"/>
        <w:rPr>
          <w:lang w:val="sq-AL"/>
        </w:rPr>
      </w:pPr>
      <w:r>
        <w:rPr>
          <w:lang w:val="sq-AL"/>
        </w:rPr>
        <w:t>N</w:t>
      </w:r>
      <w:r w:rsidRPr="006314FC">
        <w:rPr>
          <w:rFonts w:cs="Calibri"/>
          <w:lang w:val="sq-AL"/>
        </w:rPr>
        <w:t>ë</w:t>
      </w:r>
      <w:r>
        <w:rPr>
          <w:lang w:val="sq-AL"/>
        </w:rPr>
        <w:t xml:space="preserve"> pajtim me Rregull</w:t>
      </w:r>
      <w:r w:rsidRPr="006314FC">
        <w:rPr>
          <w:rFonts w:cs="Calibri"/>
          <w:lang w:val="sq-AL"/>
        </w:rPr>
        <w:t>ë</w:t>
      </w:r>
      <w:r>
        <w:rPr>
          <w:lang w:val="sq-AL"/>
        </w:rPr>
        <w:t>n p</w:t>
      </w:r>
      <w:r w:rsidRPr="006314FC">
        <w:rPr>
          <w:rFonts w:cs="Calibri"/>
          <w:lang w:val="sq-AL"/>
        </w:rPr>
        <w:t>ë</w:t>
      </w:r>
      <w:r>
        <w:rPr>
          <w:lang w:val="sq-AL"/>
        </w:rPr>
        <w:t>r t</w:t>
      </w:r>
      <w:r w:rsidRPr="006314FC">
        <w:rPr>
          <w:rFonts w:cs="Calibri"/>
          <w:lang w:val="sq-AL"/>
        </w:rPr>
        <w:t>ë</w:t>
      </w:r>
      <w:r>
        <w:rPr>
          <w:lang w:val="sq-AL"/>
        </w:rPr>
        <w:t xml:space="preserve"> Hyrat e Lejuara Maksimale </w:t>
      </w:r>
      <w:r w:rsidRPr="006314FC">
        <w:rPr>
          <w:rFonts w:cs="Calibri"/>
          <w:lang w:val="sq-AL"/>
        </w:rPr>
        <w:t>ë</w:t>
      </w:r>
      <w:r>
        <w:rPr>
          <w:lang w:val="sq-AL"/>
        </w:rPr>
        <w:t>sht</w:t>
      </w:r>
      <w:r w:rsidRPr="006314FC">
        <w:rPr>
          <w:rFonts w:cs="Calibri"/>
          <w:lang w:val="sq-AL"/>
        </w:rPr>
        <w:t>ë</w:t>
      </w:r>
      <w:r>
        <w:rPr>
          <w:lang w:val="sq-AL"/>
        </w:rPr>
        <w:t xml:space="preserve"> b</w:t>
      </w:r>
      <w:r w:rsidRPr="006314FC">
        <w:rPr>
          <w:rFonts w:cs="Calibri"/>
          <w:lang w:val="sq-AL"/>
        </w:rPr>
        <w:t>ë</w:t>
      </w:r>
      <w:r>
        <w:rPr>
          <w:lang w:val="sq-AL"/>
        </w:rPr>
        <w:t>r</w:t>
      </w:r>
      <w:r w:rsidRPr="006314FC">
        <w:rPr>
          <w:rFonts w:cs="Calibri"/>
          <w:lang w:val="sq-AL"/>
        </w:rPr>
        <w:t>ë</w:t>
      </w:r>
      <w:r>
        <w:rPr>
          <w:lang w:val="sq-AL"/>
        </w:rPr>
        <w:t xml:space="preserve"> </w:t>
      </w:r>
      <w:r w:rsidR="0009487F">
        <w:rPr>
          <w:lang w:val="sq-AL"/>
        </w:rPr>
        <w:t>korrigjimi</w:t>
      </w:r>
      <w:r>
        <w:rPr>
          <w:lang w:val="sq-AL"/>
        </w:rPr>
        <w:t xml:space="preserve"> i t</w:t>
      </w:r>
      <w:r w:rsidRPr="006314FC">
        <w:rPr>
          <w:rFonts w:cs="Calibri"/>
          <w:lang w:val="sq-AL"/>
        </w:rPr>
        <w:t>ë</w:t>
      </w:r>
      <w:r>
        <w:rPr>
          <w:lang w:val="sq-AL"/>
        </w:rPr>
        <w:t xml:space="preserve"> hyrave t</w:t>
      </w:r>
      <w:r w:rsidRPr="006314FC">
        <w:rPr>
          <w:rFonts w:cs="Calibri"/>
          <w:lang w:val="sq-AL"/>
        </w:rPr>
        <w:t>ë</w:t>
      </w:r>
      <w:r>
        <w:rPr>
          <w:lang w:val="sq-AL"/>
        </w:rPr>
        <w:t xml:space="preserve"> vitit 20</w:t>
      </w:r>
      <w:r w:rsidR="003F62EE">
        <w:rPr>
          <w:lang w:val="sq-AL"/>
        </w:rPr>
        <w:t>20</w:t>
      </w:r>
      <w:r>
        <w:rPr>
          <w:lang w:val="sq-AL"/>
        </w:rPr>
        <w:t>. Parimi i cili aplikohet ka t</w:t>
      </w:r>
      <w:r w:rsidRPr="006314FC">
        <w:rPr>
          <w:rFonts w:cs="Calibri"/>
          <w:lang w:val="sq-AL"/>
        </w:rPr>
        <w:t>ë</w:t>
      </w:r>
      <w:r>
        <w:rPr>
          <w:lang w:val="sq-AL"/>
        </w:rPr>
        <w:t xml:space="preserve"> b</w:t>
      </w:r>
      <w:r w:rsidRPr="006314FC">
        <w:rPr>
          <w:rFonts w:cs="Calibri"/>
          <w:lang w:val="sq-AL"/>
        </w:rPr>
        <w:t>ë</w:t>
      </w:r>
      <w:r>
        <w:rPr>
          <w:lang w:val="sq-AL"/>
        </w:rPr>
        <w:t>j</w:t>
      </w:r>
      <w:r w:rsidRPr="006314FC">
        <w:rPr>
          <w:rFonts w:cs="Calibri"/>
          <w:lang w:val="sq-AL"/>
        </w:rPr>
        <w:t>ë</w:t>
      </w:r>
      <w:r>
        <w:rPr>
          <w:lang w:val="sq-AL"/>
        </w:rPr>
        <w:t xml:space="preserve"> me vler</w:t>
      </w:r>
      <w:r w:rsidRPr="006314FC">
        <w:rPr>
          <w:rFonts w:cs="Calibri"/>
          <w:lang w:val="sq-AL"/>
        </w:rPr>
        <w:t>ë</w:t>
      </w:r>
      <w:r>
        <w:rPr>
          <w:lang w:val="sq-AL"/>
        </w:rPr>
        <w:t>sim e p</w:t>
      </w:r>
      <w:r w:rsidRPr="006314FC">
        <w:rPr>
          <w:rFonts w:cs="Calibri"/>
          <w:lang w:val="sq-AL"/>
        </w:rPr>
        <w:t>ë</w:t>
      </w:r>
      <w:r>
        <w:rPr>
          <w:lang w:val="sq-AL"/>
        </w:rPr>
        <w:t>rgjith</w:t>
      </w:r>
      <w:r w:rsidR="00DC200B">
        <w:rPr>
          <w:lang w:val="sq-AL"/>
        </w:rPr>
        <w:t>sh</w:t>
      </w:r>
      <w:r w:rsidRPr="006314FC">
        <w:rPr>
          <w:rFonts w:cs="Calibri"/>
          <w:lang w:val="sq-AL"/>
        </w:rPr>
        <w:t>ë</w:t>
      </w:r>
      <w:r>
        <w:rPr>
          <w:lang w:val="sq-AL"/>
        </w:rPr>
        <w:t>m t</w:t>
      </w:r>
      <w:r w:rsidRPr="006314FC">
        <w:rPr>
          <w:rFonts w:cs="Calibri"/>
          <w:lang w:val="sq-AL"/>
        </w:rPr>
        <w:t>ë</w:t>
      </w:r>
      <w:r>
        <w:rPr>
          <w:lang w:val="sq-AL"/>
        </w:rPr>
        <w:t xml:space="preserve"> kostove t</w:t>
      </w:r>
      <w:r w:rsidRPr="006314FC">
        <w:rPr>
          <w:rFonts w:cs="Calibri"/>
          <w:lang w:val="sq-AL"/>
        </w:rPr>
        <w:t>ë</w:t>
      </w:r>
      <w:r>
        <w:rPr>
          <w:lang w:val="sq-AL"/>
        </w:rPr>
        <w:t xml:space="preserve"> lejuara aktuale dhe t</w:t>
      </w:r>
      <w:r w:rsidRPr="006314FC">
        <w:rPr>
          <w:rFonts w:cs="Calibri"/>
          <w:lang w:val="sq-AL"/>
        </w:rPr>
        <w:t>ë</w:t>
      </w:r>
      <w:r>
        <w:rPr>
          <w:lang w:val="sq-AL"/>
        </w:rPr>
        <w:t xml:space="preserve"> hyrave aktuale t</w:t>
      </w:r>
      <w:r w:rsidRPr="006314FC">
        <w:rPr>
          <w:rFonts w:cs="Calibri"/>
          <w:lang w:val="sq-AL"/>
        </w:rPr>
        <w:t>ë</w:t>
      </w:r>
      <w:r>
        <w:rPr>
          <w:lang w:val="sq-AL"/>
        </w:rPr>
        <w:t xml:space="preserve"> realizuara. K</w:t>
      </w:r>
      <w:r w:rsidRPr="006314FC">
        <w:rPr>
          <w:rFonts w:cs="Calibri"/>
          <w:lang w:val="sq-AL"/>
        </w:rPr>
        <w:t>ë</w:t>
      </w:r>
      <w:r>
        <w:rPr>
          <w:lang w:val="sq-AL"/>
        </w:rPr>
        <w:t>to llogaritje jan</w:t>
      </w:r>
      <w:r w:rsidRPr="006314FC">
        <w:rPr>
          <w:rFonts w:cs="Calibri"/>
          <w:lang w:val="sq-AL"/>
        </w:rPr>
        <w:t>ë</w:t>
      </w:r>
      <w:r>
        <w:rPr>
          <w:lang w:val="sq-AL"/>
        </w:rPr>
        <w:t xml:space="preserve"> b</w:t>
      </w:r>
      <w:r w:rsidRPr="006314FC">
        <w:rPr>
          <w:rFonts w:cs="Calibri"/>
          <w:lang w:val="sq-AL"/>
        </w:rPr>
        <w:t>ë</w:t>
      </w:r>
      <w:r>
        <w:rPr>
          <w:lang w:val="sq-AL"/>
        </w:rPr>
        <w:t>r</w:t>
      </w:r>
      <w:r w:rsidRPr="006314FC">
        <w:rPr>
          <w:rFonts w:cs="Calibri"/>
          <w:lang w:val="sq-AL"/>
        </w:rPr>
        <w:t>ë</w:t>
      </w:r>
      <w:r w:rsidR="00D850AB" w:rsidRPr="0050005A">
        <w:rPr>
          <w:lang w:val="sq-AL"/>
        </w:rPr>
        <w:t xml:space="preserve"> sipas formulës në vijim:</w:t>
      </w:r>
    </w:p>
    <w:p w14:paraId="3743E55E" w14:textId="1CAC6656" w:rsidR="00D850AB" w:rsidRPr="0050005A" w:rsidRDefault="00D850AB" w:rsidP="00D850AB">
      <w:pPr>
        <w:pStyle w:val="Equation"/>
        <w:ind w:left="2835" w:hanging="1701"/>
        <w:jc w:val="both"/>
        <w:rPr>
          <w:lang w:val="sq-AL"/>
        </w:rPr>
      </w:pPr>
      <w:r w:rsidRPr="0050005A">
        <w:rPr>
          <w:lang w:val="sq-AL"/>
        </w:rPr>
        <w:t>KREV</w:t>
      </w:r>
      <w:r w:rsidRPr="0050005A">
        <w:rPr>
          <w:vertAlign w:val="subscript"/>
          <w:lang w:val="sq-AL"/>
        </w:rPr>
        <w:t>t</w:t>
      </w:r>
      <w:r w:rsidRPr="0050005A">
        <w:rPr>
          <w:lang w:val="sq-AL"/>
        </w:rPr>
        <w:t xml:space="preserve"> = (AAC</w:t>
      </w:r>
      <w:r w:rsidRPr="0050005A">
        <w:rPr>
          <w:vertAlign w:val="subscript"/>
          <w:lang w:val="sq-AL"/>
        </w:rPr>
        <w:t>at</w:t>
      </w:r>
      <w:r w:rsidR="00FD4DCD">
        <w:rPr>
          <w:vertAlign w:val="subscript"/>
          <w:lang w:val="sq-AL"/>
        </w:rPr>
        <w:t>-</w:t>
      </w:r>
      <w:r w:rsidRPr="0050005A">
        <w:rPr>
          <w:vertAlign w:val="subscript"/>
          <w:lang w:val="sq-AL"/>
        </w:rPr>
        <w:t>1</w:t>
      </w:r>
      <w:r w:rsidRPr="0050005A">
        <w:rPr>
          <w:lang w:val="sq-AL"/>
        </w:rPr>
        <w:t xml:space="preserve"> – ARR</w:t>
      </w:r>
      <w:r w:rsidRPr="0050005A">
        <w:rPr>
          <w:vertAlign w:val="subscript"/>
          <w:lang w:val="sq-AL"/>
        </w:rPr>
        <w:t>t-1</w:t>
      </w:r>
      <w:r w:rsidRPr="00FD4DCD">
        <w:rPr>
          <w:lang w:val="sq-AL"/>
        </w:rPr>
        <w:t>)</w:t>
      </w:r>
      <w:r w:rsidRPr="0050005A">
        <w:rPr>
          <w:vertAlign w:val="subscript"/>
          <w:lang w:val="sq-AL"/>
        </w:rPr>
        <w:t xml:space="preserve"> </w:t>
      </w:r>
      <w:r w:rsidRPr="0050005A">
        <w:rPr>
          <w:lang w:val="sq-AL"/>
        </w:rPr>
        <w:t>* (1+ I</w:t>
      </w:r>
      <w:r w:rsidRPr="0050005A">
        <w:rPr>
          <w:vertAlign w:val="subscript"/>
          <w:lang w:val="sq-AL"/>
        </w:rPr>
        <w:t>t</w:t>
      </w:r>
      <w:r w:rsidRPr="0050005A">
        <w:rPr>
          <w:lang w:val="sq-AL"/>
        </w:rPr>
        <w:t xml:space="preserve">) </w:t>
      </w:r>
    </w:p>
    <w:p w14:paraId="42C327CE" w14:textId="77777777" w:rsidR="00D850AB" w:rsidRPr="0050005A" w:rsidRDefault="00D850AB" w:rsidP="00D850AB">
      <w:pPr>
        <w:pStyle w:val="Equation"/>
        <w:ind w:left="2835" w:hanging="1701"/>
        <w:jc w:val="both"/>
        <w:rPr>
          <w:lang w:val="sq-AL"/>
        </w:rPr>
      </w:pPr>
      <w:r w:rsidRPr="0050005A">
        <w:rPr>
          <w:lang w:val="sq-AL"/>
        </w:rPr>
        <w:t xml:space="preserve">Ku janë: </w:t>
      </w:r>
    </w:p>
    <w:p w14:paraId="53DAEFD0" w14:textId="77777777" w:rsidR="00D850AB" w:rsidRPr="0050005A" w:rsidRDefault="00D850AB" w:rsidP="00D850AB">
      <w:pPr>
        <w:pStyle w:val="Equation"/>
        <w:ind w:left="2835" w:hanging="1701"/>
        <w:jc w:val="both"/>
        <w:rPr>
          <w:lang w:val="sq-AL"/>
        </w:rPr>
      </w:pPr>
      <w:r w:rsidRPr="0050005A">
        <w:rPr>
          <w:lang w:val="sq-AL"/>
        </w:rPr>
        <w:t>AAC</w:t>
      </w:r>
      <w:r w:rsidRPr="0050005A">
        <w:rPr>
          <w:vertAlign w:val="subscript"/>
          <w:lang w:val="sq-AL"/>
        </w:rPr>
        <w:t xml:space="preserve">at-1 </w:t>
      </w:r>
      <w:r w:rsidRPr="0050005A">
        <w:rPr>
          <w:lang w:val="sq-AL"/>
        </w:rPr>
        <w:tab/>
        <w:t xml:space="preserve">Kostot e lejuara aktuale për vitin relevant t-1 (“Actual Alloed Cost as determined in Relevant Year t-1”) </w:t>
      </w:r>
    </w:p>
    <w:p w14:paraId="112EE092" w14:textId="77777777" w:rsidR="00D850AB" w:rsidRPr="0050005A" w:rsidRDefault="00D850AB" w:rsidP="00D850AB">
      <w:pPr>
        <w:pStyle w:val="Equation"/>
        <w:ind w:left="2835" w:hanging="1701"/>
        <w:jc w:val="both"/>
        <w:rPr>
          <w:lang w:val="sq-AL"/>
        </w:rPr>
      </w:pPr>
      <w:r w:rsidRPr="0050005A">
        <w:rPr>
          <w:lang w:val="sq-AL"/>
        </w:rPr>
        <w:t>ARR</w:t>
      </w:r>
      <w:r w:rsidRPr="0050005A">
        <w:rPr>
          <w:vertAlign w:val="subscript"/>
          <w:lang w:val="sq-AL"/>
        </w:rPr>
        <w:t xml:space="preserve">t-1 </w:t>
      </w:r>
      <w:r w:rsidRPr="0050005A">
        <w:rPr>
          <w:lang w:val="sq-AL"/>
        </w:rPr>
        <w:tab/>
        <w:t>Paraqet të hyrat e realizuara në vitin relevant t-1 (“is the Actual Regulated Revenues in Relevant Year t-1”)</w:t>
      </w:r>
    </w:p>
    <w:p w14:paraId="4E6A0AFE" w14:textId="77777777" w:rsidR="00D850AB" w:rsidRPr="0050005A" w:rsidRDefault="00D850AB" w:rsidP="00D850AB">
      <w:pPr>
        <w:pStyle w:val="Equation"/>
        <w:ind w:left="2835" w:hanging="1701"/>
        <w:jc w:val="both"/>
        <w:rPr>
          <w:rFonts w:cs="Calibri"/>
          <w:lang w:val="sq-AL"/>
        </w:rPr>
      </w:pPr>
      <w:r w:rsidRPr="0050005A">
        <w:rPr>
          <w:rFonts w:cs="Calibri"/>
          <w:lang w:val="sq-AL"/>
        </w:rPr>
        <w:t>I</w:t>
      </w:r>
      <w:r w:rsidRPr="0050005A">
        <w:rPr>
          <w:rFonts w:cs="Calibri"/>
          <w:vertAlign w:val="subscript"/>
          <w:lang w:val="sq-AL"/>
        </w:rPr>
        <w:t>t</w:t>
      </w:r>
      <w:r w:rsidRPr="0050005A">
        <w:rPr>
          <w:rFonts w:cs="Calibri"/>
          <w:lang w:val="sq-AL"/>
        </w:rPr>
        <w:tab/>
      </w:r>
      <w:r w:rsidRPr="0050005A">
        <w:rPr>
          <w:lang w:val="sq-AL"/>
        </w:rPr>
        <w:t>Norma e interesit për vitin relevant t, që llogaritet bazuar në EURIBOR plus S%, ku S paraqet vlerën e përcaktuar nga ZRRE-ja gjatë shqyrtimeve periodike që reflekton preminë e pagueshme nga i licencuari për hua afatshkurtra</w:t>
      </w:r>
    </w:p>
    <w:p w14:paraId="553496D4" w14:textId="28FBC633" w:rsidR="00AB27EB" w:rsidRDefault="00D850AB" w:rsidP="00EA7B27">
      <w:pPr>
        <w:jc w:val="both"/>
        <w:rPr>
          <w:lang w:val="sq-AL"/>
        </w:rPr>
      </w:pPr>
      <w:r w:rsidRPr="0050005A">
        <w:rPr>
          <w:lang w:val="sq-AL"/>
        </w:rPr>
        <w:t xml:space="preserve">Ndryshimi në mes të </w:t>
      </w:r>
      <w:r w:rsidR="00AB27EB" w:rsidRPr="0050005A">
        <w:rPr>
          <w:lang w:val="sq-AL"/>
        </w:rPr>
        <w:t>AAC</w:t>
      </w:r>
      <w:r w:rsidR="00AB27EB" w:rsidRPr="0050005A">
        <w:rPr>
          <w:vertAlign w:val="subscript"/>
          <w:lang w:val="sq-AL"/>
        </w:rPr>
        <w:t>at</w:t>
      </w:r>
      <w:r w:rsidR="00FD4DCD">
        <w:rPr>
          <w:vertAlign w:val="subscript"/>
          <w:lang w:val="sq-AL"/>
        </w:rPr>
        <w:t>-</w:t>
      </w:r>
      <w:r w:rsidR="00AB27EB" w:rsidRPr="0050005A">
        <w:rPr>
          <w:vertAlign w:val="subscript"/>
          <w:lang w:val="sq-AL"/>
        </w:rPr>
        <w:t>1</w:t>
      </w:r>
      <w:r w:rsidR="00AB27EB" w:rsidRPr="0050005A">
        <w:rPr>
          <w:lang w:val="sq-AL"/>
        </w:rPr>
        <w:t xml:space="preserve"> </w:t>
      </w:r>
      <w:r w:rsidR="00AB27EB">
        <w:rPr>
          <w:lang w:val="sq-AL"/>
        </w:rPr>
        <w:t xml:space="preserve">prej </w:t>
      </w:r>
      <w:r w:rsidR="000C382B">
        <w:rPr>
          <w:lang w:val="sq-AL"/>
        </w:rPr>
        <w:t>87.06</w:t>
      </w:r>
      <w:r w:rsidR="00AB27EB" w:rsidRPr="00D23A4D">
        <w:rPr>
          <w:lang w:val="sq-AL"/>
        </w:rPr>
        <w:t xml:space="preserve"> mil€ dhe ARR</w:t>
      </w:r>
      <w:r w:rsidR="00AB27EB" w:rsidRPr="00D23A4D">
        <w:rPr>
          <w:vertAlign w:val="subscript"/>
          <w:lang w:val="sq-AL"/>
        </w:rPr>
        <w:t xml:space="preserve">t-1 </w:t>
      </w:r>
      <w:r w:rsidR="00E25993" w:rsidRPr="00D23A4D">
        <w:rPr>
          <w:lang w:val="sq-AL"/>
        </w:rPr>
        <w:t xml:space="preserve">prej </w:t>
      </w:r>
      <w:r w:rsidR="003F62EE">
        <w:rPr>
          <w:lang w:val="sq-AL"/>
        </w:rPr>
        <w:t>100</w:t>
      </w:r>
      <w:r w:rsidR="006E51E6" w:rsidRPr="00D23A4D">
        <w:rPr>
          <w:lang w:val="sq-AL"/>
        </w:rPr>
        <w:t>.</w:t>
      </w:r>
      <w:r w:rsidR="003F62EE">
        <w:rPr>
          <w:lang w:val="sq-AL"/>
        </w:rPr>
        <w:t>55</w:t>
      </w:r>
      <w:r w:rsidR="00E25993" w:rsidRPr="00D23A4D">
        <w:rPr>
          <w:lang w:val="sq-AL"/>
        </w:rPr>
        <w:t xml:space="preserve"> </w:t>
      </w:r>
      <w:r w:rsidR="00AB27EB" w:rsidRPr="00D23A4D">
        <w:rPr>
          <w:lang w:val="sq-AL"/>
        </w:rPr>
        <w:t>mil</w:t>
      </w:r>
      <w:r w:rsidR="00AB27EB">
        <w:rPr>
          <w:lang w:val="sq-AL"/>
        </w:rPr>
        <w:t>€, pas aplikimit t</w:t>
      </w:r>
      <w:r w:rsidR="00AB27EB" w:rsidRPr="00AB27EB">
        <w:rPr>
          <w:rFonts w:cs="Calibri"/>
          <w:lang w:val="sq-AL"/>
        </w:rPr>
        <w:t>ë</w:t>
      </w:r>
      <w:r w:rsidR="00AB27EB">
        <w:rPr>
          <w:lang w:val="sq-AL"/>
        </w:rPr>
        <w:t xml:space="preserve"> norm</w:t>
      </w:r>
      <w:r w:rsidR="00AB27EB" w:rsidRPr="00AB27EB">
        <w:rPr>
          <w:rFonts w:cs="Calibri"/>
          <w:lang w:val="sq-AL"/>
        </w:rPr>
        <w:t>ë</w:t>
      </w:r>
      <w:r w:rsidR="00AB27EB">
        <w:rPr>
          <w:lang w:val="sq-AL"/>
        </w:rPr>
        <w:t>s s</w:t>
      </w:r>
      <w:r w:rsidR="00AB27EB" w:rsidRPr="00AB27EB">
        <w:rPr>
          <w:rFonts w:cs="Calibri"/>
          <w:lang w:val="sq-AL"/>
        </w:rPr>
        <w:t>ë</w:t>
      </w:r>
      <w:r w:rsidR="00AB27EB">
        <w:rPr>
          <w:lang w:val="sq-AL"/>
        </w:rPr>
        <w:t xml:space="preserve"> interesit rezulton t</w:t>
      </w:r>
      <w:r w:rsidR="00AB27EB" w:rsidRPr="00AB27EB">
        <w:rPr>
          <w:rFonts w:cs="Calibri"/>
          <w:lang w:val="sq-AL"/>
        </w:rPr>
        <w:t>ë</w:t>
      </w:r>
      <w:r w:rsidR="00AB27EB">
        <w:rPr>
          <w:lang w:val="sq-AL"/>
        </w:rPr>
        <w:t xml:space="preserve"> jet</w:t>
      </w:r>
      <w:r w:rsidR="00AB27EB" w:rsidRPr="00AB27EB">
        <w:rPr>
          <w:rFonts w:cs="Calibri"/>
          <w:lang w:val="sq-AL"/>
        </w:rPr>
        <w:t>ë</w:t>
      </w:r>
      <w:r w:rsidR="00AB27EB">
        <w:rPr>
          <w:lang w:val="sq-AL"/>
        </w:rPr>
        <w:t xml:space="preserve"> </w:t>
      </w:r>
      <w:r w:rsidR="00644781">
        <w:rPr>
          <w:lang w:val="sq-AL"/>
        </w:rPr>
        <w:t>–</w:t>
      </w:r>
      <w:r w:rsidR="006E51E6">
        <w:rPr>
          <w:lang w:val="sq-AL"/>
        </w:rPr>
        <w:t xml:space="preserve"> </w:t>
      </w:r>
      <w:r w:rsidR="000C382B">
        <w:rPr>
          <w:lang w:val="sq-AL"/>
        </w:rPr>
        <w:t>14.5</w:t>
      </w:r>
      <w:r w:rsidR="00644781">
        <w:rPr>
          <w:lang w:val="sq-AL"/>
        </w:rPr>
        <w:t xml:space="preserve"> </w:t>
      </w:r>
      <w:r w:rsidR="00AB27EB">
        <w:rPr>
          <w:lang w:val="sq-AL"/>
        </w:rPr>
        <w:lastRenderedPageBreak/>
        <w:t xml:space="preserve">mil€. </w:t>
      </w:r>
      <w:r w:rsidRPr="0050005A">
        <w:rPr>
          <w:lang w:val="sq-AL"/>
        </w:rPr>
        <w:t xml:space="preserve"> </w:t>
      </w:r>
      <w:r w:rsidR="00AB27EB">
        <w:rPr>
          <w:lang w:val="sq-AL"/>
        </w:rPr>
        <w:t>Ky ndryshim nd</w:t>
      </w:r>
      <w:r w:rsidR="00AB27EB" w:rsidRPr="006314FC">
        <w:rPr>
          <w:rFonts w:cs="Calibri"/>
          <w:lang w:val="sq-AL"/>
        </w:rPr>
        <w:t>ë</w:t>
      </w:r>
      <w:r w:rsidR="00AB27EB">
        <w:rPr>
          <w:lang w:val="sq-AL"/>
        </w:rPr>
        <w:t>rmjet t</w:t>
      </w:r>
      <w:r w:rsidR="00AB27EB" w:rsidRPr="006314FC">
        <w:rPr>
          <w:rFonts w:cs="Calibri"/>
          <w:lang w:val="sq-AL"/>
        </w:rPr>
        <w:t>ë</w:t>
      </w:r>
      <w:r w:rsidR="00AB27EB">
        <w:rPr>
          <w:lang w:val="sq-AL"/>
        </w:rPr>
        <w:t xml:space="preserve"> hyrave dhe kostove aktuale t</w:t>
      </w:r>
      <w:r w:rsidR="00AB27EB" w:rsidRPr="006314FC">
        <w:rPr>
          <w:rFonts w:cs="Calibri"/>
          <w:lang w:val="sq-AL"/>
        </w:rPr>
        <w:t>ë</w:t>
      </w:r>
      <w:r w:rsidR="00AB27EB">
        <w:rPr>
          <w:lang w:val="sq-AL"/>
        </w:rPr>
        <w:t xml:space="preserve"> lejuara bartet si azhurnim gjat</w:t>
      </w:r>
      <w:r w:rsidR="00AB27EB" w:rsidRPr="006314FC">
        <w:rPr>
          <w:rFonts w:cs="Calibri"/>
          <w:lang w:val="sq-AL"/>
        </w:rPr>
        <w:t>ë</w:t>
      </w:r>
      <w:r w:rsidR="00AB27EB">
        <w:rPr>
          <w:lang w:val="sq-AL"/>
        </w:rPr>
        <w:t xml:space="preserve"> p</w:t>
      </w:r>
      <w:r w:rsidR="00AB27EB" w:rsidRPr="006314FC">
        <w:rPr>
          <w:rFonts w:cs="Calibri"/>
          <w:lang w:val="sq-AL"/>
        </w:rPr>
        <w:t>ë</w:t>
      </w:r>
      <w:r w:rsidR="00AB27EB">
        <w:rPr>
          <w:lang w:val="sq-AL"/>
        </w:rPr>
        <w:t>rcaktimit t</w:t>
      </w:r>
      <w:r w:rsidR="00AB27EB" w:rsidRPr="006314FC">
        <w:rPr>
          <w:rFonts w:cs="Calibri"/>
          <w:lang w:val="sq-AL"/>
        </w:rPr>
        <w:t>ë</w:t>
      </w:r>
      <w:r w:rsidR="00AB27EB">
        <w:rPr>
          <w:lang w:val="sq-AL"/>
        </w:rPr>
        <w:t xml:space="preserve"> MAR p</w:t>
      </w:r>
      <w:r w:rsidR="00AB27EB" w:rsidRPr="006314FC">
        <w:rPr>
          <w:rFonts w:cs="Calibri"/>
          <w:lang w:val="sq-AL"/>
        </w:rPr>
        <w:t>ë</w:t>
      </w:r>
      <w:r w:rsidR="00AB27EB">
        <w:rPr>
          <w:lang w:val="sq-AL"/>
        </w:rPr>
        <w:t>r vitin 20</w:t>
      </w:r>
      <w:r w:rsidR="0098330D">
        <w:rPr>
          <w:lang w:val="sq-AL"/>
        </w:rPr>
        <w:t>2</w:t>
      </w:r>
      <w:r w:rsidR="00644781">
        <w:rPr>
          <w:lang w:val="sq-AL"/>
        </w:rPr>
        <w:t>1</w:t>
      </w:r>
      <w:r w:rsidR="00AB27EB">
        <w:rPr>
          <w:lang w:val="sq-AL"/>
        </w:rPr>
        <w:t>.</w:t>
      </w:r>
      <w:r w:rsidR="00EA7B27">
        <w:rPr>
          <w:lang w:val="sq-AL"/>
        </w:rPr>
        <w:t xml:space="preserve"> </w:t>
      </w:r>
    </w:p>
    <w:p w14:paraId="5D8B13B6" w14:textId="77777777" w:rsidR="00417A40" w:rsidRPr="0050005A" w:rsidRDefault="00A608BE" w:rsidP="00417A40">
      <w:pPr>
        <w:pStyle w:val="Heading1"/>
        <w:rPr>
          <w:lang w:val="sq-AL"/>
        </w:rPr>
      </w:pPr>
      <w:bookmarkStart w:id="25" w:name="_Toc443060569"/>
      <w:bookmarkStart w:id="26" w:name="_Toc80691550"/>
      <w:r w:rsidRPr="0050005A">
        <w:rPr>
          <w:lang w:val="sq-AL"/>
        </w:rPr>
        <w:t>Propozimi p</w:t>
      </w:r>
      <w:r w:rsidR="001A59E2" w:rsidRPr="0050005A">
        <w:rPr>
          <w:lang w:val="sq-AL"/>
        </w:rPr>
        <w:t>ë</w:t>
      </w:r>
      <w:r w:rsidRPr="0050005A">
        <w:rPr>
          <w:lang w:val="sq-AL"/>
        </w:rPr>
        <w:t>r t</w:t>
      </w:r>
      <w:r w:rsidR="00417A40" w:rsidRPr="0050005A">
        <w:rPr>
          <w:lang w:val="sq-AL"/>
        </w:rPr>
        <w:t>ë Hyrat e Lejuara Maksimale të OSSH-së</w:t>
      </w:r>
      <w:bookmarkEnd w:id="25"/>
      <w:bookmarkEnd w:id="26"/>
    </w:p>
    <w:p w14:paraId="3B801F02" w14:textId="77777777" w:rsidR="00417A40" w:rsidRPr="0050005A" w:rsidRDefault="00AB27EB" w:rsidP="00417A40">
      <w:pPr>
        <w:jc w:val="both"/>
        <w:rPr>
          <w:lang w:val="sq-AL"/>
        </w:rPr>
      </w:pPr>
      <w:r>
        <w:rPr>
          <w:lang w:val="sq-AL"/>
        </w:rPr>
        <w:t>T</w:t>
      </w:r>
      <w:r w:rsidRPr="00AB27EB">
        <w:rPr>
          <w:rFonts w:cs="Calibri"/>
          <w:lang w:val="sq-AL"/>
        </w:rPr>
        <w:t>ë</w:t>
      </w:r>
      <w:r>
        <w:rPr>
          <w:lang w:val="sq-AL"/>
        </w:rPr>
        <w:t xml:space="preserve"> Hyrat e</w:t>
      </w:r>
      <w:r w:rsidR="009B1045" w:rsidRPr="0050005A">
        <w:rPr>
          <w:lang w:val="sq-AL"/>
        </w:rPr>
        <w:t xml:space="preserve"> Lejuara Maksimale p</w:t>
      </w:r>
      <w:r w:rsidR="001A59E2" w:rsidRPr="0050005A">
        <w:rPr>
          <w:lang w:val="sq-AL"/>
        </w:rPr>
        <w:t>ë</w:t>
      </w:r>
      <w:r>
        <w:rPr>
          <w:lang w:val="sq-AL"/>
        </w:rPr>
        <w:t>r OSSH jan</w:t>
      </w:r>
      <w:r w:rsidRPr="00AB27EB">
        <w:rPr>
          <w:rFonts w:cs="Calibri"/>
          <w:lang w:val="sq-AL"/>
        </w:rPr>
        <w:t>ë</w:t>
      </w:r>
      <w:r>
        <w:rPr>
          <w:lang w:val="sq-AL"/>
        </w:rPr>
        <w:t xml:space="preserve"> llogaritur</w:t>
      </w:r>
      <w:r w:rsidR="00417A40" w:rsidRPr="0050005A">
        <w:rPr>
          <w:lang w:val="sq-AL"/>
        </w:rPr>
        <w:t xml:space="preserve"> sipas formulës në vijim:</w:t>
      </w:r>
    </w:p>
    <w:p w14:paraId="3D326D2A" w14:textId="77777777" w:rsidR="00D31A61" w:rsidRDefault="00D31A61" w:rsidP="00417A40">
      <w:pPr>
        <w:pStyle w:val="TextS"/>
        <w:ind w:firstLine="0"/>
        <w:rPr>
          <w:i/>
          <w:lang w:val="sq-AL"/>
        </w:rPr>
      </w:pPr>
      <w:r w:rsidRPr="00D31A61">
        <w:rPr>
          <w:i/>
          <w:lang w:val="sq-AL"/>
        </w:rPr>
        <w:t xml:space="preserve">MARt = OPMCt + DEPCt + RTNCt + LSSCt + LICCt -NTFR t +ADJt +KREVt </w:t>
      </w:r>
    </w:p>
    <w:p w14:paraId="5292AB24" w14:textId="77777777" w:rsidR="00417A40" w:rsidRPr="0050005A" w:rsidRDefault="00417A40" w:rsidP="00417A40">
      <w:pPr>
        <w:pStyle w:val="TextS"/>
        <w:ind w:firstLine="0"/>
        <w:rPr>
          <w:i/>
          <w:lang w:val="sq-AL"/>
        </w:rPr>
      </w:pPr>
      <w:r w:rsidRPr="0050005A">
        <w:rPr>
          <w:i/>
          <w:lang w:val="sq-AL"/>
        </w:rPr>
        <w:t>Ku</w:t>
      </w:r>
    </w:p>
    <w:p w14:paraId="5FBC5779" w14:textId="77777777" w:rsidR="00417A40" w:rsidRPr="0050005A" w:rsidRDefault="00417A40" w:rsidP="00417A40">
      <w:pPr>
        <w:pStyle w:val="Equation"/>
        <w:rPr>
          <w:lang w:val="sq-AL"/>
        </w:rPr>
      </w:pPr>
      <w:r w:rsidRPr="0050005A">
        <w:rPr>
          <w:lang w:val="sq-AL"/>
        </w:rPr>
        <w:t>MAR</w:t>
      </w:r>
      <w:r w:rsidRPr="0050005A">
        <w:rPr>
          <w:vertAlign w:val="subscript"/>
          <w:lang w:val="sq-AL"/>
        </w:rPr>
        <w:t>t</w:t>
      </w:r>
      <w:r w:rsidRPr="0050005A">
        <w:rPr>
          <w:lang w:val="sq-AL"/>
        </w:rPr>
        <w:tab/>
        <w:t xml:space="preserve">janë të hyrat e lejuara maksimale në vitin relevant t </w:t>
      </w:r>
    </w:p>
    <w:p w14:paraId="57749D2A" w14:textId="77777777" w:rsidR="00417A40" w:rsidRPr="0050005A" w:rsidRDefault="00417A40" w:rsidP="00417A40">
      <w:pPr>
        <w:pStyle w:val="Equation"/>
        <w:rPr>
          <w:lang w:val="sq-AL"/>
        </w:rPr>
      </w:pPr>
      <w:r w:rsidRPr="0050005A">
        <w:rPr>
          <w:lang w:val="sq-AL"/>
        </w:rPr>
        <w:t>OPMC</w:t>
      </w:r>
      <w:r w:rsidRPr="0050005A">
        <w:rPr>
          <w:vertAlign w:val="subscript"/>
          <w:lang w:val="sq-AL"/>
        </w:rPr>
        <w:t>t</w:t>
      </w:r>
      <w:r w:rsidRPr="0050005A">
        <w:rPr>
          <w:lang w:val="sq-AL"/>
        </w:rPr>
        <w:tab/>
        <w:t>janë kostot e lejuara operative dhe të mirëmbajtjes në vitin relevant t</w:t>
      </w:r>
    </w:p>
    <w:p w14:paraId="2FBE36CA" w14:textId="77777777" w:rsidR="00417A40" w:rsidRPr="0050005A" w:rsidRDefault="00417A40" w:rsidP="00417A40">
      <w:pPr>
        <w:pStyle w:val="Equation"/>
        <w:rPr>
          <w:lang w:val="sq-AL"/>
        </w:rPr>
      </w:pPr>
      <w:r w:rsidRPr="0050005A">
        <w:rPr>
          <w:lang w:val="sq-AL"/>
        </w:rPr>
        <w:t>DEPC</w:t>
      </w:r>
      <w:r w:rsidRPr="0050005A">
        <w:rPr>
          <w:vertAlign w:val="subscript"/>
          <w:lang w:val="sq-AL"/>
        </w:rPr>
        <w:t>t</w:t>
      </w:r>
      <w:r w:rsidRPr="0050005A">
        <w:rPr>
          <w:lang w:val="sq-AL"/>
        </w:rPr>
        <w:tab/>
        <w:t>është zhvlerësimi i lejuar në vitin relevant t</w:t>
      </w:r>
    </w:p>
    <w:p w14:paraId="2F48B7C1" w14:textId="77777777" w:rsidR="00417A40" w:rsidRPr="0050005A" w:rsidRDefault="00417A40" w:rsidP="00417A40">
      <w:pPr>
        <w:pStyle w:val="Equation"/>
        <w:rPr>
          <w:lang w:val="sq-AL"/>
        </w:rPr>
      </w:pPr>
      <w:r w:rsidRPr="0050005A">
        <w:rPr>
          <w:lang w:val="sq-AL"/>
        </w:rPr>
        <w:t>RTNC</w:t>
      </w:r>
      <w:r w:rsidRPr="0050005A">
        <w:rPr>
          <w:vertAlign w:val="subscript"/>
          <w:lang w:val="sq-AL"/>
        </w:rPr>
        <w:t>t</w:t>
      </w:r>
      <w:r w:rsidRPr="0050005A">
        <w:rPr>
          <w:lang w:val="sq-AL"/>
        </w:rPr>
        <w:tab/>
        <w:t>është kthimi i lejuar në kapital në vitin relevant t</w:t>
      </w:r>
    </w:p>
    <w:p w14:paraId="13BE2ED3" w14:textId="77777777" w:rsidR="00417A40" w:rsidRPr="0050005A" w:rsidRDefault="00417A40" w:rsidP="00417A40">
      <w:pPr>
        <w:pStyle w:val="Equation"/>
        <w:rPr>
          <w:lang w:val="sq-AL"/>
        </w:rPr>
      </w:pPr>
      <w:r w:rsidRPr="0050005A">
        <w:rPr>
          <w:lang w:val="sq-AL"/>
        </w:rPr>
        <w:t>LSSC</w:t>
      </w:r>
      <w:r w:rsidRPr="0050005A">
        <w:rPr>
          <w:vertAlign w:val="subscript"/>
          <w:lang w:val="sq-AL"/>
        </w:rPr>
        <w:t>t</w:t>
      </w:r>
      <w:r w:rsidRPr="0050005A">
        <w:rPr>
          <w:vertAlign w:val="subscript"/>
          <w:lang w:val="sq-AL"/>
        </w:rPr>
        <w:tab/>
      </w:r>
      <w:r w:rsidRPr="0050005A">
        <w:rPr>
          <w:lang w:val="sq-AL"/>
        </w:rPr>
        <w:t xml:space="preserve">është kostoja e lejuar e humbjeve në vitin relevant t </w:t>
      </w:r>
    </w:p>
    <w:p w14:paraId="0217019D" w14:textId="77777777" w:rsidR="00417A40" w:rsidRDefault="00417A40" w:rsidP="00417A40">
      <w:pPr>
        <w:pStyle w:val="Equation"/>
        <w:rPr>
          <w:lang w:val="sq-AL"/>
        </w:rPr>
      </w:pPr>
      <w:r w:rsidRPr="0050005A">
        <w:rPr>
          <w:lang w:val="sq-AL"/>
        </w:rPr>
        <w:t>LICC</w:t>
      </w:r>
      <w:r w:rsidRPr="0050005A">
        <w:rPr>
          <w:vertAlign w:val="subscript"/>
          <w:lang w:val="sq-AL"/>
        </w:rPr>
        <w:t>t</w:t>
      </w:r>
      <w:r w:rsidRPr="0050005A">
        <w:rPr>
          <w:lang w:val="sq-AL"/>
        </w:rPr>
        <w:tab/>
        <w:t xml:space="preserve">është kostoja e taksës për licencë në vitin relevant t </w:t>
      </w:r>
    </w:p>
    <w:p w14:paraId="47A596E9" w14:textId="77777777" w:rsidR="00D31A61" w:rsidRPr="0009487F" w:rsidRDefault="00D31A61" w:rsidP="00D31A61">
      <w:pPr>
        <w:ind w:left="720"/>
        <w:rPr>
          <w:rFonts w:eastAsia="Times New Roman"/>
          <w:i/>
          <w:szCs w:val="24"/>
          <w:lang w:val="sq-AL" w:eastAsia="en-GB"/>
        </w:rPr>
      </w:pPr>
      <w:r w:rsidRPr="0009487F">
        <w:rPr>
          <w:rFonts w:eastAsia="Times New Roman"/>
          <w:i/>
          <w:szCs w:val="24"/>
          <w:lang w:val="sq-AL" w:eastAsia="en-GB"/>
        </w:rPr>
        <w:t xml:space="preserve">ADJt                    </w:t>
      </w:r>
      <w:r w:rsidRPr="0009487F">
        <w:rPr>
          <w:rFonts w:eastAsia="Times New Roman" w:cs="Calibri"/>
          <w:i/>
          <w:szCs w:val="24"/>
          <w:lang w:val="sq-AL" w:eastAsia="en-GB"/>
        </w:rPr>
        <w:t>ë</w:t>
      </w:r>
      <w:r w:rsidRPr="0009487F">
        <w:rPr>
          <w:rFonts w:eastAsia="Times New Roman"/>
          <w:i/>
          <w:szCs w:val="24"/>
          <w:lang w:val="sq-AL" w:eastAsia="en-GB"/>
        </w:rPr>
        <w:t>sht</w:t>
      </w:r>
      <w:r w:rsidRPr="0009487F">
        <w:rPr>
          <w:rFonts w:eastAsia="Times New Roman" w:cs="Calibri"/>
          <w:i/>
          <w:szCs w:val="24"/>
          <w:lang w:val="sq-AL" w:eastAsia="en-GB"/>
        </w:rPr>
        <w:t>ë</w:t>
      </w:r>
      <w:r w:rsidRPr="0009487F">
        <w:rPr>
          <w:rFonts w:eastAsia="Times New Roman"/>
          <w:i/>
          <w:szCs w:val="24"/>
          <w:lang w:val="sq-AL" w:eastAsia="en-GB"/>
        </w:rPr>
        <w:t xml:space="preserve"> përshtatje e kostove </w:t>
      </w:r>
    </w:p>
    <w:p w14:paraId="369B4F4D" w14:textId="77777777" w:rsidR="00417A40" w:rsidRPr="0050005A" w:rsidRDefault="00417A40" w:rsidP="00417A40">
      <w:pPr>
        <w:pStyle w:val="Equation"/>
        <w:rPr>
          <w:lang w:val="sq-AL"/>
        </w:rPr>
      </w:pPr>
      <w:r w:rsidRPr="0050005A">
        <w:rPr>
          <w:lang w:val="sq-AL"/>
        </w:rPr>
        <w:lastRenderedPageBreak/>
        <w:t>KREV</w:t>
      </w:r>
      <w:r w:rsidRPr="0050005A">
        <w:rPr>
          <w:vertAlign w:val="subscript"/>
          <w:lang w:val="sq-AL"/>
        </w:rPr>
        <w:t>t</w:t>
      </w:r>
      <w:r w:rsidRPr="0050005A">
        <w:rPr>
          <w:lang w:val="sq-AL"/>
        </w:rPr>
        <w:tab/>
        <w:t>është faktori i korrigjimit të të hyrave në vitin relevant t</w:t>
      </w:r>
    </w:p>
    <w:p w14:paraId="6D39360E" w14:textId="77777777" w:rsidR="00D14FA8" w:rsidRDefault="00417A40" w:rsidP="00CA3D1A">
      <w:pPr>
        <w:rPr>
          <w:rFonts w:cs="Calibri"/>
          <w:lang w:val="sq-AL"/>
        </w:rPr>
      </w:pPr>
      <w:r w:rsidRPr="0050005A">
        <w:rPr>
          <w:rFonts w:cs="Calibri"/>
          <w:lang w:val="sq-AL"/>
        </w:rPr>
        <w:t>Llogaritja e secilit nga këta komponentë është shtjelluar më poshtë.</w:t>
      </w:r>
    </w:p>
    <w:p w14:paraId="1E814620" w14:textId="77777777" w:rsidR="00D14FA8" w:rsidRPr="0050005A" w:rsidRDefault="00D14FA8" w:rsidP="00D14FA8">
      <w:pPr>
        <w:spacing w:after="0" w:line="240" w:lineRule="auto"/>
        <w:jc w:val="both"/>
        <w:rPr>
          <w:lang w:val="sq-AL"/>
        </w:rPr>
      </w:pPr>
      <w:r w:rsidRPr="0050005A">
        <w:rPr>
          <w:lang w:val="sq-AL"/>
        </w:rPr>
        <w:t xml:space="preserve">Si rezultat i kalkulimeve të secilit komponent të kostove, MAR i </w:t>
      </w:r>
      <w:r>
        <w:rPr>
          <w:lang w:val="sq-AL"/>
        </w:rPr>
        <w:t>propozuar për OSSH për vitin 2021</w:t>
      </w:r>
      <w:r w:rsidRPr="0050005A">
        <w:rPr>
          <w:lang w:val="sq-AL"/>
        </w:rPr>
        <w:t xml:space="preserve"> është </w:t>
      </w:r>
      <w:r>
        <w:rPr>
          <w:lang w:val="sq-AL"/>
        </w:rPr>
        <w:t xml:space="preserve">81.44 </w:t>
      </w:r>
      <w:r w:rsidRPr="0050005A">
        <w:rPr>
          <w:lang w:val="sq-AL"/>
        </w:rPr>
        <w:t xml:space="preserve">milion €. </w:t>
      </w:r>
    </w:p>
    <w:p w14:paraId="438B37FF" w14:textId="5B126F00" w:rsidR="00825B07" w:rsidRDefault="00825B07" w:rsidP="00CA3D1A">
      <w:pPr>
        <w:rPr>
          <w:lang w:val="sq-AL"/>
        </w:rPr>
      </w:pPr>
      <w:r>
        <w:rPr>
          <w:lang w:val="sq-AL"/>
        </w:rPr>
        <w:br w:type="page"/>
      </w:r>
    </w:p>
    <w:p w14:paraId="1764FEAF" w14:textId="77777777" w:rsidR="00EF4C2C" w:rsidRPr="0050005A" w:rsidRDefault="00EF4C2C" w:rsidP="00EF4C2C">
      <w:pPr>
        <w:pStyle w:val="Caption"/>
        <w:spacing w:after="0"/>
        <w:rPr>
          <w:lang w:val="sq-AL"/>
        </w:rPr>
      </w:pPr>
      <w:r w:rsidRPr="00825B07">
        <w:rPr>
          <w:lang w:val="sq-AL"/>
        </w:rPr>
        <w:lastRenderedPageBreak/>
        <w:t xml:space="preserve">Tabela </w:t>
      </w:r>
      <w:r w:rsidR="00E202B8" w:rsidRPr="00825B07">
        <w:rPr>
          <w:lang w:val="sq-AL"/>
        </w:rPr>
        <w:fldChar w:fldCharType="begin"/>
      </w:r>
      <w:r w:rsidRPr="00825B07">
        <w:rPr>
          <w:lang w:val="sq-AL"/>
        </w:rPr>
        <w:instrText xml:space="preserve"> SEQ Table \* ARABIC </w:instrText>
      </w:r>
      <w:r w:rsidR="00E202B8" w:rsidRPr="00825B07">
        <w:rPr>
          <w:lang w:val="sq-AL"/>
        </w:rPr>
        <w:fldChar w:fldCharType="separate"/>
      </w:r>
      <w:r w:rsidRPr="00825B07">
        <w:rPr>
          <w:lang w:val="sq-AL"/>
        </w:rPr>
        <w:t>4</w:t>
      </w:r>
      <w:r w:rsidR="00E202B8" w:rsidRPr="00825B07">
        <w:rPr>
          <w:lang w:val="sq-AL"/>
        </w:rPr>
        <w:fldChar w:fldCharType="end"/>
      </w:r>
      <w:r w:rsidRPr="00825B07">
        <w:rPr>
          <w:lang w:val="sq-AL"/>
        </w:rPr>
        <w:t xml:space="preserve"> Propozimi i MAR të OSSH (KEDS)</w:t>
      </w:r>
      <w:r w:rsidR="00B178F1" w:rsidRPr="00825B07">
        <w:rPr>
          <w:lang w:val="sq-AL"/>
        </w:rPr>
        <w:t xml:space="preserve"> </w:t>
      </w:r>
      <w:r w:rsidRPr="00825B07">
        <w:rPr>
          <w:lang w:val="sq-AL"/>
        </w:rPr>
        <w:t>pas përshtatjeve</w:t>
      </w:r>
    </w:p>
    <w:tbl>
      <w:tblPr>
        <w:tblW w:w="9195" w:type="dxa"/>
        <w:tblLook w:val="04A0" w:firstRow="1" w:lastRow="0" w:firstColumn="1" w:lastColumn="0" w:noHBand="0" w:noVBand="1"/>
      </w:tblPr>
      <w:tblGrid>
        <w:gridCol w:w="5445"/>
        <w:gridCol w:w="911"/>
        <w:gridCol w:w="852"/>
        <w:gridCol w:w="932"/>
        <w:gridCol w:w="1055"/>
      </w:tblGrid>
      <w:tr w:rsidR="004375B5" w:rsidRPr="00765B5D" w14:paraId="3190A563" w14:textId="77777777" w:rsidTr="00D14FA8">
        <w:trPr>
          <w:trHeight w:val="471"/>
        </w:trPr>
        <w:tc>
          <w:tcPr>
            <w:tcW w:w="5445" w:type="dxa"/>
            <w:tcBorders>
              <w:top w:val="nil"/>
              <w:left w:val="nil"/>
              <w:bottom w:val="nil"/>
              <w:right w:val="nil"/>
            </w:tcBorders>
            <w:shd w:val="clear" w:color="000000" w:fill="002060"/>
            <w:noWrap/>
            <w:vAlign w:val="center"/>
            <w:hideMark/>
          </w:tcPr>
          <w:p w14:paraId="188B3719" w14:textId="65A5B7C6" w:rsidR="004375B5" w:rsidRPr="00765B5D" w:rsidRDefault="004375B5" w:rsidP="00C23153">
            <w:pPr>
              <w:spacing w:after="0" w:line="240" w:lineRule="auto"/>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Te hyrat e lejuara maksimale</w:t>
            </w:r>
            <w:r>
              <w:rPr>
                <w:rFonts w:asciiTheme="minorHAnsi" w:eastAsia="Times New Roman" w:hAnsiTheme="minorHAnsi" w:cstheme="minorHAnsi"/>
                <w:color w:val="FFFFFF"/>
                <w:sz w:val="20"/>
                <w:szCs w:val="20"/>
                <w:lang w:val="sq-AL"/>
              </w:rPr>
              <w:t xml:space="preserve"> (mil€)</w:t>
            </w:r>
          </w:p>
        </w:tc>
        <w:tc>
          <w:tcPr>
            <w:tcW w:w="917" w:type="dxa"/>
            <w:tcBorders>
              <w:top w:val="nil"/>
              <w:left w:val="nil"/>
              <w:bottom w:val="nil"/>
              <w:right w:val="nil"/>
            </w:tcBorders>
            <w:shd w:val="clear" w:color="000000" w:fill="002060"/>
          </w:tcPr>
          <w:p w14:paraId="0A3CCE71" w14:textId="75328789"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Pr>
                <w:rFonts w:asciiTheme="minorHAnsi" w:eastAsia="Times New Roman" w:hAnsiTheme="minorHAnsi" w:cstheme="minorHAnsi"/>
                <w:color w:val="FFFFFF"/>
                <w:sz w:val="20"/>
                <w:szCs w:val="20"/>
                <w:lang w:val="sq-AL"/>
              </w:rPr>
              <w:t>Njësia</w:t>
            </w:r>
          </w:p>
        </w:tc>
        <w:tc>
          <w:tcPr>
            <w:tcW w:w="852" w:type="dxa"/>
            <w:tcBorders>
              <w:top w:val="nil"/>
              <w:left w:val="nil"/>
              <w:bottom w:val="nil"/>
              <w:right w:val="nil"/>
            </w:tcBorders>
            <w:shd w:val="clear" w:color="000000" w:fill="002060"/>
            <w:vAlign w:val="center"/>
            <w:hideMark/>
          </w:tcPr>
          <w:p w14:paraId="2FCD846A" w14:textId="2D900C83"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Lejuar 201</w:t>
            </w:r>
            <w:r>
              <w:rPr>
                <w:rFonts w:asciiTheme="minorHAnsi" w:eastAsia="Times New Roman" w:hAnsiTheme="minorHAnsi" w:cstheme="minorHAnsi"/>
                <w:color w:val="FFFFFF"/>
                <w:sz w:val="20"/>
                <w:szCs w:val="20"/>
                <w:lang w:val="sq-AL"/>
              </w:rPr>
              <w:t>9</w:t>
            </w:r>
          </w:p>
        </w:tc>
        <w:tc>
          <w:tcPr>
            <w:tcW w:w="932" w:type="dxa"/>
            <w:tcBorders>
              <w:top w:val="nil"/>
              <w:left w:val="nil"/>
              <w:bottom w:val="nil"/>
              <w:right w:val="nil"/>
            </w:tcBorders>
            <w:shd w:val="clear" w:color="000000" w:fill="002060"/>
            <w:vAlign w:val="center"/>
            <w:hideMark/>
          </w:tcPr>
          <w:p w14:paraId="7A5D912C" w14:textId="77777777"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Lejuar 20</w:t>
            </w:r>
            <w:r>
              <w:rPr>
                <w:rFonts w:asciiTheme="minorHAnsi" w:eastAsia="Times New Roman" w:hAnsiTheme="minorHAnsi" w:cstheme="minorHAnsi"/>
                <w:color w:val="FFFFFF"/>
                <w:sz w:val="20"/>
                <w:szCs w:val="20"/>
                <w:lang w:val="sq-AL"/>
              </w:rPr>
              <w:t>20</w:t>
            </w:r>
          </w:p>
        </w:tc>
        <w:tc>
          <w:tcPr>
            <w:tcW w:w="1049" w:type="dxa"/>
            <w:tcBorders>
              <w:top w:val="nil"/>
              <w:left w:val="nil"/>
              <w:bottom w:val="nil"/>
              <w:right w:val="nil"/>
            </w:tcBorders>
            <w:shd w:val="clear" w:color="000000" w:fill="002060"/>
            <w:vAlign w:val="center"/>
            <w:hideMark/>
          </w:tcPr>
          <w:p w14:paraId="72974DCD" w14:textId="77777777"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Propozuar 202</w:t>
            </w:r>
            <w:r>
              <w:rPr>
                <w:rFonts w:asciiTheme="minorHAnsi" w:eastAsia="Times New Roman" w:hAnsiTheme="minorHAnsi" w:cstheme="minorHAnsi"/>
                <w:color w:val="FFFFFF"/>
                <w:sz w:val="20"/>
                <w:szCs w:val="20"/>
                <w:lang w:val="sq-AL"/>
              </w:rPr>
              <w:t>1</w:t>
            </w:r>
          </w:p>
        </w:tc>
      </w:tr>
      <w:tr w:rsidR="004375B5" w:rsidRPr="00765B5D" w14:paraId="587F78E0" w14:textId="77777777" w:rsidTr="00D14FA8">
        <w:trPr>
          <w:trHeight w:val="236"/>
        </w:trPr>
        <w:tc>
          <w:tcPr>
            <w:tcW w:w="5445" w:type="dxa"/>
            <w:tcBorders>
              <w:top w:val="nil"/>
              <w:left w:val="nil"/>
              <w:bottom w:val="nil"/>
              <w:right w:val="nil"/>
            </w:tcBorders>
            <w:shd w:val="clear" w:color="000000" w:fill="DBE5F1"/>
            <w:noWrap/>
            <w:vAlign w:val="center"/>
            <w:hideMark/>
          </w:tcPr>
          <w:p w14:paraId="1525A0CF" w14:textId="77777777" w:rsidR="004375B5" w:rsidRPr="00765B5D" w:rsidRDefault="004375B5" w:rsidP="00310EE8">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Parametrat e indeksimit</w:t>
            </w:r>
          </w:p>
        </w:tc>
        <w:tc>
          <w:tcPr>
            <w:tcW w:w="917" w:type="dxa"/>
            <w:tcBorders>
              <w:top w:val="nil"/>
              <w:left w:val="nil"/>
              <w:bottom w:val="single" w:sz="4" w:space="0" w:color="auto"/>
              <w:right w:val="nil"/>
            </w:tcBorders>
            <w:shd w:val="clear" w:color="000000" w:fill="DBE5F1"/>
          </w:tcPr>
          <w:p w14:paraId="7AB6455C"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000000" w:fill="DBE5F1"/>
            <w:noWrap/>
            <w:vAlign w:val="center"/>
            <w:hideMark/>
          </w:tcPr>
          <w:p w14:paraId="5F96D082" w14:textId="59C8782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single" w:sz="4" w:space="0" w:color="auto"/>
              <w:right w:val="nil"/>
            </w:tcBorders>
            <w:shd w:val="clear" w:color="000000" w:fill="DBE5F1"/>
            <w:noWrap/>
            <w:vAlign w:val="center"/>
            <w:hideMark/>
          </w:tcPr>
          <w:p w14:paraId="37C9E49E"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single" w:sz="4" w:space="0" w:color="auto"/>
              <w:right w:val="nil"/>
            </w:tcBorders>
            <w:shd w:val="clear" w:color="000000" w:fill="DBE5F1"/>
            <w:noWrap/>
            <w:vAlign w:val="center"/>
            <w:hideMark/>
          </w:tcPr>
          <w:p w14:paraId="57544F9F"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r>
      <w:tr w:rsidR="004375B5" w:rsidRPr="00765B5D" w14:paraId="3A524044" w14:textId="77777777" w:rsidTr="00D14FA8">
        <w:trPr>
          <w:trHeight w:val="236"/>
        </w:trPr>
        <w:tc>
          <w:tcPr>
            <w:tcW w:w="5445" w:type="dxa"/>
            <w:tcBorders>
              <w:top w:val="nil"/>
              <w:left w:val="nil"/>
              <w:bottom w:val="nil"/>
              <w:right w:val="single" w:sz="4" w:space="0" w:color="auto"/>
            </w:tcBorders>
            <w:shd w:val="clear" w:color="000000" w:fill="FFFFFF"/>
            <w:noWrap/>
            <w:vAlign w:val="center"/>
            <w:hideMark/>
          </w:tcPr>
          <w:p w14:paraId="2D4D1BB8" w14:textId="77777777" w:rsidR="004375B5" w:rsidRPr="00765B5D" w:rsidRDefault="004375B5" w:rsidP="00644781">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Faktori i efikasitetit</w:t>
            </w:r>
          </w:p>
        </w:tc>
        <w:tc>
          <w:tcPr>
            <w:tcW w:w="917" w:type="dxa"/>
            <w:tcBorders>
              <w:top w:val="single" w:sz="4" w:space="0" w:color="auto"/>
              <w:left w:val="single" w:sz="4" w:space="0" w:color="auto"/>
              <w:bottom w:val="single" w:sz="4" w:space="0" w:color="auto"/>
              <w:right w:val="single" w:sz="4" w:space="0" w:color="auto"/>
            </w:tcBorders>
            <w:shd w:val="clear" w:color="000000" w:fill="FFFFFF"/>
          </w:tcPr>
          <w:p w14:paraId="50087D39" w14:textId="5CFF9640"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14:paraId="022D1C5E" w14:textId="3D8FC86B"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1.5%</w:t>
            </w:r>
          </w:p>
        </w:tc>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17A5F04F"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1.5%</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0B5FB"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1.5%</w:t>
            </w:r>
          </w:p>
        </w:tc>
      </w:tr>
      <w:tr w:rsidR="004375B5" w:rsidRPr="00765B5D" w14:paraId="745C366A" w14:textId="77777777" w:rsidTr="00D14FA8">
        <w:trPr>
          <w:trHeight w:val="236"/>
        </w:trPr>
        <w:tc>
          <w:tcPr>
            <w:tcW w:w="5445" w:type="dxa"/>
            <w:tcBorders>
              <w:top w:val="nil"/>
              <w:left w:val="nil"/>
              <w:bottom w:val="nil"/>
              <w:right w:val="nil"/>
            </w:tcBorders>
            <w:shd w:val="clear" w:color="auto" w:fill="auto"/>
            <w:noWrap/>
            <w:vAlign w:val="center"/>
            <w:hideMark/>
          </w:tcPr>
          <w:p w14:paraId="007841A1" w14:textId="6CBFF169" w:rsidR="004375B5" w:rsidRPr="00765B5D" w:rsidRDefault="004375B5" w:rsidP="004375B5">
            <w:pPr>
              <w:spacing w:after="0" w:line="240" w:lineRule="auto"/>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Inflacioni</w:t>
            </w:r>
          </w:p>
        </w:tc>
        <w:tc>
          <w:tcPr>
            <w:tcW w:w="917" w:type="dxa"/>
            <w:tcBorders>
              <w:top w:val="single" w:sz="4" w:space="0" w:color="auto"/>
              <w:left w:val="single" w:sz="4" w:space="0" w:color="auto"/>
              <w:bottom w:val="single" w:sz="4" w:space="0" w:color="auto"/>
              <w:right w:val="single" w:sz="4" w:space="0" w:color="auto"/>
            </w:tcBorders>
          </w:tcPr>
          <w:p w14:paraId="7D395F73" w14:textId="6B6F25F4"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A778F" w14:textId="70B8D111"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1.19%</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15497A07"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0.26%</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EDB0BB0"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02D0C1BE" w14:textId="77777777" w:rsidTr="00D14FA8">
        <w:trPr>
          <w:trHeight w:val="236"/>
        </w:trPr>
        <w:tc>
          <w:tcPr>
            <w:tcW w:w="5445" w:type="dxa"/>
            <w:tcBorders>
              <w:top w:val="nil"/>
              <w:left w:val="nil"/>
              <w:bottom w:val="nil"/>
              <w:right w:val="nil"/>
            </w:tcBorders>
            <w:shd w:val="clear" w:color="auto" w:fill="auto"/>
            <w:noWrap/>
            <w:vAlign w:val="center"/>
            <w:hideMark/>
          </w:tcPr>
          <w:p w14:paraId="10A07001" w14:textId="77777777" w:rsidR="004375B5" w:rsidRPr="00765B5D" w:rsidRDefault="004375B5" w:rsidP="004375B5">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Euribor</w:t>
            </w:r>
          </w:p>
        </w:tc>
        <w:tc>
          <w:tcPr>
            <w:tcW w:w="917" w:type="dxa"/>
            <w:tcBorders>
              <w:top w:val="nil"/>
              <w:left w:val="single" w:sz="4" w:space="0" w:color="auto"/>
              <w:bottom w:val="single" w:sz="4" w:space="0" w:color="auto"/>
              <w:right w:val="single" w:sz="4" w:space="0" w:color="auto"/>
            </w:tcBorders>
          </w:tcPr>
          <w:p w14:paraId="7FC838CE" w14:textId="220FEC31"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75F594A0" w14:textId="1D0FBCB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-0.2%</w:t>
            </w:r>
          </w:p>
        </w:tc>
        <w:tc>
          <w:tcPr>
            <w:tcW w:w="932" w:type="dxa"/>
            <w:tcBorders>
              <w:top w:val="nil"/>
              <w:left w:val="nil"/>
              <w:bottom w:val="single" w:sz="4" w:space="0" w:color="auto"/>
              <w:right w:val="single" w:sz="4" w:space="0" w:color="auto"/>
            </w:tcBorders>
            <w:shd w:val="clear" w:color="auto" w:fill="auto"/>
            <w:noWrap/>
            <w:vAlign w:val="center"/>
          </w:tcPr>
          <w:p w14:paraId="6953BC27" w14:textId="605E4DE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-0.3%</w:t>
            </w:r>
          </w:p>
        </w:tc>
        <w:tc>
          <w:tcPr>
            <w:tcW w:w="1049" w:type="dxa"/>
            <w:tcBorders>
              <w:top w:val="nil"/>
              <w:left w:val="nil"/>
              <w:bottom w:val="single" w:sz="4" w:space="0" w:color="auto"/>
              <w:right w:val="single" w:sz="4" w:space="0" w:color="auto"/>
            </w:tcBorders>
            <w:shd w:val="clear" w:color="auto" w:fill="auto"/>
            <w:noWrap/>
            <w:vAlign w:val="center"/>
            <w:hideMark/>
          </w:tcPr>
          <w:p w14:paraId="4C661216"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275E9C45" w14:textId="77777777" w:rsidTr="00D14FA8">
        <w:trPr>
          <w:trHeight w:val="236"/>
        </w:trPr>
        <w:tc>
          <w:tcPr>
            <w:tcW w:w="5445" w:type="dxa"/>
            <w:tcBorders>
              <w:top w:val="nil"/>
              <w:left w:val="nil"/>
              <w:bottom w:val="nil"/>
              <w:right w:val="nil"/>
            </w:tcBorders>
            <w:shd w:val="clear" w:color="auto" w:fill="auto"/>
            <w:noWrap/>
            <w:vAlign w:val="center"/>
            <w:hideMark/>
          </w:tcPr>
          <w:p w14:paraId="1DA55125" w14:textId="77777777" w:rsidR="004375B5" w:rsidRPr="00765B5D" w:rsidRDefault="004375B5" w:rsidP="004375B5">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Faktori - S </w:t>
            </w:r>
          </w:p>
        </w:tc>
        <w:tc>
          <w:tcPr>
            <w:tcW w:w="917" w:type="dxa"/>
            <w:tcBorders>
              <w:top w:val="nil"/>
              <w:left w:val="single" w:sz="4" w:space="0" w:color="auto"/>
              <w:bottom w:val="single" w:sz="4" w:space="0" w:color="auto"/>
              <w:right w:val="single" w:sz="4" w:space="0" w:color="auto"/>
            </w:tcBorders>
          </w:tcPr>
          <w:p w14:paraId="6CE6124F" w14:textId="57E4D2AA"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6A26B7FB" w14:textId="3F384619"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7.6%</w:t>
            </w:r>
          </w:p>
        </w:tc>
        <w:tc>
          <w:tcPr>
            <w:tcW w:w="932" w:type="dxa"/>
            <w:tcBorders>
              <w:top w:val="nil"/>
              <w:left w:val="nil"/>
              <w:bottom w:val="single" w:sz="4" w:space="0" w:color="auto"/>
              <w:right w:val="single" w:sz="4" w:space="0" w:color="auto"/>
            </w:tcBorders>
            <w:shd w:val="clear" w:color="auto" w:fill="auto"/>
            <w:noWrap/>
            <w:vAlign w:val="center"/>
          </w:tcPr>
          <w:p w14:paraId="6A6D0A39"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7.6%</w:t>
            </w:r>
          </w:p>
        </w:tc>
        <w:tc>
          <w:tcPr>
            <w:tcW w:w="1049" w:type="dxa"/>
            <w:tcBorders>
              <w:top w:val="nil"/>
              <w:left w:val="nil"/>
              <w:bottom w:val="single" w:sz="4" w:space="0" w:color="auto"/>
              <w:right w:val="single" w:sz="4" w:space="0" w:color="auto"/>
            </w:tcBorders>
            <w:shd w:val="clear" w:color="auto" w:fill="auto"/>
            <w:noWrap/>
            <w:vAlign w:val="center"/>
            <w:hideMark/>
          </w:tcPr>
          <w:p w14:paraId="742E1814"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3DE3E3D8" w14:textId="77777777" w:rsidTr="00D14FA8">
        <w:trPr>
          <w:trHeight w:val="236"/>
        </w:trPr>
        <w:tc>
          <w:tcPr>
            <w:tcW w:w="5445" w:type="dxa"/>
            <w:tcBorders>
              <w:top w:val="nil"/>
              <w:left w:val="nil"/>
              <w:bottom w:val="nil"/>
              <w:right w:val="nil"/>
            </w:tcBorders>
            <w:shd w:val="clear" w:color="auto" w:fill="auto"/>
            <w:noWrap/>
            <w:vAlign w:val="center"/>
            <w:hideMark/>
          </w:tcPr>
          <w:p w14:paraId="739DD735" w14:textId="77777777" w:rsidR="004375B5" w:rsidRPr="00765B5D" w:rsidRDefault="004375B5" w:rsidP="004375B5">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Norma e interesit - It</w:t>
            </w:r>
          </w:p>
        </w:tc>
        <w:tc>
          <w:tcPr>
            <w:tcW w:w="917" w:type="dxa"/>
            <w:tcBorders>
              <w:top w:val="nil"/>
              <w:left w:val="single" w:sz="4" w:space="0" w:color="auto"/>
              <w:bottom w:val="single" w:sz="4" w:space="0" w:color="auto"/>
              <w:right w:val="single" w:sz="4" w:space="0" w:color="auto"/>
            </w:tcBorders>
          </w:tcPr>
          <w:p w14:paraId="696F17B3" w14:textId="0072ACD0"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09560BC9" w14:textId="515949B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7.4%</w:t>
            </w:r>
          </w:p>
        </w:tc>
        <w:tc>
          <w:tcPr>
            <w:tcW w:w="932" w:type="dxa"/>
            <w:tcBorders>
              <w:top w:val="nil"/>
              <w:left w:val="nil"/>
              <w:bottom w:val="single" w:sz="4" w:space="0" w:color="auto"/>
              <w:right w:val="single" w:sz="4" w:space="0" w:color="auto"/>
            </w:tcBorders>
            <w:shd w:val="clear" w:color="auto" w:fill="auto"/>
            <w:noWrap/>
            <w:vAlign w:val="center"/>
          </w:tcPr>
          <w:p w14:paraId="450ED77D" w14:textId="62D3651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7.3%</w:t>
            </w:r>
          </w:p>
        </w:tc>
        <w:tc>
          <w:tcPr>
            <w:tcW w:w="1049" w:type="dxa"/>
            <w:tcBorders>
              <w:top w:val="nil"/>
              <w:left w:val="nil"/>
              <w:bottom w:val="single" w:sz="4" w:space="0" w:color="auto"/>
              <w:right w:val="single" w:sz="4" w:space="0" w:color="auto"/>
            </w:tcBorders>
            <w:shd w:val="clear" w:color="auto" w:fill="auto"/>
            <w:vAlign w:val="center"/>
            <w:hideMark/>
          </w:tcPr>
          <w:p w14:paraId="656DBC76" w14:textId="29E2F1D6"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223397C0"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6AA89B4D"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Shpenzimet operative dhe te mirëmbajtjes (OPMCt)</w:t>
            </w:r>
          </w:p>
        </w:tc>
        <w:tc>
          <w:tcPr>
            <w:tcW w:w="917" w:type="dxa"/>
            <w:tcBorders>
              <w:top w:val="nil"/>
              <w:left w:val="nil"/>
              <w:bottom w:val="single" w:sz="4" w:space="0" w:color="auto"/>
              <w:right w:val="nil"/>
            </w:tcBorders>
            <w:shd w:val="clear" w:color="auto" w:fill="B8CCE4" w:themeFill="accent1" w:themeFillTint="66"/>
          </w:tcPr>
          <w:p w14:paraId="54759D3D"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vAlign w:val="center"/>
          </w:tcPr>
          <w:p w14:paraId="615ABDE6" w14:textId="65ED1CC5"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vAlign w:val="center"/>
            <w:hideMark/>
          </w:tcPr>
          <w:p w14:paraId="71341417"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vAlign w:val="center"/>
            <w:hideMark/>
          </w:tcPr>
          <w:p w14:paraId="75F3BA00"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r>
      <w:tr w:rsidR="004375B5" w:rsidRPr="00765B5D" w14:paraId="6E00AD97"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30515D12"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Vlerësimi gjate PRR2</w:t>
            </w:r>
          </w:p>
        </w:tc>
        <w:tc>
          <w:tcPr>
            <w:tcW w:w="917" w:type="dxa"/>
            <w:tcBorders>
              <w:top w:val="single" w:sz="4" w:space="0" w:color="auto"/>
              <w:left w:val="single" w:sz="4" w:space="0" w:color="auto"/>
              <w:bottom w:val="single" w:sz="4" w:space="0" w:color="auto"/>
              <w:right w:val="single" w:sz="4" w:space="0" w:color="auto"/>
            </w:tcBorders>
          </w:tcPr>
          <w:p w14:paraId="7E193B81" w14:textId="5DA9D491"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3C6C377B" w14:textId="3F1E07A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25.85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E994F83"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25.53</w:t>
            </w:r>
          </w:p>
        </w:tc>
        <w:tc>
          <w:tcPr>
            <w:tcW w:w="1049" w:type="dxa"/>
            <w:tcBorders>
              <w:top w:val="single" w:sz="4" w:space="0" w:color="auto"/>
              <w:left w:val="nil"/>
              <w:bottom w:val="single" w:sz="4" w:space="0" w:color="auto"/>
              <w:right w:val="single" w:sz="4" w:space="0" w:color="auto"/>
            </w:tcBorders>
            <w:shd w:val="clear" w:color="auto" w:fill="auto"/>
            <w:vAlign w:val="center"/>
          </w:tcPr>
          <w:p w14:paraId="7A8C28A8"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25.21</w:t>
            </w:r>
          </w:p>
        </w:tc>
      </w:tr>
      <w:tr w:rsidR="004375B5" w:rsidRPr="00765B5D" w14:paraId="55124CAA" w14:textId="77777777" w:rsidTr="00D14FA8">
        <w:trPr>
          <w:trHeight w:val="236"/>
        </w:trPr>
        <w:tc>
          <w:tcPr>
            <w:tcW w:w="5445" w:type="dxa"/>
            <w:tcBorders>
              <w:top w:val="nil"/>
              <w:left w:val="nil"/>
              <w:bottom w:val="nil"/>
              <w:right w:val="nil"/>
            </w:tcBorders>
            <w:shd w:val="clear" w:color="auto" w:fill="auto"/>
            <w:noWrap/>
            <w:vAlign w:val="center"/>
            <w:hideMark/>
          </w:tcPr>
          <w:p w14:paraId="2B105DBD"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Lejuar - OPMCt = OPMCt-1 * (1 + CPIt-1) * (1 – Et)* (1 – Pt)</w:t>
            </w:r>
          </w:p>
        </w:tc>
        <w:tc>
          <w:tcPr>
            <w:tcW w:w="917" w:type="dxa"/>
            <w:tcBorders>
              <w:top w:val="single" w:sz="4" w:space="0" w:color="auto"/>
              <w:left w:val="single" w:sz="4" w:space="0" w:color="auto"/>
              <w:bottom w:val="single" w:sz="4" w:space="0" w:color="auto"/>
              <w:right w:val="single" w:sz="4" w:space="0" w:color="auto"/>
            </w:tcBorders>
          </w:tcPr>
          <w:p w14:paraId="69EA3093" w14:textId="574CA0E8"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E8D415" w14:textId="290CC4E4"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26.30</w:t>
            </w:r>
          </w:p>
        </w:tc>
        <w:tc>
          <w:tcPr>
            <w:tcW w:w="932" w:type="dxa"/>
            <w:tcBorders>
              <w:top w:val="nil"/>
              <w:left w:val="nil"/>
              <w:bottom w:val="single" w:sz="4" w:space="0" w:color="auto"/>
              <w:right w:val="single" w:sz="4" w:space="0" w:color="auto"/>
            </w:tcBorders>
            <w:shd w:val="clear" w:color="auto" w:fill="auto"/>
            <w:vAlign w:val="center"/>
          </w:tcPr>
          <w:p w14:paraId="581CFADA"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25.84</w:t>
            </w:r>
          </w:p>
        </w:tc>
        <w:tc>
          <w:tcPr>
            <w:tcW w:w="1049" w:type="dxa"/>
            <w:tcBorders>
              <w:top w:val="nil"/>
              <w:left w:val="nil"/>
              <w:bottom w:val="single" w:sz="4" w:space="0" w:color="auto"/>
              <w:right w:val="single" w:sz="4" w:space="0" w:color="auto"/>
            </w:tcBorders>
            <w:shd w:val="clear" w:color="auto" w:fill="auto"/>
            <w:vAlign w:val="center"/>
          </w:tcPr>
          <w:p w14:paraId="6AD05323"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25.28</w:t>
            </w:r>
          </w:p>
        </w:tc>
      </w:tr>
      <w:tr w:rsidR="004375B5" w:rsidRPr="00765B5D" w14:paraId="519A7ED4" w14:textId="77777777" w:rsidTr="00D14FA8">
        <w:trPr>
          <w:trHeight w:val="236"/>
        </w:trPr>
        <w:tc>
          <w:tcPr>
            <w:tcW w:w="5445" w:type="dxa"/>
            <w:tcBorders>
              <w:top w:val="nil"/>
              <w:left w:val="nil"/>
              <w:bottom w:val="nil"/>
              <w:right w:val="nil"/>
            </w:tcBorders>
            <w:shd w:val="clear" w:color="auto" w:fill="auto"/>
            <w:noWrap/>
            <w:vAlign w:val="center"/>
            <w:hideMark/>
          </w:tcPr>
          <w:p w14:paraId="3A1405C7"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Kostot shtesë të OPEX-it</w:t>
            </w:r>
          </w:p>
        </w:tc>
        <w:tc>
          <w:tcPr>
            <w:tcW w:w="917" w:type="dxa"/>
            <w:tcBorders>
              <w:top w:val="single" w:sz="4" w:space="0" w:color="auto"/>
              <w:left w:val="single" w:sz="4" w:space="0" w:color="auto"/>
              <w:bottom w:val="single" w:sz="4" w:space="0" w:color="auto"/>
              <w:right w:val="single" w:sz="4" w:space="0" w:color="auto"/>
            </w:tcBorders>
          </w:tcPr>
          <w:p w14:paraId="03719DF3" w14:textId="31C5C324"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2E6BFA" w14:textId="585657C2"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p>
        </w:tc>
        <w:tc>
          <w:tcPr>
            <w:tcW w:w="932" w:type="dxa"/>
            <w:tcBorders>
              <w:top w:val="nil"/>
              <w:left w:val="nil"/>
              <w:bottom w:val="single" w:sz="4" w:space="0" w:color="auto"/>
              <w:right w:val="single" w:sz="4" w:space="0" w:color="auto"/>
            </w:tcBorders>
            <w:shd w:val="clear" w:color="auto" w:fill="auto"/>
            <w:vAlign w:val="center"/>
            <w:hideMark/>
          </w:tcPr>
          <w:p w14:paraId="68F110A3" w14:textId="77777777"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Pr>
                <w:rFonts w:asciiTheme="minorHAnsi" w:eastAsia="Times New Roman" w:hAnsiTheme="minorHAnsi" w:cstheme="minorHAnsi"/>
                <w:bCs/>
                <w:color w:val="000000"/>
                <w:sz w:val="20"/>
                <w:szCs w:val="20"/>
                <w:lang w:val="sq-AL"/>
              </w:rPr>
              <w:t>0.24</w:t>
            </w:r>
          </w:p>
        </w:tc>
        <w:tc>
          <w:tcPr>
            <w:tcW w:w="1049" w:type="dxa"/>
            <w:tcBorders>
              <w:top w:val="nil"/>
              <w:left w:val="nil"/>
              <w:bottom w:val="single" w:sz="4" w:space="0" w:color="auto"/>
              <w:right w:val="single" w:sz="4" w:space="0" w:color="auto"/>
            </w:tcBorders>
            <w:shd w:val="clear" w:color="auto" w:fill="auto"/>
            <w:vAlign w:val="center"/>
          </w:tcPr>
          <w:p w14:paraId="03182D9C" w14:textId="77777777"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Pr>
                <w:rFonts w:asciiTheme="minorHAnsi" w:eastAsia="Times New Roman" w:hAnsiTheme="minorHAnsi" w:cstheme="minorHAnsi"/>
                <w:bCs/>
                <w:color w:val="000000"/>
                <w:sz w:val="20"/>
                <w:szCs w:val="20"/>
                <w:lang w:val="sq-AL"/>
              </w:rPr>
              <w:t>0.24</w:t>
            </w:r>
          </w:p>
        </w:tc>
      </w:tr>
      <w:tr w:rsidR="004375B5" w:rsidRPr="00765B5D" w14:paraId="5A18C55A"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2F007DF6"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Kostot  e zhvlerësimit (DEPCt)</w:t>
            </w:r>
          </w:p>
        </w:tc>
        <w:tc>
          <w:tcPr>
            <w:tcW w:w="917" w:type="dxa"/>
            <w:tcBorders>
              <w:top w:val="nil"/>
              <w:left w:val="nil"/>
              <w:bottom w:val="single" w:sz="4" w:space="0" w:color="auto"/>
              <w:right w:val="nil"/>
            </w:tcBorders>
            <w:shd w:val="clear" w:color="auto" w:fill="B8CCE4" w:themeFill="accent1" w:themeFillTint="66"/>
          </w:tcPr>
          <w:p w14:paraId="7C5E837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40ED02E9" w14:textId="38C5190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hideMark/>
          </w:tcPr>
          <w:p w14:paraId="5F95757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03C93C3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3DE2C2CE"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357FBB2"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Vlerësimi gjate PRR2</w:t>
            </w:r>
          </w:p>
        </w:tc>
        <w:tc>
          <w:tcPr>
            <w:tcW w:w="917" w:type="dxa"/>
            <w:tcBorders>
              <w:top w:val="single" w:sz="4" w:space="0" w:color="auto"/>
              <w:left w:val="single" w:sz="4" w:space="0" w:color="auto"/>
              <w:bottom w:val="single" w:sz="4" w:space="0" w:color="auto"/>
              <w:right w:val="single" w:sz="4" w:space="0" w:color="auto"/>
            </w:tcBorders>
          </w:tcPr>
          <w:p w14:paraId="19D3706A" w14:textId="0AD11D7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F5A64">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615F81A7" w14:textId="50E5C56B"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14.44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7FDC108"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15.23</w:t>
            </w:r>
          </w:p>
        </w:tc>
        <w:tc>
          <w:tcPr>
            <w:tcW w:w="1049" w:type="dxa"/>
            <w:tcBorders>
              <w:top w:val="single" w:sz="4" w:space="0" w:color="auto"/>
              <w:left w:val="nil"/>
              <w:bottom w:val="single" w:sz="4" w:space="0" w:color="auto"/>
              <w:right w:val="single" w:sz="4" w:space="0" w:color="auto"/>
            </w:tcBorders>
            <w:shd w:val="clear" w:color="auto" w:fill="auto"/>
            <w:vAlign w:val="center"/>
          </w:tcPr>
          <w:p w14:paraId="4CE30FD2"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16.17</w:t>
            </w:r>
          </w:p>
        </w:tc>
      </w:tr>
      <w:tr w:rsidR="004375B5" w:rsidRPr="00765B5D" w14:paraId="4A1C9675" w14:textId="77777777" w:rsidTr="00D14FA8">
        <w:trPr>
          <w:trHeight w:val="236"/>
        </w:trPr>
        <w:tc>
          <w:tcPr>
            <w:tcW w:w="5445" w:type="dxa"/>
            <w:tcBorders>
              <w:top w:val="nil"/>
              <w:left w:val="nil"/>
              <w:bottom w:val="nil"/>
              <w:right w:val="nil"/>
            </w:tcBorders>
            <w:shd w:val="clear" w:color="auto" w:fill="auto"/>
            <w:noWrap/>
            <w:vAlign w:val="center"/>
            <w:hideMark/>
          </w:tcPr>
          <w:p w14:paraId="3F5838AB"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Lejuar - DEPCt = DEPCt-1 * (1 + CPIt-1) * (1 – Pt)</w:t>
            </w:r>
          </w:p>
        </w:tc>
        <w:tc>
          <w:tcPr>
            <w:tcW w:w="917" w:type="dxa"/>
            <w:tcBorders>
              <w:top w:val="single" w:sz="4" w:space="0" w:color="auto"/>
              <w:left w:val="single" w:sz="4" w:space="0" w:color="auto"/>
              <w:bottom w:val="single" w:sz="4" w:space="0" w:color="auto"/>
              <w:right w:val="single" w:sz="4" w:space="0" w:color="auto"/>
            </w:tcBorders>
          </w:tcPr>
          <w:p w14:paraId="27F79196" w14:textId="13650719"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CF5A64">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682DE2D" w14:textId="5F8C647A"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14.65</w:t>
            </w:r>
          </w:p>
        </w:tc>
        <w:tc>
          <w:tcPr>
            <w:tcW w:w="932" w:type="dxa"/>
            <w:tcBorders>
              <w:top w:val="nil"/>
              <w:left w:val="nil"/>
              <w:bottom w:val="single" w:sz="4" w:space="0" w:color="auto"/>
              <w:right w:val="single" w:sz="4" w:space="0" w:color="auto"/>
            </w:tcBorders>
            <w:shd w:val="clear" w:color="auto" w:fill="auto"/>
            <w:vAlign w:val="center"/>
          </w:tcPr>
          <w:p w14:paraId="559226F5"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15.40</w:t>
            </w:r>
          </w:p>
        </w:tc>
        <w:tc>
          <w:tcPr>
            <w:tcW w:w="1049" w:type="dxa"/>
            <w:tcBorders>
              <w:top w:val="nil"/>
              <w:left w:val="nil"/>
              <w:bottom w:val="single" w:sz="4" w:space="0" w:color="auto"/>
              <w:right w:val="single" w:sz="4" w:space="0" w:color="auto"/>
            </w:tcBorders>
            <w:shd w:val="clear" w:color="auto" w:fill="auto"/>
            <w:vAlign w:val="center"/>
          </w:tcPr>
          <w:p w14:paraId="62ED7133"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16.21</w:t>
            </w:r>
          </w:p>
        </w:tc>
      </w:tr>
      <w:tr w:rsidR="004375B5" w:rsidRPr="00765B5D" w14:paraId="6324B12E"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45C4D3AE"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Kostot e kthimit (RTNCt)</w:t>
            </w:r>
          </w:p>
        </w:tc>
        <w:tc>
          <w:tcPr>
            <w:tcW w:w="917" w:type="dxa"/>
            <w:tcBorders>
              <w:top w:val="nil"/>
              <w:left w:val="nil"/>
              <w:bottom w:val="single" w:sz="4" w:space="0" w:color="auto"/>
              <w:right w:val="nil"/>
            </w:tcBorders>
            <w:shd w:val="clear" w:color="auto" w:fill="B8CCE4" w:themeFill="accent1" w:themeFillTint="66"/>
          </w:tcPr>
          <w:p w14:paraId="079EFC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2AF99780" w14:textId="5F98E53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hideMark/>
          </w:tcPr>
          <w:p w14:paraId="4435C27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5D716B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7622234C" w14:textId="77777777" w:rsidTr="00D14FA8">
        <w:trPr>
          <w:trHeight w:val="278"/>
        </w:trPr>
        <w:tc>
          <w:tcPr>
            <w:tcW w:w="5445" w:type="dxa"/>
            <w:tcBorders>
              <w:top w:val="nil"/>
              <w:left w:val="nil"/>
              <w:bottom w:val="nil"/>
              <w:right w:val="single" w:sz="4" w:space="0" w:color="auto"/>
            </w:tcBorders>
            <w:shd w:val="clear" w:color="auto" w:fill="auto"/>
            <w:noWrap/>
            <w:vAlign w:val="center"/>
            <w:hideMark/>
          </w:tcPr>
          <w:p w14:paraId="11AE1B4A" w14:textId="77777777" w:rsidR="004375B5" w:rsidRPr="00765B5D" w:rsidRDefault="004375B5" w:rsidP="004375B5">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Vlerësimi gjatë MYT</w:t>
            </w:r>
          </w:p>
        </w:tc>
        <w:tc>
          <w:tcPr>
            <w:tcW w:w="917" w:type="dxa"/>
            <w:tcBorders>
              <w:top w:val="single" w:sz="4" w:space="0" w:color="auto"/>
              <w:left w:val="single" w:sz="4" w:space="0" w:color="auto"/>
              <w:bottom w:val="single" w:sz="4" w:space="0" w:color="auto"/>
              <w:right w:val="single" w:sz="4" w:space="0" w:color="auto"/>
            </w:tcBorders>
          </w:tcPr>
          <w:p w14:paraId="7D7A2E38" w14:textId="07AE816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013FB">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5F5996BC" w14:textId="79383C9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13.39</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F894A0"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14.95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7D6A67EE"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15.90</w:t>
            </w:r>
          </w:p>
        </w:tc>
      </w:tr>
      <w:tr w:rsidR="004375B5" w:rsidRPr="00765B5D" w14:paraId="28FF93EF" w14:textId="77777777" w:rsidTr="00D14FA8">
        <w:trPr>
          <w:trHeight w:val="278"/>
        </w:trPr>
        <w:tc>
          <w:tcPr>
            <w:tcW w:w="5445" w:type="dxa"/>
            <w:tcBorders>
              <w:top w:val="nil"/>
              <w:left w:val="nil"/>
              <w:bottom w:val="nil"/>
              <w:right w:val="nil"/>
            </w:tcBorders>
            <w:shd w:val="clear" w:color="auto" w:fill="auto"/>
            <w:noWrap/>
            <w:vAlign w:val="center"/>
            <w:hideMark/>
          </w:tcPr>
          <w:p w14:paraId="16B114F8" w14:textId="77777777" w:rsidR="004375B5" w:rsidRPr="00765B5D" w:rsidRDefault="004375B5" w:rsidP="004375B5">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Lejuar - RTNCt = RTNCt-1 * (1 + CPIt-1) * (1 – Pt)</w:t>
            </w:r>
          </w:p>
        </w:tc>
        <w:tc>
          <w:tcPr>
            <w:tcW w:w="917" w:type="dxa"/>
            <w:tcBorders>
              <w:top w:val="single" w:sz="4" w:space="0" w:color="auto"/>
              <w:left w:val="single" w:sz="4" w:space="0" w:color="auto"/>
              <w:bottom w:val="single" w:sz="4" w:space="0" w:color="auto"/>
              <w:right w:val="single" w:sz="4" w:space="0" w:color="auto"/>
            </w:tcBorders>
          </w:tcPr>
          <w:p w14:paraId="29F97ABA" w14:textId="4CA6B15E"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3013FB">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27E3966" w14:textId="534C1CCB"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13.59</w:t>
            </w:r>
          </w:p>
        </w:tc>
        <w:tc>
          <w:tcPr>
            <w:tcW w:w="932" w:type="dxa"/>
            <w:tcBorders>
              <w:top w:val="nil"/>
              <w:left w:val="nil"/>
              <w:bottom w:val="single" w:sz="4" w:space="0" w:color="auto"/>
              <w:right w:val="single" w:sz="4" w:space="0" w:color="auto"/>
            </w:tcBorders>
            <w:shd w:val="clear" w:color="auto" w:fill="auto"/>
            <w:vAlign w:val="center"/>
          </w:tcPr>
          <w:p w14:paraId="5F6CC695"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15.12</w:t>
            </w:r>
          </w:p>
        </w:tc>
        <w:tc>
          <w:tcPr>
            <w:tcW w:w="1049" w:type="dxa"/>
            <w:tcBorders>
              <w:top w:val="nil"/>
              <w:left w:val="nil"/>
              <w:bottom w:val="single" w:sz="4" w:space="0" w:color="auto"/>
              <w:right w:val="single" w:sz="4" w:space="0" w:color="auto"/>
            </w:tcBorders>
            <w:shd w:val="clear" w:color="auto" w:fill="auto"/>
            <w:vAlign w:val="center"/>
          </w:tcPr>
          <w:p w14:paraId="6B0B3BBC"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15.94</w:t>
            </w:r>
          </w:p>
        </w:tc>
      </w:tr>
      <w:tr w:rsidR="004375B5" w:rsidRPr="00765B5D" w14:paraId="12A7077A"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6FDAFC62"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Obligimet ndaj KOSTT-it</w:t>
            </w:r>
          </w:p>
        </w:tc>
        <w:tc>
          <w:tcPr>
            <w:tcW w:w="917" w:type="dxa"/>
            <w:tcBorders>
              <w:top w:val="nil"/>
              <w:left w:val="nil"/>
              <w:bottom w:val="nil"/>
              <w:right w:val="nil"/>
            </w:tcBorders>
            <w:shd w:val="clear" w:color="auto" w:fill="B8CCE4" w:themeFill="accent1" w:themeFillTint="66"/>
          </w:tcPr>
          <w:p w14:paraId="2E02F04F"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B8CCE4" w:themeFill="accent1" w:themeFillTint="66"/>
            <w:noWrap/>
            <w:vAlign w:val="center"/>
          </w:tcPr>
          <w:p w14:paraId="3F111D29" w14:textId="62E60962"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tcPr>
          <w:p w14:paraId="0E98748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09BC2A14"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08A96798" w14:textId="77777777" w:rsidTr="00D14FA8">
        <w:trPr>
          <w:trHeight w:val="278"/>
        </w:trPr>
        <w:tc>
          <w:tcPr>
            <w:tcW w:w="5445" w:type="dxa"/>
            <w:tcBorders>
              <w:top w:val="nil"/>
              <w:left w:val="nil"/>
              <w:bottom w:val="nil"/>
              <w:right w:val="nil"/>
            </w:tcBorders>
            <w:shd w:val="clear" w:color="auto" w:fill="auto"/>
            <w:noWrap/>
            <w:vAlign w:val="center"/>
            <w:hideMark/>
          </w:tcPr>
          <w:p w14:paraId="2CD68E5E"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Obligimet ndaj KOSTT-it -parashikim</w:t>
            </w:r>
          </w:p>
        </w:tc>
        <w:tc>
          <w:tcPr>
            <w:tcW w:w="917" w:type="dxa"/>
            <w:tcBorders>
              <w:top w:val="single" w:sz="4" w:space="0" w:color="auto"/>
              <w:left w:val="single" w:sz="4" w:space="0" w:color="auto"/>
              <w:bottom w:val="single" w:sz="4" w:space="0" w:color="auto"/>
              <w:right w:val="single" w:sz="4" w:space="0" w:color="auto"/>
            </w:tcBorders>
          </w:tcPr>
          <w:p w14:paraId="7814072C" w14:textId="599FF56A"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C2569">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E2064B8" w14:textId="41C9DC44"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1.23</w:t>
            </w:r>
          </w:p>
        </w:tc>
        <w:tc>
          <w:tcPr>
            <w:tcW w:w="932" w:type="dxa"/>
            <w:tcBorders>
              <w:top w:val="single" w:sz="4" w:space="0" w:color="auto"/>
              <w:left w:val="nil"/>
              <w:bottom w:val="single" w:sz="4" w:space="0" w:color="auto"/>
              <w:right w:val="single" w:sz="4" w:space="0" w:color="auto"/>
            </w:tcBorders>
            <w:shd w:val="clear" w:color="auto" w:fill="auto"/>
            <w:vAlign w:val="center"/>
          </w:tcPr>
          <w:p w14:paraId="7BC4C600"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sz w:val="20"/>
                <w:szCs w:val="20"/>
                <w:lang w:val="sq-AL"/>
              </w:rPr>
              <w:t>0.92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6ECE210" w14:textId="3ACDB99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2.02</w:t>
            </w:r>
          </w:p>
        </w:tc>
      </w:tr>
      <w:tr w:rsidR="004375B5" w:rsidRPr="00765B5D" w14:paraId="0F8630DD" w14:textId="77777777" w:rsidTr="00D14FA8">
        <w:trPr>
          <w:trHeight w:val="278"/>
        </w:trPr>
        <w:tc>
          <w:tcPr>
            <w:tcW w:w="5445" w:type="dxa"/>
            <w:tcBorders>
              <w:top w:val="nil"/>
              <w:left w:val="nil"/>
              <w:bottom w:val="nil"/>
              <w:right w:val="nil"/>
            </w:tcBorders>
            <w:shd w:val="clear" w:color="auto" w:fill="auto"/>
            <w:noWrap/>
            <w:vAlign w:val="center"/>
          </w:tcPr>
          <w:p w14:paraId="151EDF0C" w14:textId="2DAE2779"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Obligimet ndaj KOSTT-it </w:t>
            </w:r>
            <w:r>
              <w:rPr>
                <w:rFonts w:asciiTheme="minorHAnsi" w:eastAsia="Times New Roman" w:hAnsiTheme="minorHAnsi" w:cstheme="minorHAnsi"/>
                <w:sz w:val="20"/>
                <w:szCs w:val="20"/>
                <w:lang w:val="sq-AL"/>
              </w:rPr>
              <w:t>– aktual</w:t>
            </w:r>
          </w:p>
        </w:tc>
        <w:tc>
          <w:tcPr>
            <w:tcW w:w="917" w:type="dxa"/>
            <w:tcBorders>
              <w:top w:val="single" w:sz="4" w:space="0" w:color="auto"/>
              <w:left w:val="single" w:sz="4" w:space="0" w:color="auto"/>
              <w:bottom w:val="single" w:sz="4" w:space="0" w:color="auto"/>
              <w:right w:val="single" w:sz="4" w:space="0" w:color="auto"/>
            </w:tcBorders>
          </w:tcPr>
          <w:p w14:paraId="244A92BD" w14:textId="6896CAE8"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C2569">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C5F7F89" w14:textId="3364277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p>
        </w:tc>
        <w:tc>
          <w:tcPr>
            <w:tcW w:w="932" w:type="dxa"/>
            <w:tcBorders>
              <w:top w:val="single" w:sz="4" w:space="0" w:color="auto"/>
              <w:left w:val="nil"/>
              <w:bottom w:val="single" w:sz="4" w:space="0" w:color="auto"/>
              <w:right w:val="single" w:sz="4" w:space="0" w:color="auto"/>
            </w:tcBorders>
            <w:shd w:val="clear" w:color="auto" w:fill="auto"/>
            <w:vAlign w:val="center"/>
          </w:tcPr>
          <w:p w14:paraId="56ACA31A" w14:textId="1EB3094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1.07</w:t>
            </w:r>
          </w:p>
        </w:tc>
        <w:tc>
          <w:tcPr>
            <w:tcW w:w="1049" w:type="dxa"/>
            <w:tcBorders>
              <w:top w:val="single" w:sz="4" w:space="0" w:color="auto"/>
              <w:left w:val="nil"/>
              <w:bottom w:val="single" w:sz="4" w:space="0" w:color="auto"/>
              <w:right w:val="single" w:sz="4" w:space="0" w:color="auto"/>
            </w:tcBorders>
            <w:shd w:val="clear" w:color="auto" w:fill="auto"/>
            <w:vAlign w:val="center"/>
          </w:tcPr>
          <w:p w14:paraId="37FA11B5" w14:textId="77777777" w:rsidR="004375B5"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003903C5"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0E9AC9F0"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Kostot e humbjeve  (LSSCt)</w:t>
            </w:r>
          </w:p>
        </w:tc>
        <w:tc>
          <w:tcPr>
            <w:tcW w:w="917" w:type="dxa"/>
            <w:tcBorders>
              <w:top w:val="single" w:sz="4" w:space="0" w:color="auto"/>
              <w:left w:val="nil"/>
              <w:bottom w:val="nil"/>
              <w:right w:val="nil"/>
            </w:tcBorders>
            <w:shd w:val="clear" w:color="auto" w:fill="B8CCE4" w:themeFill="accent1" w:themeFillTint="66"/>
          </w:tcPr>
          <w:p w14:paraId="0F2D471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nil"/>
              <w:right w:val="nil"/>
            </w:tcBorders>
            <w:shd w:val="clear" w:color="auto" w:fill="B8CCE4" w:themeFill="accent1" w:themeFillTint="66"/>
            <w:noWrap/>
            <w:vAlign w:val="center"/>
          </w:tcPr>
          <w:p w14:paraId="6341BF19" w14:textId="5BEC3154"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nil"/>
              <w:right w:val="nil"/>
            </w:tcBorders>
            <w:shd w:val="clear" w:color="auto" w:fill="B8CCE4" w:themeFill="accent1" w:themeFillTint="66"/>
            <w:noWrap/>
            <w:vAlign w:val="center"/>
          </w:tcPr>
          <w:p w14:paraId="6C4D03C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nil"/>
              <w:right w:val="nil"/>
            </w:tcBorders>
            <w:shd w:val="clear" w:color="auto" w:fill="B8CCE4" w:themeFill="accent1" w:themeFillTint="66"/>
            <w:noWrap/>
            <w:vAlign w:val="center"/>
            <w:hideMark/>
          </w:tcPr>
          <w:p w14:paraId="619730D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06A2469C" w14:textId="77777777" w:rsidTr="00D14FA8">
        <w:trPr>
          <w:trHeight w:val="278"/>
        </w:trPr>
        <w:tc>
          <w:tcPr>
            <w:tcW w:w="5445" w:type="dxa"/>
            <w:tcBorders>
              <w:top w:val="nil"/>
              <w:left w:val="nil"/>
              <w:bottom w:val="nil"/>
              <w:right w:val="nil"/>
            </w:tcBorders>
            <w:shd w:val="clear" w:color="auto" w:fill="auto"/>
            <w:noWrap/>
            <w:vAlign w:val="center"/>
            <w:hideMark/>
          </w:tcPr>
          <w:p w14:paraId="26524C5F"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Parashikim</w:t>
            </w:r>
          </w:p>
        </w:tc>
        <w:tc>
          <w:tcPr>
            <w:tcW w:w="917" w:type="dxa"/>
            <w:tcBorders>
              <w:top w:val="nil"/>
              <w:left w:val="nil"/>
              <w:bottom w:val="nil"/>
              <w:right w:val="nil"/>
            </w:tcBorders>
          </w:tcPr>
          <w:p w14:paraId="344CAE1C"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auto"/>
            <w:noWrap/>
            <w:vAlign w:val="center"/>
          </w:tcPr>
          <w:p w14:paraId="3E48AE02" w14:textId="570D4CE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auto"/>
            <w:noWrap/>
            <w:vAlign w:val="center"/>
          </w:tcPr>
          <w:p w14:paraId="05484E4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auto"/>
            <w:noWrap/>
            <w:vAlign w:val="center"/>
            <w:hideMark/>
          </w:tcPr>
          <w:p w14:paraId="41EEF1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1E3E7FFD" w14:textId="77777777" w:rsidTr="00D14FA8">
        <w:trPr>
          <w:trHeight w:val="278"/>
        </w:trPr>
        <w:tc>
          <w:tcPr>
            <w:tcW w:w="5445" w:type="dxa"/>
            <w:tcBorders>
              <w:top w:val="nil"/>
              <w:left w:val="nil"/>
              <w:bottom w:val="nil"/>
              <w:right w:val="nil"/>
            </w:tcBorders>
            <w:shd w:val="clear" w:color="auto" w:fill="auto"/>
            <w:noWrap/>
            <w:vAlign w:val="center"/>
            <w:hideMark/>
          </w:tcPr>
          <w:p w14:paraId="1A7B7BB5"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LSSAt</w:t>
            </w:r>
          </w:p>
        </w:tc>
        <w:tc>
          <w:tcPr>
            <w:tcW w:w="917" w:type="dxa"/>
            <w:tcBorders>
              <w:top w:val="single" w:sz="4" w:space="0" w:color="auto"/>
              <w:left w:val="single" w:sz="4" w:space="0" w:color="auto"/>
              <w:bottom w:val="single" w:sz="4" w:space="0" w:color="auto"/>
              <w:right w:val="single" w:sz="4" w:space="0" w:color="auto"/>
            </w:tcBorders>
          </w:tcPr>
          <w:p w14:paraId="768060F5" w14:textId="3B0646F1"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45889A" w14:textId="7CC040B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1C96381D" w14:textId="748BFA1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9F384E7" w14:textId="5FB4FD1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16.40%</w:t>
            </w:r>
          </w:p>
        </w:tc>
      </w:tr>
      <w:tr w:rsidR="004375B5" w:rsidRPr="00765B5D" w14:paraId="0FFEC059" w14:textId="77777777" w:rsidTr="00D14FA8">
        <w:trPr>
          <w:trHeight w:val="278"/>
        </w:trPr>
        <w:tc>
          <w:tcPr>
            <w:tcW w:w="5445" w:type="dxa"/>
            <w:tcBorders>
              <w:top w:val="nil"/>
              <w:left w:val="nil"/>
              <w:bottom w:val="nil"/>
              <w:right w:val="nil"/>
            </w:tcBorders>
            <w:shd w:val="clear" w:color="auto" w:fill="auto"/>
            <w:noWrap/>
            <w:vAlign w:val="center"/>
            <w:hideMark/>
          </w:tcPr>
          <w:p w14:paraId="5EC0E03B"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REUEt</w:t>
            </w:r>
          </w:p>
        </w:tc>
        <w:tc>
          <w:tcPr>
            <w:tcW w:w="917" w:type="dxa"/>
            <w:tcBorders>
              <w:top w:val="nil"/>
              <w:left w:val="single" w:sz="4" w:space="0" w:color="auto"/>
              <w:bottom w:val="single" w:sz="4" w:space="0" w:color="auto"/>
              <w:right w:val="single" w:sz="4" w:space="0" w:color="auto"/>
            </w:tcBorders>
          </w:tcPr>
          <w:p w14:paraId="4DEB6A28" w14:textId="7ADC4D69"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286710AD" w14:textId="3614902A"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4,964.9</w:t>
            </w:r>
          </w:p>
        </w:tc>
        <w:tc>
          <w:tcPr>
            <w:tcW w:w="932" w:type="dxa"/>
            <w:tcBorders>
              <w:top w:val="nil"/>
              <w:left w:val="nil"/>
              <w:bottom w:val="single" w:sz="4" w:space="0" w:color="auto"/>
              <w:right w:val="single" w:sz="4" w:space="0" w:color="auto"/>
            </w:tcBorders>
            <w:shd w:val="clear" w:color="auto" w:fill="auto"/>
            <w:vAlign w:val="center"/>
          </w:tcPr>
          <w:p w14:paraId="14F77D24" w14:textId="219777CF"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5,41</w:t>
            </w:r>
            <w:r>
              <w:rPr>
                <w:rFonts w:asciiTheme="minorHAnsi" w:eastAsia="Times New Roman" w:hAnsiTheme="minorHAnsi" w:cstheme="minorHAnsi"/>
                <w:color w:val="000000"/>
                <w:sz w:val="20"/>
                <w:szCs w:val="20"/>
                <w:lang w:val="sq-AL"/>
              </w:rPr>
              <w:t>4</w:t>
            </w:r>
            <w:r w:rsidRPr="006C02A5">
              <w:rPr>
                <w:rFonts w:asciiTheme="minorHAnsi" w:eastAsia="Times New Roman" w:hAnsiTheme="minorHAnsi" w:cstheme="minorHAnsi"/>
                <w:color w:val="000000"/>
                <w:sz w:val="20"/>
                <w:szCs w:val="20"/>
                <w:lang w:val="sq-AL"/>
              </w:rPr>
              <w:t>.</w:t>
            </w:r>
            <w:r>
              <w:rPr>
                <w:rFonts w:asciiTheme="minorHAnsi" w:eastAsia="Times New Roman" w:hAnsiTheme="minorHAnsi" w:cstheme="minorHAnsi"/>
                <w:color w:val="000000"/>
                <w:sz w:val="20"/>
                <w:szCs w:val="20"/>
                <w:lang w:val="sq-AL"/>
              </w:rPr>
              <w:t>3</w:t>
            </w:r>
          </w:p>
        </w:tc>
        <w:tc>
          <w:tcPr>
            <w:tcW w:w="1049" w:type="dxa"/>
            <w:tcBorders>
              <w:top w:val="nil"/>
              <w:left w:val="nil"/>
              <w:bottom w:val="single" w:sz="4" w:space="0" w:color="auto"/>
              <w:right w:val="single" w:sz="4" w:space="0" w:color="auto"/>
            </w:tcBorders>
            <w:shd w:val="clear" w:color="auto" w:fill="auto"/>
            <w:vAlign w:val="center"/>
          </w:tcPr>
          <w:p w14:paraId="75887BB5"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5,451.6</w:t>
            </w:r>
          </w:p>
        </w:tc>
      </w:tr>
      <w:tr w:rsidR="004375B5" w:rsidRPr="00765B5D" w14:paraId="05DE8312" w14:textId="77777777" w:rsidTr="00D14FA8">
        <w:trPr>
          <w:trHeight w:val="278"/>
        </w:trPr>
        <w:tc>
          <w:tcPr>
            <w:tcW w:w="5445" w:type="dxa"/>
            <w:tcBorders>
              <w:top w:val="nil"/>
              <w:left w:val="nil"/>
              <w:bottom w:val="nil"/>
              <w:right w:val="nil"/>
            </w:tcBorders>
            <w:shd w:val="clear" w:color="auto" w:fill="auto"/>
            <w:noWrap/>
            <w:vAlign w:val="center"/>
            <w:hideMark/>
          </w:tcPr>
          <w:p w14:paraId="3B25D7E5"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WHEAt</w:t>
            </w:r>
          </w:p>
        </w:tc>
        <w:tc>
          <w:tcPr>
            <w:tcW w:w="917" w:type="dxa"/>
            <w:tcBorders>
              <w:top w:val="nil"/>
              <w:left w:val="single" w:sz="4" w:space="0" w:color="auto"/>
              <w:bottom w:val="single" w:sz="4" w:space="0" w:color="auto"/>
              <w:right w:val="single" w:sz="4" w:space="0" w:color="auto"/>
            </w:tcBorders>
          </w:tcPr>
          <w:p w14:paraId="4FA58E77" w14:textId="7092A86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35D8438F" w14:textId="5B5464A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44.88</w:t>
            </w:r>
          </w:p>
        </w:tc>
        <w:tc>
          <w:tcPr>
            <w:tcW w:w="932" w:type="dxa"/>
            <w:tcBorders>
              <w:top w:val="nil"/>
              <w:left w:val="nil"/>
              <w:bottom w:val="single" w:sz="4" w:space="0" w:color="auto"/>
              <w:right w:val="single" w:sz="4" w:space="0" w:color="auto"/>
            </w:tcBorders>
            <w:shd w:val="clear" w:color="auto" w:fill="auto"/>
            <w:vAlign w:val="center"/>
          </w:tcPr>
          <w:p w14:paraId="44A496D9" w14:textId="739B9FF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49.19</w:t>
            </w:r>
          </w:p>
        </w:tc>
        <w:tc>
          <w:tcPr>
            <w:tcW w:w="1049" w:type="dxa"/>
            <w:tcBorders>
              <w:top w:val="nil"/>
              <w:left w:val="nil"/>
              <w:bottom w:val="single" w:sz="4" w:space="0" w:color="auto"/>
              <w:right w:val="single" w:sz="4" w:space="0" w:color="auto"/>
            </w:tcBorders>
            <w:shd w:val="clear" w:color="auto" w:fill="auto"/>
            <w:vAlign w:val="center"/>
          </w:tcPr>
          <w:p w14:paraId="793BCAC3"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46.05</w:t>
            </w:r>
          </w:p>
        </w:tc>
      </w:tr>
      <w:tr w:rsidR="004375B5" w:rsidRPr="00765B5D" w14:paraId="7994C77E" w14:textId="77777777" w:rsidTr="00D14FA8">
        <w:trPr>
          <w:trHeight w:val="236"/>
        </w:trPr>
        <w:tc>
          <w:tcPr>
            <w:tcW w:w="5445" w:type="dxa"/>
            <w:tcBorders>
              <w:top w:val="nil"/>
              <w:left w:val="nil"/>
              <w:bottom w:val="nil"/>
              <w:right w:val="nil"/>
            </w:tcBorders>
            <w:shd w:val="clear" w:color="auto" w:fill="auto"/>
            <w:noWrap/>
            <w:vAlign w:val="center"/>
            <w:hideMark/>
          </w:tcPr>
          <w:p w14:paraId="4456F021"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Kostoja e parashikuar e humbjeve</w:t>
            </w:r>
          </w:p>
        </w:tc>
        <w:tc>
          <w:tcPr>
            <w:tcW w:w="917" w:type="dxa"/>
            <w:tcBorders>
              <w:top w:val="nil"/>
              <w:left w:val="single" w:sz="4" w:space="0" w:color="auto"/>
              <w:bottom w:val="single" w:sz="4" w:space="0" w:color="auto"/>
              <w:right w:val="single" w:sz="4" w:space="0" w:color="auto"/>
            </w:tcBorders>
          </w:tcPr>
          <w:p w14:paraId="3991233C" w14:textId="45529F8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5646EA5E" w14:textId="1D574F7D"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41.89</w:t>
            </w:r>
          </w:p>
        </w:tc>
        <w:tc>
          <w:tcPr>
            <w:tcW w:w="932" w:type="dxa"/>
            <w:tcBorders>
              <w:top w:val="nil"/>
              <w:left w:val="nil"/>
              <w:bottom w:val="single" w:sz="4" w:space="0" w:color="auto"/>
              <w:right w:val="single" w:sz="4" w:space="0" w:color="auto"/>
            </w:tcBorders>
            <w:shd w:val="clear" w:color="auto" w:fill="auto"/>
            <w:vAlign w:val="center"/>
          </w:tcPr>
          <w:p w14:paraId="799A03D1" w14:textId="24409EB3"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46.88</w:t>
            </w:r>
          </w:p>
        </w:tc>
        <w:tc>
          <w:tcPr>
            <w:tcW w:w="1049" w:type="dxa"/>
            <w:tcBorders>
              <w:top w:val="nil"/>
              <w:left w:val="nil"/>
              <w:bottom w:val="single" w:sz="4" w:space="0" w:color="auto"/>
              <w:right w:val="single" w:sz="4" w:space="0" w:color="auto"/>
            </w:tcBorders>
            <w:shd w:val="clear" w:color="auto" w:fill="auto"/>
            <w:vAlign w:val="center"/>
          </w:tcPr>
          <w:p w14:paraId="249169CE"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41.17</w:t>
            </w:r>
          </w:p>
        </w:tc>
      </w:tr>
      <w:tr w:rsidR="004375B5" w:rsidRPr="00765B5D" w14:paraId="27EF3E02" w14:textId="77777777" w:rsidTr="00D14FA8">
        <w:trPr>
          <w:trHeight w:val="236"/>
        </w:trPr>
        <w:tc>
          <w:tcPr>
            <w:tcW w:w="5445" w:type="dxa"/>
            <w:tcBorders>
              <w:top w:val="nil"/>
              <w:left w:val="nil"/>
              <w:bottom w:val="nil"/>
              <w:right w:val="nil"/>
            </w:tcBorders>
            <w:shd w:val="clear" w:color="auto" w:fill="auto"/>
            <w:noWrap/>
            <w:vAlign w:val="center"/>
            <w:hideMark/>
          </w:tcPr>
          <w:p w14:paraId="5BB62DCC" w14:textId="77777777" w:rsidR="004375B5" w:rsidRPr="00765B5D" w:rsidRDefault="004375B5" w:rsidP="00AD5C8C">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Aktual</w:t>
            </w:r>
          </w:p>
        </w:tc>
        <w:tc>
          <w:tcPr>
            <w:tcW w:w="917" w:type="dxa"/>
            <w:tcBorders>
              <w:top w:val="nil"/>
              <w:left w:val="nil"/>
              <w:bottom w:val="nil"/>
              <w:right w:val="nil"/>
            </w:tcBorders>
          </w:tcPr>
          <w:p w14:paraId="271D3123"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auto"/>
            <w:noWrap/>
            <w:vAlign w:val="center"/>
          </w:tcPr>
          <w:p w14:paraId="7707E337" w14:textId="100190D0"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auto"/>
            <w:noWrap/>
            <w:vAlign w:val="center"/>
          </w:tcPr>
          <w:p w14:paraId="04A4BBB5"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auto"/>
            <w:noWrap/>
            <w:vAlign w:val="center"/>
          </w:tcPr>
          <w:p w14:paraId="3EC1B2A5"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r>
      <w:tr w:rsidR="004375B5" w:rsidRPr="00765B5D" w14:paraId="2659CFE2" w14:textId="77777777" w:rsidTr="00D14FA8">
        <w:trPr>
          <w:trHeight w:val="236"/>
        </w:trPr>
        <w:tc>
          <w:tcPr>
            <w:tcW w:w="5445" w:type="dxa"/>
            <w:tcBorders>
              <w:top w:val="nil"/>
              <w:left w:val="nil"/>
              <w:bottom w:val="nil"/>
              <w:right w:val="nil"/>
            </w:tcBorders>
            <w:shd w:val="clear" w:color="auto" w:fill="auto"/>
            <w:noWrap/>
            <w:vAlign w:val="center"/>
            <w:hideMark/>
          </w:tcPr>
          <w:p w14:paraId="202A92F1" w14:textId="77777777" w:rsidR="004375B5" w:rsidRPr="00765B5D" w:rsidRDefault="004375B5" w:rsidP="00AD5C8C">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LSSAt</w:t>
            </w:r>
          </w:p>
        </w:tc>
        <w:tc>
          <w:tcPr>
            <w:tcW w:w="917" w:type="dxa"/>
            <w:tcBorders>
              <w:top w:val="single" w:sz="4" w:space="0" w:color="auto"/>
              <w:left w:val="single" w:sz="4" w:space="0" w:color="auto"/>
              <w:bottom w:val="single" w:sz="4" w:space="0" w:color="auto"/>
              <w:right w:val="single" w:sz="4" w:space="0" w:color="auto"/>
            </w:tcBorders>
          </w:tcPr>
          <w:p w14:paraId="71A272A9" w14:textId="0E66D2A0"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C53F494" w14:textId="25F2E0AF"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5BDAA11D" w14:textId="67B2D524"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6D63BD15" w14:textId="77777777"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78635C41" w14:textId="77777777" w:rsidTr="00D14FA8">
        <w:trPr>
          <w:trHeight w:val="236"/>
        </w:trPr>
        <w:tc>
          <w:tcPr>
            <w:tcW w:w="5445" w:type="dxa"/>
            <w:tcBorders>
              <w:top w:val="nil"/>
              <w:left w:val="nil"/>
              <w:bottom w:val="nil"/>
              <w:right w:val="nil"/>
            </w:tcBorders>
            <w:shd w:val="clear" w:color="auto" w:fill="auto"/>
            <w:noWrap/>
            <w:vAlign w:val="center"/>
            <w:hideMark/>
          </w:tcPr>
          <w:p w14:paraId="5E88D150"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REUEt</w:t>
            </w:r>
          </w:p>
        </w:tc>
        <w:tc>
          <w:tcPr>
            <w:tcW w:w="917" w:type="dxa"/>
            <w:tcBorders>
              <w:top w:val="nil"/>
              <w:left w:val="single" w:sz="4" w:space="0" w:color="auto"/>
              <w:bottom w:val="single" w:sz="4" w:space="0" w:color="auto"/>
              <w:right w:val="single" w:sz="4" w:space="0" w:color="auto"/>
            </w:tcBorders>
          </w:tcPr>
          <w:p w14:paraId="5CEC4A31" w14:textId="39DB0053"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GWh</w:t>
            </w:r>
          </w:p>
        </w:tc>
        <w:tc>
          <w:tcPr>
            <w:tcW w:w="852" w:type="dxa"/>
            <w:tcBorders>
              <w:top w:val="nil"/>
              <w:left w:val="single" w:sz="4" w:space="0" w:color="auto"/>
              <w:bottom w:val="single" w:sz="4" w:space="0" w:color="auto"/>
              <w:right w:val="single" w:sz="4" w:space="0" w:color="auto"/>
            </w:tcBorders>
            <w:shd w:val="clear" w:color="auto" w:fill="auto"/>
            <w:vAlign w:val="center"/>
          </w:tcPr>
          <w:p w14:paraId="41D2DD74" w14:textId="0015BC7A"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5,322.0</w:t>
            </w:r>
          </w:p>
        </w:tc>
        <w:tc>
          <w:tcPr>
            <w:tcW w:w="932" w:type="dxa"/>
            <w:tcBorders>
              <w:top w:val="nil"/>
              <w:left w:val="nil"/>
              <w:bottom w:val="single" w:sz="4" w:space="0" w:color="auto"/>
              <w:right w:val="single" w:sz="4" w:space="0" w:color="auto"/>
            </w:tcBorders>
            <w:shd w:val="clear" w:color="auto" w:fill="auto"/>
            <w:vAlign w:val="center"/>
          </w:tcPr>
          <w:p w14:paraId="51867A7D" w14:textId="77777777"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5,549.5</w:t>
            </w:r>
          </w:p>
        </w:tc>
        <w:tc>
          <w:tcPr>
            <w:tcW w:w="1049" w:type="dxa"/>
            <w:tcBorders>
              <w:top w:val="nil"/>
              <w:left w:val="nil"/>
              <w:bottom w:val="single" w:sz="4" w:space="0" w:color="auto"/>
              <w:right w:val="single" w:sz="4" w:space="0" w:color="auto"/>
            </w:tcBorders>
            <w:shd w:val="clear" w:color="auto" w:fill="auto"/>
            <w:vAlign w:val="center"/>
          </w:tcPr>
          <w:p w14:paraId="2F15F4F6" w14:textId="77777777"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30EFF9C3" w14:textId="77777777" w:rsidTr="00D14FA8">
        <w:trPr>
          <w:trHeight w:val="236"/>
        </w:trPr>
        <w:tc>
          <w:tcPr>
            <w:tcW w:w="5445" w:type="dxa"/>
            <w:tcBorders>
              <w:top w:val="nil"/>
              <w:left w:val="nil"/>
              <w:bottom w:val="nil"/>
              <w:right w:val="nil"/>
            </w:tcBorders>
            <w:shd w:val="clear" w:color="auto" w:fill="auto"/>
            <w:noWrap/>
            <w:vAlign w:val="center"/>
            <w:hideMark/>
          </w:tcPr>
          <w:p w14:paraId="16D7101E"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WHEAt</w:t>
            </w:r>
          </w:p>
        </w:tc>
        <w:tc>
          <w:tcPr>
            <w:tcW w:w="917" w:type="dxa"/>
            <w:tcBorders>
              <w:top w:val="nil"/>
              <w:left w:val="single" w:sz="4" w:space="0" w:color="auto"/>
              <w:bottom w:val="single" w:sz="4" w:space="0" w:color="auto"/>
              <w:right w:val="single" w:sz="4" w:space="0" w:color="auto"/>
            </w:tcBorders>
          </w:tcPr>
          <w:p w14:paraId="125BD230" w14:textId="248BE9AE"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€/MWh</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539214F5" w14:textId="6FE72AA4"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42.89</w:t>
            </w:r>
          </w:p>
        </w:tc>
        <w:tc>
          <w:tcPr>
            <w:tcW w:w="932" w:type="dxa"/>
            <w:tcBorders>
              <w:top w:val="nil"/>
              <w:left w:val="nil"/>
              <w:bottom w:val="single" w:sz="4" w:space="0" w:color="auto"/>
              <w:right w:val="single" w:sz="4" w:space="0" w:color="auto"/>
            </w:tcBorders>
            <w:shd w:val="clear" w:color="auto" w:fill="auto"/>
            <w:noWrap/>
            <w:vAlign w:val="center"/>
          </w:tcPr>
          <w:p w14:paraId="263ACE7A"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42.57</w:t>
            </w:r>
          </w:p>
        </w:tc>
        <w:tc>
          <w:tcPr>
            <w:tcW w:w="1049" w:type="dxa"/>
            <w:tcBorders>
              <w:top w:val="nil"/>
              <w:left w:val="nil"/>
              <w:bottom w:val="single" w:sz="4" w:space="0" w:color="auto"/>
              <w:right w:val="single" w:sz="4" w:space="0" w:color="auto"/>
            </w:tcBorders>
            <w:shd w:val="clear" w:color="auto" w:fill="auto"/>
            <w:noWrap/>
            <w:vAlign w:val="center"/>
          </w:tcPr>
          <w:p w14:paraId="390FDF22"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p>
        </w:tc>
      </w:tr>
      <w:tr w:rsidR="004375B5" w:rsidRPr="00765B5D" w14:paraId="3DF71CD9" w14:textId="77777777" w:rsidTr="00D14FA8">
        <w:trPr>
          <w:trHeight w:val="236"/>
        </w:trPr>
        <w:tc>
          <w:tcPr>
            <w:tcW w:w="5445" w:type="dxa"/>
            <w:tcBorders>
              <w:top w:val="nil"/>
              <w:left w:val="nil"/>
              <w:bottom w:val="nil"/>
              <w:right w:val="nil"/>
            </w:tcBorders>
            <w:shd w:val="clear" w:color="auto" w:fill="auto"/>
            <w:noWrap/>
            <w:vAlign w:val="center"/>
            <w:hideMark/>
          </w:tcPr>
          <w:p w14:paraId="014D8297"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Kostoja e aktuale e humbjeve</w:t>
            </w:r>
          </w:p>
        </w:tc>
        <w:tc>
          <w:tcPr>
            <w:tcW w:w="917" w:type="dxa"/>
            <w:tcBorders>
              <w:top w:val="nil"/>
              <w:left w:val="single" w:sz="4" w:space="0" w:color="auto"/>
              <w:bottom w:val="single" w:sz="4" w:space="0" w:color="auto"/>
              <w:right w:val="single" w:sz="4" w:space="0" w:color="auto"/>
            </w:tcBorders>
          </w:tcPr>
          <w:p w14:paraId="47CB1406" w14:textId="470E9A91"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159778AE" w14:textId="679B319C"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42.91</w:t>
            </w:r>
          </w:p>
        </w:tc>
        <w:tc>
          <w:tcPr>
            <w:tcW w:w="932" w:type="dxa"/>
            <w:tcBorders>
              <w:top w:val="nil"/>
              <w:left w:val="nil"/>
              <w:bottom w:val="single" w:sz="4" w:space="0" w:color="auto"/>
              <w:right w:val="single" w:sz="4" w:space="0" w:color="auto"/>
            </w:tcBorders>
            <w:shd w:val="clear" w:color="auto" w:fill="auto"/>
            <w:vAlign w:val="center"/>
          </w:tcPr>
          <w:p w14:paraId="6EFD69ED" w14:textId="77777777"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41.58</w:t>
            </w:r>
          </w:p>
        </w:tc>
        <w:tc>
          <w:tcPr>
            <w:tcW w:w="1049" w:type="dxa"/>
            <w:tcBorders>
              <w:top w:val="nil"/>
              <w:left w:val="nil"/>
              <w:bottom w:val="single" w:sz="4" w:space="0" w:color="auto"/>
              <w:right w:val="single" w:sz="4" w:space="0" w:color="auto"/>
            </w:tcBorders>
            <w:shd w:val="clear" w:color="auto" w:fill="auto"/>
            <w:vAlign w:val="center"/>
          </w:tcPr>
          <w:p w14:paraId="0AD58FB7" w14:textId="77777777"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p>
        </w:tc>
      </w:tr>
      <w:tr w:rsidR="004375B5" w:rsidRPr="00765B5D" w14:paraId="68EA8522"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04570690"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Përshtatjet</w:t>
            </w:r>
          </w:p>
        </w:tc>
        <w:tc>
          <w:tcPr>
            <w:tcW w:w="917" w:type="dxa"/>
            <w:tcBorders>
              <w:top w:val="nil"/>
              <w:left w:val="nil"/>
              <w:bottom w:val="nil"/>
              <w:right w:val="nil"/>
            </w:tcBorders>
            <w:shd w:val="clear" w:color="auto" w:fill="B8CCE4" w:themeFill="accent1" w:themeFillTint="66"/>
          </w:tcPr>
          <w:p w14:paraId="32753D7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B8CCE4" w:themeFill="accent1" w:themeFillTint="66"/>
            <w:noWrap/>
            <w:vAlign w:val="center"/>
          </w:tcPr>
          <w:p w14:paraId="19A3805B" w14:textId="54CC08AA"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tcPr>
          <w:p w14:paraId="307FE5D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tcPr>
          <w:p w14:paraId="35A07D0F"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4D9EDA08" w14:textId="77777777" w:rsidTr="00D14FA8">
        <w:trPr>
          <w:trHeight w:val="236"/>
        </w:trPr>
        <w:tc>
          <w:tcPr>
            <w:tcW w:w="5445" w:type="dxa"/>
            <w:tcBorders>
              <w:top w:val="nil"/>
              <w:left w:val="nil"/>
              <w:bottom w:val="nil"/>
              <w:right w:val="nil"/>
            </w:tcBorders>
            <w:shd w:val="clear" w:color="auto" w:fill="auto"/>
            <w:noWrap/>
            <w:vAlign w:val="center"/>
            <w:hideMark/>
          </w:tcPr>
          <w:p w14:paraId="08025DA5"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Te hyrat e parregulluara PRR2</w:t>
            </w:r>
          </w:p>
        </w:tc>
        <w:tc>
          <w:tcPr>
            <w:tcW w:w="917" w:type="dxa"/>
            <w:tcBorders>
              <w:top w:val="single" w:sz="4" w:space="0" w:color="auto"/>
              <w:left w:val="single" w:sz="4" w:space="0" w:color="auto"/>
              <w:bottom w:val="single" w:sz="4" w:space="0" w:color="auto"/>
              <w:right w:val="single" w:sz="4" w:space="0" w:color="auto"/>
            </w:tcBorders>
          </w:tcPr>
          <w:p w14:paraId="39E7A445" w14:textId="403659C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DCF32D2" w14:textId="56C40B0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(3.50)</w:t>
            </w:r>
          </w:p>
        </w:tc>
        <w:tc>
          <w:tcPr>
            <w:tcW w:w="932" w:type="dxa"/>
            <w:tcBorders>
              <w:top w:val="single" w:sz="4" w:space="0" w:color="auto"/>
              <w:left w:val="nil"/>
              <w:bottom w:val="single" w:sz="4" w:space="0" w:color="auto"/>
              <w:right w:val="single" w:sz="4" w:space="0" w:color="auto"/>
            </w:tcBorders>
            <w:shd w:val="clear" w:color="auto" w:fill="auto"/>
            <w:vAlign w:val="center"/>
          </w:tcPr>
          <w:p w14:paraId="70DD7EBF" w14:textId="13FB0030"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(3.50)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7C546B21"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(3.50)</w:t>
            </w:r>
          </w:p>
        </w:tc>
      </w:tr>
      <w:tr w:rsidR="004375B5" w:rsidRPr="00765B5D" w14:paraId="611549B2" w14:textId="77777777" w:rsidTr="00D14FA8">
        <w:trPr>
          <w:trHeight w:val="236"/>
        </w:trPr>
        <w:tc>
          <w:tcPr>
            <w:tcW w:w="5445" w:type="dxa"/>
            <w:tcBorders>
              <w:top w:val="nil"/>
              <w:left w:val="nil"/>
              <w:bottom w:val="nil"/>
              <w:right w:val="nil"/>
            </w:tcBorders>
            <w:shd w:val="clear" w:color="auto" w:fill="auto"/>
            <w:noWrap/>
            <w:vAlign w:val="center"/>
            <w:hideMark/>
          </w:tcPr>
          <w:p w14:paraId="621F4749" w14:textId="2261E0D3"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Përshtatjet për PRR1</w:t>
            </w:r>
          </w:p>
        </w:tc>
        <w:tc>
          <w:tcPr>
            <w:tcW w:w="917" w:type="dxa"/>
            <w:tcBorders>
              <w:top w:val="single" w:sz="4" w:space="0" w:color="auto"/>
              <w:left w:val="single" w:sz="4" w:space="0" w:color="auto"/>
              <w:bottom w:val="single" w:sz="4" w:space="0" w:color="auto"/>
              <w:right w:val="single" w:sz="4" w:space="0" w:color="auto"/>
            </w:tcBorders>
          </w:tcPr>
          <w:p w14:paraId="3A598DD5" w14:textId="001EA9EB"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FEA850" w14:textId="0695C2A9"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(1.50)</w:t>
            </w:r>
          </w:p>
        </w:tc>
        <w:tc>
          <w:tcPr>
            <w:tcW w:w="932" w:type="dxa"/>
            <w:tcBorders>
              <w:top w:val="single" w:sz="4" w:space="0" w:color="auto"/>
              <w:left w:val="nil"/>
              <w:bottom w:val="single" w:sz="4" w:space="0" w:color="auto"/>
              <w:right w:val="single" w:sz="4" w:space="0" w:color="auto"/>
            </w:tcBorders>
            <w:shd w:val="clear" w:color="auto" w:fill="auto"/>
            <w:vAlign w:val="center"/>
          </w:tcPr>
          <w:p w14:paraId="188BFB61" w14:textId="66E1395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D376472"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(1.50)</w:t>
            </w:r>
          </w:p>
        </w:tc>
      </w:tr>
      <w:tr w:rsidR="004375B5" w:rsidRPr="00765B5D" w14:paraId="64F76E35"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8B91B2B" w14:textId="1A9D4A2C"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Përshtatja për çmimin e humbjeve </w:t>
            </w:r>
          </w:p>
        </w:tc>
        <w:tc>
          <w:tcPr>
            <w:tcW w:w="917" w:type="dxa"/>
            <w:tcBorders>
              <w:top w:val="single" w:sz="4" w:space="0" w:color="auto"/>
              <w:left w:val="single" w:sz="4" w:space="0" w:color="auto"/>
              <w:bottom w:val="single" w:sz="4" w:space="0" w:color="auto"/>
              <w:right w:val="single" w:sz="4" w:space="0" w:color="auto"/>
            </w:tcBorders>
          </w:tcPr>
          <w:p w14:paraId="4135EE0C" w14:textId="33695D8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noWrap/>
            <w:vAlign w:val="center"/>
          </w:tcPr>
          <w:p w14:paraId="4053EA82" w14:textId="18A30650"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( 2.48)</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E58454E" w14:textId="46DBA233"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6C02A5">
              <w:rPr>
                <w:rFonts w:asciiTheme="minorHAnsi" w:eastAsia="Times New Roman" w:hAnsiTheme="minorHAnsi" w:cstheme="minorHAnsi"/>
                <w:sz w:val="20"/>
                <w:szCs w:val="20"/>
                <w:lang w:val="sq-AL"/>
              </w:rPr>
              <w:t>-</w:t>
            </w:r>
          </w:p>
        </w:tc>
        <w:tc>
          <w:tcPr>
            <w:tcW w:w="1049" w:type="dxa"/>
            <w:tcBorders>
              <w:top w:val="nil"/>
              <w:left w:val="nil"/>
              <w:bottom w:val="single" w:sz="4" w:space="0" w:color="auto"/>
              <w:right w:val="single" w:sz="4" w:space="0" w:color="auto"/>
            </w:tcBorders>
            <w:shd w:val="clear" w:color="auto" w:fill="auto"/>
            <w:noWrap/>
            <w:vAlign w:val="center"/>
          </w:tcPr>
          <w:p w14:paraId="4B67B77F"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39E3353B"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34BD6C0" w14:textId="1F334BBC"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Korrigjimi i jobalanceve </w:t>
            </w:r>
          </w:p>
        </w:tc>
        <w:tc>
          <w:tcPr>
            <w:tcW w:w="917" w:type="dxa"/>
            <w:tcBorders>
              <w:top w:val="single" w:sz="4" w:space="0" w:color="auto"/>
              <w:left w:val="single" w:sz="4" w:space="0" w:color="auto"/>
              <w:bottom w:val="single" w:sz="4" w:space="0" w:color="auto"/>
              <w:right w:val="single" w:sz="4" w:space="0" w:color="auto"/>
            </w:tcBorders>
          </w:tcPr>
          <w:p w14:paraId="3451C898" w14:textId="6C3711D6"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noWrap/>
            <w:vAlign w:val="center"/>
          </w:tcPr>
          <w:p w14:paraId="0F7A4205" w14:textId="4CFA2B09"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1.74</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0436B1F" w14:textId="221F0D6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6C02A5">
              <w:rPr>
                <w:rFonts w:asciiTheme="minorHAnsi" w:eastAsia="Times New Roman" w:hAnsiTheme="minorHAnsi" w:cstheme="minorHAnsi"/>
                <w:sz w:val="20"/>
                <w:szCs w:val="20"/>
                <w:lang w:val="sq-AL"/>
              </w:rPr>
              <w:t>-</w:t>
            </w:r>
          </w:p>
        </w:tc>
        <w:tc>
          <w:tcPr>
            <w:tcW w:w="1049" w:type="dxa"/>
            <w:tcBorders>
              <w:top w:val="nil"/>
              <w:left w:val="nil"/>
              <w:bottom w:val="single" w:sz="4" w:space="0" w:color="auto"/>
              <w:right w:val="single" w:sz="4" w:space="0" w:color="auto"/>
            </w:tcBorders>
            <w:shd w:val="clear" w:color="auto" w:fill="auto"/>
            <w:noWrap/>
            <w:vAlign w:val="center"/>
          </w:tcPr>
          <w:p w14:paraId="157162AD"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FCE2235" w14:textId="77777777" w:rsidTr="00D14FA8">
        <w:trPr>
          <w:trHeight w:val="236"/>
        </w:trPr>
        <w:tc>
          <w:tcPr>
            <w:tcW w:w="5445" w:type="dxa"/>
            <w:tcBorders>
              <w:top w:val="nil"/>
              <w:left w:val="nil"/>
              <w:bottom w:val="nil"/>
              <w:right w:val="nil"/>
            </w:tcBorders>
            <w:shd w:val="clear" w:color="auto" w:fill="auto"/>
            <w:noWrap/>
            <w:vAlign w:val="center"/>
            <w:hideMark/>
          </w:tcPr>
          <w:p w14:paraId="5C7DDC9E"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Te hyrat aktuale te parregulluara</w:t>
            </w:r>
          </w:p>
        </w:tc>
        <w:tc>
          <w:tcPr>
            <w:tcW w:w="917" w:type="dxa"/>
            <w:tcBorders>
              <w:top w:val="single" w:sz="4" w:space="0" w:color="auto"/>
              <w:left w:val="single" w:sz="4" w:space="0" w:color="auto"/>
              <w:bottom w:val="single" w:sz="4" w:space="0" w:color="auto"/>
              <w:right w:val="single" w:sz="4" w:space="0" w:color="auto"/>
            </w:tcBorders>
          </w:tcPr>
          <w:p w14:paraId="6C26A8BE" w14:textId="17B433A2"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57E7A" w14:textId="40893E45"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(6.84)</w:t>
            </w:r>
          </w:p>
        </w:tc>
        <w:tc>
          <w:tcPr>
            <w:tcW w:w="932" w:type="dxa"/>
            <w:tcBorders>
              <w:top w:val="nil"/>
              <w:left w:val="nil"/>
              <w:bottom w:val="single" w:sz="4" w:space="0" w:color="auto"/>
              <w:right w:val="single" w:sz="4" w:space="0" w:color="auto"/>
            </w:tcBorders>
            <w:shd w:val="clear" w:color="auto" w:fill="auto"/>
            <w:noWrap/>
            <w:vAlign w:val="center"/>
          </w:tcPr>
          <w:p w14:paraId="1351E970" w14:textId="01B0437A"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(6.61)</w:t>
            </w:r>
          </w:p>
        </w:tc>
        <w:tc>
          <w:tcPr>
            <w:tcW w:w="1049" w:type="dxa"/>
            <w:tcBorders>
              <w:top w:val="nil"/>
              <w:left w:val="nil"/>
              <w:bottom w:val="single" w:sz="4" w:space="0" w:color="auto"/>
              <w:right w:val="single" w:sz="4" w:space="0" w:color="auto"/>
            </w:tcBorders>
            <w:shd w:val="clear" w:color="auto" w:fill="auto"/>
            <w:noWrap/>
            <w:vAlign w:val="center"/>
          </w:tcPr>
          <w:p w14:paraId="48751C5E"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57D75B76" w14:textId="77777777" w:rsidTr="00D14FA8">
        <w:trPr>
          <w:trHeight w:val="236"/>
        </w:trPr>
        <w:tc>
          <w:tcPr>
            <w:tcW w:w="5445" w:type="dxa"/>
            <w:tcBorders>
              <w:top w:val="nil"/>
              <w:left w:val="nil"/>
              <w:bottom w:val="nil"/>
              <w:right w:val="nil"/>
            </w:tcBorders>
            <w:shd w:val="clear" w:color="auto" w:fill="auto"/>
            <w:noWrap/>
            <w:vAlign w:val="center"/>
            <w:hideMark/>
          </w:tcPr>
          <w:p w14:paraId="32031FD9" w14:textId="77777777" w:rsidR="004375B5" w:rsidRPr="00765B5D" w:rsidRDefault="004375B5" w:rsidP="00AD5C8C">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Taksa e licencës:</w:t>
            </w:r>
          </w:p>
        </w:tc>
        <w:tc>
          <w:tcPr>
            <w:tcW w:w="917" w:type="dxa"/>
            <w:tcBorders>
              <w:top w:val="nil"/>
              <w:left w:val="nil"/>
              <w:bottom w:val="nil"/>
              <w:right w:val="nil"/>
            </w:tcBorders>
          </w:tcPr>
          <w:p w14:paraId="6A5F43C4"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852" w:type="dxa"/>
            <w:tcBorders>
              <w:top w:val="nil"/>
              <w:left w:val="nil"/>
              <w:bottom w:val="nil"/>
              <w:right w:val="nil"/>
            </w:tcBorders>
            <w:shd w:val="clear" w:color="auto" w:fill="auto"/>
            <w:noWrap/>
            <w:vAlign w:val="center"/>
          </w:tcPr>
          <w:p w14:paraId="3CE9A472" w14:textId="22246C66"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A56705E"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1049" w:type="dxa"/>
            <w:tcBorders>
              <w:top w:val="nil"/>
              <w:left w:val="nil"/>
              <w:bottom w:val="single" w:sz="4" w:space="0" w:color="auto"/>
              <w:right w:val="single" w:sz="4" w:space="0" w:color="auto"/>
            </w:tcBorders>
            <w:shd w:val="clear" w:color="auto" w:fill="auto"/>
            <w:noWrap/>
            <w:vAlign w:val="center"/>
          </w:tcPr>
          <w:p w14:paraId="1121C6E1"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r>
      <w:tr w:rsidR="004375B5" w:rsidRPr="00765B5D" w14:paraId="59E23201" w14:textId="77777777" w:rsidTr="00D14FA8">
        <w:trPr>
          <w:trHeight w:val="236"/>
        </w:trPr>
        <w:tc>
          <w:tcPr>
            <w:tcW w:w="5445" w:type="dxa"/>
            <w:tcBorders>
              <w:top w:val="nil"/>
              <w:left w:val="nil"/>
              <w:bottom w:val="nil"/>
              <w:right w:val="nil"/>
            </w:tcBorders>
            <w:shd w:val="clear" w:color="auto" w:fill="auto"/>
            <w:noWrap/>
            <w:vAlign w:val="center"/>
            <w:hideMark/>
          </w:tcPr>
          <w:p w14:paraId="7BDCA0C5" w14:textId="77777777" w:rsidR="004375B5" w:rsidRPr="00765B5D" w:rsidRDefault="004375B5" w:rsidP="00AD5C8C">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Parashikim</w:t>
            </w:r>
          </w:p>
        </w:tc>
        <w:tc>
          <w:tcPr>
            <w:tcW w:w="917" w:type="dxa"/>
            <w:tcBorders>
              <w:top w:val="nil"/>
              <w:left w:val="nil"/>
              <w:bottom w:val="nil"/>
              <w:right w:val="nil"/>
            </w:tcBorders>
          </w:tcPr>
          <w:p w14:paraId="1A0E6342" w14:textId="1663F35B"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960892">
              <w:rPr>
                <w:rFonts w:cstheme="minorHAnsi"/>
              </w:rPr>
              <w:t>€m</w:t>
            </w:r>
          </w:p>
        </w:tc>
        <w:tc>
          <w:tcPr>
            <w:tcW w:w="852" w:type="dxa"/>
            <w:tcBorders>
              <w:top w:val="nil"/>
              <w:left w:val="nil"/>
              <w:bottom w:val="nil"/>
              <w:right w:val="nil"/>
            </w:tcBorders>
            <w:shd w:val="clear" w:color="auto" w:fill="auto"/>
            <w:noWrap/>
            <w:vAlign w:val="center"/>
          </w:tcPr>
          <w:p w14:paraId="5A109CC7" w14:textId="63B7B7AD"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p>
        </w:tc>
        <w:tc>
          <w:tcPr>
            <w:tcW w:w="932" w:type="dxa"/>
            <w:tcBorders>
              <w:top w:val="nil"/>
              <w:left w:val="single" w:sz="4" w:space="0" w:color="auto"/>
              <w:bottom w:val="single" w:sz="4" w:space="0" w:color="auto"/>
              <w:right w:val="single" w:sz="4" w:space="0" w:color="auto"/>
            </w:tcBorders>
            <w:shd w:val="clear" w:color="auto" w:fill="auto"/>
            <w:vAlign w:val="center"/>
          </w:tcPr>
          <w:p w14:paraId="4A5B57D5" w14:textId="7C425995"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0.15</w:t>
            </w:r>
          </w:p>
        </w:tc>
        <w:tc>
          <w:tcPr>
            <w:tcW w:w="1049" w:type="dxa"/>
            <w:tcBorders>
              <w:top w:val="nil"/>
              <w:left w:val="nil"/>
              <w:bottom w:val="single" w:sz="4" w:space="0" w:color="auto"/>
              <w:right w:val="single" w:sz="4" w:space="0" w:color="auto"/>
            </w:tcBorders>
            <w:shd w:val="clear" w:color="auto" w:fill="auto"/>
            <w:vAlign w:val="center"/>
          </w:tcPr>
          <w:p w14:paraId="2D45628B" w14:textId="77777777"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0.08</w:t>
            </w:r>
          </w:p>
        </w:tc>
      </w:tr>
      <w:tr w:rsidR="004375B5" w:rsidRPr="00765B5D" w14:paraId="7A623280" w14:textId="77777777" w:rsidTr="00D14FA8">
        <w:trPr>
          <w:trHeight w:val="236"/>
        </w:trPr>
        <w:tc>
          <w:tcPr>
            <w:tcW w:w="5445" w:type="dxa"/>
            <w:tcBorders>
              <w:top w:val="nil"/>
              <w:left w:val="nil"/>
              <w:bottom w:val="nil"/>
              <w:right w:val="nil"/>
            </w:tcBorders>
            <w:shd w:val="clear" w:color="auto" w:fill="auto"/>
            <w:noWrap/>
            <w:vAlign w:val="center"/>
            <w:hideMark/>
          </w:tcPr>
          <w:p w14:paraId="55A54374" w14:textId="77777777" w:rsidR="004375B5" w:rsidRPr="00765B5D" w:rsidRDefault="004375B5" w:rsidP="00AD5C8C">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Aktual</w:t>
            </w:r>
          </w:p>
        </w:tc>
        <w:tc>
          <w:tcPr>
            <w:tcW w:w="917" w:type="dxa"/>
            <w:tcBorders>
              <w:top w:val="single" w:sz="4" w:space="0" w:color="auto"/>
              <w:left w:val="single" w:sz="4" w:space="0" w:color="auto"/>
              <w:bottom w:val="single" w:sz="4" w:space="0" w:color="auto"/>
              <w:right w:val="single" w:sz="4" w:space="0" w:color="auto"/>
            </w:tcBorders>
          </w:tcPr>
          <w:p w14:paraId="3F0E5F14" w14:textId="516B1486"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sidRPr="00960892">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92FB" w14:textId="350294AC"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0.07</w:t>
            </w:r>
          </w:p>
        </w:tc>
        <w:tc>
          <w:tcPr>
            <w:tcW w:w="932" w:type="dxa"/>
            <w:tcBorders>
              <w:top w:val="nil"/>
              <w:left w:val="nil"/>
              <w:bottom w:val="single" w:sz="4" w:space="0" w:color="auto"/>
              <w:right w:val="single" w:sz="4" w:space="0" w:color="auto"/>
            </w:tcBorders>
            <w:shd w:val="clear" w:color="auto" w:fill="auto"/>
            <w:noWrap/>
            <w:vAlign w:val="center"/>
          </w:tcPr>
          <w:p w14:paraId="302878DB" w14:textId="3880F5A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0.06</w:t>
            </w:r>
          </w:p>
        </w:tc>
        <w:tc>
          <w:tcPr>
            <w:tcW w:w="1049" w:type="dxa"/>
            <w:tcBorders>
              <w:top w:val="nil"/>
              <w:left w:val="nil"/>
              <w:bottom w:val="single" w:sz="4" w:space="0" w:color="auto"/>
              <w:right w:val="single" w:sz="4" w:space="0" w:color="auto"/>
            </w:tcBorders>
            <w:shd w:val="clear" w:color="auto" w:fill="auto"/>
            <w:noWrap/>
            <w:vAlign w:val="center"/>
          </w:tcPr>
          <w:p w14:paraId="1BB142F3"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r>
      <w:tr w:rsidR="004375B5" w:rsidRPr="00765B5D" w14:paraId="53B34C7B"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24384A9E"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KREV – faktori korrigjues i të hyrave</w:t>
            </w:r>
          </w:p>
        </w:tc>
        <w:tc>
          <w:tcPr>
            <w:tcW w:w="917" w:type="dxa"/>
            <w:tcBorders>
              <w:top w:val="nil"/>
              <w:left w:val="nil"/>
              <w:bottom w:val="single" w:sz="4" w:space="0" w:color="auto"/>
              <w:right w:val="nil"/>
            </w:tcBorders>
            <w:shd w:val="clear" w:color="auto" w:fill="B8CCE4" w:themeFill="accent1" w:themeFillTint="66"/>
          </w:tcPr>
          <w:p w14:paraId="49DEA4B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1E935B74" w14:textId="25625EE1"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single" w:sz="4" w:space="0" w:color="auto"/>
              <w:right w:val="nil"/>
            </w:tcBorders>
            <w:shd w:val="clear" w:color="auto" w:fill="B8CCE4" w:themeFill="accent1" w:themeFillTint="66"/>
            <w:noWrap/>
            <w:vAlign w:val="center"/>
          </w:tcPr>
          <w:p w14:paraId="162832A1"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single" w:sz="4" w:space="0" w:color="auto"/>
              <w:right w:val="nil"/>
            </w:tcBorders>
            <w:shd w:val="clear" w:color="auto" w:fill="B8CCE4" w:themeFill="accent1" w:themeFillTint="66"/>
            <w:noWrap/>
            <w:vAlign w:val="center"/>
          </w:tcPr>
          <w:p w14:paraId="1F2B1AE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7FFB40FC"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2089F89B"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Faktori korrigjues i te hyrave t-1</w:t>
            </w:r>
          </w:p>
        </w:tc>
        <w:tc>
          <w:tcPr>
            <w:tcW w:w="917" w:type="dxa"/>
            <w:tcBorders>
              <w:top w:val="single" w:sz="4" w:space="0" w:color="auto"/>
              <w:left w:val="single" w:sz="4" w:space="0" w:color="auto"/>
              <w:bottom w:val="single" w:sz="4" w:space="0" w:color="auto"/>
              <w:right w:val="single" w:sz="4" w:space="0" w:color="auto"/>
            </w:tcBorders>
          </w:tcPr>
          <w:p w14:paraId="1156B7A2" w14:textId="5C46A2F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17B1" w14:textId="7D611B06"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9.58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0C2C8" w14:textId="2FCF972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w:t>
            </w:r>
            <w:r w:rsidRPr="00765B5D">
              <w:rPr>
                <w:rFonts w:asciiTheme="minorHAnsi" w:eastAsia="Times New Roman" w:hAnsiTheme="minorHAnsi" w:cstheme="minorHAnsi"/>
                <w:sz w:val="20"/>
                <w:szCs w:val="20"/>
                <w:lang w:val="sq-AL"/>
              </w:rPr>
              <w:t>4.</w:t>
            </w:r>
            <w:r>
              <w:rPr>
                <w:rFonts w:asciiTheme="minorHAnsi" w:eastAsia="Times New Roman" w:hAnsiTheme="minorHAnsi" w:cstheme="minorHAnsi"/>
                <w:sz w:val="20"/>
                <w:szCs w:val="20"/>
                <w:lang w:val="sq-AL"/>
              </w:rPr>
              <w:t>14)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D588F" w14:textId="6AD3438E"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(14.49)</w:t>
            </w:r>
          </w:p>
        </w:tc>
      </w:tr>
      <w:tr w:rsidR="004375B5" w:rsidRPr="00765B5D" w14:paraId="0E1729ED"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64F8F7FC"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 xml:space="preserve">AACt-1 - kostot aktuale për vitin t-1 </w:t>
            </w:r>
          </w:p>
        </w:tc>
        <w:tc>
          <w:tcPr>
            <w:tcW w:w="917" w:type="dxa"/>
            <w:tcBorders>
              <w:top w:val="single" w:sz="4" w:space="0" w:color="auto"/>
              <w:left w:val="single" w:sz="4" w:space="0" w:color="auto"/>
              <w:bottom w:val="single" w:sz="4" w:space="0" w:color="auto"/>
              <w:right w:val="single" w:sz="4" w:space="0" w:color="auto"/>
            </w:tcBorders>
          </w:tcPr>
          <w:p w14:paraId="21339969" w14:textId="1CE6727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62E0" w14:textId="46CF7E78"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99.47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40D88" w14:textId="29E09AE6"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87.06</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F24C"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21C8E62"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29B0142F" w14:textId="37635F7A"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441.</w:t>
            </w:r>
            <w:r w:rsidRPr="00765B5D">
              <w:rPr>
                <w:rFonts w:asciiTheme="minorHAnsi" w:eastAsia="Times New Roman" w:hAnsiTheme="minorHAnsi" w:cstheme="minorHAnsi"/>
                <w:color w:val="000000"/>
                <w:sz w:val="20"/>
                <w:szCs w:val="20"/>
                <w:lang w:val="sq-AL"/>
              </w:rPr>
              <w:t>ARRt-1 -  te hyrat aktuale për vitin t-1</w:t>
            </w:r>
          </w:p>
        </w:tc>
        <w:tc>
          <w:tcPr>
            <w:tcW w:w="917" w:type="dxa"/>
            <w:tcBorders>
              <w:top w:val="single" w:sz="4" w:space="0" w:color="auto"/>
              <w:left w:val="single" w:sz="4" w:space="0" w:color="auto"/>
              <w:bottom w:val="single" w:sz="4" w:space="0" w:color="auto"/>
              <w:right w:val="single" w:sz="4" w:space="0" w:color="auto"/>
            </w:tcBorders>
          </w:tcPr>
          <w:p w14:paraId="027E5EFB" w14:textId="4FC2E4F3"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138F" w14:textId="5391267D"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103.20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22F8B"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100.55</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68BC3"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D7B1B35" w14:textId="77777777" w:rsidTr="00D14FA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5C8F1792" w14:textId="77777777" w:rsidR="004375B5" w:rsidRPr="00765B5D" w:rsidRDefault="004375B5" w:rsidP="004375B5">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KREVt = (AACat-1 – ARRt-1) * (1+ It)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69265B" w14:textId="02D61952" w:rsidR="004375B5" w:rsidRDefault="004375B5" w:rsidP="004375B5">
            <w:pPr>
              <w:spacing w:after="0" w:line="240" w:lineRule="auto"/>
              <w:jc w:val="center"/>
              <w:rPr>
                <w:rFonts w:asciiTheme="minorHAnsi" w:eastAsia="Times New Roman" w:hAnsiTheme="minorHAnsi" w:cstheme="minorHAnsi"/>
                <w:b/>
                <w:bCs/>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888314C" w14:textId="450E874B"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(4.14)</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BD83B14" w14:textId="4FC9196E"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(14.49)</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15F3B84" w14:textId="77777777"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p>
        </w:tc>
      </w:tr>
      <w:tr w:rsidR="004375B5" w:rsidRPr="00765B5D" w14:paraId="3D1FE8EF" w14:textId="77777777" w:rsidTr="00D14FA8">
        <w:trPr>
          <w:trHeight w:val="91"/>
        </w:trPr>
        <w:tc>
          <w:tcPr>
            <w:tcW w:w="5445" w:type="dxa"/>
            <w:tcBorders>
              <w:top w:val="nil"/>
              <w:left w:val="nil"/>
              <w:bottom w:val="nil"/>
              <w:right w:val="nil"/>
            </w:tcBorders>
            <w:shd w:val="clear" w:color="auto" w:fill="FFFFFF" w:themeFill="background1"/>
            <w:noWrap/>
            <w:vAlign w:val="center"/>
            <w:hideMark/>
          </w:tcPr>
          <w:p w14:paraId="06CF9B72" w14:textId="77777777" w:rsidR="004375B5" w:rsidRPr="00765B5D" w:rsidRDefault="004375B5" w:rsidP="00644781">
            <w:pPr>
              <w:spacing w:after="0" w:line="240" w:lineRule="auto"/>
              <w:rPr>
                <w:rFonts w:asciiTheme="minorHAnsi" w:eastAsia="Times New Roman" w:hAnsiTheme="minorHAnsi" w:cstheme="minorHAnsi"/>
                <w:b/>
                <w:bCs/>
                <w:sz w:val="4"/>
                <w:szCs w:val="4"/>
                <w:lang w:val="sq-AL"/>
              </w:rPr>
            </w:pPr>
          </w:p>
        </w:tc>
        <w:tc>
          <w:tcPr>
            <w:tcW w:w="917" w:type="dxa"/>
            <w:tcBorders>
              <w:top w:val="single" w:sz="4" w:space="0" w:color="auto"/>
              <w:left w:val="nil"/>
              <w:bottom w:val="single" w:sz="4" w:space="0" w:color="auto"/>
              <w:right w:val="nil"/>
            </w:tcBorders>
            <w:shd w:val="clear" w:color="auto" w:fill="FFFFFF" w:themeFill="background1"/>
          </w:tcPr>
          <w:p w14:paraId="15149A37"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single" w:sz="4" w:space="0" w:color="auto"/>
              <w:right w:val="nil"/>
            </w:tcBorders>
            <w:shd w:val="clear" w:color="auto" w:fill="FFFFFF" w:themeFill="background1"/>
            <w:noWrap/>
            <w:vAlign w:val="center"/>
          </w:tcPr>
          <w:p w14:paraId="658B1A10" w14:textId="31F1674C"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single" w:sz="4" w:space="0" w:color="auto"/>
              <w:right w:val="nil"/>
            </w:tcBorders>
            <w:shd w:val="clear" w:color="auto" w:fill="FFFFFF" w:themeFill="background1"/>
            <w:noWrap/>
            <w:vAlign w:val="center"/>
          </w:tcPr>
          <w:p w14:paraId="2473B3C0"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single" w:sz="4" w:space="0" w:color="auto"/>
              <w:right w:val="nil"/>
            </w:tcBorders>
            <w:shd w:val="clear" w:color="auto" w:fill="FFFFFF" w:themeFill="background1"/>
            <w:noWrap/>
            <w:vAlign w:val="center"/>
          </w:tcPr>
          <w:p w14:paraId="05C3A1B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6C02A5" w14:paraId="537732F3" w14:textId="77777777" w:rsidTr="00D14FA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0C37F18B"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MAR – të hyrat e lejuara maksimale</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F41EF1" w14:textId="3D54CE16"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r w:rsidRPr="00960892">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93A175E" w14:textId="526CEE05"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101.50</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49F61FE" w14:textId="1441E361"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95</w:t>
            </w:r>
            <w:r>
              <w:rPr>
                <w:rFonts w:asciiTheme="minorHAnsi" w:eastAsia="Times New Roman" w:hAnsiTheme="minorHAnsi" w:cstheme="minorHAnsi"/>
                <w:b/>
                <w:bCs/>
                <w:sz w:val="20"/>
                <w:szCs w:val="20"/>
                <w:lang w:val="sq-AL"/>
              </w:rPr>
              <w:t>.40</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17F15E2" w14:textId="7A05B45A"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81.44</w:t>
            </w:r>
          </w:p>
        </w:tc>
      </w:tr>
      <w:tr w:rsidR="004375B5" w:rsidRPr="006C02A5" w14:paraId="0A71C68E" w14:textId="77777777" w:rsidTr="00D14FA8">
        <w:trPr>
          <w:trHeight w:val="58"/>
        </w:trPr>
        <w:tc>
          <w:tcPr>
            <w:tcW w:w="5445" w:type="dxa"/>
            <w:tcBorders>
              <w:top w:val="nil"/>
              <w:left w:val="nil"/>
              <w:bottom w:val="nil"/>
              <w:right w:val="nil"/>
            </w:tcBorders>
            <w:shd w:val="clear" w:color="auto" w:fill="FFFFFF" w:themeFill="background1"/>
            <w:noWrap/>
            <w:vAlign w:val="center"/>
            <w:hideMark/>
          </w:tcPr>
          <w:p w14:paraId="1EEA88CB" w14:textId="77777777" w:rsidR="004375B5" w:rsidRPr="006C02A5" w:rsidRDefault="004375B5" w:rsidP="00644781">
            <w:pPr>
              <w:spacing w:after="0" w:line="240" w:lineRule="auto"/>
              <w:rPr>
                <w:rFonts w:asciiTheme="minorHAnsi" w:eastAsia="Times New Roman" w:hAnsiTheme="minorHAnsi" w:cstheme="minorHAnsi"/>
                <w:b/>
                <w:bCs/>
                <w:sz w:val="4"/>
                <w:szCs w:val="4"/>
                <w:lang w:val="sq-AL"/>
              </w:rPr>
            </w:pPr>
          </w:p>
        </w:tc>
        <w:tc>
          <w:tcPr>
            <w:tcW w:w="917" w:type="dxa"/>
            <w:tcBorders>
              <w:top w:val="single" w:sz="4" w:space="0" w:color="auto"/>
              <w:left w:val="nil"/>
              <w:bottom w:val="nil"/>
              <w:right w:val="nil"/>
            </w:tcBorders>
            <w:shd w:val="clear" w:color="auto" w:fill="FFFFFF" w:themeFill="background1"/>
          </w:tcPr>
          <w:p w14:paraId="4A78417A"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nil"/>
              <w:right w:val="nil"/>
            </w:tcBorders>
            <w:shd w:val="clear" w:color="auto" w:fill="FFFFFF" w:themeFill="background1"/>
            <w:noWrap/>
            <w:vAlign w:val="center"/>
            <w:hideMark/>
          </w:tcPr>
          <w:p w14:paraId="268E9888" w14:textId="2B53D752"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nil"/>
              <w:right w:val="nil"/>
            </w:tcBorders>
            <w:shd w:val="clear" w:color="auto" w:fill="FFFFFF" w:themeFill="background1"/>
            <w:noWrap/>
            <w:vAlign w:val="center"/>
            <w:hideMark/>
          </w:tcPr>
          <w:p w14:paraId="477E6981"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nil"/>
              <w:right w:val="nil"/>
            </w:tcBorders>
            <w:shd w:val="clear" w:color="auto" w:fill="FFFFFF" w:themeFill="background1"/>
            <w:noWrap/>
            <w:vAlign w:val="center"/>
            <w:hideMark/>
          </w:tcPr>
          <w:p w14:paraId="57A25A5F"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r>
    </w:tbl>
    <w:p w14:paraId="49DAF978" w14:textId="39731283" w:rsidR="00A450CD" w:rsidRPr="0050005A" w:rsidRDefault="00A450CD" w:rsidP="00F527A5">
      <w:pPr>
        <w:spacing w:after="0" w:line="240" w:lineRule="auto"/>
        <w:jc w:val="both"/>
        <w:rPr>
          <w:lang w:val="sq-AL"/>
        </w:rPr>
      </w:pPr>
    </w:p>
    <w:sectPr w:rsidR="00A450CD" w:rsidRPr="0050005A" w:rsidSect="005D42C8">
      <w:pgSz w:w="11907" w:h="16839" w:code="9"/>
      <w:pgMar w:top="1126" w:right="1440" w:bottom="1260" w:left="1440" w:header="284" w:footer="720" w:gutter="0"/>
      <w:pgNumType w:start="2"/>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dnan isufi" w:date="2021-09-07T05:59:00Z" w:initials="ai">
    <w:p w14:paraId="5B85339D" w14:textId="6A3538A5" w:rsidR="00B775D0" w:rsidRDefault="00B775D0">
      <w:pPr>
        <w:pStyle w:val="CommentText"/>
      </w:pPr>
      <w:r>
        <w:rPr>
          <w:rStyle w:val="CommentReference"/>
        </w:rPr>
        <w:annotationRef/>
      </w:r>
      <w:r>
        <w:t>T</w:t>
      </w:r>
      <w:r w:rsidR="008D5BC4">
        <w:t>e</w:t>
      </w:r>
      <w:r>
        <w:t xml:space="preserve"> verifikohet </w:t>
      </w:r>
      <w:r w:rsidR="00F914A8">
        <w:t xml:space="preserve"> e dhena</w:t>
      </w:r>
      <w:r>
        <w:t xml:space="preserve"> </w:t>
      </w:r>
      <w:r w:rsidR="00F914A8">
        <w:t xml:space="preserve"> per sasine e energjise  elektrike </w:t>
      </w:r>
      <w:r w:rsidR="00F914A8" w:rsidRPr="00F914A8">
        <w:rPr>
          <w:color w:val="FF0000"/>
        </w:rPr>
        <w:t xml:space="preserve">Hyrja ne OSSH </w:t>
      </w:r>
      <w:r w:rsidR="008D5BC4">
        <w:t xml:space="preserve">per vitin  2021 nese eshte e sakte sepse kjo vlere </w:t>
      </w:r>
      <w:r>
        <w:t xml:space="preserve">nuk </w:t>
      </w:r>
      <w:r w:rsidR="008D5BC4">
        <w:t xml:space="preserve">paraqet  </w:t>
      </w:r>
      <w:r w:rsidR="00F914A8">
        <w:t xml:space="preserve">shumen </w:t>
      </w:r>
      <w:r>
        <w:t>e energ</w:t>
      </w:r>
      <w:r w:rsidR="008D5BC4">
        <w:t>ji</w:t>
      </w:r>
      <w:r>
        <w:t xml:space="preserve">se ne hyrje ne OSSH pa energjine </w:t>
      </w:r>
      <w:r w:rsidR="008D5BC4">
        <w:t>e pafaturuar +energjia e pafatuarua ne Veri (</w:t>
      </w:r>
      <w:r w:rsidR="008D5BC4" w:rsidRPr="00D14E96">
        <w:rPr>
          <w:color w:val="FF0000"/>
        </w:rPr>
        <w:t>5221+327=5548</w:t>
      </w:r>
      <w:r w:rsidR="008D5BC4">
        <w:t>)</w:t>
      </w:r>
      <w:r w:rsidR="00F914A8">
        <w:t xml:space="preserve"> si ne rastin e te dhenave te paraqitura per vitin 2020   dhe po ashtu  kjo vlere njeher nuk perputhet me </w:t>
      </w:r>
      <w:r w:rsidR="00D14E96">
        <w:t xml:space="preserve">ate te </w:t>
      </w:r>
      <w:r w:rsidR="00F914A8">
        <w:t>bilanci</w:t>
      </w:r>
      <w:r w:rsidR="00D14E96">
        <w:t>t</w:t>
      </w:r>
      <w:r w:rsidR="00F914A8">
        <w:t xml:space="preserve"> </w:t>
      </w:r>
      <w:r w:rsidR="00D14E96">
        <w:t>t</w:t>
      </w:r>
      <w:r w:rsidR="00F914A8">
        <w:t xml:space="preserve">e parashikuar </w:t>
      </w:r>
      <w:r w:rsidR="00D14E96">
        <w:t xml:space="preserve"> per </w:t>
      </w:r>
      <w:r w:rsidR="00F914A8">
        <w:t xml:space="preserve"> viti</w:t>
      </w:r>
      <w:r w:rsidR="00D14E96">
        <w:t>n</w:t>
      </w:r>
      <w:r w:rsidR="00F914A8">
        <w:t xml:space="preserve"> 2021 .</w:t>
      </w:r>
    </w:p>
  </w:comment>
  <w:comment w:id="9" w:author="adnan isufi" w:date="2021-09-07T05:14:00Z" w:initials="ai">
    <w:p w14:paraId="0D6AEA80" w14:textId="140BEFF3" w:rsidR="007D4E50" w:rsidRDefault="007D4E50">
      <w:pPr>
        <w:pStyle w:val="CommentText"/>
      </w:pPr>
      <w:r>
        <w:rPr>
          <w:rStyle w:val="CommentReference"/>
        </w:rPr>
        <w:annotationRef/>
      </w:r>
      <w:r>
        <w:t>Sipas bilancit per vitin 2021 te publikuar nga ZRrE kjo vlere eshte 9</w:t>
      </w:r>
      <w:r w:rsidR="005E0630">
        <w:t xml:space="preserve">10 </w:t>
      </w:r>
      <w:r w:rsidR="00B775D0">
        <w:t>GWh</w:t>
      </w:r>
    </w:p>
  </w:comment>
  <w:comment w:id="10" w:author="adnan isufi" w:date="2021-09-07T06:08:00Z" w:initials="ai">
    <w:p w14:paraId="6ADCBAB3" w14:textId="2D94F02B" w:rsidR="008D5BC4" w:rsidRDefault="008D5BC4">
      <w:pPr>
        <w:pStyle w:val="CommentText"/>
      </w:pPr>
      <w:r>
        <w:rPr>
          <w:rStyle w:val="CommentReference"/>
        </w:rPr>
        <w:annotationRef/>
      </w:r>
      <w:r>
        <w:t xml:space="preserve">Te </w:t>
      </w:r>
      <w:r w:rsidR="005E0630">
        <w:t xml:space="preserve">rishikohet  kjo vlere </w:t>
      </w:r>
      <w:r>
        <w:t>nese ka gabim ne te dhenat per vitin 2021 sipas dy komenteve  me</w:t>
      </w:r>
      <w:r w:rsidR="005E0630">
        <w:t xml:space="preserve"> larte  </w:t>
      </w:r>
      <w:r>
        <w:t xml:space="preserve"> dhe njeher ne rast ndryshimi te reflektohet edhe ne tekstin e meposhtem.</w:t>
      </w:r>
    </w:p>
  </w:comment>
  <w:comment w:id="11" w:author="adnan isufi" w:date="2021-09-07T06:31:00Z" w:initials="ai">
    <w:p w14:paraId="16CA24DA" w14:textId="5D2EFEC4" w:rsidR="0019685F" w:rsidRDefault="0019685F">
      <w:pPr>
        <w:pStyle w:val="CommentText"/>
      </w:pPr>
      <w:r>
        <w:rPr>
          <w:rStyle w:val="CommentReference"/>
        </w:rPr>
        <w:annotationRef/>
      </w:r>
      <w:r>
        <w:t>Gjithashtu edhe kjo vlere te rishikohet ne rast tendryshimit te vlerave sipa komenteve me larte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5339D" w15:done="0"/>
  <w15:commentEx w15:paraId="0D6AEA80" w15:done="0"/>
  <w15:commentEx w15:paraId="6ADCBAB3" w15:done="0"/>
  <w15:commentEx w15:paraId="16CA24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7E43" w16cex:dateUtc="2021-09-07T03:59:00Z"/>
  <w16cex:commentExtensible w16cex:durableId="24E173AD" w16cex:dateUtc="2021-09-07T03:14:00Z"/>
  <w16cex:commentExtensible w16cex:durableId="24E18060" w16cex:dateUtc="2021-09-07T04:08:00Z"/>
  <w16cex:commentExtensible w16cex:durableId="24E185BF" w16cex:dateUtc="2021-09-07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5339D" w16cid:durableId="24E17E43"/>
  <w16cid:commentId w16cid:paraId="0D6AEA80" w16cid:durableId="24E173AD"/>
  <w16cid:commentId w16cid:paraId="6ADCBAB3" w16cid:durableId="24E18060"/>
  <w16cid:commentId w16cid:paraId="16CA24DA" w16cid:durableId="24E185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7905" w14:textId="77777777" w:rsidR="0063004C" w:rsidRDefault="0063004C" w:rsidP="002F09BD">
      <w:pPr>
        <w:spacing w:after="0" w:line="240" w:lineRule="auto"/>
      </w:pPr>
      <w:r>
        <w:separator/>
      </w:r>
    </w:p>
  </w:endnote>
  <w:endnote w:type="continuationSeparator" w:id="0">
    <w:p w14:paraId="70CEC498" w14:textId="77777777" w:rsidR="0063004C" w:rsidRDefault="0063004C" w:rsidP="002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lang w:val="sq-AL"/>
      </w:rPr>
      <w:id w:val="1159817204"/>
      <w:docPartObj>
        <w:docPartGallery w:val="Page Numbers (Bottom of Page)"/>
        <w:docPartUnique/>
      </w:docPartObj>
    </w:sdtPr>
    <w:sdtEndPr/>
    <w:sdtContent>
      <w:sdt>
        <w:sdtPr>
          <w:rPr>
            <w:szCs w:val="22"/>
            <w:lang w:val="sq-AL"/>
          </w:rPr>
          <w:id w:val="565050523"/>
          <w:docPartObj>
            <w:docPartGallery w:val="Page Numbers (Top of Page)"/>
            <w:docPartUnique/>
          </w:docPartObj>
        </w:sdtPr>
        <w:sdtEndPr/>
        <w:sdtContent>
          <w:p w14:paraId="61AC5017" w14:textId="433B767D" w:rsidR="009F0030" w:rsidRPr="008E6219" w:rsidRDefault="009F0030">
            <w:pPr>
              <w:pStyle w:val="Footer"/>
              <w:jc w:val="right"/>
              <w:rPr>
                <w:szCs w:val="22"/>
                <w:lang w:val="sq-AL"/>
              </w:rPr>
            </w:pPr>
            <w:r w:rsidRPr="008E6219">
              <w:rPr>
                <w:rFonts w:asciiTheme="minorHAnsi" w:hAnsiTheme="minorHAnsi" w:cstheme="minorHAnsi"/>
                <w:szCs w:val="22"/>
                <w:lang w:val="sq-AL"/>
              </w:rPr>
              <w:t xml:space="preserve">Faqe </w:t>
            </w:r>
            <w:r w:rsidRPr="008E6219">
              <w:rPr>
                <w:rFonts w:asciiTheme="minorHAnsi" w:hAnsiTheme="minorHAnsi" w:cstheme="minorHAnsi"/>
                <w:szCs w:val="22"/>
                <w:lang w:val="sq-AL"/>
              </w:rPr>
              <w:fldChar w:fldCharType="begin"/>
            </w:r>
            <w:r w:rsidRPr="008E6219">
              <w:rPr>
                <w:rFonts w:asciiTheme="minorHAnsi" w:hAnsiTheme="minorHAnsi" w:cstheme="minorHAnsi"/>
                <w:szCs w:val="22"/>
                <w:lang w:val="sq-AL"/>
              </w:rPr>
              <w:instrText xml:space="preserve"> PAGE </w:instrText>
            </w:r>
            <w:r w:rsidRPr="008E6219">
              <w:rPr>
                <w:rFonts w:asciiTheme="minorHAnsi" w:hAnsiTheme="minorHAnsi" w:cstheme="minorHAnsi"/>
                <w:szCs w:val="22"/>
                <w:lang w:val="sq-AL"/>
              </w:rPr>
              <w:fldChar w:fldCharType="separate"/>
            </w:r>
            <w:r w:rsidR="003140A1">
              <w:rPr>
                <w:rFonts w:asciiTheme="minorHAnsi" w:hAnsiTheme="minorHAnsi" w:cstheme="minorHAnsi"/>
                <w:noProof/>
                <w:szCs w:val="22"/>
                <w:lang w:val="sq-AL"/>
              </w:rPr>
              <w:t>2</w:t>
            </w:r>
            <w:r w:rsidRPr="008E6219">
              <w:rPr>
                <w:rFonts w:asciiTheme="minorHAnsi" w:hAnsiTheme="minorHAnsi" w:cstheme="minorHAnsi"/>
                <w:szCs w:val="22"/>
                <w:lang w:val="sq-AL"/>
              </w:rPr>
              <w:fldChar w:fldCharType="end"/>
            </w:r>
            <w:r w:rsidRPr="008E6219">
              <w:rPr>
                <w:rFonts w:asciiTheme="minorHAnsi" w:hAnsiTheme="minorHAnsi" w:cstheme="minorHAnsi"/>
                <w:szCs w:val="22"/>
                <w:lang w:val="sq-AL"/>
              </w:rPr>
              <w:t xml:space="preserve"> nga </w:t>
            </w:r>
            <w:r w:rsidRPr="008E6219">
              <w:rPr>
                <w:rFonts w:asciiTheme="minorHAnsi" w:hAnsiTheme="minorHAnsi" w:cstheme="minorHAnsi"/>
                <w:szCs w:val="22"/>
                <w:lang w:val="sq-AL"/>
              </w:rPr>
              <w:fldChar w:fldCharType="begin"/>
            </w:r>
            <w:r w:rsidRPr="008E6219">
              <w:rPr>
                <w:rFonts w:asciiTheme="minorHAnsi" w:hAnsiTheme="minorHAnsi" w:cstheme="minorHAnsi"/>
                <w:szCs w:val="22"/>
                <w:lang w:val="sq-AL"/>
              </w:rPr>
              <w:instrText xml:space="preserve"> NUMPAGES  </w:instrText>
            </w:r>
            <w:r w:rsidRPr="008E6219">
              <w:rPr>
                <w:rFonts w:asciiTheme="minorHAnsi" w:hAnsiTheme="minorHAnsi" w:cstheme="minorHAnsi"/>
                <w:szCs w:val="22"/>
                <w:lang w:val="sq-AL"/>
              </w:rPr>
              <w:fldChar w:fldCharType="separate"/>
            </w:r>
            <w:r w:rsidR="003140A1">
              <w:rPr>
                <w:rFonts w:asciiTheme="minorHAnsi" w:hAnsiTheme="minorHAnsi" w:cstheme="minorHAnsi"/>
                <w:noProof/>
                <w:szCs w:val="22"/>
                <w:lang w:val="sq-AL"/>
              </w:rPr>
              <w:t>2</w:t>
            </w:r>
            <w:r w:rsidRPr="008E6219">
              <w:rPr>
                <w:rFonts w:asciiTheme="minorHAnsi" w:hAnsiTheme="minorHAnsi" w:cstheme="minorHAnsi"/>
                <w:szCs w:val="22"/>
                <w:lang w:val="sq-AL"/>
              </w:rPr>
              <w:fldChar w:fldCharType="end"/>
            </w:r>
          </w:p>
        </w:sdtContent>
      </w:sdt>
    </w:sdtContent>
  </w:sdt>
  <w:p w14:paraId="2A897D04" w14:textId="77777777" w:rsidR="009F0030" w:rsidRPr="004726DA" w:rsidRDefault="009F0030">
    <w:pPr>
      <w:pStyle w:val="Footer"/>
      <w:jc w:val="right"/>
      <w:rPr>
        <w:rFonts w:asciiTheme="minorHAnsi" w:hAnsiTheme="minorHAnsi"/>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EA5B" w14:textId="77777777" w:rsidR="009F0030" w:rsidRDefault="009F0030" w:rsidP="007616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44F27CBA" w14:textId="77777777" w:rsidR="009F0030" w:rsidRPr="00CC5C73" w:rsidRDefault="009F0030" w:rsidP="007616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Tel: 038 247 615 lok. 101, Fax: 038 247 620, E-mail: info@ero-ks.org, </w:t>
    </w:r>
    <w:r>
      <w:rPr>
        <w:rFonts w:ascii="Calibri" w:hAnsi="Calibri"/>
        <w:color w:val="005F91"/>
        <w:sz w:val="18"/>
        <w:szCs w:val="18"/>
      </w:rPr>
      <w:t>w</w:t>
    </w:r>
    <w:r w:rsidRPr="00661073">
      <w:rPr>
        <w:rFonts w:ascii="Calibri" w:hAnsi="Calibri"/>
        <w:color w:val="005F91"/>
        <w:sz w:val="18"/>
        <w:szCs w:val="18"/>
      </w:rPr>
      <w:t xml:space="preserve">eb: </w:t>
    </w:r>
    <w:r>
      <w:rPr>
        <w:rFonts w:ascii="Calibri" w:hAnsi="Calibri"/>
        <w:color w:val="005F91"/>
        <w:sz w:val="18"/>
        <w:szCs w:val="18"/>
      </w:rPr>
      <w:t>www</w:t>
    </w:r>
    <w:r w:rsidRPr="00661073">
      <w:rPr>
        <w:rFonts w:ascii="Calibri" w:hAnsi="Calibri"/>
        <w:color w:val="005F91"/>
        <w:sz w:val="18"/>
        <w:szCs w:val="18"/>
      </w:rPr>
      <w:t>.ero-ks.org</w:t>
    </w:r>
  </w:p>
  <w:p w14:paraId="25A7B2FB" w14:textId="77777777" w:rsidR="009F0030" w:rsidRDefault="009F00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A87C" w14:textId="77777777" w:rsidR="0063004C" w:rsidRDefault="0063004C" w:rsidP="002F09BD">
      <w:pPr>
        <w:spacing w:after="0" w:line="240" w:lineRule="auto"/>
      </w:pPr>
      <w:r>
        <w:separator/>
      </w:r>
    </w:p>
  </w:footnote>
  <w:footnote w:type="continuationSeparator" w:id="0">
    <w:p w14:paraId="2E6FFA6E" w14:textId="77777777" w:rsidR="0063004C" w:rsidRDefault="0063004C" w:rsidP="002F09BD">
      <w:pPr>
        <w:spacing w:after="0" w:line="240" w:lineRule="auto"/>
      </w:pPr>
      <w:r>
        <w:continuationSeparator/>
      </w:r>
    </w:p>
  </w:footnote>
  <w:footnote w:id="1">
    <w:p w14:paraId="1F36F981" w14:textId="77777777" w:rsidR="009F0030" w:rsidRPr="00354587" w:rsidRDefault="009F0030" w:rsidP="00026AD9">
      <w:pPr>
        <w:spacing w:after="0" w:line="252" w:lineRule="auto"/>
        <w:rPr>
          <w:sz w:val="20"/>
          <w:szCs w:val="20"/>
          <w:lang w:val="sq-AL"/>
        </w:rPr>
      </w:pPr>
      <w:r w:rsidRPr="0009487F">
        <w:rPr>
          <w:rStyle w:val="FootnoteReference"/>
          <w:lang w:val="sq-AL"/>
        </w:rPr>
        <w:footnoteRef/>
      </w:r>
      <w:r w:rsidRPr="0009487F">
        <w:rPr>
          <w:lang w:val="sq-AL"/>
        </w:rPr>
        <w:t xml:space="preserve"> </w:t>
      </w:r>
      <w:r w:rsidRPr="00354587">
        <w:rPr>
          <w:sz w:val="20"/>
          <w:szCs w:val="20"/>
          <w:lang w:val="sq-AL"/>
        </w:rPr>
        <w:t xml:space="preserve">Burimi: Eurostat, </w:t>
      </w:r>
      <w:hyperlink r:id="rId1" w:history="1">
        <w:r w:rsidRPr="00354587">
          <w:rPr>
            <w:rStyle w:val="Hyperlink"/>
            <w:sz w:val="20"/>
            <w:szCs w:val="20"/>
            <w:lang w:val="sq-AL"/>
          </w:rPr>
          <w:t>https://appsso.eurostat.ec.europa.eu/nui/submitViewTableAction.do</w:t>
        </w:r>
      </w:hyperlink>
      <w:r w:rsidRPr="00354587">
        <w:rPr>
          <w:sz w:val="20"/>
          <w:szCs w:val="20"/>
          <w:lang w:val="sq-AL"/>
        </w:rPr>
        <w:t xml:space="preserve"> (vizituar më 27.01.2020)</w:t>
      </w:r>
    </w:p>
  </w:footnote>
  <w:footnote w:id="2">
    <w:p w14:paraId="1B0E9AF0" w14:textId="77777777" w:rsidR="009F0030" w:rsidRPr="00354587" w:rsidRDefault="009F0030" w:rsidP="00026AD9">
      <w:pPr>
        <w:pStyle w:val="FootnoteText"/>
        <w:spacing w:after="0"/>
        <w:rPr>
          <w:szCs w:val="20"/>
          <w:lang w:val="sq-AL"/>
        </w:rPr>
      </w:pPr>
      <w:r w:rsidRPr="00354587">
        <w:rPr>
          <w:rStyle w:val="FootnoteReference"/>
          <w:szCs w:val="20"/>
          <w:lang w:val="sq-AL"/>
        </w:rPr>
        <w:footnoteRef/>
      </w:r>
      <w:r w:rsidRPr="00354587">
        <w:rPr>
          <w:szCs w:val="20"/>
          <w:lang w:val="sq-AL"/>
        </w:rPr>
        <w:t xml:space="preserve"> Sipas lejimeve të Shqyrtimit Periodik 2018-2022 linku:</w:t>
      </w:r>
    </w:p>
    <w:p w14:paraId="1A5AB132" w14:textId="77777777" w:rsidR="009F0030" w:rsidRPr="00966ECD" w:rsidRDefault="009F0030" w:rsidP="00F940AC">
      <w:pPr>
        <w:pStyle w:val="FootnoteText"/>
        <w:spacing w:after="0"/>
        <w:rPr>
          <w:lang w:val="en-US"/>
        </w:rPr>
      </w:pPr>
      <w:r w:rsidRPr="00354587">
        <w:rPr>
          <w:szCs w:val="20"/>
          <w:lang w:val="en-US"/>
        </w:rPr>
        <w:t xml:space="preserve"> </w:t>
      </w:r>
      <w:hyperlink r:id="rId2" w:history="1">
        <w:r w:rsidRPr="00354587">
          <w:rPr>
            <w:rStyle w:val="Hyperlink"/>
            <w:szCs w:val="20"/>
            <w:lang w:val="en-US"/>
          </w:rPr>
          <w:t>http://ero-ks.org/2018/Raportet/Pergjigje%20ndaj%20komenteve%20te%20KEDS_PRR2_final.pdf</w:t>
        </w:r>
      </w:hyperlink>
      <w:r w:rsidRPr="00354587">
        <w:rPr>
          <w:szCs w:val="20"/>
          <w:lang w:val="en-US"/>
        </w:rPr>
        <w:t xml:space="preserve"> </w:t>
      </w:r>
    </w:p>
  </w:footnote>
  <w:footnote w:id="3">
    <w:p w14:paraId="244C93FF" w14:textId="77777777" w:rsidR="009F0030" w:rsidRPr="0009487F" w:rsidRDefault="009F0030">
      <w:pPr>
        <w:pStyle w:val="FootnoteText"/>
        <w:rPr>
          <w:rFonts w:ascii="Arial" w:hAnsi="Arial"/>
          <w:lang w:val="sq-AL"/>
        </w:rPr>
      </w:pPr>
      <w:r>
        <w:rPr>
          <w:rStyle w:val="FootnoteReference"/>
        </w:rPr>
        <w:footnoteRef/>
      </w:r>
      <w:r>
        <w:t xml:space="preserve"> K</w:t>
      </w:r>
      <w:r w:rsidRPr="0009487F">
        <w:rPr>
          <w:rFonts w:cs="Calibri"/>
          <w:lang w:val="sq-AL"/>
        </w:rPr>
        <w:t>ë</w:t>
      </w:r>
      <w:r w:rsidRPr="0009487F">
        <w:rPr>
          <w:lang w:val="sq-AL"/>
        </w:rPr>
        <w:t>to kosto jan</w:t>
      </w:r>
      <w:r w:rsidRPr="0009487F">
        <w:rPr>
          <w:rFonts w:cs="Calibri"/>
          <w:lang w:val="sq-AL"/>
        </w:rPr>
        <w:t>ë</w:t>
      </w:r>
      <w:r w:rsidRPr="0009487F">
        <w:rPr>
          <w:lang w:val="sq-AL"/>
        </w:rPr>
        <w:t xml:space="preserve"> pjes</w:t>
      </w:r>
      <w:r w:rsidRPr="0009487F">
        <w:rPr>
          <w:rFonts w:cs="Calibri"/>
          <w:lang w:val="sq-AL"/>
        </w:rPr>
        <w:t>ë</w:t>
      </w:r>
      <w:r w:rsidRPr="0009487F">
        <w:rPr>
          <w:lang w:val="sq-AL"/>
        </w:rPr>
        <w:t xml:space="preserve"> e azhurnimeve t</w:t>
      </w:r>
      <w:r w:rsidRPr="0009487F">
        <w:rPr>
          <w:rFonts w:cs="Calibri"/>
          <w:lang w:val="sq-AL"/>
        </w:rPr>
        <w:t>ë</w:t>
      </w:r>
      <w:r w:rsidRPr="0009487F">
        <w:rPr>
          <w:lang w:val="sq-AL"/>
        </w:rPr>
        <w:t xml:space="preserve"> p</w:t>
      </w:r>
      <w:r w:rsidRPr="0009487F">
        <w:rPr>
          <w:rFonts w:cs="Calibri"/>
          <w:lang w:val="sq-AL"/>
        </w:rPr>
        <w:t>ë</w:t>
      </w:r>
      <w:r w:rsidRPr="0009487F">
        <w:rPr>
          <w:lang w:val="sq-AL"/>
        </w:rPr>
        <w:t>rgjithshme dhe reflektohen n</w:t>
      </w:r>
      <w:r w:rsidRPr="0009487F">
        <w:rPr>
          <w:rFonts w:cs="Calibri"/>
          <w:lang w:val="sq-AL"/>
        </w:rPr>
        <w:t>ë</w:t>
      </w:r>
      <w:r w:rsidRPr="0009487F">
        <w:rPr>
          <w:lang w:val="sq-AL"/>
        </w:rPr>
        <w:t xml:space="preserve"> MAR-in e vitit 202</w:t>
      </w:r>
      <w:r>
        <w:rPr>
          <w:lang w:val="sq-AL"/>
        </w:rPr>
        <w:t>1</w:t>
      </w:r>
      <w:r w:rsidRPr="0009487F">
        <w:rPr>
          <w:lang w:val="sq-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A7E2" w14:textId="77777777" w:rsidR="009F0030" w:rsidRDefault="009F0030" w:rsidP="00033CDB">
    <w:pPr>
      <w:pStyle w:val="Header"/>
      <w:ind w:left="-810"/>
    </w:pPr>
    <w:r>
      <w:object w:dxaOrig="1171" w:dyaOrig="1740" w14:anchorId="1AE40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75pt">
          <v:imagedata r:id="rId1" o:title=""/>
        </v:shape>
        <o:OLEObject Type="Embed" ProgID="CorelDRAW.Graphic.14" ShapeID="_x0000_i1025" DrawAspect="Content" ObjectID="_1694342641"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063F" w14:textId="77777777" w:rsidR="009F0030" w:rsidRDefault="009F0030" w:rsidP="00417A40">
    <w:pPr>
      <w:pStyle w:val="Header"/>
      <w:tabs>
        <w:tab w:val="clear" w:pos="8640"/>
        <w:tab w:val="right" w:pos="9000"/>
      </w:tabs>
      <w:ind w:left="-450"/>
      <w:jc w:val="center"/>
    </w:pPr>
    <w:r>
      <w:rPr>
        <w:noProof/>
        <w:lang w:val="en-US"/>
      </w:rPr>
      <w:drawing>
        <wp:inline distT="0" distB="0" distL="0" distR="0" wp14:anchorId="39CAC3A6" wp14:editId="32C0883A">
          <wp:extent cx="5739130" cy="11734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9130" cy="1173480"/>
                  </a:xfrm>
                  <a:prstGeom prst="rect">
                    <a:avLst/>
                  </a:prstGeom>
                  <a:noFill/>
                  <a:ln w="9525">
                    <a:noFill/>
                    <a:miter lim="800000"/>
                    <a:headEnd/>
                    <a:tailEnd/>
                  </a:ln>
                </pic:spPr>
              </pic:pic>
            </a:graphicData>
          </a:graphic>
        </wp:inline>
      </w:drawing>
    </w:r>
  </w:p>
  <w:p w14:paraId="74AA5176" w14:textId="77777777" w:rsidR="009F0030" w:rsidRDefault="009F00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5297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165AC"/>
    <w:multiLevelType w:val="hybridMultilevel"/>
    <w:tmpl w:val="72606134"/>
    <w:lvl w:ilvl="0" w:tplc="4038083A">
      <w:start w:val="1"/>
      <w:numFmt w:val="bullet"/>
      <w:lvlText w:val=""/>
      <w:lvlJc w:val="left"/>
      <w:pPr>
        <w:tabs>
          <w:tab w:val="num" w:pos="720"/>
        </w:tabs>
        <w:ind w:left="720" w:hanging="360"/>
      </w:pPr>
      <w:rPr>
        <w:rFonts w:ascii="Wingdings" w:hAnsi="Wingdings" w:hint="default"/>
        <w:b w:val="0"/>
        <w:i w:val="0"/>
        <w:color w:val="003366"/>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9086C"/>
    <w:multiLevelType w:val="hybridMultilevel"/>
    <w:tmpl w:val="82B2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03403"/>
    <w:multiLevelType w:val="hybridMultilevel"/>
    <w:tmpl w:val="75A6DADE"/>
    <w:lvl w:ilvl="0" w:tplc="08090001">
      <w:start w:val="1"/>
      <w:numFmt w:val="bullet"/>
      <w:lvlText w:val=""/>
      <w:lvlJc w:val="left"/>
      <w:pPr>
        <w:ind w:left="720" w:hanging="360"/>
      </w:pPr>
      <w:rPr>
        <w:rFonts w:ascii="Symbol" w:hAnsi="Symbol" w:hint="default"/>
      </w:rPr>
    </w:lvl>
    <w:lvl w:ilvl="1" w:tplc="11E27A3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E74CD"/>
    <w:multiLevelType w:val="hybridMultilevel"/>
    <w:tmpl w:val="59BE5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3FE3"/>
    <w:multiLevelType w:val="hybridMultilevel"/>
    <w:tmpl w:val="2BA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3CF5"/>
    <w:multiLevelType w:val="hybridMultilevel"/>
    <w:tmpl w:val="95207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F7332"/>
    <w:multiLevelType w:val="hybridMultilevel"/>
    <w:tmpl w:val="2BB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8221C55"/>
    <w:multiLevelType w:val="hybridMultilevel"/>
    <w:tmpl w:val="547806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C6F91"/>
    <w:multiLevelType w:val="hybridMultilevel"/>
    <w:tmpl w:val="C95C8590"/>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2309F"/>
    <w:multiLevelType w:val="hybridMultilevel"/>
    <w:tmpl w:val="E8BA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39E46CF"/>
    <w:multiLevelType w:val="hybridMultilevel"/>
    <w:tmpl w:val="7BD6373C"/>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42C82"/>
    <w:multiLevelType w:val="hybridMultilevel"/>
    <w:tmpl w:val="8564DF4C"/>
    <w:lvl w:ilvl="0" w:tplc="04090001">
      <w:start w:val="1"/>
      <w:numFmt w:val="bullet"/>
      <w:lvlText w:val=""/>
      <w:lvlJc w:val="left"/>
      <w:pPr>
        <w:ind w:left="720" w:hanging="360"/>
      </w:pPr>
      <w:rPr>
        <w:rFonts w:ascii="Symbol" w:hAnsi="Symbol" w:hint="default"/>
      </w:rPr>
    </w:lvl>
    <w:lvl w:ilvl="1" w:tplc="179AB55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4135C"/>
    <w:multiLevelType w:val="hybridMultilevel"/>
    <w:tmpl w:val="B412B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05FE2"/>
    <w:multiLevelType w:val="hybridMultilevel"/>
    <w:tmpl w:val="7DC8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015F9"/>
    <w:multiLevelType w:val="multilevel"/>
    <w:tmpl w:val="55E21FB6"/>
    <w:lvl w:ilvl="0">
      <w:start w:val="1"/>
      <w:numFmt w:val="decimal"/>
      <w:lvlText w:val="Schedu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2"/>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2">
      <w:start w:val="1"/>
      <w:numFmt w:val="decimal"/>
      <w:lvlText w:val="%2.%3"/>
      <w:lvlJc w:val="left"/>
      <w:pPr>
        <w:ind w:left="1440" w:hanging="720"/>
      </w:pPr>
      <w:rPr>
        <w:rFonts w:ascii="Times New Roman" w:hAnsi="Times New Roman" w:hint="default"/>
        <w:b w:val="0"/>
        <w:i w:val="0"/>
        <w:sz w:val="22"/>
      </w:rPr>
    </w:lvl>
    <w:lvl w:ilvl="3">
      <w:start w:val="1"/>
      <w:numFmt w:val="lowerRoman"/>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FA31FB"/>
    <w:multiLevelType w:val="hybridMultilevel"/>
    <w:tmpl w:val="08B2E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7"/>
  </w:num>
  <w:num w:numId="9">
    <w:abstractNumId w:val="16"/>
  </w:num>
  <w:num w:numId="10">
    <w:abstractNumId w:val="14"/>
  </w:num>
  <w:num w:numId="11">
    <w:abstractNumId w:val="4"/>
  </w:num>
  <w:num w:numId="12">
    <w:abstractNumId w:val="3"/>
  </w:num>
  <w:num w:numId="13">
    <w:abstractNumId w:val="9"/>
  </w:num>
  <w:num w:numId="14">
    <w:abstractNumId w:val="15"/>
  </w:num>
  <w:num w:numId="15">
    <w:abstractNumId w:val="13"/>
  </w:num>
  <w:num w:numId="16">
    <w:abstractNumId w:val="10"/>
  </w:num>
  <w:num w:numId="17">
    <w:abstractNumId w:val="11"/>
  </w:num>
  <w:num w:numId="18">
    <w:abstractNumId w:val="7"/>
  </w:num>
  <w:num w:numId="19">
    <w:abstractNumId w:val="12"/>
  </w:num>
  <w:num w:numId="20">
    <w:abstractNumId w:val="18"/>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nan isufi">
    <w15:presenceInfo w15:providerId="Windows Live" w15:userId="5ab9637d770be5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BD"/>
    <w:rsid w:val="000075DE"/>
    <w:rsid w:val="00011291"/>
    <w:rsid w:val="00017060"/>
    <w:rsid w:val="0002154F"/>
    <w:rsid w:val="00026AD9"/>
    <w:rsid w:val="00033CDB"/>
    <w:rsid w:val="000349B2"/>
    <w:rsid w:val="00036514"/>
    <w:rsid w:val="00051162"/>
    <w:rsid w:val="000521AB"/>
    <w:rsid w:val="000610F2"/>
    <w:rsid w:val="0006542D"/>
    <w:rsid w:val="00065E61"/>
    <w:rsid w:val="00065F01"/>
    <w:rsid w:val="00076A18"/>
    <w:rsid w:val="00091675"/>
    <w:rsid w:val="00092F60"/>
    <w:rsid w:val="0009487F"/>
    <w:rsid w:val="00096BDB"/>
    <w:rsid w:val="000A0332"/>
    <w:rsid w:val="000A0C46"/>
    <w:rsid w:val="000B50B2"/>
    <w:rsid w:val="000B544A"/>
    <w:rsid w:val="000C1A4A"/>
    <w:rsid w:val="000C382B"/>
    <w:rsid w:val="000D0178"/>
    <w:rsid w:val="000F5125"/>
    <w:rsid w:val="001003D6"/>
    <w:rsid w:val="00110A5E"/>
    <w:rsid w:val="001114C6"/>
    <w:rsid w:val="00112A1A"/>
    <w:rsid w:val="00115217"/>
    <w:rsid w:val="00120327"/>
    <w:rsid w:val="00121F32"/>
    <w:rsid w:val="00126B87"/>
    <w:rsid w:val="001278D5"/>
    <w:rsid w:val="0013069E"/>
    <w:rsid w:val="00130F72"/>
    <w:rsid w:val="00131AF1"/>
    <w:rsid w:val="001347E6"/>
    <w:rsid w:val="00135171"/>
    <w:rsid w:val="00135D63"/>
    <w:rsid w:val="00142DAB"/>
    <w:rsid w:val="0014670E"/>
    <w:rsid w:val="00154C01"/>
    <w:rsid w:val="0016114E"/>
    <w:rsid w:val="00162F92"/>
    <w:rsid w:val="00180CF1"/>
    <w:rsid w:val="001929A5"/>
    <w:rsid w:val="0019326C"/>
    <w:rsid w:val="00193864"/>
    <w:rsid w:val="001952E5"/>
    <w:rsid w:val="0019685F"/>
    <w:rsid w:val="001A59E2"/>
    <w:rsid w:val="001A7286"/>
    <w:rsid w:val="001C02F7"/>
    <w:rsid w:val="001C13E3"/>
    <w:rsid w:val="001C3595"/>
    <w:rsid w:val="001C378F"/>
    <w:rsid w:val="001C56F1"/>
    <w:rsid w:val="001C722E"/>
    <w:rsid w:val="001C7CF4"/>
    <w:rsid w:val="001D66A0"/>
    <w:rsid w:val="001D6D68"/>
    <w:rsid w:val="001E2AF6"/>
    <w:rsid w:val="001E3269"/>
    <w:rsid w:val="001E3DE9"/>
    <w:rsid w:val="001F008F"/>
    <w:rsid w:val="001F7549"/>
    <w:rsid w:val="00200343"/>
    <w:rsid w:val="00203CCC"/>
    <w:rsid w:val="002045A7"/>
    <w:rsid w:val="00216C61"/>
    <w:rsid w:val="00216D75"/>
    <w:rsid w:val="00216F71"/>
    <w:rsid w:val="002212FC"/>
    <w:rsid w:val="00227269"/>
    <w:rsid w:val="00236883"/>
    <w:rsid w:val="00241397"/>
    <w:rsid w:val="00243C4E"/>
    <w:rsid w:val="00250CC7"/>
    <w:rsid w:val="00265E2C"/>
    <w:rsid w:val="00273CB1"/>
    <w:rsid w:val="002746D1"/>
    <w:rsid w:val="00277861"/>
    <w:rsid w:val="00286676"/>
    <w:rsid w:val="002A1659"/>
    <w:rsid w:val="002B1129"/>
    <w:rsid w:val="002C13E9"/>
    <w:rsid w:val="002C3DFF"/>
    <w:rsid w:val="002D231D"/>
    <w:rsid w:val="002D248B"/>
    <w:rsid w:val="002D307B"/>
    <w:rsid w:val="002D580A"/>
    <w:rsid w:val="002E274C"/>
    <w:rsid w:val="002E3C3D"/>
    <w:rsid w:val="002E6AE9"/>
    <w:rsid w:val="002E70D9"/>
    <w:rsid w:val="002F09BD"/>
    <w:rsid w:val="002F3924"/>
    <w:rsid w:val="002F5664"/>
    <w:rsid w:val="0030134E"/>
    <w:rsid w:val="00301583"/>
    <w:rsid w:val="00302160"/>
    <w:rsid w:val="00310126"/>
    <w:rsid w:val="00310EE8"/>
    <w:rsid w:val="0031382E"/>
    <w:rsid w:val="003140A1"/>
    <w:rsid w:val="00316280"/>
    <w:rsid w:val="003163E2"/>
    <w:rsid w:val="003173B9"/>
    <w:rsid w:val="003177F2"/>
    <w:rsid w:val="003230BA"/>
    <w:rsid w:val="003260E7"/>
    <w:rsid w:val="003327BF"/>
    <w:rsid w:val="00340C38"/>
    <w:rsid w:val="003436E2"/>
    <w:rsid w:val="00344D5B"/>
    <w:rsid w:val="00345A64"/>
    <w:rsid w:val="00347F44"/>
    <w:rsid w:val="00353E21"/>
    <w:rsid w:val="00354587"/>
    <w:rsid w:val="0036249A"/>
    <w:rsid w:val="0037639F"/>
    <w:rsid w:val="00380FDF"/>
    <w:rsid w:val="00381529"/>
    <w:rsid w:val="003836E5"/>
    <w:rsid w:val="003838CA"/>
    <w:rsid w:val="00394E4C"/>
    <w:rsid w:val="00396478"/>
    <w:rsid w:val="003967FF"/>
    <w:rsid w:val="00396C72"/>
    <w:rsid w:val="003A05F6"/>
    <w:rsid w:val="003A0B18"/>
    <w:rsid w:val="003A62AF"/>
    <w:rsid w:val="003C04D3"/>
    <w:rsid w:val="003C7B15"/>
    <w:rsid w:val="003D147D"/>
    <w:rsid w:val="003D26B0"/>
    <w:rsid w:val="003E21DB"/>
    <w:rsid w:val="003E3B52"/>
    <w:rsid w:val="003E3F4E"/>
    <w:rsid w:val="003E4B7D"/>
    <w:rsid w:val="003F01E2"/>
    <w:rsid w:val="003F32D6"/>
    <w:rsid w:val="003F3C46"/>
    <w:rsid w:val="003F5166"/>
    <w:rsid w:val="003F62EE"/>
    <w:rsid w:val="00401A68"/>
    <w:rsid w:val="00402D6C"/>
    <w:rsid w:val="00406D54"/>
    <w:rsid w:val="00413538"/>
    <w:rsid w:val="00417A40"/>
    <w:rsid w:val="00431EAA"/>
    <w:rsid w:val="00432D08"/>
    <w:rsid w:val="00433712"/>
    <w:rsid w:val="00436406"/>
    <w:rsid w:val="004375B5"/>
    <w:rsid w:val="00445761"/>
    <w:rsid w:val="00446876"/>
    <w:rsid w:val="00447F79"/>
    <w:rsid w:val="004523D7"/>
    <w:rsid w:val="00454DAB"/>
    <w:rsid w:val="004637B3"/>
    <w:rsid w:val="00463874"/>
    <w:rsid w:val="004726DA"/>
    <w:rsid w:val="004805A7"/>
    <w:rsid w:val="00480BEE"/>
    <w:rsid w:val="00484547"/>
    <w:rsid w:val="00484FD8"/>
    <w:rsid w:val="00485D5B"/>
    <w:rsid w:val="004960E0"/>
    <w:rsid w:val="004A0C25"/>
    <w:rsid w:val="004A634F"/>
    <w:rsid w:val="004C2F15"/>
    <w:rsid w:val="004D1A22"/>
    <w:rsid w:val="004E464B"/>
    <w:rsid w:val="004F1E43"/>
    <w:rsid w:val="004F2CDC"/>
    <w:rsid w:val="004F3108"/>
    <w:rsid w:val="004F3654"/>
    <w:rsid w:val="004F47E3"/>
    <w:rsid w:val="004F49DD"/>
    <w:rsid w:val="004F52BF"/>
    <w:rsid w:val="004F757F"/>
    <w:rsid w:val="0050005A"/>
    <w:rsid w:val="00502489"/>
    <w:rsid w:val="00505100"/>
    <w:rsid w:val="005127AC"/>
    <w:rsid w:val="005154F5"/>
    <w:rsid w:val="00515C2F"/>
    <w:rsid w:val="00516516"/>
    <w:rsid w:val="00520315"/>
    <w:rsid w:val="00521925"/>
    <w:rsid w:val="005241FB"/>
    <w:rsid w:val="00527FDC"/>
    <w:rsid w:val="00536832"/>
    <w:rsid w:val="00540C0E"/>
    <w:rsid w:val="00541C66"/>
    <w:rsid w:val="00547FE9"/>
    <w:rsid w:val="005547C7"/>
    <w:rsid w:val="0055571F"/>
    <w:rsid w:val="00556BA0"/>
    <w:rsid w:val="005609DA"/>
    <w:rsid w:val="0056204C"/>
    <w:rsid w:val="0056587E"/>
    <w:rsid w:val="005725C1"/>
    <w:rsid w:val="0057317C"/>
    <w:rsid w:val="00581D6F"/>
    <w:rsid w:val="00583375"/>
    <w:rsid w:val="0058656D"/>
    <w:rsid w:val="00587C86"/>
    <w:rsid w:val="00591002"/>
    <w:rsid w:val="00593A72"/>
    <w:rsid w:val="005A4350"/>
    <w:rsid w:val="005A437A"/>
    <w:rsid w:val="005A449F"/>
    <w:rsid w:val="005B10D6"/>
    <w:rsid w:val="005B4262"/>
    <w:rsid w:val="005B4A6A"/>
    <w:rsid w:val="005B6765"/>
    <w:rsid w:val="005C2E30"/>
    <w:rsid w:val="005C780F"/>
    <w:rsid w:val="005D1394"/>
    <w:rsid w:val="005D42C8"/>
    <w:rsid w:val="005D4B42"/>
    <w:rsid w:val="005D54A4"/>
    <w:rsid w:val="005E0630"/>
    <w:rsid w:val="005F2781"/>
    <w:rsid w:val="005F6030"/>
    <w:rsid w:val="006012A8"/>
    <w:rsid w:val="0060245B"/>
    <w:rsid w:val="006057DA"/>
    <w:rsid w:val="00607FDE"/>
    <w:rsid w:val="00610978"/>
    <w:rsid w:val="00612293"/>
    <w:rsid w:val="0062087B"/>
    <w:rsid w:val="0063004C"/>
    <w:rsid w:val="006314FC"/>
    <w:rsid w:val="006316A7"/>
    <w:rsid w:val="00632DAE"/>
    <w:rsid w:val="00633713"/>
    <w:rsid w:val="00644781"/>
    <w:rsid w:val="006460FF"/>
    <w:rsid w:val="00646C52"/>
    <w:rsid w:val="00647F7E"/>
    <w:rsid w:val="006522CF"/>
    <w:rsid w:val="0065353D"/>
    <w:rsid w:val="006576D7"/>
    <w:rsid w:val="00664D98"/>
    <w:rsid w:val="00667484"/>
    <w:rsid w:val="006729CF"/>
    <w:rsid w:val="006760D1"/>
    <w:rsid w:val="0068475D"/>
    <w:rsid w:val="006919AB"/>
    <w:rsid w:val="00692D56"/>
    <w:rsid w:val="006951B0"/>
    <w:rsid w:val="006B0BF3"/>
    <w:rsid w:val="006B0C4D"/>
    <w:rsid w:val="006B3DB1"/>
    <w:rsid w:val="006B5CD8"/>
    <w:rsid w:val="006B72FB"/>
    <w:rsid w:val="006C02A5"/>
    <w:rsid w:val="006C2087"/>
    <w:rsid w:val="006C3489"/>
    <w:rsid w:val="006C37D2"/>
    <w:rsid w:val="006C6135"/>
    <w:rsid w:val="006D33BB"/>
    <w:rsid w:val="006D546B"/>
    <w:rsid w:val="006D75AB"/>
    <w:rsid w:val="006E51E6"/>
    <w:rsid w:val="006F7E96"/>
    <w:rsid w:val="0070154A"/>
    <w:rsid w:val="00705079"/>
    <w:rsid w:val="007101EB"/>
    <w:rsid w:val="00713E68"/>
    <w:rsid w:val="0071428C"/>
    <w:rsid w:val="00722DE6"/>
    <w:rsid w:val="00723B45"/>
    <w:rsid w:val="00732E9B"/>
    <w:rsid w:val="007345DF"/>
    <w:rsid w:val="007412D5"/>
    <w:rsid w:val="007473B5"/>
    <w:rsid w:val="0075369E"/>
    <w:rsid w:val="0075459B"/>
    <w:rsid w:val="0076161F"/>
    <w:rsid w:val="007654E5"/>
    <w:rsid w:val="0076575E"/>
    <w:rsid w:val="00765B5D"/>
    <w:rsid w:val="00767514"/>
    <w:rsid w:val="00770E13"/>
    <w:rsid w:val="00771A4D"/>
    <w:rsid w:val="0077238B"/>
    <w:rsid w:val="00772A86"/>
    <w:rsid w:val="007768AD"/>
    <w:rsid w:val="00776BE1"/>
    <w:rsid w:val="0078123E"/>
    <w:rsid w:val="00784664"/>
    <w:rsid w:val="00790377"/>
    <w:rsid w:val="0079096B"/>
    <w:rsid w:val="00791F17"/>
    <w:rsid w:val="007945D7"/>
    <w:rsid w:val="00794B05"/>
    <w:rsid w:val="00795781"/>
    <w:rsid w:val="007961A1"/>
    <w:rsid w:val="007972E2"/>
    <w:rsid w:val="007A3202"/>
    <w:rsid w:val="007A3F5D"/>
    <w:rsid w:val="007A5EB3"/>
    <w:rsid w:val="007C1E1F"/>
    <w:rsid w:val="007D43A1"/>
    <w:rsid w:val="007D4E50"/>
    <w:rsid w:val="007E3689"/>
    <w:rsid w:val="007E6B65"/>
    <w:rsid w:val="007F6517"/>
    <w:rsid w:val="007F7FD6"/>
    <w:rsid w:val="00800DF4"/>
    <w:rsid w:val="00801D03"/>
    <w:rsid w:val="008063DA"/>
    <w:rsid w:val="00814A42"/>
    <w:rsid w:val="00821F08"/>
    <w:rsid w:val="00825B07"/>
    <w:rsid w:val="008261A0"/>
    <w:rsid w:val="008266E4"/>
    <w:rsid w:val="00832501"/>
    <w:rsid w:val="00841886"/>
    <w:rsid w:val="008449B4"/>
    <w:rsid w:val="00846940"/>
    <w:rsid w:val="008472B0"/>
    <w:rsid w:val="00854339"/>
    <w:rsid w:val="008700A2"/>
    <w:rsid w:val="008747AC"/>
    <w:rsid w:val="00883824"/>
    <w:rsid w:val="00886748"/>
    <w:rsid w:val="00887140"/>
    <w:rsid w:val="00891764"/>
    <w:rsid w:val="0089334E"/>
    <w:rsid w:val="00893928"/>
    <w:rsid w:val="008944D8"/>
    <w:rsid w:val="008A67AD"/>
    <w:rsid w:val="008B0B63"/>
    <w:rsid w:val="008B1A4B"/>
    <w:rsid w:val="008B4C38"/>
    <w:rsid w:val="008C0BD2"/>
    <w:rsid w:val="008C1727"/>
    <w:rsid w:val="008C5359"/>
    <w:rsid w:val="008D0695"/>
    <w:rsid w:val="008D5BC4"/>
    <w:rsid w:val="008D7304"/>
    <w:rsid w:val="008E05E7"/>
    <w:rsid w:val="008E07CC"/>
    <w:rsid w:val="008E4D02"/>
    <w:rsid w:val="008E6219"/>
    <w:rsid w:val="008F7A38"/>
    <w:rsid w:val="009003DF"/>
    <w:rsid w:val="009015EA"/>
    <w:rsid w:val="00903627"/>
    <w:rsid w:val="00906DF3"/>
    <w:rsid w:val="00907115"/>
    <w:rsid w:val="009103E3"/>
    <w:rsid w:val="009174D2"/>
    <w:rsid w:val="00917FA2"/>
    <w:rsid w:val="00920525"/>
    <w:rsid w:val="00925225"/>
    <w:rsid w:val="00932389"/>
    <w:rsid w:val="009327C4"/>
    <w:rsid w:val="00932F3D"/>
    <w:rsid w:val="00942D34"/>
    <w:rsid w:val="009430C6"/>
    <w:rsid w:val="00960B46"/>
    <w:rsid w:val="00962A9A"/>
    <w:rsid w:val="00966ECD"/>
    <w:rsid w:val="0096756F"/>
    <w:rsid w:val="0097448A"/>
    <w:rsid w:val="00977AB7"/>
    <w:rsid w:val="00977EFC"/>
    <w:rsid w:val="00982CD7"/>
    <w:rsid w:val="0098330D"/>
    <w:rsid w:val="0098350E"/>
    <w:rsid w:val="00983B5C"/>
    <w:rsid w:val="00983C81"/>
    <w:rsid w:val="009B1045"/>
    <w:rsid w:val="009B69A2"/>
    <w:rsid w:val="009C1055"/>
    <w:rsid w:val="009C12A4"/>
    <w:rsid w:val="009C4D48"/>
    <w:rsid w:val="009C4F5E"/>
    <w:rsid w:val="009C563E"/>
    <w:rsid w:val="009E2661"/>
    <w:rsid w:val="009E70DB"/>
    <w:rsid w:val="009F0030"/>
    <w:rsid w:val="00A11B26"/>
    <w:rsid w:val="00A20937"/>
    <w:rsid w:val="00A3350C"/>
    <w:rsid w:val="00A350E9"/>
    <w:rsid w:val="00A36FE4"/>
    <w:rsid w:val="00A43E3D"/>
    <w:rsid w:val="00A44D20"/>
    <w:rsid w:val="00A44E21"/>
    <w:rsid w:val="00A4502A"/>
    <w:rsid w:val="00A450CD"/>
    <w:rsid w:val="00A469AF"/>
    <w:rsid w:val="00A53A8A"/>
    <w:rsid w:val="00A57FBA"/>
    <w:rsid w:val="00A608BE"/>
    <w:rsid w:val="00A6531F"/>
    <w:rsid w:val="00A66173"/>
    <w:rsid w:val="00A67601"/>
    <w:rsid w:val="00A700B1"/>
    <w:rsid w:val="00A715BF"/>
    <w:rsid w:val="00A73DBB"/>
    <w:rsid w:val="00A806E9"/>
    <w:rsid w:val="00A8655B"/>
    <w:rsid w:val="00A96681"/>
    <w:rsid w:val="00AA661E"/>
    <w:rsid w:val="00AB27EB"/>
    <w:rsid w:val="00AB6B55"/>
    <w:rsid w:val="00AC6933"/>
    <w:rsid w:val="00AC7EB7"/>
    <w:rsid w:val="00AD08FA"/>
    <w:rsid w:val="00AD45B6"/>
    <w:rsid w:val="00AD5C8C"/>
    <w:rsid w:val="00AD6D5F"/>
    <w:rsid w:val="00AE10F7"/>
    <w:rsid w:val="00AE6598"/>
    <w:rsid w:val="00AF0767"/>
    <w:rsid w:val="00AF4B6C"/>
    <w:rsid w:val="00B01C51"/>
    <w:rsid w:val="00B1447F"/>
    <w:rsid w:val="00B161F1"/>
    <w:rsid w:val="00B178F1"/>
    <w:rsid w:val="00B2126A"/>
    <w:rsid w:val="00B212C9"/>
    <w:rsid w:val="00B321E1"/>
    <w:rsid w:val="00B37154"/>
    <w:rsid w:val="00B40E6D"/>
    <w:rsid w:val="00B41F14"/>
    <w:rsid w:val="00B42D12"/>
    <w:rsid w:val="00B43C12"/>
    <w:rsid w:val="00B5056F"/>
    <w:rsid w:val="00B61485"/>
    <w:rsid w:val="00B62BEB"/>
    <w:rsid w:val="00B63A38"/>
    <w:rsid w:val="00B775D0"/>
    <w:rsid w:val="00B80164"/>
    <w:rsid w:val="00B8183B"/>
    <w:rsid w:val="00BA4680"/>
    <w:rsid w:val="00BA7A8A"/>
    <w:rsid w:val="00BB2BD2"/>
    <w:rsid w:val="00BB438A"/>
    <w:rsid w:val="00BD42B4"/>
    <w:rsid w:val="00BF028E"/>
    <w:rsid w:val="00C016EC"/>
    <w:rsid w:val="00C12D2D"/>
    <w:rsid w:val="00C16E3E"/>
    <w:rsid w:val="00C20206"/>
    <w:rsid w:val="00C21984"/>
    <w:rsid w:val="00C23153"/>
    <w:rsid w:val="00C257FF"/>
    <w:rsid w:val="00C37441"/>
    <w:rsid w:val="00C4268A"/>
    <w:rsid w:val="00C426C7"/>
    <w:rsid w:val="00C446E4"/>
    <w:rsid w:val="00C501B1"/>
    <w:rsid w:val="00C608F4"/>
    <w:rsid w:val="00C62A57"/>
    <w:rsid w:val="00C63FBA"/>
    <w:rsid w:val="00C66773"/>
    <w:rsid w:val="00C7333E"/>
    <w:rsid w:val="00C85E1B"/>
    <w:rsid w:val="00C915A4"/>
    <w:rsid w:val="00C957A1"/>
    <w:rsid w:val="00C95D50"/>
    <w:rsid w:val="00C969BB"/>
    <w:rsid w:val="00CA1142"/>
    <w:rsid w:val="00CA3D1A"/>
    <w:rsid w:val="00CA48A7"/>
    <w:rsid w:val="00CA4CDC"/>
    <w:rsid w:val="00CA600C"/>
    <w:rsid w:val="00CA6770"/>
    <w:rsid w:val="00CB1E87"/>
    <w:rsid w:val="00CB2830"/>
    <w:rsid w:val="00CB29D4"/>
    <w:rsid w:val="00CB4C8B"/>
    <w:rsid w:val="00CB5892"/>
    <w:rsid w:val="00CC0312"/>
    <w:rsid w:val="00CC2066"/>
    <w:rsid w:val="00CC4639"/>
    <w:rsid w:val="00CC5142"/>
    <w:rsid w:val="00CC5B0E"/>
    <w:rsid w:val="00CD2CB9"/>
    <w:rsid w:val="00CD2EFD"/>
    <w:rsid w:val="00CD42B9"/>
    <w:rsid w:val="00CE6871"/>
    <w:rsid w:val="00CF0BAB"/>
    <w:rsid w:val="00CF50E9"/>
    <w:rsid w:val="00CF7B05"/>
    <w:rsid w:val="00D0385B"/>
    <w:rsid w:val="00D0643B"/>
    <w:rsid w:val="00D1044A"/>
    <w:rsid w:val="00D14E96"/>
    <w:rsid w:val="00D14FA8"/>
    <w:rsid w:val="00D14FB8"/>
    <w:rsid w:val="00D178A1"/>
    <w:rsid w:val="00D23A4D"/>
    <w:rsid w:val="00D2707A"/>
    <w:rsid w:val="00D306A6"/>
    <w:rsid w:val="00D31A61"/>
    <w:rsid w:val="00D33048"/>
    <w:rsid w:val="00D432DD"/>
    <w:rsid w:val="00D454D8"/>
    <w:rsid w:val="00D532AA"/>
    <w:rsid w:val="00D6097F"/>
    <w:rsid w:val="00D71FB8"/>
    <w:rsid w:val="00D7467E"/>
    <w:rsid w:val="00D75138"/>
    <w:rsid w:val="00D8369A"/>
    <w:rsid w:val="00D850AB"/>
    <w:rsid w:val="00D871B7"/>
    <w:rsid w:val="00D87B90"/>
    <w:rsid w:val="00D9229B"/>
    <w:rsid w:val="00D92406"/>
    <w:rsid w:val="00D968E5"/>
    <w:rsid w:val="00DA132E"/>
    <w:rsid w:val="00DA28D1"/>
    <w:rsid w:val="00DA634A"/>
    <w:rsid w:val="00DB602D"/>
    <w:rsid w:val="00DC200B"/>
    <w:rsid w:val="00DD39E5"/>
    <w:rsid w:val="00DD3FD1"/>
    <w:rsid w:val="00DD6AFD"/>
    <w:rsid w:val="00DE4A2A"/>
    <w:rsid w:val="00DE6369"/>
    <w:rsid w:val="00DF0DF1"/>
    <w:rsid w:val="00DF249F"/>
    <w:rsid w:val="00DF72E2"/>
    <w:rsid w:val="00E03031"/>
    <w:rsid w:val="00E10C22"/>
    <w:rsid w:val="00E11B86"/>
    <w:rsid w:val="00E12C60"/>
    <w:rsid w:val="00E14F7E"/>
    <w:rsid w:val="00E202B8"/>
    <w:rsid w:val="00E22B03"/>
    <w:rsid w:val="00E2331F"/>
    <w:rsid w:val="00E24FE1"/>
    <w:rsid w:val="00E25993"/>
    <w:rsid w:val="00E332F6"/>
    <w:rsid w:val="00E345D8"/>
    <w:rsid w:val="00E35822"/>
    <w:rsid w:val="00E45323"/>
    <w:rsid w:val="00E7018C"/>
    <w:rsid w:val="00E72E76"/>
    <w:rsid w:val="00E759BC"/>
    <w:rsid w:val="00E81BF5"/>
    <w:rsid w:val="00E8712A"/>
    <w:rsid w:val="00E87207"/>
    <w:rsid w:val="00EA05B8"/>
    <w:rsid w:val="00EA4F33"/>
    <w:rsid w:val="00EA7B27"/>
    <w:rsid w:val="00EC0601"/>
    <w:rsid w:val="00EC0FD0"/>
    <w:rsid w:val="00EE3EC1"/>
    <w:rsid w:val="00EE5FAE"/>
    <w:rsid w:val="00EE7A6A"/>
    <w:rsid w:val="00EF039A"/>
    <w:rsid w:val="00EF078F"/>
    <w:rsid w:val="00EF2705"/>
    <w:rsid w:val="00EF4C2C"/>
    <w:rsid w:val="00EF7957"/>
    <w:rsid w:val="00EF7974"/>
    <w:rsid w:val="00F001EB"/>
    <w:rsid w:val="00F10CD1"/>
    <w:rsid w:val="00F114C7"/>
    <w:rsid w:val="00F11BF0"/>
    <w:rsid w:val="00F1495F"/>
    <w:rsid w:val="00F17D1D"/>
    <w:rsid w:val="00F20EBC"/>
    <w:rsid w:val="00F23F5B"/>
    <w:rsid w:val="00F36C95"/>
    <w:rsid w:val="00F5152D"/>
    <w:rsid w:val="00F527A5"/>
    <w:rsid w:val="00F57475"/>
    <w:rsid w:val="00F62178"/>
    <w:rsid w:val="00F63707"/>
    <w:rsid w:val="00F65944"/>
    <w:rsid w:val="00F77AB4"/>
    <w:rsid w:val="00F80BCD"/>
    <w:rsid w:val="00F82D9C"/>
    <w:rsid w:val="00F84506"/>
    <w:rsid w:val="00F86C29"/>
    <w:rsid w:val="00F914A8"/>
    <w:rsid w:val="00F93EC0"/>
    <w:rsid w:val="00F940AC"/>
    <w:rsid w:val="00F95DA7"/>
    <w:rsid w:val="00F976C9"/>
    <w:rsid w:val="00FB398A"/>
    <w:rsid w:val="00FB7B4C"/>
    <w:rsid w:val="00FC13CA"/>
    <w:rsid w:val="00FC734A"/>
    <w:rsid w:val="00FC7837"/>
    <w:rsid w:val="00FD4451"/>
    <w:rsid w:val="00FD4DCD"/>
    <w:rsid w:val="00FD4E9E"/>
    <w:rsid w:val="00FF0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1E98"/>
  <w15:docId w15:val="{66651774-195A-4BA7-948B-F02E2D7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BD"/>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2F09BD"/>
    <w:pPr>
      <w:keepNext/>
      <w:numPr>
        <w:numId w:val="1"/>
      </w:numPr>
      <w:spacing w:before="360"/>
      <w:outlineLvl w:val="0"/>
    </w:pPr>
    <w:rPr>
      <w:rFonts w:eastAsia="Times New Roman" w:cs="Arial"/>
      <w:b/>
      <w:bCs/>
      <w:color w:val="003366"/>
      <w:sz w:val="28"/>
      <w:szCs w:val="24"/>
      <w:lang w:val="en-GB"/>
    </w:rPr>
  </w:style>
  <w:style w:type="paragraph" w:styleId="Heading2">
    <w:name w:val="heading 2"/>
    <w:basedOn w:val="Normal"/>
    <w:next w:val="Normal"/>
    <w:link w:val="Heading2Char"/>
    <w:uiPriority w:val="99"/>
    <w:qFormat/>
    <w:rsid w:val="002F09BD"/>
    <w:pPr>
      <w:keepNext/>
      <w:numPr>
        <w:ilvl w:val="1"/>
        <w:numId w:val="1"/>
      </w:numPr>
      <w:autoSpaceDE w:val="0"/>
      <w:autoSpaceDN w:val="0"/>
      <w:adjustRightInd w:val="0"/>
      <w:jc w:val="both"/>
      <w:outlineLvl w:val="1"/>
    </w:pPr>
    <w:rPr>
      <w:rFonts w:eastAsia="Times New Roman" w:cs="Arial"/>
      <w:b/>
      <w:bCs/>
      <w:color w:val="003366"/>
      <w:sz w:val="24"/>
      <w:lang w:val="en-GB"/>
    </w:rPr>
  </w:style>
  <w:style w:type="paragraph" w:styleId="Heading3">
    <w:name w:val="heading 3"/>
    <w:basedOn w:val="Heading2"/>
    <w:next w:val="Normal"/>
    <w:link w:val="Heading3Char"/>
    <w:uiPriority w:val="99"/>
    <w:qFormat/>
    <w:rsid w:val="002F09BD"/>
    <w:pPr>
      <w:numPr>
        <w:ilvl w:val="2"/>
      </w:numPr>
      <w:tabs>
        <w:tab w:val="left" w:pos="2160"/>
      </w:tabs>
      <w:spacing w:after="120"/>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9BD"/>
    <w:rPr>
      <w:rFonts w:eastAsia="Times New Roman" w:cs="Arial"/>
      <w:b/>
      <w:bCs/>
      <w:color w:val="003366"/>
      <w:sz w:val="28"/>
      <w:szCs w:val="24"/>
      <w:lang w:eastAsia="en-US"/>
    </w:rPr>
  </w:style>
  <w:style w:type="character" w:customStyle="1" w:styleId="Heading2Char">
    <w:name w:val="Heading 2 Char"/>
    <w:basedOn w:val="DefaultParagraphFont"/>
    <w:link w:val="Heading2"/>
    <w:uiPriority w:val="99"/>
    <w:rsid w:val="002F09BD"/>
    <w:rPr>
      <w:rFonts w:ascii="Calibri" w:eastAsia="Times New Roman" w:hAnsi="Calibri" w:cs="Arial"/>
      <w:b/>
      <w:bCs/>
      <w:color w:val="003366"/>
      <w:sz w:val="24"/>
      <w:lang w:val="en-GB"/>
    </w:rPr>
  </w:style>
  <w:style w:type="character" w:customStyle="1" w:styleId="Heading3Char">
    <w:name w:val="Heading 3 Char"/>
    <w:basedOn w:val="DefaultParagraphFont"/>
    <w:link w:val="Heading3"/>
    <w:uiPriority w:val="99"/>
    <w:rsid w:val="002F09BD"/>
    <w:rPr>
      <w:rFonts w:ascii="Calibri" w:eastAsia="Times New Roman" w:hAnsi="Calibri" w:cs="Arial"/>
      <w:b/>
      <w:bCs/>
      <w:i/>
      <w:color w:val="003366"/>
      <w:szCs w:val="20"/>
      <w:lang w:val="en-GB"/>
    </w:rPr>
  </w:style>
  <w:style w:type="paragraph" w:styleId="Header">
    <w:name w:val="header"/>
    <w:basedOn w:val="Normal"/>
    <w:link w:val="HeaderChar"/>
    <w:uiPriority w:val="99"/>
    <w:rsid w:val="002F09BD"/>
    <w:pPr>
      <w:tabs>
        <w:tab w:val="center" w:pos="4320"/>
        <w:tab w:val="right" w:pos="8640"/>
      </w:tabs>
      <w:spacing w:after="0" w:line="240" w:lineRule="auto"/>
      <w:jc w:val="both"/>
    </w:pPr>
    <w:rPr>
      <w:rFonts w:eastAsia="Times New Roman" w:cs="Arial"/>
      <w:b/>
      <w:color w:val="FFCC00"/>
      <w:szCs w:val="24"/>
      <w:lang w:val="en-GB"/>
    </w:rPr>
  </w:style>
  <w:style w:type="character" w:customStyle="1" w:styleId="HeaderChar">
    <w:name w:val="Header Char"/>
    <w:basedOn w:val="DefaultParagraphFont"/>
    <w:link w:val="Header"/>
    <w:uiPriority w:val="99"/>
    <w:rsid w:val="002F09BD"/>
    <w:rPr>
      <w:rFonts w:ascii="Calibri" w:eastAsia="Times New Roman" w:hAnsi="Calibri" w:cs="Arial"/>
      <w:b/>
      <w:color w:val="FFCC00"/>
      <w:szCs w:val="24"/>
      <w:lang w:val="en-GB"/>
    </w:rPr>
  </w:style>
  <w:style w:type="paragraph" w:styleId="Footer">
    <w:name w:val="footer"/>
    <w:basedOn w:val="Normal"/>
    <w:link w:val="FooterChar"/>
    <w:uiPriority w:val="99"/>
    <w:rsid w:val="002F09BD"/>
    <w:pPr>
      <w:tabs>
        <w:tab w:val="center" w:pos="4320"/>
        <w:tab w:val="right" w:pos="8640"/>
      </w:tabs>
      <w:jc w:val="both"/>
    </w:pPr>
    <w:rPr>
      <w:rFonts w:ascii="Arial" w:eastAsia="Times New Roman" w:hAnsi="Arial" w:cs="Arial"/>
      <w:szCs w:val="24"/>
      <w:lang w:val="en-GB"/>
    </w:rPr>
  </w:style>
  <w:style w:type="character" w:customStyle="1" w:styleId="FooterChar">
    <w:name w:val="Footer Char"/>
    <w:basedOn w:val="DefaultParagraphFont"/>
    <w:link w:val="Footer"/>
    <w:uiPriority w:val="99"/>
    <w:rsid w:val="002F09BD"/>
    <w:rPr>
      <w:rFonts w:ascii="Arial" w:eastAsia="Times New Roman" w:hAnsi="Arial" w:cs="Arial"/>
      <w:szCs w:val="24"/>
      <w:lang w:val="en-GB"/>
    </w:rPr>
  </w:style>
  <w:style w:type="character" w:styleId="PageNumber">
    <w:name w:val="page number"/>
    <w:basedOn w:val="DefaultParagraphFont"/>
    <w:uiPriority w:val="99"/>
    <w:rsid w:val="002F09BD"/>
    <w:rPr>
      <w:rFonts w:ascii="Calibri" w:hAnsi="Calibri"/>
      <w:sz w:val="18"/>
    </w:rPr>
  </w:style>
  <w:style w:type="paragraph" w:styleId="Title">
    <w:name w:val="Title"/>
    <w:basedOn w:val="Normal"/>
    <w:link w:val="TitleChar"/>
    <w:uiPriority w:val="99"/>
    <w:qFormat/>
    <w:rsid w:val="002F09BD"/>
    <w:pPr>
      <w:shd w:val="pct10" w:color="auto" w:fill="auto"/>
      <w:tabs>
        <w:tab w:val="center" w:pos="4320"/>
      </w:tabs>
      <w:spacing w:before="240"/>
    </w:pPr>
    <w:rPr>
      <w:rFonts w:eastAsia="Times New Roman" w:cs="Arial"/>
      <w:b/>
      <w:bCs/>
      <w:sz w:val="32"/>
      <w:szCs w:val="24"/>
      <w:lang w:val="sq-AL"/>
    </w:rPr>
  </w:style>
  <w:style w:type="character" w:customStyle="1" w:styleId="TitleChar">
    <w:name w:val="Title Char"/>
    <w:basedOn w:val="DefaultParagraphFont"/>
    <w:link w:val="Title"/>
    <w:uiPriority w:val="99"/>
    <w:rsid w:val="002F09BD"/>
    <w:rPr>
      <w:rFonts w:ascii="Calibri" w:eastAsia="Times New Roman" w:hAnsi="Calibri" w:cs="Arial"/>
      <w:b/>
      <w:bCs/>
      <w:sz w:val="32"/>
      <w:szCs w:val="24"/>
      <w:shd w:val="pct10" w:color="auto" w:fill="auto"/>
      <w:lang w:val="sq-AL"/>
    </w:rPr>
  </w:style>
  <w:style w:type="paragraph" w:styleId="Caption">
    <w:name w:val="caption"/>
    <w:aliases w:val="Tabellen"/>
    <w:basedOn w:val="Normal"/>
    <w:next w:val="Normal"/>
    <w:uiPriority w:val="35"/>
    <w:qFormat/>
    <w:rsid w:val="002F09BD"/>
    <w:pPr>
      <w:keepNext/>
      <w:jc w:val="both"/>
    </w:pPr>
    <w:rPr>
      <w:rFonts w:eastAsia="Times New Roman" w:cs="Arial"/>
      <w:b/>
      <w:bCs/>
      <w:i/>
      <w:color w:val="003366"/>
      <w:szCs w:val="24"/>
      <w:lang w:val="en-GB"/>
    </w:rPr>
  </w:style>
  <w:style w:type="paragraph" w:styleId="FootnoteText">
    <w:name w:val="footnote text"/>
    <w:basedOn w:val="Normal"/>
    <w:link w:val="FootnoteTextChar"/>
    <w:uiPriority w:val="99"/>
    <w:rsid w:val="002F09BD"/>
    <w:pPr>
      <w:jc w:val="both"/>
    </w:pPr>
    <w:rPr>
      <w:rFonts w:eastAsia="Times New Roman" w:cs="Arial"/>
      <w:sz w:val="20"/>
      <w:szCs w:val="24"/>
      <w:lang w:val="en-GB"/>
    </w:rPr>
  </w:style>
  <w:style w:type="character" w:customStyle="1" w:styleId="FootnoteTextChar">
    <w:name w:val="Footnote Text Char"/>
    <w:basedOn w:val="DefaultParagraphFont"/>
    <w:link w:val="FootnoteText"/>
    <w:uiPriority w:val="99"/>
    <w:rsid w:val="002F09BD"/>
    <w:rPr>
      <w:rFonts w:ascii="Calibri" w:eastAsia="Times New Roman" w:hAnsi="Calibri" w:cs="Arial"/>
      <w:sz w:val="20"/>
      <w:szCs w:val="24"/>
      <w:lang w:val="en-GB"/>
    </w:rPr>
  </w:style>
  <w:style w:type="character" w:styleId="FootnoteReference">
    <w:name w:val="footnote reference"/>
    <w:basedOn w:val="DefaultParagraphFont"/>
    <w:uiPriority w:val="99"/>
    <w:rsid w:val="002F09BD"/>
    <w:rPr>
      <w:vertAlign w:val="superscript"/>
    </w:rPr>
  </w:style>
  <w:style w:type="character" w:styleId="Hyperlink">
    <w:name w:val="Hyperlink"/>
    <w:basedOn w:val="DefaultParagraphFont"/>
    <w:uiPriority w:val="99"/>
    <w:rsid w:val="002F09BD"/>
    <w:rPr>
      <w:color w:val="0000FF"/>
      <w:u w:val="single"/>
    </w:rPr>
  </w:style>
  <w:style w:type="paragraph" w:styleId="ListBullet">
    <w:name w:val="List Bullet"/>
    <w:basedOn w:val="Normal"/>
    <w:uiPriority w:val="99"/>
    <w:rsid w:val="002F09BD"/>
    <w:pPr>
      <w:numPr>
        <w:numId w:val="3"/>
      </w:numPr>
      <w:tabs>
        <w:tab w:val="clear" w:pos="360"/>
        <w:tab w:val="num" w:pos="720"/>
      </w:tabs>
      <w:ind w:left="720"/>
      <w:jc w:val="both"/>
    </w:pPr>
    <w:rPr>
      <w:rFonts w:eastAsia="Times New Roman" w:cs="Arial"/>
      <w:szCs w:val="24"/>
      <w:lang w:val="en-GB"/>
    </w:rPr>
  </w:style>
  <w:style w:type="paragraph" w:styleId="TOC1">
    <w:name w:val="toc 1"/>
    <w:basedOn w:val="Normal"/>
    <w:next w:val="Normal"/>
    <w:autoRedefine/>
    <w:uiPriority w:val="39"/>
    <w:rsid w:val="002F09BD"/>
    <w:pPr>
      <w:spacing w:before="200"/>
      <w:jc w:val="both"/>
    </w:pPr>
    <w:rPr>
      <w:rFonts w:eastAsia="Times New Roman" w:cs="Arial"/>
      <w:b/>
      <w:szCs w:val="24"/>
      <w:lang w:val="en-GB"/>
    </w:rPr>
  </w:style>
  <w:style w:type="paragraph" w:styleId="TOC2">
    <w:name w:val="toc 2"/>
    <w:basedOn w:val="Normal"/>
    <w:next w:val="Normal"/>
    <w:autoRedefine/>
    <w:uiPriority w:val="39"/>
    <w:rsid w:val="002F09BD"/>
    <w:pPr>
      <w:spacing w:after="100"/>
      <w:ind w:left="245"/>
      <w:jc w:val="both"/>
    </w:pPr>
    <w:rPr>
      <w:rFonts w:eastAsia="Times New Roman" w:cs="Arial"/>
      <w:szCs w:val="24"/>
      <w:lang w:val="en-GB"/>
    </w:rPr>
  </w:style>
  <w:style w:type="paragraph" w:styleId="ListParagraph">
    <w:name w:val="List Paragraph"/>
    <w:basedOn w:val="Normal"/>
    <w:uiPriority w:val="34"/>
    <w:qFormat/>
    <w:rsid w:val="002F09BD"/>
    <w:pPr>
      <w:ind w:left="720"/>
      <w:contextualSpacing/>
      <w:jc w:val="both"/>
    </w:pPr>
    <w:rPr>
      <w:rFonts w:eastAsia="Times New Roman" w:cs="Arial"/>
      <w:szCs w:val="24"/>
      <w:lang w:val="en-GB"/>
    </w:rPr>
  </w:style>
  <w:style w:type="paragraph" w:customStyle="1" w:styleId="TextS">
    <w:name w:val="TextS"/>
    <w:basedOn w:val="Normal"/>
    <w:link w:val="TextSChar"/>
    <w:qFormat/>
    <w:rsid w:val="002F09BD"/>
    <w:pPr>
      <w:spacing w:before="240" w:after="240" w:line="240" w:lineRule="auto"/>
      <w:ind w:left="720" w:hanging="720"/>
    </w:pPr>
    <w:rPr>
      <w:rFonts w:eastAsia="Times New Roman"/>
      <w:szCs w:val="24"/>
      <w:lang w:val="en-AU" w:eastAsia="en-GB"/>
    </w:rPr>
  </w:style>
  <w:style w:type="character" w:customStyle="1" w:styleId="TextSChar">
    <w:name w:val="TextS Char"/>
    <w:basedOn w:val="DefaultParagraphFont"/>
    <w:link w:val="TextS"/>
    <w:rsid w:val="002F09BD"/>
    <w:rPr>
      <w:rFonts w:ascii="Calibri" w:eastAsia="Times New Roman" w:hAnsi="Calibri" w:cs="Times New Roman"/>
      <w:szCs w:val="24"/>
      <w:lang w:val="en-AU" w:eastAsia="en-GB"/>
    </w:rPr>
  </w:style>
  <w:style w:type="paragraph" w:customStyle="1" w:styleId="Equation">
    <w:name w:val="Equation"/>
    <w:basedOn w:val="TextS"/>
    <w:link w:val="EquationChar"/>
    <w:qFormat/>
    <w:rsid w:val="002F09BD"/>
    <w:pPr>
      <w:ind w:left="2160" w:hanging="1440"/>
    </w:pPr>
    <w:rPr>
      <w:i/>
      <w:lang w:val="en-GB"/>
    </w:rPr>
  </w:style>
  <w:style w:type="character" w:customStyle="1" w:styleId="EquationChar">
    <w:name w:val="Equation Char"/>
    <w:basedOn w:val="TextSChar"/>
    <w:link w:val="Equation"/>
    <w:rsid w:val="002F09BD"/>
    <w:rPr>
      <w:rFonts w:ascii="Calibri" w:eastAsia="Times New Roman" w:hAnsi="Calibri" w:cs="Times New Roman"/>
      <w:i/>
      <w:szCs w:val="24"/>
      <w:lang w:val="en-GB" w:eastAsia="en-GB"/>
    </w:rPr>
  </w:style>
  <w:style w:type="paragraph" w:customStyle="1" w:styleId="ParagraphNumbering">
    <w:name w:val="Paragraph Numbering"/>
    <w:basedOn w:val="Normal"/>
    <w:rsid w:val="002F09BD"/>
    <w:pPr>
      <w:numPr>
        <w:numId w:val="6"/>
      </w:numPr>
      <w:jc w:val="both"/>
    </w:pPr>
    <w:rPr>
      <w:rFonts w:cs="Arial"/>
      <w:szCs w:val="20"/>
      <w:lang w:val="en-GB"/>
    </w:rPr>
  </w:style>
  <w:style w:type="paragraph" w:styleId="TOC3">
    <w:name w:val="toc 3"/>
    <w:basedOn w:val="Normal"/>
    <w:next w:val="Normal"/>
    <w:autoRedefine/>
    <w:uiPriority w:val="39"/>
    <w:unhideWhenUsed/>
    <w:rsid w:val="00F93EC0"/>
    <w:pPr>
      <w:spacing w:after="100"/>
      <w:ind w:left="440"/>
    </w:pPr>
  </w:style>
  <w:style w:type="character" w:styleId="FollowedHyperlink">
    <w:name w:val="FollowedHyperlink"/>
    <w:basedOn w:val="DefaultParagraphFont"/>
    <w:uiPriority w:val="99"/>
    <w:semiHidden/>
    <w:unhideWhenUsed/>
    <w:rsid w:val="00265E2C"/>
    <w:rPr>
      <w:color w:val="954F72"/>
      <w:u w:val="single"/>
    </w:rPr>
  </w:style>
  <w:style w:type="paragraph" w:styleId="BalloonText">
    <w:name w:val="Balloon Text"/>
    <w:basedOn w:val="Normal"/>
    <w:link w:val="BalloonTextChar"/>
    <w:uiPriority w:val="99"/>
    <w:semiHidden/>
    <w:unhideWhenUsed/>
    <w:rsid w:val="006D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6B"/>
    <w:rPr>
      <w:rFonts w:ascii="Tahoma" w:hAnsi="Tahoma" w:cs="Tahoma"/>
      <w:sz w:val="16"/>
      <w:szCs w:val="16"/>
    </w:rPr>
  </w:style>
  <w:style w:type="character" w:styleId="CommentReference">
    <w:name w:val="annotation reference"/>
    <w:basedOn w:val="DefaultParagraphFont"/>
    <w:unhideWhenUsed/>
    <w:rsid w:val="00E87207"/>
    <w:rPr>
      <w:sz w:val="16"/>
      <w:szCs w:val="16"/>
    </w:rPr>
  </w:style>
  <w:style w:type="paragraph" w:styleId="CommentText">
    <w:name w:val="annotation text"/>
    <w:basedOn w:val="Normal"/>
    <w:link w:val="CommentTextChar"/>
    <w:uiPriority w:val="99"/>
    <w:semiHidden/>
    <w:unhideWhenUsed/>
    <w:rsid w:val="00E87207"/>
    <w:pPr>
      <w:spacing w:line="240" w:lineRule="auto"/>
    </w:pPr>
    <w:rPr>
      <w:sz w:val="20"/>
      <w:szCs w:val="20"/>
    </w:rPr>
  </w:style>
  <w:style w:type="character" w:customStyle="1" w:styleId="CommentTextChar">
    <w:name w:val="Comment Text Char"/>
    <w:basedOn w:val="DefaultParagraphFont"/>
    <w:link w:val="CommentText"/>
    <w:uiPriority w:val="99"/>
    <w:semiHidden/>
    <w:rsid w:val="00E87207"/>
    <w:rPr>
      <w:sz w:val="20"/>
      <w:szCs w:val="20"/>
    </w:rPr>
  </w:style>
  <w:style w:type="paragraph" w:styleId="CommentSubject">
    <w:name w:val="annotation subject"/>
    <w:basedOn w:val="CommentText"/>
    <w:next w:val="CommentText"/>
    <w:link w:val="CommentSubjectChar"/>
    <w:uiPriority w:val="99"/>
    <w:semiHidden/>
    <w:unhideWhenUsed/>
    <w:rsid w:val="00E87207"/>
    <w:rPr>
      <w:b/>
      <w:bCs/>
    </w:rPr>
  </w:style>
  <w:style w:type="character" w:customStyle="1" w:styleId="CommentSubjectChar">
    <w:name w:val="Comment Subject Char"/>
    <w:basedOn w:val="CommentTextChar"/>
    <w:link w:val="CommentSubject"/>
    <w:uiPriority w:val="99"/>
    <w:semiHidden/>
    <w:rsid w:val="00E87207"/>
    <w:rPr>
      <w:b/>
      <w:bCs/>
      <w:sz w:val="20"/>
      <w:szCs w:val="20"/>
    </w:rPr>
  </w:style>
  <w:style w:type="paragraph" w:customStyle="1" w:styleId="ReportTitle">
    <w:name w:val="Report Title"/>
    <w:basedOn w:val="Title"/>
    <w:link w:val="ReportTitleChar"/>
    <w:qFormat/>
    <w:rsid w:val="00417A40"/>
    <w:pPr>
      <w:shd w:val="clear" w:color="auto" w:fill="005D97"/>
      <w:spacing w:before="0" w:after="0"/>
      <w:jc w:val="center"/>
    </w:pPr>
    <w:rPr>
      <w:color w:val="8064A2"/>
      <w:sz w:val="48"/>
      <w:szCs w:val="40"/>
      <w:lang w:val="en-US"/>
    </w:rPr>
  </w:style>
  <w:style w:type="paragraph" w:customStyle="1" w:styleId="ReportSubTitle">
    <w:name w:val="Report SubTitle"/>
    <w:basedOn w:val="Title"/>
    <w:link w:val="ReportSubTitleChar"/>
    <w:qFormat/>
    <w:rsid w:val="00417A40"/>
    <w:pPr>
      <w:shd w:val="clear" w:color="auto" w:fill="005D97"/>
      <w:spacing w:before="0" w:after="0"/>
      <w:jc w:val="center"/>
    </w:pPr>
    <w:rPr>
      <w:color w:val="8064A2"/>
      <w:sz w:val="28"/>
      <w:lang w:val="en-US"/>
    </w:rPr>
  </w:style>
  <w:style w:type="character" w:customStyle="1" w:styleId="ReportTitleChar">
    <w:name w:val="Report Title Char"/>
    <w:basedOn w:val="TitleChar"/>
    <w:link w:val="ReportTitle"/>
    <w:rsid w:val="00417A40"/>
    <w:rPr>
      <w:rFonts w:ascii="Calibri" w:eastAsia="Times New Roman" w:hAnsi="Calibri" w:cs="Arial"/>
      <w:b/>
      <w:bCs/>
      <w:color w:val="8064A2"/>
      <w:sz w:val="48"/>
      <w:szCs w:val="40"/>
      <w:shd w:val="clear" w:color="auto" w:fill="005D97"/>
      <w:lang w:val="sq-AL"/>
    </w:rPr>
  </w:style>
  <w:style w:type="character" w:customStyle="1" w:styleId="ReportSubTitleChar">
    <w:name w:val="Report SubTitle Char"/>
    <w:basedOn w:val="TitleChar"/>
    <w:link w:val="ReportSubTitle"/>
    <w:rsid w:val="00417A40"/>
    <w:rPr>
      <w:rFonts w:ascii="Calibri" w:eastAsia="Times New Roman" w:hAnsi="Calibri" w:cs="Arial"/>
      <w:b/>
      <w:bCs/>
      <w:color w:val="8064A2"/>
      <w:sz w:val="28"/>
      <w:szCs w:val="24"/>
      <w:shd w:val="clear" w:color="auto" w:fill="005D97"/>
      <w:lang w:val="sq-AL"/>
    </w:rPr>
  </w:style>
  <w:style w:type="paragraph" w:customStyle="1" w:styleId="HeadingS">
    <w:name w:val="Heading S"/>
    <w:basedOn w:val="Heading1"/>
    <w:next w:val="TextS"/>
    <w:qFormat/>
    <w:rsid w:val="00417A40"/>
    <w:pPr>
      <w:pageBreakBefore/>
      <w:numPr>
        <w:numId w:val="0"/>
      </w:numPr>
      <w:spacing w:before="480" w:after="480" w:line="312" w:lineRule="auto"/>
      <w:ind w:left="360" w:hanging="360"/>
      <w:jc w:val="center"/>
    </w:pPr>
    <w:rPr>
      <w:rFonts w:cs="Times New Roman"/>
      <w:bCs w:val="0"/>
      <w:caps/>
      <w:color w:val="auto"/>
      <w:sz w:val="22"/>
      <w:szCs w:val="22"/>
      <w:lang w:val="en-AU" w:eastAsia="en-GB"/>
    </w:rPr>
  </w:style>
  <w:style w:type="paragraph" w:styleId="Date">
    <w:name w:val="Date"/>
    <w:basedOn w:val="Normal"/>
    <w:next w:val="Normal"/>
    <w:link w:val="DateChar"/>
    <w:uiPriority w:val="99"/>
    <w:semiHidden/>
    <w:unhideWhenUsed/>
    <w:rsid w:val="00417A40"/>
  </w:style>
  <w:style w:type="character" w:customStyle="1" w:styleId="DateChar">
    <w:name w:val="Date Char"/>
    <w:basedOn w:val="DefaultParagraphFont"/>
    <w:link w:val="Date"/>
    <w:uiPriority w:val="99"/>
    <w:semiHidden/>
    <w:rsid w:val="00417A40"/>
    <w:rPr>
      <w:rFonts w:ascii="Calibri" w:eastAsia="Calibri" w:hAnsi="Calibri" w:cs="Times New Roman"/>
      <w:sz w:val="22"/>
      <w:szCs w:val="22"/>
    </w:rPr>
  </w:style>
  <w:style w:type="paragraph" w:customStyle="1" w:styleId="ReportDate">
    <w:name w:val="Report Date"/>
    <w:basedOn w:val="Normal"/>
    <w:link w:val="ReportDateChar"/>
    <w:qFormat/>
    <w:rsid w:val="00417A40"/>
    <w:pPr>
      <w:tabs>
        <w:tab w:val="left" w:pos="2175"/>
      </w:tabs>
      <w:jc w:val="center"/>
    </w:pPr>
    <w:rPr>
      <w:b/>
      <w:bCs/>
      <w:color w:val="005D97"/>
      <w:sz w:val="36"/>
      <w:szCs w:val="36"/>
    </w:rPr>
  </w:style>
  <w:style w:type="character" w:customStyle="1" w:styleId="ReportDateChar">
    <w:name w:val="Report Date Char"/>
    <w:basedOn w:val="DefaultParagraphFont"/>
    <w:link w:val="ReportDate"/>
    <w:rsid w:val="00417A40"/>
    <w:rPr>
      <w:rFonts w:ascii="Calibri" w:eastAsia="Calibri" w:hAnsi="Calibri" w:cs="Times New Roman"/>
      <w:b/>
      <w:bCs/>
      <w:color w:val="005D97"/>
      <w:sz w:val="36"/>
      <w:szCs w:val="36"/>
    </w:rPr>
  </w:style>
  <w:style w:type="paragraph" w:customStyle="1" w:styleId="font5">
    <w:name w:val="font5"/>
    <w:basedOn w:val="Normal"/>
    <w:rsid w:val="00417A40"/>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6">
    <w:name w:val="font6"/>
    <w:basedOn w:val="Normal"/>
    <w:rsid w:val="00417A40"/>
    <w:pPr>
      <w:spacing w:before="100" w:beforeAutospacing="1" w:after="100" w:afterAutospacing="1" w:line="240" w:lineRule="auto"/>
    </w:pPr>
    <w:rPr>
      <w:rFonts w:ascii="Corbel" w:eastAsia="Times New Roman" w:hAnsi="Corbel"/>
      <w:sz w:val="16"/>
      <w:szCs w:val="16"/>
      <w:lang w:val="en-GB" w:eastAsia="en-GB"/>
    </w:rPr>
  </w:style>
  <w:style w:type="paragraph" w:customStyle="1" w:styleId="font7">
    <w:name w:val="font7"/>
    <w:basedOn w:val="Normal"/>
    <w:rsid w:val="00417A40"/>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8">
    <w:name w:val="font8"/>
    <w:basedOn w:val="Normal"/>
    <w:rsid w:val="00417A40"/>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9">
    <w:name w:val="font9"/>
    <w:basedOn w:val="Normal"/>
    <w:rsid w:val="00417A40"/>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10">
    <w:name w:val="font10"/>
    <w:basedOn w:val="Normal"/>
    <w:rsid w:val="00417A40"/>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1">
    <w:name w:val="font11"/>
    <w:basedOn w:val="Normal"/>
    <w:rsid w:val="00417A40"/>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2">
    <w:name w:val="font12"/>
    <w:basedOn w:val="Normal"/>
    <w:rsid w:val="00417A40"/>
    <w:pPr>
      <w:spacing w:before="100" w:beforeAutospacing="1" w:after="100" w:afterAutospacing="1" w:line="240" w:lineRule="auto"/>
    </w:pPr>
    <w:rPr>
      <w:rFonts w:eastAsia="Times New Roman"/>
      <w:sz w:val="16"/>
      <w:szCs w:val="16"/>
      <w:lang w:val="en-GB" w:eastAsia="en-GB"/>
    </w:rPr>
  </w:style>
  <w:style w:type="paragraph" w:customStyle="1" w:styleId="xl280">
    <w:name w:val="xl280"/>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1">
    <w:name w:val="xl281"/>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2">
    <w:name w:val="xl282"/>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3">
    <w:name w:val="xl283"/>
    <w:basedOn w:val="Normal"/>
    <w:rsid w:val="00417A40"/>
    <w:pPr>
      <w:shd w:val="clear" w:color="000000" w:fill="FFFFFF"/>
      <w:spacing w:before="100" w:beforeAutospacing="1" w:after="100" w:afterAutospacing="1" w:line="240" w:lineRule="auto"/>
      <w:jc w:val="center"/>
    </w:pPr>
    <w:rPr>
      <w:rFonts w:ascii="Corbel" w:eastAsia="Times New Roman" w:hAnsi="Corbel"/>
      <w:sz w:val="16"/>
      <w:szCs w:val="16"/>
      <w:lang w:val="en-GB" w:eastAsia="en-GB"/>
    </w:rPr>
  </w:style>
  <w:style w:type="paragraph" w:customStyle="1" w:styleId="xl284">
    <w:name w:val="xl284"/>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5">
    <w:name w:val="xl285"/>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6">
    <w:name w:val="xl286"/>
    <w:basedOn w:val="Normal"/>
    <w:rsid w:val="00417A40"/>
    <w:pPr>
      <w:pBdr>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7">
    <w:name w:val="xl287"/>
    <w:basedOn w:val="Normal"/>
    <w:rsid w:val="00417A40"/>
    <w:pPr>
      <w:shd w:val="clear" w:color="000000" w:fill="002060"/>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88">
    <w:name w:val="xl288"/>
    <w:basedOn w:val="Normal"/>
    <w:rsid w:val="00417A40"/>
    <w:pPr>
      <w:shd w:val="clear" w:color="000000" w:fill="002060"/>
      <w:spacing w:before="100" w:beforeAutospacing="1" w:after="100" w:afterAutospacing="1" w:line="240" w:lineRule="auto"/>
      <w:jc w:val="center"/>
      <w:textAlignment w:val="center"/>
    </w:pPr>
    <w:rPr>
      <w:rFonts w:ascii="Corbel" w:eastAsia="Times New Roman" w:hAnsi="Corbel"/>
      <w:color w:val="FFFFFF"/>
      <w:sz w:val="20"/>
      <w:szCs w:val="20"/>
      <w:lang w:val="en-GB" w:eastAsia="en-GB"/>
    </w:rPr>
  </w:style>
  <w:style w:type="paragraph" w:customStyle="1" w:styleId="xl289">
    <w:name w:val="xl289"/>
    <w:basedOn w:val="Normal"/>
    <w:rsid w:val="00417A40"/>
    <w:pPr>
      <w:spacing w:before="100" w:beforeAutospacing="1" w:after="100" w:afterAutospacing="1" w:line="240" w:lineRule="auto"/>
    </w:pPr>
    <w:rPr>
      <w:rFonts w:ascii="Corbel" w:eastAsia="Times New Roman" w:hAnsi="Corbel"/>
      <w:sz w:val="20"/>
      <w:szCs w:val="20"/>
      <w:lang w:val="en-GB" w:eastAsia="en-GB"/>
    </w:rPr>
  </w:style>
  <w:style w:type="paragraph" w:customStyle="1" w:styleId="xl290">
    <w:name w:val="xl290"/>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1">
    <w:name w:val="xl291"/>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2">
    <w:name w:val="xl292"/>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3">
    <w:name w:val="xl293"/>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4">
    <w:name w:val="xl294"/>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5">
    <w:name w:val="xl295"/>
    <w:basedOn w:val="Normal"/>
    <w:rsid w:val="00417A40"/>
    <w:pPr>
      <w:shd w:val="clear" w:color="000000" w:fill="DCE6F1"/>
      <w:spacing w:before="100" w:beforeAutospacing="1" w:after="100" w:afterAutospacing="1" w:line="240" w:lineRule="auto"/>
    </w:pPr>
    <w:rPr>
      <w:rFonts w:ascii="Corbel" w:eastAsia="Times New Roman" w:hAnsi="Corbel"/>
      <w:sz w:val="20"/>
      <w:szCs w:val="20"/>
      <w:lang w:val="en-GB" w:eastAsia="en-GB"/>
    </w:rPr>
  </w:style>
  <w:style w:type="paragraph" w:customStyle="1" w:styleId="xl296">
    <w:name w:val="xl296"/>
    <w:basedOn w:val="Normal"/>
    <w:rsid w:val="00417A40"/>
    <w:pPr>
      <w:shd w:val="clear" w:color="000000" w:fill="DCE6F1"/>
      <w:spacing w:before="100" w:beforeAutospacing="1" w:after="100" w:afterAutospacing="1" w:line="240" w:lineRule="auto"/>
    </w:pPr>
    <w:rPr>
      <w:rFonts w:ascii="Corbel" w:eastAsia="Times New Roman" w:hAnsi="Corbel"/>
      <w:b/>
      <w:bCs/>
      <w:sz w:val="20"/>
      <w:szCs w:val="20"/>
      <w:lang w:val="en-GB" w:eastAsia="en-GB"/>
    </w:rPr>
  </w:style>
  <w:style w:type="paragraph" w:customStyle="1" w:styleId="xl297">
    <w:name w:val="xl297"/>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8">
    <w:name w:val="xl298"/>
    <w:basedOn w:val="Normal"/>
    <w:rsid w:val="00417A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9">
    <w:name w:val="xl299"/>
    <w:basedOn w:val="Normal"/>
    <w:rsid w:val="00417A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0">
    <w:name w:val="xl300"/>
    <w:basedOn w:val="Normal"/>
    <w:rsid w:val="00417A40"/>
    <w:pPr>
      <w:pBdr>
        <w:top w:val="single" w:sz="4" w:space="0" w:color="auto"/>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1">
    <w:name w:val="xl301"/>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2">
    <w:name w:val="xl302"/>
    <w:basedOn w:val="Normal"/>
    <w:rsid w:val="00417A40"/>
    <w:pPr>
      <w:shd w:val="clear" w:color="000000" w:fill="002060"/>
      <w:spacing w:before="100" w:beforeAutospacing="1" w:after="100" w:afterAutospacing="1" w:line="240" w:lineRule="auto"/>
      <w:textAlignment w:val="center"/>
    </w:pPr>
    <w:rPr>
      <w:rFonts w:ascii="Corbel" w:eastAsia="Times New Roman" w:hAnsi="Corbel"/>
      <w:color w:val="FFFFFF"/>
      <w:sz w:val="20"/>
      <w:szCs w:val="20"/>
      <w:lang w:val="en-GB" w:eastAsia="en-GB"/>
    </w:rPr>
  </w:style>
  <w:style w:type="paragraph" w:customStyle="1" w:styleId="xl303">
    <w:name w:val="xl303"/>
    <w:basedOn w:val="Normal"/>
    <w:rsid w:val="00417A40"/>
    <w:pPr>
      <w:shd w:val="clear" w:color="000000" w:fill="FFFFFF"/>
      <w:spacing w:before="100" w:beforeAutospacing="1" w:after="100" w:afterAutospacing="1" w:line="240" w:lineRule="auto"/>
      <w:textAlignment w:val="center"/>
    </w:pPr>
    <w:rPr>
      <w:rFonts w:ascii="Corbel" w:eastAsia="Times New Roman" w:hAnsi="Corbel"/>
      <w:sz w:val="20"/>
      <w:szCs w:val="20"/>
      <w:lang w:val="en-GB" w:eastAsia="en-GB"/>
    </w:rPr>
  </w:style>
  <w:style w:type="paragraph" w:customStyle="1" w:styleId="xl304">
    <w:name w:val="xl304"/>
    <w:basedOn w:val="Normal"/>
    <w:rsid w:val="00417A40"/>
    <w:pPr>
      <w:shd w:val="clear" w:color="000000" w:fill="FFFFFF"/>
      <w:spacing w:before="100" w:beforeAutospacing="1" w:after="100" w:afterAutospacing="1" w:line="240" w:lineRule="auto"/>
    </w:pPr>
    <w:rPr>
      <w:rFonts w:ascii="Corbel" w:eastAsia="Times New Roman" w:hAnsi="Corbel"/>
      <w:i/>
      <w:iCs/>
      <w:sz w:val="20"/>
      <w:szCs w:val="20"/>
      <w:lang w:val="en-GB" w:eastAsia="en-GB"/>
    </w:rPr>
  </w:style>
  <w:style w:type="paragraph" w:customStyle="1" w:styleId="xl305">
    <w:name w:val="xl305"/>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6">
    <w:name w:val="xl306"/>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7">
    <w:name w:val="xl307"/>
    <w:basedOn w:val="Normal"/>
    <w:rsid w:val="00417A40"/>
    <w:pPr>
      <w:shd w:val="clear" w:color="000000" w:fill="FFFFFF"/>
      <w:spacing w:before="100" w:beforeAutospacing="1" w:after="100" w:afterAutospacing="1" w:line="240" w:lineRule="auto"/>
      <w:ind w:firstLineChars="200" w:firstLine="200"/>
    </w:pPr>
    <w:rPr>
      <w:rFonts w:ascii="Corbel" w:eastAsia="Times New Roman" w:hAnsi="Corbel"/>
      <w:sz w:val="20"/>
      <w:szCs w:val="20"/>
      <w:lang w:val="en-GB" w:eastAsia="en-GB"/>
    </w:rPr>
  </w:style>
  <w:style w:type="paragraph" w:customStyle="1" w:styleId="xl308">
    <w:name w:val="xl308"/>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09">
    <w:name w:val="xl309"/>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0">
    <w:name w:val="xl310"/>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1">
    <w:name w:val="xl311"/>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color w:val="0070C0"/>
      <w:sz w:val="20"/>
      <w:szCs w:val="20"/>
      <w:lang w:val="en-GB" w:eastAsia="en-GB"/>
    </w:rPr>
  </w:style>
  <w:style w:type="paragraph" w:customStyle="1" w:styleId="xl312">
    <w:name w:val="xl312"/>
    <w:basedOn w:val="Normal"/>
    <w:rsid w:val="00417A4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orbel" w:eastAsia="Times New Roman" w:hAnsi="Corbel"/>
      <w:sz w:val="20"/>
      <w:szCs w:val="20"/>
      <w:lang w:val="en-GB" w:eastAsia="en-GB"/>
    </w:rPr>
  </w:style>
  <w:style w:type="paragraph" w:customStyle="1" w:styleId="xl313">
    <w:name w:val="xl313"/>
    <w:basedOn w:val="Normal"/>
    <w:rsid w:val="00417A40"/>
    <w:pPr>
      <w:shd w:val="clear" w:color="000000" w:fill="FFFFFF"/>
      <w:spacing w:before="100" w:beforeAutospacing="1" w:after="100" w:afterAutospacing="1" w:line="240" w:lineRule="auto"/>
      <w:ind w:firstLineChars="200" w:firstLine="200"/>
      <w:textAlignment w:val="center"/>
    </w:pPr>
    <w:rPr>
      <w:rFonts w:ascii="Corbel" w:eastAsia="Times New Roman" w:hAnsi="Corbel"/>
      <w:sz w:val="20"/>
      <w:szCs w:val="20"/>
      <w:lang w:val="en-GB" w:eastAsia="en-GB"/>
    </w:rPr>
  </w:style>
  <w:style w:type="paragraph" w:styleId="TOCHeading">
    <w:name w:val="TOC Heading"/>
    <w:basedOn w:val="Heading1"/>
    <w:next w:val="Normal"/>
    <w:uiPriority w:val="39"/>
    <w:semiHidden/>
    <w:unhideWhenUsed/>
    <w:qFormat/>
    <w:rsid w:val="00417A40"/>
    <w:pPr>
      <w:keepLines/>
      <w:numPr>
        <w:numId w:val="0"/>
      </w:numPr>
      <w:spacing w:before="480" w:after="0"/>
      <w:outlineLvl w:val="9"/>
    </w:pPr>
    <w:rPr>
      <w:rFonts w:ascii="Cambria" w:hAnsi="Cambria" w:cs="Times New Roman"/>
      <w:color w:val="365F91"/>
      <w:szCs w:val="28"/>
      <w:lang w:val="en-US"/>
    </w:rPr>
  </w:style>
  <w:style w:type="table" w:styleId="TableGrid">
    <w:name w:val="Table Grid"/>
    <w:basedOn w:val="TableNormal"/>
    <w:uiPriority w:val="59"/>
    <w:rsid w:val="00D850AB"/>
    <w:rPr>
      <w:rFonts w:eastAsia="Times New Roman" w:cs="Calibri"/>
      <w:lang w:val="sq-A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54C0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5446">
      <w:bodyDiv w:val="1"/>
      <w:marLeft w:val="0"/>
      <w:marRight w:val="0"/>
      <w:marTop w:val="0"/>
      <w:marBottom w:val="0"/>
      <w:divBdr>
        <w:top w:val="none" w:sz="0" w:space="0" w:color="auto"/>
        <w:left w:val="none" w:sz="0" w:space="0" w:color="auto"/>
        <w:bottom w:val="none" w:sz="0" w:space="0" w:color="auto"/>
        <w:right w:val="none" w:sz="0" w:space="0" w:color="auto"/>
      </w:divBdr>
    </w:div>
    <w:div w:id="380515138">
      <w:bodyDiv w:val="1"/>
      <w:marLeft w:val="0"/>
      <w:marRight w:val="0"/>
      <w:marTop w:val="0"/>
      <w:marBottom w:val="0"/>
      <w:divBdr>
        <w:top w:val="none" w:sz="0" w:space="0" w:color="auto"/>
        <w:left w:val="none" w:sz="0" w:space="0" w:color="auto"/>
        <w:bottom w:val="none" w:sz="0" w:space="0" w:color="auto"/>
        <w:right w:val="none" w:sz="0" w:space="0" w:color="auto"/>
      </w:divBdr>
    </w:div>
    <w:div w:id="421611431">
      <w:bodyDiv w:val="1"/>
      <w:marLeft w:val="0"/>
      <w:marRight w:val="0"/>
      <w:marTop w:val="0"/>
      <w:marBottom w:val="0"/>
      <w:divBdr>
        <w:top w:val="none" w:sz="0" w:space="0" w:color="auto"/>
        <w:left w:val="none" w:sz="0" w:space="0" w:color="auto"/>
        <w:bottom w:val="none" w:sz="0" w:space="0" w:color="auto"/>
        <w:right w:val="none" w:sz="0" w:space="0" w:color="auto"/>
      </w:divBdr>
    </w:div>
    <w:div w:id="735476762">
      <w:bodyDiv w:val="1"/>
      <w:marLeft w:val="0"/>
      <w:marRight w:val="0"/>
      <w:marTop w:val="0"/>
      <w:marBottom w:val="0"/>
      <w:divBdr>
        <w:top w:val="none" w:sz="0" w:space="0" w:color="auto"/>
        <w:left w:val="none" w:sz="0" w:space="0" w:color="auto"/>
        <w:bottom w:val="none" w:sz="0" w:space="0" w:color="auto"/>
        <w:right w:val="none" w:sz="0" w:space="0" w:color="auto"/>
      </w:divBdr>
    </w:div>
    <w:div w:id="760182641">
      <w:bodyDiv w:val="1"/>
      <w:marLeft w:val="0"/>
      <w:marRight w:val="0"/>
      <w:marTop w:val="0"/>
      <w:marBottom w:val="0"/>
      <w:divBdr>
        <w:top w:val="none" w:sz="0" w:space="0" w:color="auto"/>
        <w:left w:val="none" w:sz="0" w:space="0" w:color="auto"/>
        <w:bottom w:val="none" w:sz="0" w:space="0" w:color="auto"/>
        <w:right w:val="none" w:sz="0" w:space="0" w:color="auto"/>
      </w:divBdr>
    </w:div>
    <w:div w:id="770007303">
      <w:bodyDiv w:val="1"/>
      <w:marLeft w:val="0"/>
      <w:marRight w:val="0"/>
      <w:marTop w:val="0"/>
      <w:marBottom w:val="0"/>
      <w:divBdr>
        <w:top w:val="none" w:sz="0" w:space="0" w:color="auto"/>
        <w:left w:val="none" w:sz="0" w:space="0" w:color="auto"/>
        <w:bottom w:val="none" w:sz="0" w:space="0" w:color="auto"/>
        <w:right w:val="none" w:sz="0" w:space="0" w:color="auto"/>
      </w:divBdr>
    </w:div>
    <w:div w:id="1110662896">
      <w:bodyDiv w:val="1"/>
      <w:marLeft w:val="0"/>
      <w:marRight w:val="0"/>
      <w:marTop w:val="0"/>
      <w:marBottom w:val="0"/>
      <w:divBdr>
        <w:top w:val="none" w:sz="0" w:space="0" w:color="auto"/>
        <w:left w:val="none" w:sz="0" w:space="0" w:color="auto"/>
        <w:bottom w:val="none" w:sz="0" w:space="0" w:color="auto"/>
        <w:right w:val="none" w:sz="0" w:space="0" w:color="auto"/>
      </w:divBdr>
    </w:div>
    <w:div w:id="1135176734">
      <w:bodyDiv w:val="1"/>
      <w:marLeft w:val="0"/>
      <w:marRight w:val="0"/>
      <w:marTop w:val="0"/>
      <w:marBottom w:val="0"/>
      <w:divBdr>
        <w:top w:val="none" w:sz="0" w:space="0" w:color="auto"/>
        <w:left w:val="none" w:sz="0" w:space="0" w:color="auto"/>
        <w:bottom w:val="none" w:sz="0" w:space="0" w:color="auto"/>
        <w:right w:val="none" w:sz="0" w:space="0" w:color="auto"/>
      </w:divBdr>
    </w:div>
    <w:div w:id="1145127758">
      <w:bodyDiv w:val="1"/>
      <w:marLeft w:val="0"/>
      <w:marRight w:val="0"/>
      <w:marTop w:val="0"/>
      <w:marBottom w:val="0"/>
      <w:divBdr>
        <w:top w:val="none" w:sz="0" w:space="0" w:color="auto"/>
        <w:left w:val="none" w:sz="0" w:space="0" w:color="auto"/>
        <w:bottom w:val="none" w:sz="0" w:space="0" w:color="auto"/>
        <w:right w:val="none" w:sz="0" w:space="0" w:color="auto"/>
      </w:divBdr>
    </w:div>
    <w:div w:id="1373652916">
      <w:bodyDiv w:val="1"/>
      <w:marLeft w:val="0"/>
      <w:marRight w:val="0"/>
      <w:marTop w:val="0"/>
      <w:marBottom w:val="0"/>
      <w:divBdr>
        <w:top w:val="none" w:sz="0" w:space="0" w:color="auto"/>
        <w:left w:val="none" w:sz="0" w:space="0" w:color="auto"/>
        <w:bottom w:val="none" w:sz="0" w:space="0" w:color="auto"/>
        <w:right w:val="none" w:sz="0" w:space="0" w:color="auto"/>
      </w:divBdr>
    </w:div>
    <w:div w:id="1421683178">
      <w:bodyDiv w:val="1"/>
      <w:marLeft w:val="0"/>
      <w:marRight w:val="0"/>
      <w:marTop w:val="0"/>
      <w:marBottom w:val="0"/>
      <w:divBdr>
        <w:top w:val="none" w:sz="0" w:space="0" w:color="auto"/>
        <w:left w:val="none" w:sz="0" w:space="0" w:color="auto"/>
        <w:bottom w:val="none" w:sz="0" w:space="0" w:color="auto"/>
        <w:right w:val="none" w:sz="0" w:space="0" w:color="auto"/>
      </w:divBdr>
    </w:div>
    <w:div w:id="1459060477">
      <w:bodyDiv w:val="1"/>
      <w:marLeft w:val="0"/>
      <w:marRight w:val="0"/>
      <w:marTop w:val="0"/>
      <w:marBottom w:val="0"/>
      <w:divBdr>
        <w:top w:val="none" w:sz="0" w:space="0" w:color="auto"/>
        <w:left w:val="none" w:sz="0" w:space="0" w:color="auto"/>
        <w:bottom w:val="none" w:sz="0" w:space="0" w:color="auto"/>
        <w:right w:val="none" w:sz="0" w:space="0" w:color="auto"/>
      </w:divBdr>
    </w:div>
    <w:div w:id="1492523402">
      <w:bodyDiv w:val="1"/>
      <w:marLeft w:val="0"/>
      <w:marRight w:val="0"/>
      <w:marTop w:val="0"/>
      <w:marBottom w:val="0"/>
      <w:divBdr>
        <w:top w:val="none" w:sz="0" w:space="0" w:color="auto"/>
        <w:left w:val="none" w:sz="0" w:space="0" w:color="auto"/>
        <w:bottom w:val="none" w:sz="0" w:space="0" w:color="auto"/>
        <w:right w:val="none" w:sz="0" w:space="0" w:color="auto"/>
      </w:divBdr>
    </w:div>
    <w:div w:id="1565606298">
      <w:bodyDiv w:val="1"/>
      <w:marLeft w:val="0"/>
      <w:marRight w:val="0"/>
      <w:marTop w:val="0"/>
      <w:marBottom w:val="0"/>
      <w:divBdr>
        <w:top w:val="none" w:sz="0" w:space="0" w:color="auto"/>
        <w:left w:val="none" w:sz="0" w:space="0" w:color="auto"/>
        <w:bottom w:val="none" w:sz="0" w:space="0" w:color="auto"/>
        <w:right w:val="none" w:sz="0" w:space="0" w:color="auto"/>
      </w:divBdr>
    </w:div>
    <w:div w:id="1643148701">
      <w:bodyDiv w:val="1"/>
      <w:marLeft w:val="0"/>
      <w:marRight w:val="0"/>
      <w:marTop w:val="0"/>
      <w:marBottom w:val="0"/>
      <w:divBdr>
        <w:top w:val="none" w:sz="0" w:space="0" w:color="auto"/>
        <w:left w:val="none" w:sz="0" w:space="0" w:color="auto"/>
        <w:bottom w:val="none" w:sz="0" w:space="0" w:color="auto"/>
        <w:right w:val="none" w:sz="0" w:space="0" w:color="auto"/>
      </w:divBdr>
    </w:div>
    <w:div w:id="1665888761">
      <w:bodyDiv w:val="1"/>
      <w:marLeft w:val="0"/>
      <w:marRight w:val="0"/>
      <w:marTop w:val="0"/>
      <w:marBottom w:val="0"/>
      <w:divBdr>
        <w:top w:val="none" w:sz="0" w:space="0" w:color="auto"/>
        <w:left w:val="none" w:sz="0" w:space="0" w:color="auto"/>
        <w:bottom w:val="none" w:sz="0" w:space="0" w:color="auto"/>
        <w:right w:val="none" w:sz="0" w:space="0" w:color="auto"/>
      </w:divBdr>
    </w:div>
    <w:div w:id="1860580261">
      <w:bodyDiv w:val="1"/>
      <w:marLeft w:val="0"/>
      <w:marRight w:val="0"/>
      <w:marTop w:val="0"/>
      <w:marBottom w:val="0"/>
      <w:divBdr>
        <w:top w:val="none" w:sz="0" w:space="0" w:color="auto"/>
        <w:left w:val="none" w:sz="0" w:space="0" w:color="auto"/>
        <w:bottom w:val="none" w:sz="0" w:space="0" w:color="auto"/>
        <w:right w:val="none" w:sz="0" w:space="0" w:color="auto"/>
      </w:divBdr>
    </w:div>
    <w:div w:id="20284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pricing-tariffs@ero-k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ro-ks.org/2018/Raportet/Pergjigje%20ndaj%20komenteve%20te%20KEDS_PRR2_final.pdf" TargetMode="External"/><Relationship Id="rId1" Type="http://schemas.openxmlformats.org/officeDocument/2006/relationships/hyperlink" Target="https://appsso.eurostat.ec.europa.eu/nui/submitViewTableAction.d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93FA-28B3-444B-BF5C-A3ED3235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Berisha</dc:creator>
  <cp:lastModifiedBy>Muharrem Gashi</cp:lastModifiedBy>
  <cp:revision>2</cp:revision>
  <dcterms:created xsi:type="dcterms:W3CDTF">2021-09-28T11:52:00Z</dcterms:created>
  <dcterms:modified xsi:type="dcterms:W3CDTF">2021-09-28T11:52:00Z</dcterms:modified>
</cp:coreProperties>
</file>